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00D93" w:rsidTr="0088395E">
        <w:tc>
          <w:tcPr>
            <w:tcW w:w="4513" w:type="dxa"/>
            <w:tcBorders>
              <w:bottom w:val="single" w:sz="4" w:space="0" w:color="auto"/>
            </w:tcBorders>
            <w:tcMar>
              <w:bottom w:w="170" w:type="dxa"/>
            </w:tcMar>
          </w:tcPr>
          <w:p w:rsidR="00E504E5" w:rsidRPr="00D00D93" w:rsidRDefault="00E504E5" w:rsidP="00AB613D"/>
        </w:tc>
        <w:tc>
          <w:tcPr>
            <w:tcW w:w="4337" w:type="dxa"/>
            <w:tcBorders>
              <w:bottom w:val="single" w:sz="4" w:space="0" w:color="auto"/>
            </w:tcBorders>
            <w:tcMar>
              <w:left w:w="0" w:type="dxa"/>
              <w:right w:w="0" w:type="dxa"/>
            </w:tcMar>
          </w:tcPr>
          <w:p w:rsidR="00E504E5" w:rsidRPr="00D00D93" w:rsidRDefault="002C2E2F" w:rsidP="00AB613D">
            <w:r w:rsidRPr="00D00D93">
              <w:rPr>
                <w:noProof/>
                <w:lang w:val="en-US" w:eastAsia="en-US"/>
              </w:rPr>
              <w:drawing>
                <wp:inline distT="0" distB="0" distL="0" distR="0" wp14:anchorId="41ECE01C" wp14:editId="375E680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00D93" w:rsidRDefault="00E504E5" w:rsidP="00AB613D">
            <w:pPr>
              <w:jc w:val="right"/>
            </w:pPr>
            <w:r w:rsidRPr="00D00D93">
              <w:rPr>
                <w:b/>
                <w:sz w:val="40"/>
                <w:szCs w:val="40"/>
              </w:rPr>
              <w:t>S</w:t>
            </w:r>
          </w:p>
        </w:tc>
      </w:tr>
      <w:tr w:rsidR="008B2CC1" w:rsidRPr="00D00D93"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D00D93" w:rsidRDefault="00F94081" w:rsidP="00AB613D">
            <w:pPr>
              <w:jc w:val="right"/>
              <w:rPr>
                <w:rFonts w:ascii="Arial Black" w:hAnsi="Arial Black"/>
                <w:caps/>
                <w:sz w:val="15"/>
              </w:rPr>
            </w:pPr>
            <w:r w:rsidRPr="00D00D93">
              <w:rPr>
                <w:rFonts w:ascii="Arial Black" w:hAnsi="Arial Black"/>
                <w:caps/>
                <w:sz w:val="15"/>
              </w:rPr>
              <w:t>PCT/WG/11/</w:t>
            </w:r>
            <w:bookmarkStart w:id="0" w:name="Code"/>
            <w:bookmarkEnd w:id="0"/>
            <w:r w:rsidR="00D3409E" w:rsidRPr="00D00D93">
              <w:rPr>
                <w:rFonts w:ascii="Arial Black" w:hAnsi="Arial Black"/>
                <w:caps/>
                <w:sz w:val="15"/>
              </w:rPr>
              <w:t>2</w:t>
            </w:r>
          </w:p>
        </w:tc>
      </w:tr>
      <w:tr w:rsidR="008B2CC1" w:rsidRPr="00D00D93" w:rsidTr="00AB613D">
        <w:trPr>
          <w:trHeight w:hRule="exact" w:val="170"/>
        </w:trPr>
        <w:tc>
          <w:tcPr>
            <w:tcW w:w="9356" w:type="dxa"/>
            <w:gridSpan w:val="3"/>
            <w:noWrap/>
            <w:tcMar>
              <w:left w:w="0" w:type="dxa"/>
              <w:right w:w="0" w:type="dxa"/>
            </w:tcMar>
            <w:vAlign w:val="bottom"/>
          </w:tcPr>
          <w:p w:rsidR="008B2CC1" w:rsidRPr="00D00D93" w:rsidRDefault="008B2CC1" w:rsidP="0046793F">
            <w:pPr>
              <w:jc w:val="right"/>
              <w:rPr>
                <w:rFonts w:ascii="Arial Black" w:hAnsi="Arial Black"/>
                <w:caps/>
                <w:sz w:val="15"/>
              </w:rPr>
            </w:pPr>
            <w:r w:rsidRPr="00D00D93">
              <w:rPr>
                <w:rFonts w:ascii="Arial Black" w:hAnsi="Arial Black"/>
                <w:caps/>
                <w:sz w:val="15"/>
              </w:rPr>
              <w:t>ORIGINAL:</w:t>
            </w:r>
            <w:r w:rsidR="009A20CD" w:rsidRPr="00D00D93">
              <w:rPr>
                <w:rFonts w:ascii="Arial Black" w:hAnsi="Arial Black"/>
                <w:caps/>
                <w:sz w:val="15"/>
              </w:rPr>
              <w:t xml:space="preserve">  </w:t>
            </w:r>
            <w:bookmarkStart w:id="1" w:name="Original"/>
            <w:bookmarkEnd w:id="1"/>
            <w:r w:rsidR="00D3409E" w:rsidRPr="00D00D93">
              <w:rPr>
                <w:rFonts w:ascii="Arial Black" w:hAnsi="Arial Black"/>
                <w:caps/>
                <w:sz w:val="15"/>
              </w:rPr>
              <w:t>INGLÉS</w:t>
            </w:r>
            <w:r w:rsidRPr="00D00D93">
              <w:rPr>
                <w:rFonts w:ascii="Arial Black" w:hAnsi="Arial Black"/>
                <w:caps/>
                <w:sz w:val="15"/>
              </w:rPr>
              <w:t xml:space="preserve"> </w:t>
            </w:r>
          </w:p>
        </w:tc>
      </w:tr>
      <w:tr w:rsidR="008B2CC1" w:rsidRPr="00D00D93" w:rsidTr="00AB613D">
        <w:trPr>
          <w:trHeight w:hRule="exact" w:val="198"/>
        </w:trPr>
        <w:tc>
          <w:tcPr>
            <w:tcW w:w="9356" w:type="dxa"/>
            <w:gridSpan w:val="3"/>
            <w:tcMar>
              <w:left w:w="0" w:type="dxa"/>
              <w:right w:w="0" w:type="dxa"/>
            </w:tcMar>
            <w:vAlign w:val="bottom"/>
          </w:tcPr>
          <w:p w:rsidR="008B2CC1" w:rsidRPr="00D00D93" w:rsidRDefault="00675021" w:rsidP="0046793F">
            <w:pPr>
              <w:jc w:val="right"/>
              <w:rPr>
                <w:rFonts w:ascii="Arial Black" w:hAnsi="Arial Black"/>
                <w:caps/>
                <w:sz w:val="15"/>
              </w:rPr>
            </w:pPr>
            <w:r w:rsidRPr="00D00D93">
              <w:rPr>
                <w:rFonts w:ascii="Arial Black" w:hAnsi="Arial Black"/>
                <w:caps/>
                <w:sz w:val="15"/>
              </w:rPr>
              <w:t>fecha</w:t>
            </w:r>
            <w:r w:rsidR="008B2CC1" w:rsidRPr="00D00D93">
              <w:rPr>
                <w:rFonts w:ascii="Arial Black" w:hAnsi="Arial Black"/>
                <w:caps/>
                <w:sz w:val="15"/>
              </w:rPr>
              <w:t>:</w:t>
            </w:r>
            <w:r w:rsidR="009A20CD" w:rsidRPr="00D00D93">
              <w:rPr>
                <w:rFonts w:ascii="Arial Black" w:hAnsi="Arial Black"/>
                <w:caps/>
                <w:sz w:val="15"/>
              </w:rPr>
              <w:t xml:space="preserve">  </w:t>
            </w:r>
            <w:bookmarkStart w:id="2" w:name="Date"/>
            <w:bookmarkEnd w:id="2"/>
            <w:r w:rsidR="00D3409E" w:rsidRPr="00D00D93">
              <w:rPr>
                <w:rFonts w:ascii="Arial Black" w:hAnsi="Arial Black"/>
                <w:caps/>
                <w:sz w:val="15"/>
              </w:rPr>
              <w:t xml:space="preserve">19 DE MARZO </w:t>
            </w:r>
            <w:r w:rsidR="009956EA" w:rsidRPr="00D00D93">
              <w:rPr>
                <w:rFonts w:ascii="Arial Black" w:hAnsi="Arial Black"/>
                <w:caps/>
                <w:sz w:val="15"/>
              </w:rPr>
              <w:t>DE 20</w:t>
            </w:r>
            <w:r w:rsidR="00D3409E" w:rsidRPr="00D00D93">
              <w:rPr>
                <w:rFonts w:ascii="Arial Black" w:hAnsi="Arial Black"/>
                <w:caps/>
                <w:sz w:val="15"/>
              </w:rPr>
              <w:t>18</w:t>
            </w:r>
            <w:r w:rsidR="008B2CC1" w:rsidRPr="00D00D93">
              <w:rPr>
                <w:rFonts w:ascii="Arial Black" w:hAnsi="Arial Black"/>
                <w:caps/>
                <w:sz w:val="15"/>
              </w:rPr>
              <w:t xml:space="preserve"> </w:t>
            </w:r>
          </w:p>
        </w:tc>
      </w:tr>
    </w:tbl>
    <w:p w:rsidR="008B2CC1" w:rsidRPr="00D00D93" w:rsidRDefault="008B2CC1" w:rsidP="008B2CC1"/>
    <w:p w:rsidR="008B2CC1" w:rsidRPr="00D00D93" w:rsidRDefault="008B2CC1" w:rsidP="008B2CC1"/>
    <w:p w:rsidR="008B2CC1" w:rsidRPr="00D00D93" w:rsidRDefault="008B2CC1" w:rsidP="008B2CC1"/>
    <w:p w:rsidR="008B2CC1" w:rsidRPr="00D00D93" w:rsidRDefault="008B2CC1" w:rsidP="008B2CC1"/>
    <w:p w:rsidR="008B2CC1" w:rsidRPr="00D00D93" w:rsidRDefault="008B2CC1" w:rsidP="008B2CC1"/>
    <w:p w:rsidR="00B67CDC" w:rsidRPr="00D00D93" w:rsidRDefault="00F94081" w:rsidP="00B67CDC">
      <w:pPr>
        <w:rPr>
          <w:b/>
          <w:sz w:val="28"/>
          <w:szCs w:val="28"/>
        </w:rPr>
      </w:pPr>
      <w:r w:rsidRPr="00D00D93">
        <w:rPr>
          <w:b/>
          <w:sz w:val="28"/>
          <w:szCs w:val="28"/>
        </w:rPr>
        <w:t>Grupo de Trabajo del Tratado de Cooperación en materia de Patentes (PCT)</w:t>
      </w:r>
    </w:p>
    <w:p w:rsidR="003845C1" w:rsidRPr="00D00D93" w:rsidRDefault="003845C1" w:rsidP="003845C1"/>
    <w:p w:rsidR="003845C1" w:rsidRPr="00D00D93" w:rsidRDefault="003845C1" w:rsidP="003845C1"/>
    <w:p w:rsidR="00F94081" w:rsidRPr="00D00D93" w:rsidRDefault="00F94081" w:rsidP="00F94081">
      <w:pPr>
        <w:rPr>
          <w:b/>
          <w:sz w:val="24"/>
          <w:szCs w:val="24"/>
        </w:rPr>
      </w:pPr>
      <w:r w:rsidRPr="00D00D93">
        <w:rPr>
          <w:b/>
          <w:sz w:val="24"/>
          <w:szCs w:val="24"/>
        </w:rPr>
        <w:t>Undécima reunión</w:t>
      </w:r>
    </w:p>
    <w:p w:rsidR="00B67CDC" w:rsidRPr="00D00D93" w:rsidRDefault="00F94081" w:rsidP="00F94081">
      <w:pPr>
        <w:rPr>
          <w:b/>
          <w:sz w:val="24"/>
          <w:szCs w:val="24"/>
        </w:rPr>
      </w:pPr>
      <w:r w:rsidRPr="00D00D93">
        <w:rPr>
          <w:b/>
          <w:sz w:val="24"/>
          <w:szCs w:val="24"/>
        </w:rPr>
        <w:t xml:space="preserve">Ginebra, 18 a 22 de junio </w:t>
      </w:r>
      <w:r w:rsidR="009956EA" w:rsidRPr="00D00D93">
        <w:rPr>
          <w:b/>
          <w:sz w:val="24"/>
          <w:szCs w:val="24"/>
        </w:rPr>
        <w:t>de 20</w:t>
      </w:r>
      <w:r w:rsidRPr="00D00D93">
        <w:rPr>
          <w:b/>
          <w:sz w:val="24"/>
          <w:szCs w:val="24"/>
        </w:rPr>
        <w:t>18</w:t>
      </w:r>
    </w:p>
    <w:p w:rsidR="008B2CC1" w:rsidRPr="00D00D93" w:rsidRDefault="008B2CC1" w:rsidP="008B2CC1"/>
    <w:p w:rsidR="008B2CC1" w:rsidRPr="00D00D93" w:rsidRDefault="008B2CC1" w:rsidP="008B2CC1"/>
    <w:p w:rsidR="008B2CC1" w:rsidRPr="00D00D93" w:rsidRDefault="008B2CC1" w:rsidP="008B2CC1"/>
    <w:p w:rsidR="001B7D70" w:rsidRPr="00D00D93" w:rsidRDefault="0077788A" w:rsidP="001B7D70">
      <w:pPr>
        <w:rPr>
          <w:caps/>
          <w:sz w:val="24"/>
        </w:rPr>
      </w:pPr>
      <w:bookmarkStart w:id="3" w:name="TitleOfDoc"/>
      <w:bookmarkEnd w:id="3"/>
      <w:r w:rsidRPr="00D00D93">
        <w:rPr>
          <w:caps/>
          <w:sz w:val="24"/>
        </w:rPr>
        <w:t>REUNIÓN DE LAS ADMINISTRACIONES INTERNACIONALeS DEL pct</w:t>
      </w:r>
      <w:proofErr w:type="gramStart"/>
      <w:r w:rsidR="001B7D70" w:rsidRPr="00D00D93">
        <w:rPr>
          <w:caps/>
          <w:sz w:val="24"/>
        </w:rPr>
        <w:t xml:space="preserve">:  </w:t>
      </w:r>
      <w:r w:rsidR="00C6264D">
        <w:rPr>
          <w:caps/>
          <w:sz w:val="24"/>
        </w:rPr>
        <w:t>INFORME</w:t>
      </w:r>
      <w:proofErr w:type="gramEnd"/>
      <w:r w:rsidR="00C6264D">
        <w:rPr>
          <w:caps/>
          <w:sz w:val="24"/>
        </w:rPr>
        <w:t xml:space="preserve"> DE LA VIGE</w:t>
      </w:r>
      <w:r w:rsidRPr="00D00D93">
        <w:rPr>
          <w:caps/>
          <w:sz w:val="24"/>
        </w:rPr>
        <w:t>SIM</w:t>
      </w:r>
      <w:r w:rsidR="00C6264D">
        <w:rPr>
          <w:caps/>
          <w:sz w:val="24"/>
        </w:rPr>
        <w:t>O</w:t>
      </w:r>
      <w:r w:rsidRPr="00D00D93">
        <w:rPr>
          <w:caps/>
          <w:sz w:val="24"/>
        </w:rPr>
        <w:t xml:space="preserve">QUINTA SESIÓN </w:t>
      </w:r>
    </w:p>
    <w:p w:rsidR="001B7D70" w:rsidRPr="00D00D93" w:rsidRDefault="001B7D70" w:rsidP="001B7D70"/>
    <w:p w:rsidR="001B7D70" w:rsidRPr="00D00D93" w:rsidRDefault="001B7D70" w:rsidP="001B7D70">
      <w:pPr>
        <w:rPr>
          <w:i/>
        </w:rPr>
      </w:pPr>
      <w:bookmarkStart w:id="4" w:name="Prepared"/>
      <w:bookmarkEnd w:id="4"/>
      <w:r w:rsidRPr="00D00D93">
        <w:rPr>
          <w:i/>
        </w:rPr>
        <w:t>Document</w:t>
      </w:r>
      <w:r w:rsidR="0077788A" w:rsidRPr="00D00D93">
        <w:rPr>
          <w:i/>
        </w:rPr>
        <w:t xml:space="preserve">o preparado por la Oficina Internacional </w:t>
      </w:r>
    </w:p>
    <w:p w:rsidR="001B7D70" w:rsidRPr="00D00D93" w:rsidRDefault="001B7D70" w:rsidP="001B7D70"/>
    <w:p w:rsidR="001B7D70" w:rsidRPr="00D00D93" w:rsidRDefault="001B7D70" w:rsidP="001B7D70"/>
    <w:p w:rsidR="001B7D70" w:rsidRPr="00D00D93" w:rsidRDefault="001B7D70" w:rsidP="001B7D70"/>
    <w:p w:rsidR="001B7D70" w:rsidRPr="00D00D93" w:rsidRDefault="001B7D70" w:rsidP="001B7D70"/>
    <w:p w:rsidR="00642A32" w:rsidRPr="00D00D93" w:rsidRDefault="00642A32" w:rsidP="00740EFC">
      <w:pPr>
        <w:pStyle w:val="ONUMFS"/>
      </w:pPr>
      <w:r w:rsidRPr="00D00D93">
        <w:t xml:space="preserve">En el Anexo del presente documento se recoge el resumen de la presidencia de la </w:t>
      </w:r>
      <w:r w:rsidR="00C6264D">
        <w:t xml:space="preserve">vigesimoquinta </w:t>
      </w:r>
      <w:r w:rsidRPr="00D00D93">
        <w:t xml:space="preserve"> sesión de la Reunión de las Administraciones Internacionales del Tratado de Cooperación en materia de Patentes (PCT/MIA), celebrada en Madrid (España) del 21 al 23 de febrero </w:t>
      </w:r>
      <w:r w:rsidR="009956EA" w:rsidRPr="00D00D93">
        <w:t>de 20</w:t>
      </w:r>
      <w:r w:rsidRPr="00D00D93">
        <w:t xml:space="preserve">18.  El Anexo II del citado resumen de la presidencia contiene el resumen de la presidencia de la octava reunión informal del Subgrupo de la PCT/MIA encargado de la Calidad, que tuvo lugar inmediatamente antes de </w:t>
      </w:r>
      <w:r w:rsidR="00407E25" w:rsidRPr="00D00D93">
        <w:t xml:space="preserve">la celebración de </w:t>
      </w:r>
      <w:r w:rsidR="002559CA" w:rsidRPr="00D00D93">
        <w:t>la Reunión de las Administraciones Internacionales,</w:t>
      </w:r>
      <w:r w:rsidR="00407E25" w:rsidRPr="00D00D93">
        <w:t xml:space="preserve"> </w:t>
      </w:r>
      <w:r w:rsidRPr="00D00D93">
        <w:t xml:space="preserve">también en Madrid, los días 19 y 20 de febrero </w:t>
      </w:r>
      <w:r w:rsidR="009956EA" w:rsidRPr="00D00D93">
        <w:t>de 20</w:t>
      </w:r>
      <w:r w:rsidRPr="00D00D93">
        <w:t>18.</w:t>
      </w:r>
    </w:p>
    <w:p w:rsidR="001B7D70" w:rsidRPr="00740EFC" w:rsidRDefault="00642A32" w:rsidP="00740EFC">
      <w:pPr>
        <w:pStyle w:val="ONUMFS"/>
        <w:tabs>
          <w:tab w:val="clear" w:pos="567"/>
        </w:tabs>
        <w:ind w:left="5529"/>
        <w:rPr>
          <w:i/>
        </w:rPr>
      </w:pPr>
      <w:r w:rsidRPr="00740EFC">
        <w:rPr>
          <w:i/>
        </w:rPr>
        <w:t xml:space="preserve">Se invita al Grupo de Trabajo a tomar nota del resumen de la presidencia </w:t>
      </w:r>
      <w:r w:rsidR="008644BA" w:rsidRPr="00740EFC">
        <w:rPr>
          <w:i/>
        </w:rPr>
        <w:t xml:space="preserve">de la </w:t>
      </w:r>
      <w:r w:rsidR="00C6264D" w:rsidRPr="00740EFC">
        <w:rPr>
          <w:i/>
        </w:rPr>
        <w:t xml:space="preserve">vigesimoquinta </w:t>
      </w:r>
      <w:r w:rsidR="008644BA" w:rsidRPr="00740EFC">
        <w:rPr>
          <w:i/>
        </w:rPr>
        <w:t xml:space="preserve"> sesión de la Reuni</w:t>
      </w:r>
      <w:r w:rsidR="00407E25" w:rsidRPr="00740EFC">
        <w:rPr>
          <w:i/>
        </w:rPr>
        <w:t xml:space="preserve">ón </w:t>
      </w:r>
      <w:r w:rsidR="008644BA" w:rsidRPr="00740EFC">
        <w:rPr>
          <w:i/>
        </w:rPr>
        <w:t>de las Administraciones Inte</w:t>
      </w:r>
      <w:r w:rsidR="00407E25" w:rsidRPr="00740EFC">
        <w:rPr>
          <w:i/>
        </w:rPr>
        <w:t>r</w:t>
      </w:r>
      <w:r w:rsidR="00874B50" w:rsidRPr="00740EFC">
        <w:rPr>
          <w:i/>
        </w:rPr>
        <w:t>nacionales del </w:t>
      </w:r>
      <w:r w:rsidR="008644BA" w:rsidRPr="00740EFC">
        <w:rPr>
          <w:i/>
        </w:rPr>
        <w:t xml:space="preserve">PCT </w:t>
      </w:r>
      <w:r w:rsidR="001B7D70" w:rsidRPr="00740EFC">
        <w:rPr>
          <w:i/>
        </w:rPr>
        <w:t>(document</w:t>
      </w:r>
      <w:r w:rsidR="008644BA" w:rsidRPr="00740EFC">
        <w:rPr>
          <w:i/>
        </w:rPr>
        <w:t>o</w:t>
      </w:r>
      <w:r w:rsidR="00874B50" w:rsidRPr="00740EFC">
        <w:rPr>
          <w:i/>
        </w:rPr>
        <w:t> </w:t>
      </w:r>
      <w:r w:rsidR="001B7D70" w:rsidRPr="00740EFC">
        <w:rPr>
          <w:i/>
        </w:rPr>
        <w:t xml:space="preserve">PCT/MIA/25/13) </w:t>
      </w:r>
      <w:r w:rsidR="008644BA" w:rsidRPr="00740EFC">
        <w:rPr>
          <w:i/>
        </w:rPr>
        <w:t>que se reproduce en el Anexo del presente documento</w:t>
      </w:r>
      <w:r w:rsidR="001B7D70" w:rsidRPr="00740EFC">
        <w:rPr>
          <w:i/>
        </w:rPr>
        <w:t>.</w:t>
      </w:r>
    </w:p>
    <w:p w:rsidR="001B7D70" w:rsidRPr="00740EFC" w:rsidRDefault="001B7D70" w:rsidP="00740EFC">
      <w:pPr>
        <w:pStyle w:val="ONUMFS"/>
        <w:numPr>
          <w:ilvl w:val="0"/>
          <w:numId w:val="0"/>
        </w:numPr>
      </w:pPr>
    </w:p>
    <w:p w:rsidR="001B7D70" w:rsidRPr="00D00D93" w:rsidRDefault="001B7D70" w:rsidP="001B7D70">
      <w:pPr>
        <w:pStyle w:val="Endofdocument-Annex"/>
        <w:rPr>
          <w:lang w:val="es-ES"/>
        </w:rPr>
      </w:pPr>
      <w:r w:rsidRPr="00D00D93">
        <w:rPr>
          <w:lang w:val="es-ES"/>
        </w:rPr>
        <w:t>[</w:t>
      </w:r>
      <w:r w:rsidR="00407E25" w:rsidRPr="00D00D93">
        <w:rPr>
          <w:lang w:val="es-ES"/>
        </w:rPr>
        <w:t>Sigue el Anexo</w:t>
      </w:r>
      <w:r w:rsidRPr="00D00D93">
        <w:rPr>
          <w:lang w:val="es-ES"/>
        </w:rPr>
        <w:t>]</w:t>
      </w:r>
    </w:p>
    <w:p w:rsidR="001B7D70" w:rsidRPr="00D00D93" w:rsidRDefault="001B7D70" w:rsidP="001B7D70">
      <w:pPr>
        <w:pStyle w:val="Endofdocument-Annex"/>
        <w:rPr>
          <w:lang w:val="es-ES"/>
        </w:rPr>
      </w:pPr>
    </w:p>
    <w:p w:rsidR="001B7D70" w:rsidRPr="00D00D93" w:rsidRDefault="001B7D70" w:rsidP="001B7D70">
      <w:pPr>
        <w:pStyle w:val="Endofdocument-Annex"/>
        <w:rPr>
          <w:lang w:val="es-ES"/>
        </w:rPr>
        <w:sectPr w:rsidR="001B7D70" w:rsidRPr="00D00D93" w:rsidSect="00515056">
          <w:headerReference w:type="default" r:id="rId10"/>
          <w:endnotePr>
            <w:numFmt w:val="decimal"/>
          </w:endnotePr>
          <w:pgSz w:w="11907" w:h="16840" w:code="9"/>
          <w:pgMar w:top="567" w:right="1134" w:bottom="1418" w:left="1418" w:header="510" w:footer="1021" w:gutter="0"/>
          <w:cols w:space="720"/>
          <w:titlePg/>
          <w:docGrid w:linePitch="299"/>
        </w:sectPr>
      </w:pPr>
    </w:p>
    <w:p w:rsidR="00FA036D" w:rsidRDefault="008644BA" w:rsidP="00FA036D">
      <w:pPr>
        <w:pStyle w:val="ONUME"/>
        <w:numPr>
          <w:ilvl w:val="0"/>
          <w:numId w:val="0"/>
        </w:numPr>
        <w:tabs>
          <w:tab w:val="left" w:pos="720"/>
        </w:tabs>
        <w:spacing w:after="0"/>
        <w:rPr>
          <w:caps/>
        </w:rPr>
      </w:pPr>
      <w:r w:rsidRPr="00D00D93">
        <w:rPr>
          <w:caps/>
        </w:rPr>
        <w:lastRenderedPageBreak/>
        <w:t>REUNIÓN DE LAS ADMINISTRACIONES INTE</w:t>
      </w:r>
      <w:r w:rsidR="00407E25" w:rsidRPr="00D00D93">
        <w:rPr>
          <w:caps/>
        </w:rPr>
        <w:t>R</w:t>
      </w:r>
      <w:r w:rsidRPr="00D00D93">
        <w:rPr>
          <w:caps/>
        </w:rPr>
        <w:t>NACIONALES</w:t>
      </w:r>
    </w:p>
    <w:p w:rsidR="001B7D70" w:rsidRPr="00D00D93" w:rsidRDefault="008644BA" w:rsidP="001B7D70">
      <w:pPr>
        <w:pStyle w:val="ONUME"/>
        <w:numPr>
          <w:ilvl w:val="0"/>
          <w:numId w:val="0"/>
        </w:numPr>
        <w:tabs>
          <w:tab w:val="left" w:pos="720"/>
        </w:tabs>
        <w:rPr>
          <w:caps/>
        </w:rPr>
      </w:pPr>
      <w:r w:rsidRPr="00D00D93">
        <w:rPr>
          <w:caps/>
        </w:rPr>
        <w:t>DEL TRATADO DE COOPERACIÓN EN MATERIA DE PATENTES (pct)</w:t>
      </w:r>
    </w:p>
    <w:p w:rsidR="001B7D70" w:rsidRPr="00D00D93" w:rsidRDefault="00C6264D" w:rsidP="001B7D70">
      <w:pPr>
        <w:pStyle w:val="ONUME"/>
        <w:numPr>
          <w:ilvl w:val="0"/>
          <w:numId w:val="0"/>
        </w:numPr>
        <w:tabs>
          <w:tab w:val="left" w:pos="720"/>
        </w:tabs>
        <w:rPr>
          <w:caps/>
        </w:rPr>
      </w:pPr>
      <w:r>
        <w:rPr>
          <w:caps/>
        </w:rPr>
        <w:t xml:space="preserve">Vigesimoquinta </w:t>
      </w:r>
      <w:r w:rsidR="008644BA" w:rsidRPr="00D00D93">
        <w:rPr>
          <w:caps/>
        </w:rPr>
        <w:t xml:space="preserve"> SESIÓN, </w:t>
      </w:r>
      <w:r w:rsidR="001B7D70" w:rsidRPr="00D00D93">
        <w:rPr>
          <w:caps/>
        </w:rPr>
        <w:t xml:space="preserve">MADRID, </w:t>
      </w:r>
      <w:r w:rsidR="008644BA" w:rsidRPr="00D00D93">
        <w:rPr>
          <w:caps/>
        </w:rPr>
        <w:t xml:space="preserve">21 A 23 DE FEBRERO </w:t>
      </w:r>
      <w:r w:rsidR="009956EA" w:rsidRPr="00D00D93">
        <w:rPr>
          <w:caps/>
        </w:rPr>
        <w:t>DE 20</w:t>
      </w:r>
      <w:r w:rsidR="00FA036D">
        <w:rPr>
          <w:caps/>
        </w:rPr>
        <w:t>18</w:t>
      </w:r>
    </w:p>
    <w:p w:rsidR="00FA036D" w:rsidRDefault="00642A32" w:rsidP="00FA036D">
      <w:pPr>
        <w:pStyle w:val="ONUME"/>
        <w:numPr>
          <w:ilvl w:val="0"/>
          <w:numId w:val="0"/>
        </w:numPr>
        <w:tabs>
          <w:tab w:val="left" w:pos="720"/>
        </w:tabs>
        <w:spacing w:after="0"/>
        <w:rPr>
          <w:caps/>
        </w:rPr>
      </w:pPr>
      <w:r w:rsidRPr="00D00D93">
        <w:rPr>
          <w:caps/>
        </w:rPr>
        <w:t>RESUMEN DE LA PRESIDENCIA</w:t>
      </w:r>
    </w:p>
    <w:p w:rsidR="001B7D70" w:rsidRPr="00D00D93" w:rsidRDefault="001B7D70" w:rsidP="001B7D70">
      <w:pPr>
        <w:pStyle w:val="ONUME"/>
        <w:numPr>
          <w:ilvl w:val="0"/>
          <w:numId w:val="0"/>
        </w:numPr>
        <w:tabs>
          <w:tab w:val="left" w:pos="720"/>
        </w:tabs>
        <w:rPr>
          <w:i/>
        </w:rPr>
      </w:pPr>
      <w:r w:rsidRPr="00D00D93">
        <w:rPr>
          <w:i/>
        </w:rPr>
        <w:t>(</w:t>
      </w:r>
      <w:proofErr w:type="gramStart"/>
      <w:r w:rsidR="008644BA" w:rsidRPr="00D00D93">
        <w:rPr>
          <w:i/>
        </w:rPr>
        <w:t>del</w:t>
      </w:r>
      <w:proofErr w:type="gramEnd"/>
      <w:r w:rsidR="008644BA" w:rsidRPr="00D00D93">
        <w:rPr>
          <w:i/>
        </w:rPr>
        <w:t xml:space="preserve"> que la Reunión tomó nota</w:t>
      </w:r>
      <w:r w:rsidRPr="00D00D93">
        <w:rPr>
          <w:i/>
        </w:rPr>
        <w:t>;</w:t>
      </w:r>
      <w:r w:rsidR="00CF05DB" w:rsidRPr="00D00D93">
        <w:rPr>
          <w:i/>
        </w:rPr>
        <w:t xml:space="preserve"> </w:t>
      </w:r>
      <w:r w:rsidRPr="00D00D93">
        <w:rPr>
          <w:i/>
        </w:rPr>
        <w:t xml:space="preserve"> r</w:t>
      </w:r>
      <w:r w:rsidR="008644BA" w:rsidRPr="00D00D93">
        <w:rPr>
          <w:i/>
        </w:rPr>
        <w:t xml:space="preserve">eproducido del documento </w:t>
      </w:r>
      <w:r w:rsidRPr="00D00D93">
        <w:rPr>
          <w:i/>
        </w:rPr>
        <w:t>PCT/MIA/25/13)</w:t>
      </w:r>
    </w:p>
    <w:p w:rsidR="001B7D70" w:rsidRPr="00D00D93" w:rsidRDefault="001B7D70" w:rsidP="001B7D70">
      <w:pPr>
        <w:pStyle w:val="Heading1"/>
        <w:keepNext w:val="0"/>
      </w:pPr>
      <w:r w:rsidRPr="00D00D93">
        <w:t>Introduc</w:t>
      </w:r>
      <w:r w:rsidR="00407E25" w:rsidRPr="00D00D93">
        <w:t xml:space="preserve">CIÓN </w:t>
      </w:r>
    </w:p>
    <w:p w:rsidR="001B7D70" w:rsidRPr="00D00D93" w:rsidRDefault="00407E25" w:rsidP="00740EFC">
      <w:pPr>
        <w:pStyle w:val="ONUMFS"/>
        <w:numPr>
          <w:ilvl w:val="0"/>
          <w:numId w:val="12"/>
        </w:numPr>
      </w:pPr>
      <w:r w:rsidRPr="00D00D93">
        <w:t xml:space="preserve">La Reunión de las Administraciones Internacionales del </w:t>
      </w:r>
      <w:r w:rsidR="001B7D70" w:rsidRPr="00D00D93">
        <w:t>PCT (</w:t>
      </w:r>
      <w:r w:rsidRPr="00D00D93">
        <w:t xml:space="preserve">en adelante, la “Reunión”) celebró su </w:t>
      </w:r>
      <w:r w:rsidR="00C6264D">
        <w:t xml:space="preserve">vigesimoquinta </w:t>
      </w:r>
      <w:r w:rsidRPr="00D00D93">
        <w:t xml:space="preserve"> sesión en Madrid del 21 al 23 de febrero </w:t>
      </w:r>
      <w:r w:rsidR="009956EA" w:rsidRPr="00D00D93">
        <w:t>de 20</w:t>
      </w:r>
      <w:r w:rsidR="001B7D70" w:rsidRPr="00D00D93">
        <w:t>18.</w:t>
      </w:r>
    </w:p>
    <w:p w:rsidR="001B7D70" w:rsidRPr="00D00D93" w:rsidRDefault="00407E25" w:rsidP="00740EFC">
      <w:pPr>
        <w:pStyle w:val="ONUMFS"/>
      </w:pPr>
      <w:r w:rsidRPr="00D00D93">
        <w:t>En dicha sesión estuvieron representadas las siguientes Administraciones encargadas de la búsqueda internacional y del examen preliminar internacional</w:t>
      </w:r>
      <w:r w:rsidR="001B7D70" w:rsidRPr="00D00D93">
        <w:t xml:space="preserve">:  </w:t>
      </w:r>
      <w:r w:rsidR="00371907" w:rsidRPr="00D00D93">
        <w:rPr>
          <w:rFonts w:eastAsia="Times New Roman"/>
        </w:rPr>
        <w:t>Oficina Austríaca de Patentes</w:t>
      </w:r>
      <w:r w:rsidR="00371907" w:rsidRPr="00D00D93">
        <w:t xml:space="preserve">, </w:t>
      </w:r>
      <w:r w:rsidR="00371907" w:rsidRPr="00D00D93">
        <w:rPr>
          <w:rFonts w:eastAsia="Times New Roman"/>
        </w:rPr>
        <w:t>Instituto Nacional de la Propiedad Industrial del Brasil</w:t>
      </w:r>
      <w:r w:rsidR="007B3F41" w:rsidRPr="00D00D93">
        <w:rPr>
          <w:rFonts w:eastAsia="Times New Roman"/>
        </w:rPr>
        <w:t xml:space="preserve"> (INPI)</w:t>
      </w:r>
      <w:r w:rsidR="00371907" w:rsidRPr="00D00D93">
        <w:t xml:space="preserve">, </w:t>
      </w:r>
      <w:r w:rsidR="00371907" w:rsidRPr="00D00D93">
        <w:rPr>
          <w:rFonts w:eastAsia="Times New Roman"/>
        </w:rPr>
        <w:t>Oficina Canadiense de Propiedad Intelectual</w:t>
      </w:r>
      <w:r w:rsidR="007B3F41" w:rsidRPr="00D00D93">
        <w:rPr>
          <w:rFonts w:eastAsia="Times New Roman"/>
        </w:rPr>
        <w:t xml:space="preserve"> (CIPO)</w:t>
      </w:r>
      <w:r w:rsidR="00371907" w:rsidRPr="00D00D93">
        <w:t>, Oficina Europea de Patentes (OEP), Servicio Federal de la Propiedad Intelectual de la Federación de Rusia (</w:t>
      </w:r>
      <w:r w:rsidR="00657FFA" w:rsidRPr="00D00D93">
        <w:t>Rospatent</w:t>
      </w:r>
      <w:r w:rsidR="007B3F41" w:rsidRPr="00D00D93">
        <w:t>)</w:t>
      </w:r>
      <w:r w:rsidR="00371907" w:rsidRPr="00D00D93">
        <w:t xml:space="preserve">, </w:t>
      </w:r>
      <w:r w:rsidR="00371907" w:rsidRPr="00D00D93">
        <w:rPr>
          <w:rFonts w:eastAsia="Times New Roman"/>
        </w:rPr>
        <w:t>Oficina Nacional de Patentes y Registros de Finlandia</w:t>
      </w:r>
      <w:r w:rsidR="00371907" w:rsidRPr="00D00D93">
        <w:t xml:space="preserve">, Oficina </w:t>
      </w:r>
      <w:r w:rsidR="00657FFA">
        <w:t xml:space="preserve">de Patentes de la India (IPO), </w:t>
      </w:r>
      <w:r w:rsidR="00371907" w:rsidRPr="00D00D93">
        <w:t xml:space="preserve">Oficina de Propiedad Intelectual de Filipinas (IPOPHL), </w:t>
      </w:r>
      <w:r w:rsidR="00371907" w:rsidRPr="00D00D93">
        <w:rPr>
          <w:rFonts w:eastAsia="Times New Roman"/>
        </w:rPr>
        <w:t>Oficina de Propiedad Intelectual de Singapur</w:t>
      </w:r>
      <w:r w:rsidR="00874B50" w:rsidRPr="00D00D93">
        <w:rPr>
          <w:rFonts w:eastAsia="Times New Roman"/>
        </w:rPr>
        <w:t> </w:t>
      </w:r>
      <w:r w:rsidR="007B3F41" w:rsidRPr="00D00D93">
        <w:rPr>
          <w:rFonts w:eastAsia="Times New Roman"/>
        </w:rPr>
        <w:t>(IPOS)</w:t>
      </w:r>
      <w:r w:rsidR="00371907" w:rsidRPr="00D00D93">
        <w:rPr>
          <w:bCs/>
        </w:rPr>
        <w:t xml:space="preserve">, </w:t>
      </w:r>
      <w:r w:rsidR="00657FFA">
        <w:t xml:space="preserve">IP Australia, </w:t>
      </w:r>
      <w:r w:rsidR="00371907" w:rsidRPr="00D00D93">
        <w:rPr>
          <w:rFonts w:eastAsia="Times New Roman"/>
        </w:rPr>
        <w:t>Oficina Israelí de Patentes</w:t>
      </w:r>
      <w:r w:rsidR="007B3F41" w:rsidRPr="00D00D93">
        <w:rPr>
          <w:rFonts w:eastAsia="Times New Roman"/>
        </w:rPr>
        <w:t xml:space="preserve"> (ILPO)</w:t>
      </w:r>
      <w:r w:rsidR="00371907" w:rsidRPr="00D00D93">
        <w:t xml:space="preserve">, </w:t>
      </w:r>
      <w:r w:rsidR="00874B50" w:rsidRPr="00D00D93">
        <w:t>Oficina Japonesa de Patentes</w:t>
      </w:r>
      <w:r w:rsidR="00657FFA">
        <w:t xml:space="preserve"> </w:t>
      </w:r>
      <w:r w:rsidR="00371907" w:rsidRPr="00D00D93">
        <w:t xml:space="preserve">(JPO), Oficina </w:t>
      </w:r>
      <w:r w:rsidR="00A5563C" w:rsidRPr="00D00D93">
        <w:t>Surc</w:t>
      </w:r>
      <w:r w:rsidR="00371907" w:rsidRPr="00D00D93">
        <w:t>oreana de Propiedad In</w:t>
      </w:r>
      <w:r w:rsidR="00A5563C" w:rsidRPr="00D00D93">
        <w:t xml:space="preserve">telectual </w:t>
      </w:r>
      <w:r w:rsidR="00371907" w:rsidRPr="00D00D93">
        <w:t xml:space="preserve">(KIPO), </w:t>
      </w:r>
      <w:r w:rsidR="00371907" w:rsidRPr="00D00D93">
        <w:rPr>
          <w:rFonts w:eastAsia="Times New Roman"/>
        </w:rPr>
        <w:t>Instituto Nacional de Propiedad Industrial de Chile</w:t>
      </w:r>
      <w:r w:rsidR="007B3F41" w:rsidRPr="00D00D93">
        <w:rPr>
          <w:rFonts w:eastAsia="Times New Roman"/>
        </w:rPr>
        <w:t xml:space="preserve"> (INAPI)</w:t>
      </w:r>
      <w:r w:rsidR="00371907" w:rsidRPr="00D00D93">
        <w:t xml:space="preserve">, </w:t>
      </w:r>
      <w:r w:rsidR="00371907" w:rsidRPr="00D00D93">
        <w:rPr>
          <w:rFonts w:eastAsia="Times New Roman"/>
        </w:rPr>
        <w:t>Instituto Nórdico de Patentes</w:t>
      </w:r>
      <w:r w:rsidR="007B3F41" w:rsidRPr="00D00D93">
        <w:rPr>
          <w:rFonts w:eastAsia="Times New Roman"/>
        </w:rPr>
        <w:t xml:space="preserve"> (NPI)</w:t>
      </w:r>
      <w:r w:rsidR="00371907" w:rsidRPr="00D00D93">
        <w:t xml:space="preserve">, </w:t>
      </w:r>
      <w:r w:rsidR="00371907" w:rsidRPr="00D00D93">
        <w:rPr>
          <w:rFonts w:eastAsia="Times New Roman"/>
        </w:rPr>
        <w:t>Oficina Española de Patentes y Marcas</w:t>
      </w:r>
      <w:r w:rsidR="00371907" w:rsidRPr="00D00D93">
        <w:t xml:space="preserve"> (OEPM), </w:t>
      </w:r>
      <w:r w:rsidR="00371907" w:rsidRPr="00D00D93">
        <w:rPr>
          <w:rFonts w:eastAsia="Times New Roman"/>
        </w:rPr>
        <w:t>Oficina Estatal de Propiedad Intelectual de la República Popular China</w:t>
      </w:r>
      <w:r w:rsidR="007B3F41" w:rsidRPr="00D00D93">
        <w:rPr>
          <w:rFonts w:eastAsia="Times New Roman"/>
        </w:rPr>
        <w:t xml:space="preserve"> (SIPO)</w:t>
      </w:r>
      <w:r w:rsidR="00371907" w:rsidRPr="00D00D93">
        <w:t xml:space="preserve">, </w:t>
      </w:r>
      <w:r w:rsidR="00371907" w:rsidRPr="00D00D93">
        <w:rPr>
          <w:rFonts w:eastAsia="Times New Roman"/>
        </w:rPr>
        <w:t>Oficina Sueca de Patentes y Registro</w:t>
      </w:r>
      <w:r w:rsidR="00371907" w:rsidRPr="00D00D93">
        <w:t xml:space="preserve"> (PRV), Oficina Turca de Patentes y Marcas (</w:t>
      </w:r>
      <w:r w:rsidR="006E3258" w:rsidRPr="00D00D93">
        <w:t>Turkpatent</w:t>
      </w:r>
      <w:r w:rsidR="00371907" w:rsidRPr="00D00D93">
        <w:t xml:space="preserve">), </w:t>
      </w:r>
      <w:r w:rsidR="00371907" w:rsidRPr="00D00D93">
        <w:rPr>
          <w:rFonts w:eastAsia="Times New Roman"/>
        </w:rPr>
        <w:t>Instituto Ucraniano de Propiedad Intelectual</w:t>
      </w:r>
      <w:r w:rsidR="006E3258">
        <w:rPr>
          <w:rFonts w:eastAsia="Times New Roman"/>
        </w:rPr>
        <w:t xml:space="preserve"> </w:t>
      </w:r>
      <w:r w:rsidR="007B3F41" w:rsidRPr="00D00D93">
        <w:rPr>
          <w:rFonts w:eastAsia="Times New Roman"/>
        </w:rPr>
        <w:t>(</w:t>
      </w:r>
      <w:r w:rsidR="006E3258" w:rsidRPr="00D00D93">
        <w:rPr>
          <w:rFonts w:eastAsia="Times New Roman"/>
        </w:rPr>
        <w:t>Ukrpatent</w:t>
      </w:r>
      <w:r w:rsidR="007B3F41" w:rsidRPr="00D00D93">
        <w:rPr>
          <w:rFonts w:eastAsia="Times New Roman"/>
        </w:rPr>
        <w:t>)</w:t>
      </w:r>
      <w:r w:rsidR="00371907" w:rsidRPr="00D00D93">
        <w:t>, Oficina de Patentes y Marcas d</w:t>
      </w:r>
      <w:r w:rsidR="00874B50" w:rsidRPr="00D00D93">
        <w:t>e los Estados Unidos de América </w:t>
      </w:r>
      <w:r w:rsidR="00371907" w:rsidRPr="00D00D93">
        <w:t>(USPTO) e Instituto de Patentes de Visegrado (VPI)</w:t>
      </w:r>
      <w:r w:rsidR="001B7D70" w:rsidRPr="00D00D93">
        <w:t>.</w:t>
      </w:r>
    </w:p>
    <w:p w:rsidR="001B7D70" w:rsidRPr="00D00D93" w:rsidRDefault="00407E25" w:rsidP="00740EFC">
      <w:pPr>
        <w:pStyle w:val="ONUMFS"/>
      </w:pPr>
      <w:r w:rsidRPr="00D00D93">
        <w:t>La lista de participantes queda incorporada en el Anexo I del presente documento</w:t>
      </w:r>
      <w:r w:rsidR="001B7D70" w:rsidRPr="00D00D93">
        <w:t>.</w:t>
      </w:r>
    </w:p>
    <w:p w:rsidR="001B7D70" w:rsidRPr="00D00D93" w:rsidRDefault="0058139F" w:rsidP="001B7D70">
      <w:pPr>
        <w:pStyle w:val="Heading1"/>
        <w:keepNext w:val="0"/>
      </w:pPr>
      <w:r w:rsidRPr="00D00D93">
        <w:t xml:space="preserve">PUNTO </w:t>
      </w:r>
      <w:r w:rsidR="001B7D70" w:rsidRPr="00D00D93">
        <w:t>1</w:t>
      </w:r>
      <w:proofErr w:type="gramStart"/>
      <w:r w:rsidR="001B7D70" w:rsidRPr="00D00D93">
        <w:t xml:space="preserve">:  </w:t>
      </w:r>
      <w:r w:rsidR="008644BA" w:rsidRPr="00D00D93">
        <w:t>APERTURA</w:t>
      </w:r>
      <w:proofErr w:type="gramEnd"/>
      <w:r w:rsidR="008644BA" w:rsidRPr="00D00D93">
        <w:t xml:space="preserve"> DE LA SESIÓN </w:t>
      </w:r>
    </w:p>
    <w:p w:rsidR="00887AD7" w:rsidRPr="00D00D93" w:rsidRDefault="00B03335" w:rsidP="00740EFC">
      <w:pPr>
        <w:pStyle w:val="ONUMFS"/>
      </w:pPr>
      <w:r w:rsidRPr="00D00D93">
        <w:t>El Sr.</w:t>
      </w:r>
      <w:r w:rsidR="00CF05DB" w:rsidRPr="00D00D93">
        <w:t> </w:t>
      </w:r>
      <w:r w:rsidR="001B7D70" w:rsidRPr="00D00D93">
        <w:t xml:space="preserve">John Sandage, </w:t>
      </w:r>
      <w:r w:rsidRPr="00D00D93">
        <w:t>director general adjunto de la OMPI</w:t>
      </w:r>
      <w:r w:rsidR="001B7D70" w:rsidRPr="00D00D93">
        <w:t>,</w:t>
      </w:r>
      <w:r w:rsidRPr="00D00D93">
        <w:t xml:space="preserve"> dio la bienvenida a los participantes en nombre del director general y expresó su agradecimiento a la Oficina Española de Patentes y Marcas</w:t>
      </w:r>
      <w:r w:rsidR="001B7D70" w:rsidRPr="00D00D93">
        <w:t xml:space="preserve"> </w:t>
      </w:r>
      <w:r w:rsidRPr="00D00D93">
        <w:t xml:space="preserve">(OEPM) por </w:t>
      </w:r>
      <w:r w:rsidR="00EE188E" w:rsidRPr="00D00D93">
        <w:t xml:space="preserve">organizar </w:t>
      </w:r>
      <w:r w:rsidRPr="00D00D93">
        <w:t xml:space="preserve">la </w:t>
      </w:r>
      <w:r w:rsidR="00887AD7" w:rsidRPr="00D00D93">
        <w:t>R</w:t>
      </w:r>
      <w:r w:rsidRPr="00D00D93">
        <w:t>eunión por primera</w:t>
      </w:r>
      <w:r w:rsidR="00EE188E" w:rsidRPr="00D00D93">
        <w:t xml:space="preserve"> vez</w:t>
      </w:r>
      <w:r w:rsidR="001B7D70" w:rsidRPr="00D00D93">
        <w:t xml:space="preserve">.  </w:t>
      </w:r>
      <w:r w:rsidRPr="00D00D93">
        <w:t>En su alocución de apertura</w:t>
      </w:r>
      <w:r w:rsidR="001B7D70" w:rsidRPr="00D00D93">
        <w:t xml:space="preserve">, </w:t>
      </w:r>
      <w:r w:rsidR="00887AD7" w:rsidRPr="00D00D93">
        <w:t>dio la bienvenida especialmente a la delegación de la Oficina de Propiedad Intelectual de Filipinas (IPOPHL), que particip</w:t>
      </w:r>
      <w:r w:rsidR="0071243C" w:rsidRPr="00D00D93">
        <w:t>a</w:t>
      </w:r>
      <w:r w:rsidR="00887AD7" w:rsidRPr="00D00D93">
        <w:t xml:space="preserve"> en la Reunión por primera vez tras </w:t>
      </w:r>
      <w:r w:rsidR="00B278AE" w:rsidRPr="00D00D93">
        <w:t xml:space="preserve">su designación </w:t>
      </w:r>
      <w:r w:rsidR="00887AD7" w:rsidRPr="00D00D93">
        <w:t xml:space="preserve">como </w:t>
      </w:r>
      <w:r w:rsidR="0038019C">
        <w:t xml:space="preserve">Administración encargada de la búsqueda y del examen preliminar internacionales </w:t>
      </w:r>
      <w:r w:rsidR="00887AD7" w:rsidRPr="00D00D93">
        <w:t xml:space="preserve">durante el cuadragésimo noveno período de sesiones de la Asamblea del PCT, celebrado en octubre </w:t>
      </w:r>
      <w:r w:rsidR="009956EA" w:rsidRPr="00D00D93">
        <w:t>de 20</w:t>
      </w:r>
      <w:r w:rsidR="00887AD7" w:rsidRPr="00D00D93">
        <w:t>1</w:t>
      </w:r>
      <w:r w:rsidR="0038019C">
        <w:t>7</w:t>
      </w:r>
      <w:r w:rsidR="00887AD7" w:rsidRPr="00D00D93">
        <w:t xml:space="preserve">.  El director general </w:t>
      </w:r>
      <w:r w:rsidR="0071243C" w:rsidRPr="00D00D93">
        <w:t xml:space="preserve">también felicitó </w:t>
      </w:r>
      <w:r w:rsidR="00887AD7" w:rsidRPr="00D00D93">
        <w:t xml:space="preserve">a la </w:t>
      </w:r>
      <w:r w:rsidR="0071243C" w:rsidRPr="00D00D93">
        <w:t>Ofi</w:t>
      </w:r>
      <w:r w:rsidR="00874B50" w:rsidRPr="00D00D93">
        <w:t>cina Turca de Patentes y Marcas </w:t>
      </w:r>
      <w:r w:rsidR="0071243C" w:rsidRPr="00D00D93">
        <w:t>(</w:t>
      </w:r>
      <w:r w:rsidR="0038019C" w:rsidRPr="00D00D93">
        <w:t>Turkpatent</w:t>
      </w:r>
      <w:r w:rsidR="0071243C" w:rsidRPr="00D00D93">
        <w:t xml:space="preserve">), que </w:t>
      </w:r>
      <w:r w:rsidR="00B278AE" w:rsidRPr="00D00D93">
        <w:t xml:space="preserve">entró en funciones </w:t>
      </w:r>
      <w:r w:rsidR="0071243C" w:rsidRPr="00D00D93">
        <w:t xml:space="preserve">como </w:t>
      </w:r>
      <w:r w:rsidR="0038019C">
        <w:t xml:space="preserve">Administración encargada de la búsqueda y del examen preliminar internacionales </w:t>
      </w:r>
      <w:r w:rsidR="0071243C" w:rsidRPr="00D00D93">
        <w:t xml:space="preserve">en marzo </w:t>
      </w:r>
      <w:r w:rsidR="009956EA" w:rsidRPr="00D00D93">
        <w:t>de 20</w:t>
      </w:r>
      <w:r w:rsidR="0071243C" w:rsidRPr="00D00D93">
        <w:t>17</w:t>
      </w:r>
      <w:r w:rsidR="00887AD7" w:rsidRPr="00D00D93">
        <w:t>.</w:t>
      </w:r>
    </w:p>
    <w:p w:rsidR="005C4183" w:rsidRPr="00D00D93" w:rsidRDefault="00357396" w:rsidP="00740EFC">
      <w:pPr>
        <w:pStyle w:val="ONUMFS"/>
      </w:pPr>
      <w:r w:rsidRPr="00D00D93">
        <w:t xml:space="preserve">El director general adjunto </w:t>
      </w:r>
      <w:r w:rsidR="00FE18C0" w:rsidRPr="00D00D93">
        <w:t xml:space="preserve">se refirió al </w:t>
      </w:r>
      <w:r w:rsidR="00EE188E" w:rsidRPr="00D00D93">
        <w:t>uso del español en el PCT desde que est</w:t>
      </w:r>
      <w:r w:rsidR="0033789F" w:rsidRPr="00D00D93">
        <w:t>a</w:t>
      </w:r>
      <w:r w:rsidR="00EE188E" w:rsidRPr="00D00D93">
        <w:t xml:space="preserve"> </w:t>
      </w:r>
      <w:r w:rsidR="0033789F" w:rsidRPr="00D00D93">
        <w:t xml:space="preserve">lengua </w:t>
      </w:r>
      <w:r w:rsidR="00EE188E" w:rsidRPr="00D00D93">
        <w:t xml:space="preserve">se convirtiera en el sexto idioma </w:t>
      </w:r>
      <w:r w:rsidR="0033789F" w:rsidRPr="00D00D93">
        <w:t xml:space="preserve">de publicación </w:t>
      </w:r>
      <w:r w:rsidR="00EE188E" w:rsidRPr="00D00D93">
        <w:t xml:space="preserve">del PCT </w:t>
      </w:r>
      <w:r w:rsidR="009956EA" w:rsidRPr="00D00D93">
        <w:t>en 19</w:t>
      </w:r>
      <w:r w:rsidR="00EE188E" w:rsidRPr="00D00D93">
        <w:t>8</w:t>
      </w:r>
      <w:r w:rsidR="00EE0128">
        <w:t>5</w:t>
      </w:r>
      <w:r w:rsidR="00EE188E" w:rsidRPr="00D00D93">
        <w:t xml:space="preserve">, sumándose </w:t>
      </w:r>
      <w:r w:rsidR="00FE18C0" w:rsidRPr="00D00D93">
        <w:t xml:space="preserve">así </w:t>
      </w:r>
      <w:r w:rsidR="00EE188E" w:rsidRPr="00D00D93">
        <w:t>al inglés, el francés, el alemán, el jap</w:t>
      </w:r>
      <w:r w:rsidR="0033789F" w:rsidRPr="00D00D93">
        <w:t>onés</w:t>
      </w:r>
      <w:r w:rsidR="00EE188E" w:rsidRPr="00D00D93">
        <w:t xml:space="preserve"> y el ruso</w:t>
      </w:r>
      <w:r w:rsidR="001B7D70" w:rsidRPr="00D00D93">
        <w:t xml:space="preserve">, </w:t>
      </w:r>
      <w:r w:rsidR="0033789F" w:rsidRPr="00D00D93">
        <w:t xml:space="preserve">los cinco </w:t>
      </w:r>
      <w:r w:rsidR="00FE18C0" w:rsidRPr="00D00D93">
        <w:t xml:space="preserve">primeros </w:t>
      </w:r>
      <w:r w:rsidR="0033789F" w:rsidRPr="00D00D93">
        <w:t>idiomas de publicación del PCT</w:t>
      </w:r>
      <w:r w:rsidR="001B7D70" w:rsidRPr="00D00D93">
        <w:t xml:space="preserve">.  </w:t>
      </w:r>
      <w:r w:rsidR="00B278AE" w:rsidRPr="00D00D93">
        <w:t>L</w:t>
      </w:r>
      <w:r w:rsidR="00FE18C0" w:rsidRPr="00D00D93">
        <w:t xml:space="preserve">os documentos de patente en español pasaron a formar parte </w:t>
      </w:r>
      <w:r w:rsidR="00B278AE" w:rsidRPr="00D00D93">
        <w:t xml:space="preserve">al mismo tiempo </w:t>
      </w:r>
      <w:r w:rsidR="00FE18C0" w:rsidRPr="00D00D93">
        <w:t>de la documentación mínima del PCT</w:t>
      </w:r>
      <w:r w:rsidR="001B7D70" w:rsidRPr="00D00D93">
        <w:t xml:space="preserve">.  </w:t>
      </w:r>
      <w:r w:rsidR="00FE18C0" w:rsidRPr="00D00D93">
        <w:t xml:space="preserve">Aunque España se adhirió al </w:t>
      </w:r>
      <w:r w:rsidR="001B7D70" w:rsidRPr="00D00D93">
        <w:t xml:space="preserve">PCT </w:t>
      </w:r>
      <w:r w:rsidR="009956EA" w:rsidRPr="00D00D93">
        <w:t>en 19</w:t>
      </w:r>
      <w:r w:rsidR="001B7D70" w:rsidRPr="00D00D93">
        <w:t xml:space="preserve">89, </w:t>
      </w:r>
      <w:r w:rsidR="00FE18C0" w:rsidRPr="00D00D93">
        <w:t>convirtiéndose así en el primer país hispanohablante en hacerlo</w:t>
      </w:r>
      <w:r w:rsidR="001B7D70" w:rsidRPr="00D00D93">
        <w:t xml:space="preserve">, </w:t>
      </w:r>
      <w:r w:rsidR="00D00D93">
        <w:t>no fue si</w:t>
      </w:r>
      <w:r w:rsidR="00515056" w:rsidRPr="00D00D93">
        <w:t xml:space="preserve">no después de que </w:t>
      </w:r>
      <w:r w:rsidR="009956EA" w:rsidRPr="00D00D93">
        <w:t>en 19</w:t>
      </w:r>
      <w:r w:rsidR="00FE18C0" w:rsidRPr="00D00D93">
        <w:t xml:space="preserve">93 </w:t>
      </w:r>
      <w:r w:rsidR="00515056" w:rsidRPr="00D00D93">
        <w:t xml:space="preserve">se designara a </w:t>
      </w:r>
      <w:r w:rsidR="00FE18C0" w:rsidRPr="00D00D93">
        <w:t xml:space="preserve">la OEPM como Administración encargada de la búsqueda internacional </w:t>
      </w:r>
      <w:r w:rsidR="00515056" w:rsidRPr="00D00D93">
        <w:t xml:space="preserve">que otros países hispanohablantes se sumaron al PCT.  En la actualidad, la OEPM actúa en calidad de </w:t>
      </w:r>
      <w:r w:rsidR="0038019C">
        <w:t xml:space="preserve">Administración encargada de la búsqueda y del examen preliminar internacionales </w:t>
      </w:r>
      <w:r w:rsidR="00515056" w:rsidRPr="00D00D93">
        <w:t xml:space="preserve">respecto de los trece países hispanohablantes de América Latina y el Caribe que se han adherido al PCT.  </w:t>
      </w:r>
      <w:r w:rsidR="005C4183" w:rsidRPr="00D00D93">
        <w:t xml:space="preserve">Es de esperar que, en un futuro próximo, la presentación de solicitudes internacionales en el marco del Tratado </w:t>
      </w:r>
      <w:r w:rsidR="00B278AE" w:rsidRPr="00D00D93">
        <w:t xml:space="preserve">pase a ser </w:t>
      </w:r>
      <w:r w:rsidR="005C4183" w:rsidRPr="00D00D93">
        <w:t>una opción para más solicitantes hispanohablantes de es</w:t>
      </w:r>
      <w:r w:rsidR="00B278AE" w:rsidRPr="00D00D93">
        <w:t>t</w:t>
      </w:r>
      <w:r w:rsidR="005C4183" w:rsidRPr="00D00D93">
        <w:t xml:space="preserve">a región. </w:t>
      </w:r>
    </w:p>
    <w:p w:rsidR="00965DBA" w:rsidRPr="00D00D93" w:rsidRDefault="00357396" w:rsidP="00584DB9">
      <w:pPr>
        <w:pStyle w:val="ONUMFS"/>
        <w:keepLines/>
      </w:pPr>
      <w:r w:rsidRPr="00D00D93">
        <w:lastRenderedPageBreak/>
        <w:t xml:space="preserve">El director general adjunto </w:t>
      </w:r>
      <w:r w:rsidR="005C4183" w:rsidRPr="00D00D93">
        <w:t xml:space="preserve">dio también las gracias a la OEPM por </w:t>
      </w:r>
      <w:r w:rsidR="00B278AE" w:rsidRPr="00D00D93">
        <w:t xml:space="preserve">su </w:t>
      </w:r>
      <w:r w:rsidR="005C4183" w:rsidRPr="00D00D93">
        <w:t>apoyo a las actividades de colaboración emprendidas con la OMPI en América Latina</w:t>
      </w:r>
      <w:r w:rsidR="001B7D70" w:rsidRPr="00D00D93">
        <w:t xml:space="preserve">, </w:t>
      </w:r>
      <w:r w:rsidR="005C4183" w:rsidRPr="00D00D93">
        <w:t xml:space="preserve">especialmente </w:t>
      </w:r>
      <w:r w:rsidR="00965DBA" w:rsidRPr="00D00D93">
        <w:t xml:space="preserve">las promovidas a través </w:t>
      </w:r>
      <w:r w:rsidR="00862759" w:rsidRPr="00D00D93">
        <w:t xml:space="preserve">del Fondo </w:t>
      </w:r>
      <w:r w:rsidR="005C4183" w:rsidRPr="00D00D93">
        <w:t>Fiduciario de España en la OMPI</w:t>
      </w:r>
      <w:r w:rsidR="001B7D70" w:rsidRPr="00D00D93">
        <w:t xml:space="preserve">.  </w:t>
      </w:r>
      <w:r w:rsidR="00965DBA" w:rsidRPr="00D00D93">
        <w:t xml:space="preserve">Un ejemplo de esta colaboración es el proyecto </w:t>
      </w:r>
      <w:r w:rsidR="001B7D70" w:rsidRPr="00D00D93">
        <w:t>LATIPAT</w:t>
      </w:r>
      <w:r w:rsidR="00965DBA" w:rsidRPr="00D00D93">
        <w:t xml:space="preserve"> </w:t>
      </w:r>
      <w:r w:rsidR="00862759" w:rsidRPr="00D00D93">
        <w:t xml:space="preserve">que, ejecutado conjuntamente </w:t>
      </w:r>
      <w:r w:rsidR="00965DBA" w:rsidRPr="00D00D93">
        <w:t xml:space="preserve">con la </w:t>
      </w:r>
      <w:r w:rsidR="00EE188E" w:rsidRPr="00D00D93">
        <w:t>Oficina Europea de Patentes (OEP)</w:t>
      </w:r>
      <w:r w:rsidR="001B7D70" w:rsidRPr="00D00D93">
        <w:t xml:space="preserve">, </w:t>
      </w:r>
      <w:r w:rsidR="00965DBA" w:rsidRPr="00D00D93">
        <w:t xml:space="preserve">brinda acceso en español y portugués a información sobre patentes </w:t>
      </w:r>
      <w:r w:rsidR="00B13D4E" w:rsidRPr="00D00D93">
        <w:t xml:space="preserve">publicada en </w:t>
      </w:r>
      <w:r w:rsidR="00965DBA" w:rsidRPr="00D00D93">
        <w:t xml:space="preserve">países de América Latina a través de una base de datos gratuita. </w:t>
      </w:r>
    </w:p>
    <w:p w:rsidR="005B4AAC" w:rsidRPr="00D00D93" w:rsidRDefault="00357396" w:rsidP="00740EFC">
      <w:pPr>
        <w:pStyle w:val="ONUMFS"/>
      </w:pPr>
      <w:r w:rsidRPr="00D00D93">
        <w:t xml:space="preserve">El director general adjunto </w:t>
      </w:r>
      <w:r w:rsidR="00B13D4E" w:rsidRPr="00D00D93">
        <w:t xml:space="preserve">concluyó recordando que la Asamblea del PCT </w:t>
      </w:r>
      <w:r w:rsidR="009956EA" w:rsidRPr="00D00D93">
        <w:t>de 20</w:t>
      </w:r>
      <w:r w:rsidR="00B13D4E" w:rsidRPr="00D00D93">
        <w:t>17 prorrogó todas las designaciones de Administraciones Internacionales para los próximos diez años</w:t>
      </w:r>
      <w:r w:rsidR="001B7D70" w:rsidRPr="00D00D93">
        <w:t xml:space="preserve">.  </w:t>
      </w:r>
      <w:r w:rsidR="00B278AE" w:rsidRPr="00D00D93">
        <w:t>Dijo que c</w:t>
      </w:r>
      <w:r w:rsidR="00B13D4E" w:rsidRPr="00D00D93">
        <w:t>orresponde ahora a las Administraciones perseverar en la mejora de sus servicios</w:t>
      </w:r>
      <w:r w:rsidR="001B7D70" w:rsidRPr="00D00D93">
        <w:t xml:space="preserve">.  </w:t>
      </w:r>
      <w:r w:rsidR="00B13D4E" w:rsidRPr="00D00D93">
        <w:t>A ese r</w:t>
      </w:r>
      <w:r w:rsidR="005B4AAC" w:rsidRPr="00D00D93">
        <w:t>e</w:t>
      </w:r>
      <w:r w:rsidR="00B13D4E" w:rsidRPr="00D00D93">
        <w:t xml:space="preserve">specto, </w:t>
      </w:r>
      <w:r w:rsidR="005B4AAC" w:rsidRPr="00D00D93">
        <w:t xml:space="preserve">hizo mención del documento </w:t>
      </w:r>
      <w:r w:rsidR="006C65D4" w:rsidRPr="00D00D93">
        <w:t xml:space="preserve">de </w:t>
      </w:r>
      <w:r w:rsidR="005B4AAC" w:rsidRPr="00D00D93">
        <w:t xml:space="preserve">la Oficina Internacional que aborda el futuro del </w:t>
      </w:r>
      <w:r w:rsidR="001B7D70" w:rsidRPr="00D00D93">
        <w:t>PCT</w:t>
      </w:r>
      <w:r w:rsidR="00BC03B3" w:rsidRPr="00D00D93">
        <w:t>,</w:t>
      </w:r>
      <w:r w:rsidR="001B7D70" w:rsidRPr="00D00D93">
        <w:t xml:space="preserve"> </w:t>
      </w:r>
      <w:r w:rsidR="005B4AAC" w:rsidRPr="00D00D93">
        <w:t xml:space="preserve">en el que se invita a formular </w:t>
      </w:r>
      <w:r w:rsidR="00BC03B3" w:rsidRPr="00D00D93">
        <w:t xml:space="preserve">comentarios </w:t>
      </w:r>
      <w:r w:rsidR="005B4AAC" w:rsidRPr="00D00D93">
        <w:t xml:space="preserve">sobre la manera de mejorar la labor de las Administraciones Internacionales </w:t>
      </w:r>
      <w:r w:rsidR="00862759" w:rsidRPr="00D00D93">
        <w:t xml:space="preserve">con miras a </w:t>
      </w:r>
      <w:r w:rsidR="005B4AAC" w:rsidRPr="00D00D93">
        <w:t xml:space="preserve">atender las necesidades de los solicitantes y </w:t>
      </w:r>
      <w:r w:rsidR="00BC03B3" w:rsidRPr="00D00D93">
        <w:t xml:space="preserve">las </w:t>
      </w:r>
      <w:r w:rsidR="005B4AAC" w:rsidRPr="00D00D93">
        <w:t>Oficinas designadas</w:t>
      </w:r>
      <w:r w:rsidR="00BC03B3" w:rsidRPr="00D00D93">
        <w:t>,</w:t>
      </w:r>
      <w:r w:rsidR="005B4AAC" w:rsidRPr="00D00D93">
        <w:t xml:space="preserve"> que </w:t>
      </w:r>
      <w:r w:rsidR="006C65D4" w:rsidRPr="00D00D93">
        <w:t xml:space="preserve">dependen de </w:t>
      </w:r>
      <w:r w:rsidR="005B4AAC" w:rsidRPr="00D00D93">
        <w:t xml:space="preserve">unos informes de búsqueda internacional </w:t>
      </w:r>
      <w:r w:rsidR="006C65D4" w:rsidRPr="00D00D93">
        <w:t xml:space="preserve">y opiniones escritas </w:t>
      </w:r>
      <w:r w:rsidR="005B4AAC" w:rsidRPr="00D00D93">
        <w:t xml:space="preserve">de </w:t>
      </w:r>
      <w:r w:rsidR="00BC03B3" w:rsidRPr="00D00D93">
        <w:t xml:space="preserve">buena </w:t>
      </w:r>
      <w:r w:rsidR="005B4AAC" w:rsidRPr="00D00D93">
        <w:t>calidad para tomar decisiones en relaci</w:t>
      </w:r>
      <w:r w:rsidR="006C65D4" w:rsidRPr="00D00D93">
        <w:t xml:space="preserve">ón </w:t>
      </w:r>
      <w:r w:rsidR="005B4AAC" w:rsidRPr="00D00D93">
        <w:t xml:space="preserve">con la tramitación de </w:t>
      </w:r>
      <w:r w:rsidR="006C65D4" w:rsidRPr="00D00D93">
        <w:t>s</w:t>
      </w:r>
      <w:r w:rsidR="005B4AAC" w:rsidRPr="00D00D93">
        <w:t>olicitudes de patente y la concesión de derechos de patente en su territorio.</w:t>
      </w:r>
    </w:p>
    <w:p w:rsidR="001B7D70" w:rsidRPr="00D00D93" w:rsidRDefault="00357396" w:rsidP="00740EFC">
      <w:pPr>
        <w:pStyle w:val="ONUMFS"/>
      </w:pPr>
      <w:r w:rsidRPr="00D00D93">
        <w:t>El Sr.</w:t>
      </w:r>
      <w:r w:rsidR="001B7D70" w:rsidRPr="00D00D93">
        <w:t xml:space="preserve"> Pablo García-Manzano Jiménez de Andrade, </w:t>
      </w:r>
      <w:r w:rsidR="006C65D4" w:rsidRPr="00D00D93">
        <w:t xml:space="preserve">Subsecretario de Energía, Turismo y Agenda Digital, </w:t>
      </w:r>
      <w:r w:rsidR="00760062" w:rsidRPr="00D00D93">
        <w:t xml:space="preserve">dijo que, para España, constituye un altísimo privilegio albergar la </w:t>
      </w:r>
      <w:r w:rsidR="00C6264D">
        <w:t xml:space="preserve">vigesimoquinta </w:t>
      </w:r>
      <w:r w:rsidR="00760062" w:rsidRPr="00D00D93">
        <w:t xml:space="preserve"> sesión de la Reunión de las Administraciones Internacionales del PCT</w:t>
      </w:r>
      <w:r w:rsidR="001B7D70" w:rsidRPr="00D00D93">
        <w:t xml:space="preserve">.  </w:t>
      </w:r>
      <w:r w:rsidR="00953DA4" w:rsidRPr="00D00D93">
        <w:t>L</w:t>
      </w:r>
      <w:r w:rsidR="00760062" w:rsidRPr="00D00D93">
        <w:t>a pr</w:t>
      </w:r>
      <w:r w:rsidR="00953DA4" w:rsidRPr="00D00D93">
        <w:t>o</w:t>
      </w:r>
      <w:r w:rsidR="00760062" w:rsidRPr="00D00D93">
        <w:t xml:space="preserve">tección de la propiedad intelectual </w:t>
      </w:r>
      <w:r w:rsidR="00BC03B3" w:rsidRPr="00D00D93">
        <w:t xml:space="preserve">fomenta </w:t>
      </w:r>
      <w:r w:rsidR="00760062" w:rsidRPr="00D00D93">
        <w:t>la innovación y el desarrollo tecnológico como motores del crecimiento económico</w:t>
      </w:r>
      <w:r w:rsidR="001B7D70" w:rsidRPr="00D00D93">
        <w:t xml:space="preserve">.  </w:t>
      </w:r>
      <w:r w:rsidR="00925254" w:rsidRPr="00D00D93">
        <w:t xml:space="preserve">Tras referirse </w:t>
      </w:r>
      <w:r w:rsidR="00760062" w:rsidRPr="00D00D93">
        <w:t xml:space="preserve">a la misión que la OMPI tiene conferida </w:t>
      </w:r>
      <w:r w:rsidR="00925254" w:rsidRPr="00D00D93">
        <w:t xml:space="preserve">de llevar la iniciativa en el desarrollo de un sistema internacional </w:t>
      </w:r>
      <w:r w:rsidR="009956EA" w:rsidRPr="00D00D93">
        <w:t>de PI</w:t>
      </w:r>
      <w:r w:rsidR="00925254" w:rsidRPr="00D00D93">
        <w:t xml:space="preserve"> equilibrado y eficaz que permita la innovación y la creatividad en beneficio de todos</w:t>
      </w:r>
      <w:r w:rsidR="001B7D70" w:rsidRPr="00D00D93">
        <w:t xml:space="preserve">, </w:t>
      </w:r>
      <w:r w:rsidR="00925254" w:rsidRPr="00D00D93">
        <w:t xml:space="preserve">el Subsecretario subrayó la necesidad de que el sistema internacional de patentes alcance un equilibrio óptimo entre los intereses de los titulares de derechos y los del público en general, promoviendo la competencia, </w:t>
      </w:r>
      <w:r w:rsidR="00461E08" w:rsidRPr="00D00D93">
        <w:t xml:space="preserve">difundiendo la información e impulsando el crecimiento económico </w:t>
      </w:r>
      <w:r w:rsidR="00862759" w:rsidRPr="00D00D93">
        <w:t>en todo el mundo</w:t>
      </w:r>
      <w:r w:rsidR="001B7D70" w:rsidRPr="00D00D93">
        <w:t xml:space="preserve">.  </w:t>
      </w:r>
      <w:r w:rsidR="00461E08" w:rsidRPr="00D00D93">
        <w:t xml:space="preserve">Tras </w:t>
      </w:r>
      <w:r w:rsidR="00BC03B3" w:rsidRPr="00D00D93">
        <w:t xml:space="preserve">adherirse </w:t>
      </w:r>
      <w:r w:rsidR="00461E08" w:rsidRPr="00D00D93">
        <w:t xml:space="preserve">al PCT </w:t>
      </w:r>
      <w:r w:rsidR="009956EA" w:rsidRPr="00D00D93">
        <w:t>en 19</w:t>
      </w:r>
      <w:r w:rsidR="00461E08" w:rsidRPr="00D00D93">
        <w:t>89</w:t>
      </w:r>
      <w:r w:rsidR="001B7D70" w:rsidRPr="00D00D93">
        <w:t xml:space="preserve">, </w:t>
      </w:r>
      <w:r w:rsidR="00461E08" w:rsidRPr="00D00D93">
        <w:t xml:space="preserve">la OEPM ha sido una referencia para otras Oficinas </w:t>
      </w:r>
      <w:r w:rsidR="009956EA" w:rsidRPr="00D00D93">
        <w:t>de PI</w:t>
      </w:r>
      <w:r w:rsidR="00461E08" w:rsidRPr="00D00D93">
        <w:t>, especialmente para las que tienen el español como idioma de trabajo</w:t>
      </w:r>
      <w:r w:rsidR="001B7D70" w:rsidRPr="00D00D93">
        <w:t xml:space="preserve">.  </w:t>
      </w:r>
      <w:r w:rsidR="00461E08" w:rsidRPr="00D00D93">
        <w:t xml:space="preserve">A ese respecto, </w:t>
      </w:r>
      <w:r w:rsidR="004B7699" w:rsidRPr="00D00D93">
        <w:t xml:space="preserve">afirmó </w:t>
      </w:r>
      <w:r w:rsidR="00461E08" w:rsidRPr="00D00D93">
        <w:t>que la cooperación ent</w:t>
      </w:r>
      <w:r w:rsidR="00862759" w:rsidRPr="00D00D93">
        <w:t>r</w:t>
      </w:r>
      <w:r w:rsidR="00874B50" w:rsidRPr="00D00D93">
        <w:t>e la </w:t>
      </w:r>
      <w:r w:rsidR="005B4AAC" w:rsidRPr="00D00D93">
        <w:t xml:space="preserve">OEPM </w:t>
      </w:r>
      <w:r w:rsidR="00461E08" w:rsidRPr="00D00D93">
        <w:t xml:space="preserve">y otras Oficinas </w:t>
      </w:r>
      <w:r w:rsidR="009956EA" w:rsidRPr="00D00D93">
        <w:t>de PI</w:t>
      </w:r>
      <w:r w:rsidR="00461E08" w:rsidRPr="00D00D93">
        <w:t xml:space="preserve"> </w:t>
      </w:r>
      <w:r w:rsidR="004B7699" w:rsidRPr="00D00D93">
        <w:t>ha resultado fundamental para el intercambio de información y la armonización de mejores prácticas</w:t>
      </w:r>
      <w:r w:rsidR="001B7D70" w:rsidRPr="00D00D93">
        <w:t xml:space="preserve">.  </w:t>
      </w:r>
      <w:r w:rsidR="004B7699" w:rsidRPr="00D00D93">
        <w:t xml:space="preserve">Un ejemplo de ello es el seminario sobre el PCT </w:t>
      </w:r>
      <w:r w:rsidR="00DB6C95" w:rsidRPr="00D00D93">
        <w:t xml:space="preserve">que anualmente se </w:t>
      </w:r>
      <w:r w:rsidR="004B7699" w:rsidRPr="00D00D93">
        <w:t xml:space="preserve">celebra </w:t>
      </w:r>
      <w:r w:rsidR="00C0395E" w:rsidRPr="00D00D93">
        <w:t xml:space="preserve">junto </w:t>
      </w:r>
      <w:r w:rsidR="004B7699" w:rsidRPr="00D00D93">
        <w:t xml:space="preserve">con las Oficinas de América Latina </w:t>
      </w:r>
      <w:r w:rsidR="00C0395E" w:rsidRPr="00D00D93">
        <w:t xml:space="preserve">con cargo al </w:t>
      </w:r>
      <w:r w:rsidR="00245AAC" w:rsidRPr="00D00D93">
        <w:t>Fondo Fiduc</w:t>
      </w:r>
      <w:r w:rsidR="00C0395E" w:rsidRPr="00D00D93">
        <w:t>i</w:t>
      </w:r>
      <w:r w:rsidR="00245AAC" w:rsidRPr="00D00D93">
        <w:t xml:space="preserve">ario </w:t>
      </w:r>
      <w:r w:rsidR="005B4AAC" w:rsidRPr="00D00D93">
        <w:t>de España en la OMPI</w:t>
      </w:r>
      <w:r w:rsidR="001B7D70" w:rsidRPr="00D00D93">
        <w:t xml:space="preserve">.  </w:t>
      </w:r>
      <w:r w:rsidR="00C0395E" w:rsidRPr="00D00D93">
        <w:t>Para concluir</w:t>
      </w:r>
      <w:r w:rsidR="001B7D70" w:rsidRPr="00D00D93">
        <w:t xml:space="preserve">, </w:t>
      </w:r>
      <w:r w:rsidR="00C0395E" w:rsidRPr="00D00D93">
        <w:t xml:space="preserve">señaló que las </w:t>
      </w:r>
      <w:r w:rsidR="00461E08" w:rsidRPr="00D00D93">
        <w:t xml:space="preserve">Oficinas </w:t>
      </w:r>
      <w:r w:rsidR="009956EA" w:rsidRPr="00D00D93">
        <w:t>de PI</w:t>
      </w:r>
      <w:r w:rsidR="001B7D70" w:rsidRPr="00D00D93">
        <w:t xml:space="preserve"> </w:t>
      </w:r>
      <w:r w:rsidR="00C0395E" w:rsidRPr="00D00D93">
        <w:t xml:space="preserve">han de aspirar a la excelencia para atender así las necesidades de los usuarios y que la política </w:t>
      </w:r>
      <w:r w:rsidR="009956EA" w:rsidRPr="00D00D93">
        <w:t>de PI</w:t>
      </w:r>
      <w:r w:rsidR="00C0395E" w:rsidRPr="00D00D93">
        <w:t xml:space="preserve"> reviste una importancia fundamental para el desarrollo de las economías, </w:t>
      </w:r>
      <w:r w:rsidR="00862759" w:rsidRPr="00D00D93">
        <w:t xml:space="preserve">dicho lo cual </w:t>
      </w:r>
      <w:r w:rsidR="00C0395E" w:rsidRPr="00D00D93">
        <w:t>deseo a la Reunión el mayor de los éxitos</w:t>
      </w:r>
      <w:r w:rsidR="001B7D70" w:rsidRPr="00D00D93">
        <w:t>.</w:t>
      </w:r>
    </w:p>
    <w:p w:rsidR="001B7D70" w:rsidRPr="00D00D93" w:rsidRDefault="00357396" w:rsidP="00740EFC">
      <w:pPr>
        <w:pStyle w:val="ONUMFS"/>
      </w:pPr>
      <w:r w:rsidRPr="00D00D93">
        <w:t>La Sra.</w:t>
      </w:r>
      <w:r w:rsidR="001B7D70" w:rsidRPr="00D00D93">
        <w:t> Pat</w:t>
      </w:r>
      <w:r w:rsidR="00A03869" w:rsidRPr="00D00D93">
        <w:t>ricia García-Escudero Márquez, d</w:t>
      </w:r>
      <w:r w:rsidR="001B7D70" w:rsidRPr="00D00D93">
        <w:t>irector</w:t>
      </w:r>
      <w:r w:rsidR="005B4AAC" w:rsidRPr="00D00D93">
        <w:t>a</w:t>
      </w:r>
      <w:r w:rsidR="001B7D70" w:rsidRPr="00D00D93">
        <w:t xml:space="preserve"> </w:t>
      </w:r>
      <w:r w:rsidR="00A03869" w:rsidRPr="00D00D93">
        <w:t>g</w:t>
      </w:r>
      <w:r w:rsidR="001B7D70" w:rsidRPr="00D00D93">
        <w:t xml:space="preserve">eneral </w:t>
      </w:r>
      <w:r w:rsidR="005B4AAC" w:rsidRPr="00D00D93">
        <w:t xml:space="preserve">de la OEPM, </w:t>
      </w:r>
      <w:r w:rsidR="00A03869" w:rsidRPr="00D00D93">
        <w:t>dio la bienvenida a los participantes en la Reunión</w:t>
      </w:r>
      <w:r w:rsidR="001B7D70" w:rsidRPr="00D00D93">
        <w:t xml:space="preserve">, </w:t>
      </w:r>
      <w:r w:rsidR="00A03869" w:rsidRPr="00D00D93">
        <w:t>especialmente a la delegaci</w:t>
      </w:r>
      <w:r w:rsidR="0084153D" w:rsidRPr="00D00D93">
        <w:t xml:space="preserve">ón de la IPOPHL, a la que felicitó por la reciente designación de su Oficina como </w:t>
      </w:r>
      <w:r w:rsidR="0071243C" w:rsidRPr="00D00D93">
        <w:t>Administración encargada de la búsqueda internacional y del examen preliminar internacional</w:t>
      </w:r>
      <w:r w:rsidR="001B7D70" w:rsidRPr="00D00D93">
        <w:t xml:space="preserve">.  </w:t>
      </w:r>
      <w:r w:rsidR="0084153D" w:rsidRPr="00D00D93">
        <w:t xml:space="preserve">Manifestó sentirse orgullosa de los logros de la OEPM como primera Oficina </w:t>
      </w:r>
      <w:r w:rsidR="009956EA" w:rsidRPr="00D00D93">
        <w:t>de PI</w:t>
      </w:r>
      <w:r w:rsidR="0084153D" w:rsidRPr="00D00D93">
        <w:t xml:space="preserve"> en hacer uso del español como idioma de trabajo en el PCT </w:t>
      </w:r>
      <w:r w:rsidR="002C2968" w:rsidRPr="00D00D93">
        <w:t xml:space="preserve">en ser </w:t>
      </w:r>
      <w:r w:rsidR="0084153D" w:rsidRPr="00D00D93">
        <w:t xml:space="preserve">designada </w:t>
      </w:r>
      <w:r w:rsidR="0071243C" w:rsidRPr="00D00D93">
        <w:t>Administración encargada de la búsqueda internacional y del examen preliminar internacional</w:t>
      </w:r>
      <w:r w:rsidR="001B7D70" w:rsidRPr="00D00D93">
        <w:t xml:space="preserve">.  </w:t>
      </w:r>
      <w:r w:rsidR="0084153D" w:rsidRPr="00D00D93">
        <w:t xml:space="preserve">El </w:t>
      </w:r>
      <w:r w:rsidR="001B7D70" w:rsidRPr="00D00D93">
        <w:t xml:space="preserve">PCT </w:t>
      </w:r>
      <w:r w:rsidR="0084153D" w:rsidRPr="00D00D93">
        <w:t>ofrece grandes ventajas al público en general y a los solicitantes de patente.  En particular</w:t>
      </w:r>
      <w:r w:rsidR="001B7D70" w:rsidRPr="00D00D93">
        <w:t xml:space="preserve">, </w:t>
      </w:r>
      <w:r w:rsidR="00923711" w:rsidRPr="00D00D93">
        <w:t xml:space="preserve">y en comparación con la vía que ofrece el Convenio de París, </w:t>
      </w:r>
      <w:r w:rsidR="0084153D" w:rsidRPr="00D00D93">
        <w:t>los solicitantes disponen de</w:t>
      </w:r>
      <w:r w:rsidR="009956EA" w:rsidRPr="00D00D93">
        <w:t> 18 </w:t>
      </w:r>
      <w:r w:rsidR="0084153D" w:rsidRPr="00D00D93">
        <w:t xml:space="preserve">meses </w:t>
      </w:r>
      <w:r w:rsidR="00923711" w:rsidRPr="00D00D93">
        <w:t xml:space="preserve">más </w:t>
      </w:r>
      <w:r w:rsidR="0084153D" w:rsidRPr="00D00D93">
        <w:t>para decidir si solicitan la protección por patente en el extranjero</w:t>
      </w:r>
      <w:r w:rsidR="001B7D70" w:rsidRPr="00D00D93">
        <w:t xml:space="preserve">.  </w:t>
      </w:r>
      <w:r w:rsidR="00923711" w:rsidRPr="00D00D93">
        <w:t xml:space="preserve">La labor de las Administraciones Internacionales </w:t>
      </w:r>
      <w:r w:rsidR="00755D34" w:rsidRPr="00D00D93">
        <w:t>es esencial para el Sistema del PCT.  Gracias a la búsqueda y el examen preliminar internacionales</w:t>
      </w:r>
      <w:r w:rsidR="001B7D70" w:rsidRPr="00D00D93">
        <w:t xml:space="preserve">, </w:t>
      </w:r>
      <w:r w:rsidR="00755D34" w:rsidRPr="00D00D93">
        <w:t xml:space="preserve">la necesidad de realizar una búsqueda nacional en una Oficina </w:t>
      </w:r>
      <w:r w:rsidR="009956EA" w:rsidRPr="00D00D93">
        <w:t>de PI</w:t>
      </w:r>
      <w:r w:rsidR="00755D34" w:rsidRPr="00D00D93">
        <w:t xml:space="preserve"> se reduce o, en algunos ca</w:t>
      </w:r>
      <w:r w:rsidR="007B3F41" w:rsidRPr="00D00D93">
        <w:t>s</w:t>
      </w:r>
      <w:r w:rsidR="00755D34" w:rsidRPr="00D00D93">
        <w:t>os, se elimina por completo</w:t>
      </w:r>
      <w:r w:rsidR="001B7D70" w:rsidRPr="00D00D93">
        <w:t xml:space="preserve">, </w:t>
      </w:r>
      <w:r w:rsidR="00755D34" w:rsidRPr="00D00D93">
        <w:t>especialmente cuando se aprovechan todas las posibilidades que ofrece el procedimiento del Capítulo</w:t>
      </w:r>
      <w:r w:rsidR="009956EA" w:rsidRPr="00D00D93">
        <w:t> </w:t>
      </w:r>
      <w:r w:rsidR="00755D34" w:rsidRPr="00D00D93">
        <w:t>II</w:t>
      </w:r>
      <w:r w:rsidR="001B7D70" w:rsidRPr="00D00D93">
        <w:t xml:space="preserve">.  </w:t>
      </w:r>
      <w:r w:rsidR="00755D34" w:rsidRPr="00D00D93">
        <w:t xml:space="preserve">Con el </w:t>
      </w:r>
      <w:r w:rsidR="00862759" w:rsidRPr="00D00D93">
        <w:t xml:space="preserve">aumento </w:t>
      </w:r>
      <w:r w:rsidR="00760AF3" w:rsidRPr="00D00D93">
        <w:t>d</w:t>
      </w:r>
      <w:r w:rsidR="00755D34" w:rsidRPr="00D00D93">
        <w:t>el valor de los activos intangibles</w:t>
      </w:r>
      <w:r w:rsidR="001B7D70" w:rsidRPr="00D00D93">
        <w:t xml:space="preserve"> </w:t>
      </w:r>
      <w:r w:rsidR="00755D34" w:rsidRPr="00D00D93">
        <w:t xml:space="preserve">en la economía, </w:t>
      </w:r>
      <w:r w:rsidR="00760AF3" w:rsidRPr="00D00D93">
        <w:t xml:space="preserve">es importante </w:t>
      </w:r>
      <w:r w:rsidR="00755D34" w:rsidRPr="00D00D93">
        <w:t xml:space="preserve">centrarse en </w:t>
      </w:r>
      <w:r w:rsidR="00760AF3" w:rsidRPr="00D00D93">
        <w:t xml:space="preserve">acentuar </w:t>
      </w:r>
      <w:r w:rsidR="00755D34" w:rsidRPr="00D00D93">
        <w:t xml:space="preserve">las ventajas que para los solicitantes de patentes </w:t>
      </w:r>
      <w:r w:rsidR="00335518" w:rsidRPr="00D00D93">
        <w:t xml:space="preserve">supone </w:t>
      </w:r>
      <w:r w:rsidR="00BC03B3" w:rsidRPr="00D00D93">
        <w:t xml:space="preserve">optar por </w:t>
      </w:r>
      <w:r w:rsidR="00760AF3" w:rsidRPr="00D00D93">
        <w:t>la vía del PCT</w:t>
      </w:r>
      <w:r w:rsidR="001B7D70" w:rsidRPr="00D00D93">
        <w:t xml:space="preserve">.  </w:t>
      </w:r>
      <w:r w:rsidR="00760AF3" w:rsidRPr="00D00D93">
        <w:t xml:space="preserve">Ejemplos de ello son la mejora continua del marco de </w:t>
      </w:r>
      <w:r w:rsidR="00BC03B3" w:rsidRPr="00D00D93">
        <w:t xml:space="preserve">la </w:t>
      </w:r>
      <w:r w:rsidR="00760AF3" w:rsidRPr="00D00D93">
        <w:t xml:space="preserve">calidad </w:t>
      </w:r>
      <w:r w:rsidR="00335518" w:rsidRPr="00D00D93">
        <w:t xml:space="preserve">en el </w:t>
      </w:r>
      <w:r w:rsidR="00862759" w:rsidRPr="00D00D93">
        <w:t xml:space="preserve">contexto </w:t>
      </w:r>
      <w:r w:rsidR="00335518" w:rsidRPr="00D00D93">
        <w:t xml:space="preserve">de </w:t>
      </w:r>
      <w:r w:rsidR="00760AF3" w:rsidRPr="00D00D93">
        <w:t xml:space="preserve">la labor que </w:t>
      </w:r>
      <w:r w:rsidR="00DB6C95" w:rsidRPr="00D00D93">
        <w:t xml:space="preserve">lleva a cabo </w:t>
      </w:r>
      <w:r w:rsidR="00760AF3" w:rsidRPr="00D00D93">
        <w:t xml:space="preserve">el </w:t>
      </w:r>
      <w:r w:rsidR="005B4AAC" w:rsidRPr="00D00D93">
        <w:t>Subgrupo encargado de la Calidad</w:t>
      </w:r>
      <w:r w:rsidR="001B7D70" w:rsidRPr="00D00D93">
        <w:t xml:space="preserve">, </w:t>
      </w:r>
      <w:r w:rsidR="00335518" w:rsidRPr="00D00D93">
        <w:t>el uso creciente de servicios electrónicos, con un papel protagonista de la OEPM,</w:t>
      </w:r>
      <w:r w:rsidR="001B7D70" w:rsidRPr="00D00D93">
        <w:t xml:space="preserve"> </w:t>
      </w:r>
      <w:r w:rsidR="00760AF3" w:rsidRPr="00D00D93">
        <w:t xml:space="preserve">y las actividades de colaboración y armonización, como la labor </w:t>
      </w:r>
      <w:r w:rsidR="00335518" w:rsidRPr="00D00D93">
        <w:t xml:space="preserve">emprendida junto con </w:t>
      </w:r>
      <w:r w:rsidR="00760AF3" w:rsidRPr="00D00D93">
        <w:t xml:space="preserve">la </w:t>
      </w:r>
      <w:r w:rsidR="006624A7" w:rsidRPr="00D00D93">
        <w:t>OEP</w:t>
      </w:r>
      <w:r w:rsidR="00760AF3" w:rsidRPr="00D00D93">
        <w:t xml:space="preserve"> </w:t>
      </w:r>
      <w:r w:rsidR="00335518" w:rsidRPr="00D00D93">
        <w:t xml:space="preserve">a propósito de </w:t>
      </w:r>
      <w:r w:rsidR="00760AF3" w:rsidRPr="00D00D93">
        <w:t>la armonización de los informes de b</w:t>
      </w:r>
      <w:r w:rsidR="009956EA" w:rsidRPr="00D00D93">
        <w:t>úsqueda en el </w:t>
      </w:r>
      <w:r w:rsidR="00335518" w:rsidRPr="00D00D93">
        <w:t>PCT</w:t>
      </w:r>
      <w:r w:rsidR="001B7D70" w:rsidRPr="00D00D93">
        <w:t xml:space="preserve">. </w:t>
      </w:r>
    </w:p>
    <w:p w:rsidR="001B7D70" w:rsidRPr="00D00D93" w:rsidRDefault="00357396" w:rsidP="006E3258">
      <w:pPr>
        <w:pStyle w:val="Heading1"/>
        <w:keepLines/>
      </w:pPr>
      <w:r w:rsidRPr="00D00D93">
        <w:lastRenderedPageBreak/>
        <w:t xml:space="preserve">PUNTO </w:t>
      </w:r>
      <w:r w:rsidR="001B7D70" w:rsidRPr="00D00D93">
        <w:t>2</w:t>
      </w:r>
      <w:proofErr w:type="gramStart"/>
      <w:r w:rsidR="001B7D70" w:rsidRPr="00D00D93">
        <w:t>:  Ele</w:t>
      </w:r>
      <w:r w:rsidR="008644BA" w:rsidRPr="00D00D93">
        <w:t>c</w:t>
      </w:r>
      <w:r w:rsidR="001B7D70" w:rsidRPr="00D00D93">
        <w:t>c</w:t>
      </w:r>
      <w:r w:rsidR="008644BA" w:rsidRPr="00D00D93">
        <w:t>ión</w:t>
      </w:r>
      <w:proofErr w:type="gramEnd"/>
      <w:r w:rsidR="008644BA" w:rsidRPr="00D00D93">
        <w:t xml:space="preserve"> del presidente </w:t>
      </w:r>
    </w:p>
    <w:p w:rsidR="001B7D70" w:rsidRPr="00D00D93" w:rsidRDefault="0071243C" w:rsidP="006E3258">
      <w:pPr>
        <w:pStyle w:val="ONUMFS"/>
        <w:keepNext/>
        <w:keepLines/>
      </w:pPr>
      <w:r w:rsidRPr="00D00D93">
        <w:t>Presidió la sesión el Sr.</w:t>
      </w:r>
      <w:r w:rsidR="001B7D70" w:rsidRPr="00D00D93">
        <w:t xml:space="preserve"> Javier Vera Roa, </w:t>
      </w:r>
      <w:r w:rsidR="002236DA" w:rsidRPr="00D00D93">
        <w:t>consejero t</w:t>
      </w:r>
      <w:r w:rsidRPr="00D00D93">
        <w:t xml:space="preserve">écnico </w:t>
      </w:r>
      <w:r w:rsidR="00DB212D" w:rsidRPr="00D00D93">
        <w:t xml:space="preserve">de la </w:t>
      </w:r>
      <w:r w:rsidRPr="00D00D93">
        <w:t>OEPM</w:t>
      </w:r>
      <w:r w:rsidR="001B7D70" w:rsidRPr="00D00D93">
        <w:t>.</w:t>
      </w:r>
    </w:p>
    <w:p w:rsidR="001B7D70" w:rsidRPr="00D00D93" w:rsidRDefault="00357396" w:rsidP="001B7D70">
      <w:pPr>
        <w:pStyle w:val="Heading1"/>
        <w:keepNext w:val="0"/>
      </w:pPr>
      <w:r w:rsidRPr="00D00D93">
        <w:t xml:space="preserve">PUNTO </w:t>
      </w:r>
      <w:r w:rsidR="001B7D70" w:rsidRPr="00D00D93">
        <w:t>3</w:t>
      </w:r>
      <w:proofErr w:type="gramStart"/>
      <w:r w:rsidR="001B7D70" w:rsidRPr="00D00D93">
        <w:t>:  A</w:t>
      </w:r>
      <w:r w:rsidR="008644BA" w:rsidRPr="00D00D93">
        <w:t>probación</w:t>
      </w:r>
      <w:proofErr w:type="gramEnd"/>
      <w:r w:rsidR="008644BA" w:rsidRPr="00D00D93">
        <w:t xml:space="preserve"> del orden del día </w:t>
      </w:r>
    </w:p>
    <w:p w:rsidR="001B7D70" w:rsidRPr="00D00D93" w:rsidRDefault="0071243C" w:rsidP="00740EFC">
      <w:pPr>
        <w:pStyle w:val="ONUMFS"/>
        <w:tabs>
          <w:tab w:val="clear" w:pos="567"/>
        </w:tabs>
        <w:ind w:left="567"/>
      </w:pPr>
      <w:r w:rsidRPr="00D00D93">
        <w:t>La Reunión aprobó el orden del</w:t>
      </w:r>
      <w:r w:rsidR="00874B50" w:rsidRPr="00D00D93">
        <w:t xml:space="preserve"> día que consta en el documento </w:t>
      </w:r>
      <w:r w:rsidR="009956EA" w:rsidRPr="00D00D93">
        <w:t>PCT/MIA/24/1 </w:t>
      </w:r>
      <w:r w:rsidR="001B7D70" w:rsidRPr="00D00D93">
        <w:t>Rev.</w:t>
      </w:r>
    </w:p>
    <w:p w:rsidR="001B7D70" w:rsidRPr="00D00D93" w:rsidRDefault="00357396" w:rsidP="001B7D70">
      <w:pPr>
        <w:pStyle w:val="Heading1"/>
      </w:pPr>
      <w:r w:rsidRPr="00D00D93">
        <w:t xml:space="preserve">PUNTO </w:t>
      </w:r>
      <w:r w:rsidR="001B7D70" w:rsidRPr="00D00D93">
        <w:t>4</w:t>
      </w:r>
      <w:proofErr w:type="gramStart"/>
      <w:r w:rsidR="001B7D70" w:rsidRPr="00D00D93">
        <w:t xml:space="preserve">:  </w:t>
      </w:r>
      <w:r w:rsidR="008644BA" w:rsidRPr="00D00D93">
        <w:t>estadísticas</w:t>
      </w:r>
      <w:proofErr w:type="gramEnd"/>
      <w:r w:rsidR="008644BA" w:rsidRPr="00D00D93">
        <w:t xml:space="preserve"> del </w:t>
      </w:r>
      <w:r w:rsidR="001B7D70" w:rsidRPr="00D00D93">
        <w:t>PCT</w:t>
      </w:r>
    </w:p>
    <w:p w:rsidR="001B7D70" w:rsidRPr="00D00D93" w:rsidRDefault="00357396" w:rsidP="00740EFC">
      <w:pPr>
        <w:pStyle w:val="ONUMFS"/>
        <w:tabs>
          <w:tab w:val="clear" w:pos="567"/>
        </w:tabs>
        <w:ind w:left="567"/>
      </w:pPr>
      <w:r w:rsidRPr="00D00D93">
        <w:t>La Reunión tomó nota de la presentación por parte de la Oficina Internacional de las estadísticas más recientes sobre el PCT</w:t>
      </w:r>
      <w:r w:rsidR="001B7D70" w:rsidRPr="00D00D93">
        <w:rPr>
          <w:rStyle w:val="FootnoteReference"/>
        </w:rPr>
        <w:footnoteReference w:id="2"/>
      </w:r>
      <w:r w:rsidR="001B7D70" w:rsidRPr="00D00D93">
        <w:t>.</w:t>
      </w:r>
    </w:p>
    <w:p w:rsidR="001B7D70" w:rsidRPr="00D00D93" w:rsidRDefault="00357396" w:rsidP="001B7D70">
      <w:pPr>
        <w:pStyle w:val="Heading1"/>
        <w:keepNext w:val="0"/>
      </w:pPr>
      <w:r w:rsidRPr="00D00D93">
        <w:t xml:space="preserve">PUNTO </w:t>
      </w:r>
      <w:r w:rsidR="001B7D70" w:rsidRPr="00D00D93">
        <w:t>5</w:t>
      </w:r>
      <w:proofErr w:type="gramStart"/>
      <w:r w:rsidR="001B7D70" w:rsidRPr="00D00D93">
        <w:t xml:space="preserve">:  </w:t>
      </w:r>
      <w:r w:rsidR="008644BA" w:rsidRPr="00D00D93">
        <w:t>asuntos</w:t>
      </w:r>
      <w:proofErr w:type="gramEnd"/>
      <w:r w:rsidR="008644BA" w:rsidRPr="00D00D93">
        <w:t xml:space="preserve"> tratados en el subgrupo encargado de la calidad </w:t>
      </w:r>
    </w:p>
    <w:p w:rsidR="004A3F02" w:rsidRPr="00D00D93" w:rsidRDefault="004A3F02" w:rsidP="00740EFC">
      <w:pPr>
        <w:pStyle w:val="ONUMFS"/>
        <w:tabs>
          <w:tab w:val="clear" w:pos="567"/>
        </w:tabs>
        <w:ind w:left="567"/>
      </w:pPr>
      <w:r w:rsidRPr="00D00D93">
        <w:t>L</w:t>
      </w:r>
      <w:r w:rsidR="00357396" w:rsidRPr="00D00D93">
        <w:t>a Reunión tomó nota y aprobó el resumen de la presidencia del Subgrupo encargado de la Calidad que se incorpora en el Anexo</w:t>
      </w:r>
      <w:r w:rsidR="009956EA" w:rsidRPr="00D00D93">
        <w:t> </w:t>
      </w:r>
      <w:r w:rsidR="00357396" w:rsidRPr="00D00D93">
        <w:t>II de</w:t>
      </w:r>
      <w:r w:rsidRPr="00D00D93">
        <w:t xml:space="preserve">l presente </w:t>
      </w:r>
      <w:r w:rsidR="00357396" w:rsidRPr="00D00D93">
        <w:t>documento</w:t>
      </w:r>
      <w:r w:rsidRPr="00D00D93">
        <w:t xml:space="preserve">, aprobó las recomendaciones contenidas en ese resumen, así como la continuación del mandato del Subgrupo y la convocación de una próxima reunión presencial del Subgrupo </w:t>
      </w:r>
      <w:r w:rsidR="009956EA" w:rsidRPr="00D00D93">
        <w:t>en 20</w:t>
      </w:r>
      <w:r w:rsidRPr="00D00D93">
        <w:t>19.</w:t>
      </w:r>
    </w:p>
    <w:p w:rsidR="001B7D70" w:rsidRPr="00D00D93" w:rsidRDefault="00357396" w:rsidP="001B7D70">
      <w:pPr>
        <w:pStyle w:val="Heading1"/>
        <w:keepNext w:val="0"/>
      </w:pPr>
      <w:r w:rsidRPr="00D00D93">
        <w:t xml:space="preserve">PUNTO </w:t>
      </w:r>
      <w:r w:rsidR="001B7D70" w:rsidRPr="00D00D93">
        <w:t>6</w:t>
      </w:r>
      <w:proofErr w:type="gramStart"/>
      <w:r w:rsidR="001B7D70" w:rsidRPr="00D00D93">
        <w:t xml:space="preserve">:  </w:t>
      </w:r>
      <w:r w:rsidR="008644BA" w:rsidRPr="00D00D93">
        <w:t>servicios</w:t>
      </w:r>
      <w:proofErr w:type="gramEnd"/>
      <w:r w:rsidR="008644BA" w:rsidRPr="00D00D93">
        <w:t xml:space="preserve"> del pct por internet</w:t>
      </w:r>
    </w:p>
    <w:p w:rsidR="001B7D70" w:rsidRPr="00D00D93" w:rsidRDefault="004A3F02" w:rsidP="00740EFC">
      <w:pPr>
        <w:pStyle w:val="ONUMFS"/>
      </w:pPr>
      <w:r w:rsidRPr="00D00D93">
        <w:t xml:space="preserve">Los debates se basaron en el documento </w:t>
      </w:r>
      <w:r w:rsidR="001B7D70" w:rsidRPr="00D00D93">
        <w:t>PCT/MIA/25/6.</w:t>
      </w:r>
    </w:p>
    <w:p w:rsidR="001B7D70" w:rsidRPr="00D00D93" w:rsidRDefault="00335518" w:rsidP="00740EFC">
      <w:pPr>
        <w:pStyle w:val="ONUMFS"/>
      </w:pPr>
      <w:r w:rsidRPr="00D00D93">
        <w:t xml:space="preserve">Las Administraciones </w:t>
      </w:r>
      <w:r w:rsidR="009F5286" w:rsidRPr="00D00D93">
        <w:t xml:space="preserve">expresaron su conformidad </w:t>
      </w:r>
      <w:r w:rsidRPr="00D00D93">
        <w:t>con las prioridades que se estable</w:t>
      </w:r>
      <w:r w:rsidR="00E51ECC" w:rsidRPr="00D00D93">
        <w:t>c</w:t>
      </w:r>
      <w:r w:rsidRPr="00D00D93">
        <w:t>en en e</w:t>
      </w:r>
      <w:r w:rsidR="00E51ECC" w:rsidRPr="00D00D93">
        <w:t>l</w:t>
      </w:r>
      <w:r w:rsidRPr="00D00D93">
        <w:t xml:space="preserve"> documento</w:t>
      </w:r>
      <w:r w:rsidR="001B7D70" w:rsidRPr="00D00D93">
        <w:t>.</w:t>
      </w:r>
    </w:p>
    <w:p w:rsidR="00313CFE" w:rsidRPr="00D00D93" w:rsidRDefault="00E51ECC" w:rsidP="00740EFC">
      <w:pPr>
        <w:pStyle w:val="ONUMFS"/>
      </w:pPr>
      <w:r w:rsidRPr="00D00D93">
        <w:t xml:space="preserve">Varias Administraciones dejaron </w:t>
      </w:r>
      <w:r w:rsidR="00BD15CA" w:rsidRPr="00D00D93">
        <w:t>c</w:t>
      </w:r>
      <w:r w:rsidRPr="00D00D93">
        <w:t xml:space="preserve">onstancia del uso continuado que hacen de los servicios </w:t>
      </w:r>
      <w:r w:rsidR="006A59CF" w:rsidRPr="00D00D93">
        <w:t>del sistema de presentación electrónica de soli</w:t>
      </w:r>
      <w:r w:rsidR="00313CFE" w:rsidRPr="00D00D93">
        <w:t>ci</w:t>
      </w:r>
      <w:r w:rsidR="006A59CF" w:rsidRPr="00D00D93">
        <w:t xml:space="preserve">tudes PCT </w:t>
      </w:r>
      <w:r w:rsidR="00C269F3" w:rsidRPr="00D00D93">
        <w:t xml:space="preserve">(ePCT) </w:t>
      </w:r>
      <w:r w:rsidRPr="00D00D93">
        <w:t xml:space="preserve">o de la labor </w:t>
      </w:r>
      <w:r w:rsidR="00BD15CA" w:rsidRPr="00D00D93">
        <w:t xml:space="preserve">que </w:t>
      </w:r>
      <w:r w:rsidR="006A59CF" w:rsidRPr="00D00D93">
        <w:t>está</w:t>
      </w:r>
      <w:r w:rsidR="008267D1" w:rsidRPr="00D00D93">
        <w:t>n</w:t>
      </w:r>
      <w:r w:rsidR="006A59CF" w:rsidRPr="00D00D93">
        <w:t xml:space="preserve"> llevando a cabo </w:t>
      </w:r>
      <w:r w:rsidR="00BD15CA" w:rsidRPr="00D00D93">
        <w:t xml:space="preserve">para </w:t>
      </w:r>
      <w:r w:rsidRPr="00D00D93">
        <w:t>habilitar e</w:t>
      </w:r>
      <w:r w:rsidR="00C269F3" w:rsidRPr="00D00D93">
        <w:t>se</w:t>
      </w:r>
      <w:r w:rsidRPr="00D00D93">
        <w:t xml:space="preserve"> sistema</w:t>
      </w:r>
      <w:r w:rsidR="001B7D70" w:rsidRPr="00D00D93">
        <w:t xml:space="preserve">.  </w:t>
      </w:r>
      <w:r w:rsidR="00BD15CA" w:rsidRPr="00D00D93">
        <w:t>Una Administración observó que su sistema de presentación electrónica, de</w:t>
      </w:r>
      <w:r w:rsidR="0014587B" w:rsidRPr="00D00D93">
        <w:t xml:space="preserve"> </w:t>
      </w:r>
      <w:r w:rsidR="00BD15CA" w:rsidRPr="00D00D93">
        <w:t>próxima aparición, integra</w:t>
      </w:r>
      <w:r w:rsidR="00313CFE" w:rsidRPr="00D00D93">
        <w:t>rá</w:t>
      </w:r>
      <w:r w:rsidR="00BD15CA" w:rsidRPr="00D00D93">
        <w:t xml:space="preserve"> </w:t>
      </w:r>
      <w:r w:rsidR="00C269F3" w:rsidRPr="00D00D93">
        <w:t xml:space="preserve">los </w:t>
      </w:r>
      <w:r w:rsidR="00BD15CA" w:rsidRPr="00D00D93">
        <w:t xml:space="preserve">servicios </w:t>
      </w:r>
      <w:r w:rsidR="008A1911" w:rsidRPr="00D00D93">
        <w:t xml:space="preserve">del </w:t>
      </w:r>
      <w:r w:rsidR="001B7D70" w:rsidRPr="00D00D93">
        <w:t xml:space="preserve">ePCT </w:t>
      </w:r>
      <w:r w:rsidR="00BD15CA" w:rsidRPr="00D00D93">
        <w:t xml:space="preserve">en </w:t>
      </w:r>
      <w:r w:rsidR="00A47EB2" w:rsidRPr="00D00D93">
        <w:t xml:space="preserve">su </w:t>
      </w:r>
      <w:r w:rsidR="00BD15CA" w:rsidRPr="00D00D93">
        <w:t>marco</w:t>
      </w:r>
      <w:r w:rsidR="001B7D70" w:rsidRPr="00D00D93">
        <w:t xml:space="preserve">, </w:t>
      </w:r>
      <w:r w:rsidR="0014587B" w:rsidRPr="00D00D93">
        <w:t>lo que le permit</w:t>
      </w:r>
      <w:r w:rsidR="00313CFE" w:rsidRPr="00D00D93">
        <w:t>irá</w:t>
      </w:r>
      <w:r w:rsidR="0014587B" w:rsidRPr="00D00D93">
        <w:t xml:space="preserve"> ofrecer todos sus servicios a través de un único portal, al tiempo que </w:t>
      </w:r>
      <w:r w:rsidR="00313CFE" w:rsidRPr="00D00D93">
        <w:t xml:space="preserve">prescindir de </w:t>
      </w:r>
      <w:r w:rsidR="0014587B" w:rsidRPr="00D00D93">
        <w:t xml:space="preserve">la labor de desarrollo paralela necesaria </w:t>
      </w:r>
      <w:r w:rsidR="006A59CF" w:rsidRPr="00D00D93">
        <w:t xml:space="preserve">para garantizar </w:t>
      </w:r>
      <w:r w:rsidR="00313CFE" w:rsidRPr="00D00D93">
        <w:t xml:space="preserve">la uniformidad y </w:t>
      </w:r>
      <w:r w:rsidR="008A1911" w:rsidRPr="00D00D93">
        <w:t xml:space="preserve">puesta al día </w:t>
      </w:r>
      <w:r w:rsidR="00313CFE" w:rsidRPr="00D00D93">
        <w:t xml:space="preserve">continuadas de </w:t>
      </w:r>
      <w:r w:rsidR="006A59CF" w:rsidRPr="00D00D93">
        <w:t xml:space="preserve">los servicios del </w:t>
      </w:r>
      <w:r w:rsidR="001B7D70" w:rsidRPr="00D00D93">
        <w:t>PCT</w:t>
      </w:r>
      <w:r w:rsidR="00A47EB2" w:rsidRPr="00D00D93">
        <w:t xml:space="preserve">.  Una </w:t>
      </w:r>
      <w:r w:rsidR="00C269F3" w:rsidRPr="00D00D93">
        <w:t xml:space="preserve">Administración solicitó a </w:t>
      </w:r>
      <w:r w:rsidR="008A1911" w:rsidRPr="00D00D93">
        <w:t xml:space="preserve">las demás </w:t>
      </w:r>
      <w:r w:rsidR="00C269F3" w:rsidRPr="00D00D93">
        <w:t xml:space="preserve">Administraciones que </w:t>
      </w:r>
      <w:r w:rsidR="00A47EB2" w:rsidRPr="00D00D93">
        <w:t xml:space="preserve">ofrecen </w:t>
      </w:r>
      <w:r w:rsidR="00C269F3" w:rsidRPr="00D00D93">
        <w:t xml:space="preserve">el sistema de presentación electrónica </w:t>
      </w:r>
      <w:r w:rsidR="001B7D70" w:rsidRPr="00D00D93">
        <w:t>ePCT</w:t>
      </w:r>
      <w:r w:rsidR="00313CFE" w:rsidRPr="00D00D93">
        <w:t>,</w:t>
      </w:r>
      <w:r w:rsidR="00C269F3" w:rsidRPr="00D00D93">
        <w:t xml:space="preserve"> que proporcion</w:t>
      </w:r>
      <w:r w:rsidR="008267D1" w:rsidRPr="00D00D93">
        <w:t>en</w:t>
      </w:r>
      <w:r w:rsidR="00C269F3" w:rsidRPr="00D00D93">
        <w:t xml:space="preserve"> información sobre las disposiciones de sus respectiv</w:t>
      </w:r>
      <w:r w:rsidR="008A1911" w:rsidRPr="00D00D93">
        <w:t>a</w:t>
      </w:r>
      <w:r w:rsidR="00C269F3" w:rsidRPr="00D00D93">
        <w:t xml:space="preserve">s </w:t>
      </w:r>
      <w:r w:rsidR="008A1911" w:rsidRPr="00D00D93">
        <w:t xml:space="preserve">legislaciones </w:t>
      </w:r>
      <w:r w:rsidR="00C269F3" w:rsidRPr="00D00D93">
        <w:t xml:space="preserve">nacionales </w:t>
      </w:r>
      <w:r w:rsidR="008A1911" w:rsidRPr="00D00D93">
        <w:t xml:space="preserve">que regulan </w:t>
      </w:r>
      <w:r w:rsidR="00C269F3" w:rsidRPr="00D00D93">
        <w:t>el establecimiento de la fecha de presentación</w:t>
      </w:r>
      <w:r w:rsidR="001B7D70" w:rsidRPr="00D00D93">
        <w:t xml:space="preserve">.  </w:t>
      </w:r>
      <w:r w:rsidR="00C269F3" w:rsidRPr="00D00D93">
        <w:t xml:space="preserve">Otra Administración señaló que </w:t>
      </w:r>
      <w:r w:rsidR="008A1911" w:rsidRPr="00D00D93">
        <w:t xml:space="preserve">mantiene </w:t>
      </w:r>
      <w:r w:rsidR="00313CFE" w:rsidRPr="00D00D93">
        <w:t xml:space="preserve">activado el sistema de presentación electrónica ePCT como opción, pero que </w:t>
      </w:r>
      <w:r w:rsidR="008A1911" w:rsidRPr="00D00D93">
        <w:t xml:space="preserve">por </w:t>
      </w:r>
      <w:r w:rsidR="00313CFE" w:rsidRPr="00D00D93">
        <w:t xml:space="preserve">el momento solo </w:t>
      </w:r>
      <w:r w:rsidR="008267D1" w:rsidRPr="00D00D93">
        <w:t xml:space="preserve">lo había utilizado </w:t>
      </w:r>
      <w:r w:rsidR="00313CFE" w:rsidRPr="00D00D93">
        <w:t>un</w:t>
      </w:r>
      <w:r w:rsidR="008267D1" w:rsidRPr="00D00D93">
        <w:t>a</w:t>
      </w:r>
      <w:r w:rsidR="00313CFE" w:rsidRPr="00D00D93">
        <w:t xml:space="preserve"> </w:t>
      </w:r>
      <w:r w:rsidR="008267D1" w:rsidRPr="00D00D93">
        <w:t xml:space="preserve">proporción muy reducida </w:t>
      </w:r>
      <w:r w:rsidR="00313CFE" w:rsidRPr="00D00D93">
        <w:t xml:space="preserve">de </w:t>
      </w:r>
      <w:r w:rsidR="00760065" w:rsidRPr="00D00D93">
        <w:t xml:space="preserve">los </w:t>
      </w:r>
      <w:r w:rsidR="00313CFE" w:rsidRPr="00D00D93">
        <w:t>solicitantes que presentan solicitudes a</w:t>
      </w:r>
      <w:r w:rsidR="00A47EB2" w:rsidRPr="00D00D93">
        <w:t>nte</w:t>
      </w:r>
      <w:r w:rsidR="00313CFE" w:rsidRPr="00D00D93">
        <w:t xml:space="preserve"> su Oficina en </w:t>
      </w:r>
      <w:r w:rsidR="00A47EB2" w:rsidRPr="00D00D93">
        <w:t xml:space="preserve">su calidad de </w:t>
      </w:r>
      <w:r w:rsidR="00313CFE" w:rsidRPr="00D00D93">
        <w:t>Oficina receptora</w:t>
      </w:r>
      <w:r w:rsidR="008A1911" w:rsidRPr="00D00D93">
        <w:t xml:space="preserve">, </w:t>
      </w:r>
      <w:r w:rsidR="00313CFE" w:rsidRPr="00D00D93">
        <w:t xml:space="preserve">y solicitó información sobre </w:t>
      </w:r>
      <w:r w:rsidR="008A1911" w:rsidRPr="00D00D93">
        <w:t>qué es lo que ha</w:t>
      </w:r>
      <w:r w:rsidR="008267D1" w:rsidRPr="00D00D93">
        <w:t>n</w:t>
      </w:r>
      <w:r w:rsidR="008A1911" w:rsidRPr="00D00D93">
        <w:t xml:space="preserve"> hecho </w:t>
      </w:r>
      <w:r w:rsidR="00313CFE" w:rsidRPr="00D00D93">
        <w:t xml:space="preserve">otras </w:t>
      </w:r>
      <w:r w:rsidR="008A1911" w:rsidRPr="00D00D93">
        <w:t>O</w:t>
      </w:r>
      <w:r w:rsidR="00313CFE" w:rsidRPr="00D00D93">
        <w:t xml:space="preserve">ficinas </w:t>
      </w:r>
      <w:r w:rsidR="008267D1" w:rsidRPr="00D00D93">
        <w:t xml:space="preserve">receptoras </w:t>
      </w:r>
      <w:r w:rsidR="008A1911" w:rsidRPr="00D00D93">
        <w:t xml:space="preserve">para conseguir que </w:t>
      </w:r>
      <w:r w:rsidR="00313CFE" w:rsidRPr="00D00D93">
        <w:t xml:space="preserve">el sistema de presentación electrónica ePCT </w:t>
      </w:r>
      <w:r w:rsidR="008267D1" w:rsidRPr="00D00D93">
        <w:t>se</w:t>
      </w:r>
      <w:r w:rsidR="00A47EB2" w:rsidRPr="00D00D93">
        <w:t>a</w:t>
      </w:r>
      <w:r w:rsidR="008267D1" w:rsidRPr="00D00D93">
        <w:t xml:space="preserve"> </w:t>
      </w:r>
      <w:r w:rsidR="00313CFE" w:rsidRPr="00D00D93">
        <w:t xml:space="preserve">la </w:t>
      </w:r>
      <w:r w:rsidR="008267D1" w:rsidRPr="00D00D93">
        <w:t xml:space="preserve">alternativa </w:t>
      </w:r>
      <w:r w:rsidR="008A1911" w:rsidRPr="00D00D93">
        <w:t xml:space="preserve">preferida de los solicitantes. </w:t>
      </w:r>
      <w:r w:rsidR="008267D1" w:rsidRPr="00D00D93">
        <w:t xml:space="preserve"> Una Administración </w:t>
      </w:r>
      <w:r w:rsidR="00B83500" w:rsidRPr="00D00D93">
        <w:t>dejó constancia de las ventajas de tener a disposición el portal ePCT basado en un navegador de Internet.</w:t>
      </w:r>
      <w:r w:rsidR="008267D1" w:rsidRPr="00D00D93">
        <w:t xml:space="preserve">  </w:t>
      </w:r>
      <w:r w:rsidR="00B83500" w:rsidRPr="00D00D93">
        <w:t>Ello le ha permitido encontrar</w:t>
      </w:r>
      <w:r w:rsidR="002A6AC0" w:rsidRPr="00D00D93">
        <w:t>,</w:t>
      </w:r>
      <w:r w:rsidR="00B83500" w:rsidRPr="00D00D93">
        <w:t xml:space="preserve"> previa demanda</w:t>
      </w:r>
      <w:r w:rsidR="002A6AC0" w:rsidRPr="00D00D93">
        <w:t>,</w:t>
      </w:r>
      <w:r w:rsidR="00B83500" w:rsidRPr="00D00D93">
        <w:t xml:space="preserve"> </w:t>
      </w:r>
      <w:r w:rsidR="002A6AC0" w:rsidRPr="00D00D93">
        <w:t xml:space="preserve">documentos y datos </w:t>
      </w:r>
      <w:r w:rsidR="00B83500" w:rsidRPr="00D00D93">
        <w:t xml:space="preserve">más allá de los </w:t>
      </w:r>
      <w:r w:rsidR="002A6AC0" w:rsidRPr="00D00D93">
        <w:t xml:space="preserve">que ya </w:t>
      </w:r>
      <w:r w:rsidR="00373463" w:rsidRPr="00D00D93">
        <w:t xml:space="preserve">tenía </w:t>
      </w:r>
      <w:r w:rsidR="002A6AC0" w:rsidRPr="00D00D93">
        <w:t>automatizado</w:t>
      </w:r>
      <w:r w:rsidR="00373463" w:rsidRPr="00D00D93">
        <w:t>s</w:t>
      </w:r>
      <w:r w:rsidR="002A6AC0" w:rsidRPr="00D00D93">
        <w:t xml:space="preserve"> en respuesta a sus necesidades más habituales</w:t>
      </w:r>
      <w:r w:rsidR="008267D1" w:rsidRPr="00D00D93">
        <w:t>.</w:t>
      </w:r>
    </w:p>
    <w:p w:rsidR="002A6AC0" w:rsidRPr="00D00D93" w:rsidRDefault="002A6AC0" w:rsidP="00740EFC">
      <w:pPr>
        <w:pStyle w:val="ONUMFS"/>
      </w:pPr>
      <w:r w:rsidRPr="00D00D93">
        <w:t xml:space="preserve">Varias Administraciones </w:t>
      </w:r>
      <w:r w:rsidR="00ED0299" w:rsidRPr="00D00D93">
        <w:t xml:space="preserve">mencionaron </w:t>
      </w:r>
      <w:r w:rsidRPr="00D00D93">
        <w:t>el uso continuado que hacen del sistema electrónico de intercambio de datos del PCT (</w:t>
      </w:r>
      <w:r w:rsidR="001B7D70" w:rsidRPr="00D00D93">
        <w:t>PCT</w:t>
      </w:r>
      <w:r w:rsidR="001B7D70" w:rsidRPr="00D00D93">
        <w:noBreakHyphen/>
        <w:t>EDI</w:t>
      </w:r>
      <w:r w:rsidRPr="00D00D93">
        <w:t>)</w:t>
      </w:r>
      <w:r w:rsidR="001B7D70" w:rsidRPr="00D00D93">
        <w:t xml:space="preserve">, </w:t>
      </w:r>
      <w:r w:rsidRPr="00D00D93">
        <w:t xml:space="preserve">por </w:t>
      </w:r>
      <w:r w:rsidR="001D4C83" w:rsidRPr="00D00D93">
        <w:t xml:space="preserve">considerarlo </w:t>
      </w:r>
      <w:r w:rsidRPr="00D00D93">
        <w:t>un medio de transmisión de datos robusto y firmemente consolidado.</w:t>
      </w:r>
    </w:p>
    <w:p w:rsidR="001B7D70" w:rsidRPr="00D00D93" w:rsidRDefault="001D4C83" w:rsidP="00740EFC">
      <w:pPr>
        <w:pStyle w:val="ONUMFS"/>
      </w:pPr>
      <w:r w:rsidRPr="00D00D93">
        <w:t xml:space="preserve">Varias Administraciones expresaron satisfacción con la implementación y </w:t>
      </w:r>
      <w:r w:rsidR="006624A7" w:rsidRPr="00D00D93">
        <w:t xml:space="preserve">el uso </w:t>
      </w:r>
      <w:r w:rsidRPr="00D00D93">
        <w:t xml:space="preserve">del sistema eSearchCopy </w:t>
      </w:r>
      <w:r w:rsidR="00AC5A89" w:rsidRPr="00D00D93">
        <w:t>y</w:t>
      </w:r>
      <w:r w:rsidR="00ED0299" w:rsidRPr="00D00D93">
        <w:t>,</w:t>
      </w:r>
      <w:r w:rsidR="00AC5A89" w:rsidRPr="00D00D93">
        <w:t xml:space="preserve"> </w:t>
      </w:r>
      <w:r w:rsidRPr="00D00D93">
        <w:t xml:space="preserve">o bien </w:t>
      </w:r>
      <w:r w:rsidR="00ED0299" w:rsidRPr="00D00D93">
        <w:t>dejaron constancia de</w:t>
      </w:r>
      <w:r w:rsidR="006624A7" w:rsidRPr="00D00D93">
        <w:t xml:space="preserve">l despliegue </w:t>
      </w:r>
      <w:r w:rsidR="00AC5A89" w:rsidRPr="00D00D93">
        <w:t xml:space="preserve">de un sólido programa de trabajo con las Oficinas </w:t>
      </w:r>
      <w:r w:rsidR="00A47EB2" w:rsidRPr="00D00D93">
        <w:t xml:space="preserve">receptoras en </w:t>
      </w:r>
      <w:r w:rsidR="00195663" w:rsidRPr="00D00D93">
        <w:t xml:space="preserve">aras </w:t>
      </w:r>
      <w:r w:rsidR="00A47EB2" w:rsidRPr="00D00D93">
        <w:t xml:space="preserve">de </w:t>
      </w:r>
      <w:r w:rsidR="00AC5A89" w:rsidRPr="00D00D93">
        <w:t xml:space="preserve">la adopción gradual de </w:t>
      </w:r>
      <w:r w:rsidR="00677C28" w:rsidRPr="00D00D93">
        <w:t xml:space="preserve">ese </w:t>
      </w:r>
      <w:r w:rsidR="00AC5A89" w:rsidRPr="00D00D93">
        <w:t>sistema</w:t>
      </w:r>
      <w:r w:rsidR="001B7D70" w:rsidRPr="00D00D93">
        <w:t xml:space="preserve">, o </w:t>
      </w:r>
      <w:r w:rsidR="00AC5A89" w:rsidRPr="00D00D93">
        <w:t xml:space="preserve">bien </w:t>
      </w:r>
      <w:r w:rsidR="0072391B" w:rsidRPr="00D00D93">
        <w:t xml:space="preserve">manifestaron </w:t>
      </w:r>
      <w:r w:rsidR="00AC5A89" w:rsidRPr="00D00D93">
        <w:t xml:space="preserve">confiar en que otras Oficinas receptoras lo introduzcan </w:t>
      </w:r>
      <w:r w:rsidR="0072391B" w:rsidRPr="00D00D93">
        <w:t>próximamente.  Una Administración observó que</w:t>
      </w:r>
      <w:r w:rsidR="001B7D70" w:rsidRPr="00D00D93">
        <w:t xml:space="preserve">, </w:t>
      </w:r>
      <w:r w:rsidR="00677C28" w:rsidRPr="00D00D93">
        <w:t xml:space="preserve">aunque </w:t>
      </w:r>
      <w:r w:rsidR="0072391B" w:rsidRPr="00D00D93">
        <w:t>el sistema funciona bien</w:t>
      </w:r>
      <w:r w:rsidR="001B7D70" w:rsidRPr="00D00D93">
        <w:t xml:space="preserve">, </w:t>
      </w:r>
      <w:r w:rsidR="00677C28" w:rsidRPr="00D00D93">
        <w:t xml:space="preserve">los problemas que plantea la </w:t>
      </w:r>
      <w:r w:rsidR="00677C28" w:rsidRPr="00D00D93">
        <w:lastRenderedPageBreak/>
        <w:t xml:space="preserve">transición al mismo </w:t>
      </w:r>
      <w:r w:rsidR="009829AD" w:rsidRPr="00D00D93">
        <w:t xml:space="preserve">precisan </w:t>
      </w:r>
      <w:r w:rsidR="006624A7" w:rsidRPr="00D00D93">
        <w:t xml:space="preserve">gestionarse </w:t>
      </w:r>
      <w:r w:rsidR="00677C28" w:rsidRPr="00D00D93">
        <w:t xml:space="preserve">de manera cuidadosa con las Oficinas receptoras que </w:t>
      </w:r>
      <w:r w:rsidR="009829AD" w:rsidRPr="00D00D93">
        <w:t xml:space="preserve">están </w:t>
      </w:r>
      <w:r w:rsidR="00ED0299" w:rsidRPr="00D00D93">
        <w:t xml:space="preserve">sustituyendo </w:t>
      </w:r>
      <w:r w:rsidR="00677C28" w:rsidRPr="00D00D93">
        <w:t>las transmisiones en papel</w:t>
      </w:r>
      <w:r w:rsidR="00ED0299" w:rsidRPr="00D00D93">
        <w:t xml:space="preserve"> por el sistema eSearchCopy</w:t>
      </w:r>
      <w:r w:rsidR="001B7D70" w:rsidRPr="00D00D93">
        <w:t>.</w:t>
      </w:r>
    </w:p>
    <w:p w:rsidR="008052E3" w:rsidRPr="00D00D93" w:rsidRDefault="009829AD" w:rsidP="00740EFC">
      <w:pPr>
        <w:pStyle w:val="ONUMFS"/>
      </w:pPr>
      <w:r w:rsidRPr="00D00D93">
        <w:t>Varias Administraciones manifestaron su intención de i</w:t>
      </w:r>
      <w:r w:rsidR="00ED0299" w:rsidRPr="00D00D93">
        <w:t xml:space="preserve">nstaurar </w:t>
      </w:r>
      <w:r w:rsidRPr="00D00D93">
        <w:t xml:space="preserve">el Servicio de Acceso Digital </w:t>
      </w:r>
      <w:r w:rsidR="008052E3" w:rsidRPr="00D00D93">
        <w:t xml:space="preserve">a los Documentos de Prioridad (DAS) de la OMPI en el transcurso </w:t>
      </w:r>
      <w:r w:rsidR="009956EA" w:rsidRPr="00D00D93">
        <w:t>de 20</w:t>
      </w:r>
      <w:r w:rsidR="001B7D70" w:rsidRPr="00D00D93">
        <w:t xml:space="preserve">18.  </w:t>
      </w:r>
      <w:r w:rsidR="008052E3" w:rsidRPr="00D00D93">
        <w:t xml:space="preserve">Se sugirió que las nuevas Oficinas participantes y los cambios </w:t>
      </w:r>
      <w:r w:rsidR="00943D0C" w:rsidRPr="00D00D93">
        <w:t xml:space="preserve">que van a producirse </w:t>
      </w:r>
      <w:r w:rsidR="008052E3" w:rsidRPr="00D00D93">
        <w:t xml:space="preserve">en los </w:t>
      </w:r>
      <w:r w:rsidR="00943D0C" w:rsidRPr="00D00D93">
        <w:t xml:space="preserve">acuerdos de las Oficinas de la Cooperación Pentalateral puedan posibilitar </w:t>
      </w:r>
      <w:r w:rsidR="008052E3" w:rsidRPr="00D00D93">
        <w:t>un aumento signifi</w:t>
      </w:r>
      <w:r w:rsidR="00943D0C" w:rsidRPr="00D00D93">
        <w:t>c</w:t>
      </w:r>
      <w:r w:rsidR="008052E3" w:rsidRPr="00D00D93">
        <w:t xml:space="preserve">ativo </w:t>
      </w:r>
      <w:r w:rsidR="00373463" w:rsidRPr="00D00D93">
        <w:t>d</w:t>
      </w:r>
      <w:r w:rsidR="008052E3" w:rsidRPr="00D00D93">
        <w:t xml:space="preserve">el uso de </w:t>
      </w:r>
      <w:r w:rsidR="00943D0C" w:rsidRPr="00D00D93">
        <w:t xml:space="preserve">ese </w:t>
      </w:r>
      <w:r w:rsidR="008052E3" w:rsidRPr="00D00D93">
        <w:t>servicio a efectos tanto del Conven</w:t>
      </w:r>
      <w:r w:rsidR="00943D0C" w:rsidRPr="00D00D93">
        <w:t>i</w:t>
      </w:r>
      <w:r w:rsidR="008052E3" w:rsidRPr="00D00D93">
        <w:t>o de París como del PC</w:t>
      </w:r>
      <w:r w:rsidR="00943D0C" w:rsidRPr="00D00D93">
        <w:t>T</w:t>
      </w:r>
      <w:r w:rsidR="008052E3" w:rsidRPr="00D00D93">
        <w:t xml:space="preserve">. </w:t>
      </w:r>
    </w:p>
    <w:p w:rsidR="00122038" w:rsidRPr="00D00D93" w:rsidRDefault="00122038" w:rsidP="00740EFC">
      <w:pPr>
        <w:pStyle w:val="ONUMFS"/>
      </w:pPr>
      <w:r w:rsidRPr="00D00D93">
        <w:t xml:space="preserve">Varias Administraciones refirieron la labor que habían </w:t>
      </w:r>
      <w:r w:rsidR="00373463" w:rsidRPr="00D00D93">
        <w:t xml:space="preserve">llevado a cabo </w:t>
      </w:r>
      <w:r w:rsidRPr="00D00D93">
        <w:t xml:space="preserve">en el desempeño de su función de Oficinas designadas para mejorar la calidad y el alcance de la información sobre la fase nacional </w:t>
      </w:r>
      <w:r w:rsidR="006624A7" w:rsidRPr="00D00D93">
        <w:t xml:space="preserve">presentada </w:t>
      </w:r>
      <w:r w:rsidRPr="00D00D93">
        <w:t xml:space="preserve">a la Oficina Internacional y manifestaron abrigar la esperanza de que el suministro de esos datos por otras Oficinas pueda mejorarse también en </w:t>
      </w:r>
      <w:r w:rsidR="00AB61A9" w:rsidRPr="00D00D93">
        <w:t xml:space="preserve">un futuro próximo.  </w:t>
      </w:r>
      <w:r w:rsidRPr="00D00D93">
        <w:t>Una Administración</w:t>
      </w:r>
      <w:r w:rsidR="00AB61A9" w:rsidRPr="00D00D93">
        <w:t>,</w:t>
      </w:r>
      <w:r w:rsidRPr="00D00D93">
        <w:t xml:space="preserve"> que </w:t>
      </w:r>
      <w:r w:rsidR="00AB61A9" w:rsidRPr="00D00D93">
        <w:t xml:space="preserve">manifestó </w:t>
      </w:r>
      <w:r w:rsidRPr="00D00D93">
        <w:t>hace</w:t>
      </w:r>
      <w:r w:rsidR="00AB61A9" w:rsidRPr="00D00D93">
        <w:t>r</w:t>
      </w:r>
      <w:r w:rsidRPr="00D00D93">
        <w:t xml:space="preserve"> uso del Sistema de Automatización de la Propiedad Industrial</w:t>
      </w:r>
      <w:r w:rsidR="006E3258">
        <w:t xml:space="preserve"> (IPAS)</w:t>
      </w:r>
      <w:r w:rsidR="00AB61A9" w:rsidRPr="00D00D93">
        <w:t>,</w:t>
      </w:r>
      <w:r w:rsidRPr="00D00D93">
        <w:t xml:space="preserve"> solicitó asistencia para configurar la extracción de datos y su transmisión.</w:t>
      </w:r>
    </w:p>
    <w:p w:rsidR="00ED0299" w:rsidRPr="00D00D93" w:rsidRDefault="00943D0C" w:rsidP="00740EFC">
      <w:pPr>
        <w:pStyle w:val="ONUMFS"/>
      </w:pPr>
      <w:r w:rsidRPr="00D00D93">
        <w:t xml:space="preserve">Varias Administraciones </w:t>
      </w:r>
      <w:r w:rsidR="001A2CB4" w:rsidRPr="00D00D93">
        <w:t xml:space="preserve">apuntaron las </w:t>
      </w:r>
      <w:r w:rsidR="00ED0299" w:rsidRPr="00D00D93">
        <w:t xml:space="preserve">ventajas </w:t>
      </w:r>
      <w:r w:rsidR="001A2CB4" w:rsidRPr="00D00D93">
        <w:t xml:space="preserve">que ofrece </w:t>
      </w:r>
      <w:r w:rsidR="00ED0299" w:rsidRPr="00D00D93">
        <w:t>e</w:t>
      </w:r>
      <w:r w:rsidR="001A2CB4" w:rsidRPr="00D00D93">
        <w:t>l</w:t>
      </w:r>
      <w:r w:rsidR="00ED0299" w:rsidRPr="00D00D93">
        <w:t xml:space="preserve"> </w:t>
      </w:r>
      <w:r w:rsidR="001A2CB4" w:rsidRPr="00D00D93">
        <w:t>servicio de acceso centralizado a la búsqueda y el examen (</w:t>
      </w:r>
      <w:r w:rsidR="00ED0299" w:rsidRPr="00D00D93">
        <w:t>WIPO CASE</w:t>
      </w:r>
      <w:r w:rsidR="001A2CB4" w:rsidRPr="00D00D93">
        <w:t>)</w:t>
      </w:r>
      <w:r w:rsidR="001B7D70" w:rsidRPr="00D00D93">
        <w:t xml:space="preserve">.  </w:t>
      </w:r>
      <w:r w:rsidR="00ED0299" w:rsidRPr="00D00D93">
        <w:t>Una Administración dijo que confía en que próximame</w:t>
      </w:r>
      <w:r w:rsidR="001A2CB4" w:rsidRPr="00D00D93">
        <w:t>n</w:t>
      </w:r>
      <w:r w:rsidR="00ED0299" w:rsidRPr="00D00D93">
        <w:t xml:space="preserve">te pueda </w:t>
      </w:r>
      <w:r w:rsidR="001A2CB4" w:rsidRPr="00D00D93">
        <w:t>accederse de manera efectiv</w:t>
      </w:r>
      <w:r w:rsidR="00122038" w:rsidRPr="00D00D93">
        <w:t>a</w:t>
      </w:r>
      <w:r w:rsidR="001A2CB4" w:rsidRPr="00D00D93">
        <w:t xml:space="preserve"> a datos sobre citas a través de ese servicio</w:t>
      </w:r>
      <w:r w:rsidR="00ED0299" w:rsidRPr="00D00D93">
        <w:t>.</w:t>
      </w:r>
    </w:p>
    <w:p w:rsidR="001B7D70" w:rsidRPr="00D00D93" w:rsidRDefault="001A2CB4" w:rsidP="00740EFC">
      <w:pPr>
        <w:pStyle w:val="ONUMFS"/>
      </w:pPr>
      <w:r w:rsidRPr="00D00D93">
        <w:t xml:space="preserve">Las Administraciones </w:t>
      </w:r>
      <w:r w:rsidR="00F92024" w:rsidRPr="00D00D93">
        <w:t xml:space="preserve">mencionaron </w:t>
      </w:r>
      <w:r w:rsidRPr="00D00D93">
        <w:t>las inquietudes de la Oficina Internacional acerca de la fiabilidad de l</w:t>
      </w:r>
      <w:r w:rsidR="00122038" w:rsidRPr="00D00D93">
        <w:t>o</w:t>
      </w:r>
      <w:r w:rsidRPr="00D00D93">
        <w:t xml:space="preserve">s servicios de fax;  varias Administraciones señalaron que </w:t>
      </w:r>
      <w:r w:rsidR="00122038" w:rsidRPr="00D00D93">
        <w:t xml:space="preserve">por su parte </w:t>
      </w:r>
      <w:r w:rsidRPr="00D00D93">
        <w:t xml:space="preserve">también se enfrentan a los mismos problemas. </w:t>
      </w:r>
    </w:p>
    <w:p w:rsidR="00C37376" w:rsidRPr="00D00D93" w:rsidRDefault="00EE188E" w:rsidP="00740EFC">
      <w:pPr>
        <w:pStyle w:val="ONUMFS"/>
      </w:pPr>
      <w:r w:rsidRPr="00D00D93">
        <w:t xml:space="preserve">La OEP </w:t>
      </w:r>
      <w:r w:rsidR="00AB61A9" w:rsidRPr="00D00D93">
        <w:t xml:space="preserve">observó la importancia </w:t>
      </w:r>
      <w:r w:rsidR="00C37376" w:rsidRPr="00D00D93">
        <w:t xml:space="preserve">que tiene </w:t>
      </w:r>
      <w:r w:rsidR="00F84A0F" w:rsidRPr="00D00D93">
        <w:t xml:space="preserve">garantizar </w:t>
      </w:r>
      <w:r w:rsidR="00C37376" w:rsidRPr="00D00D93">
        <w:t xml:space="preserve">la introducción efectiva </w:t>
      </w:r>
      <w:r w:rsidR="00AB61A9" w:rsidRPr="00D00D93">
        <w:t>com</w:t>
      </w:r>
      <w:r w:rsidR="00C37376" w:rsidRPr="00D00D93">
        <w:t>o</w:t>
      </w:r>
      <w:r w:rsidR="00AB61A9" w:rsidRPr="00D00D93">
        <w:t xml:space="preserve"> formato válido de prese</w:t>
      </w:r>
      <w:r w:rsidR="00C37376" w:rsidRPr="00D00D93">
        <w:t>n</w:t>
      </w:r>
      <w:r w:rsidR="00AB61A9" w:rsidRPr="00D00D93">
        <w:t xml:space="preserve">tación </w:t>
      </w:r>
      <w:r w:rsidR="00195663" w:rsidRPr="00D00D93">
        <w:t>en el S</w:t>
      </w:r>
      <w:r w:rsidR="00C37376" w:rsidRPr="00D00D93">
        <w:t xml:space="preserve">istema </w:t>
      </w:r>
      <w:r w:rsidR="00195663" w:rsidRPr="00D00D93">
        <w:t xml:space="preserve">del </w:t>
      </w:r>
      <w:r w:rsidR="00C37376" w:rsidRPr="00D00D93">
        <w:t xml:space="preserve">PCT de documentos en formato DOCX.  Varias Administraciones convinieron </w:t>
      </w:r>
      <w:r w:rsidR="006624A7" w:rsidRPr="00D00D93">
        <w:t xml:space="preserve">también </w:t>
      </w:r>
      <w:r w:rsidR="00C37376" w:rsidRPr="00D00D93">
        <w:t xml:space="preserve">en la importancia de que se avance en pos de un mayor uso del formato XML </w:t>
      </w:r>
      <w:r w:rsidR="006624A7" w:rsidRPr="00D00D93">
        <w:t xml:space="preserve">para el </w:t>
      </w:r>
      <w:r w:rsidR="00C37376" w:rsidRPr="00D00D93">
        <w:t xml:space="preserve">cuerpo de la solicitud, los informes de búsqueda internacional y las opiniones escritas, entre otros, e incidieron en las mejoras que ese mayor uso podrían suponer para la eficacia de la labor de tramitación y la calidad de la información sobre patentes.  </w:t>
      </w:r>
      <w:r w:rsidR="00F84A0F" w:rsidRPr="00D00D93">
        <w:t xml:space="preserve">Algunas Administraciones </w:t>
      </w:r>
      <w:r w:rsidR="00F92024" w:rsidRPr="00D00D93">
        <w:t xml:space="preserve">señalaron </w:t>
      </w:r>
      <w:r w:rsidR="00F84A0F" w:rsidRPr="00D00D93">
        <w:t>que estaban cerca de poder suministrar informes de búsqueda internacional y otros documentos en formato XML</w:t>
      </w:r>
      <w:r w:rsidR="00C37376" w:rsidRPr="00D00D93">
        <w:t xml:space="preserve">, </w:t>
      </w:r>
      <w:r w:rsidR="00F84A0F" w:rsidRPr="00D00D93">
        <w:t xml:space="preserve">pero que precisan asistencia adicional para garantizar </w:t>
      </w:r>
      <w:r w:rsidR="00F92024" w:rsidRPr="00D00D93">
        <w:t xml:space="preserve">el debido cumplimiento de </w:t>
      </w:r>
      <w:r w:rsidR="00F84A0F" w:rsidRPr="00D00D93">
        <w:t xml:space="preserve">las normas </w:t>
      </w:r>
      <w:r w:rsidR="00F92024" w:rsidRPr="00D00D93">
        <w:t>correspondientes</w:t>
      </w:r>
      <w:r w:rsidR="00C37376" w:rsidRPr="00D00D93">
        <w:t>.</w:t>
      </w:r>
    </w:p>
    <w:p w:rsidR="001B7D70" w:rsidRPr="00D00D93" w:rsidRDefault="00943D0C" w:rsidP="00740EFC">
      <w:pPr>
        <w:pStyle w:val="ONUMFS"/>
        <w:tabs>
          <w:tab w:val="clear" w:pos="567"/>
        </w:tabs>
        <w:ind w:left="567"/>
      </w:pPr>
      <w:r w:rsidRPr="00D00D93">
        <w:t xml:space="preserve">La Reunión tomó nota de </w:t>
      </w:r>
      <w:r w:rsidR="00F92024" w:rsidRPr="00D00D93">
        <w:t xml:space="preserve">la evolución </w:t>
      </w:r>
      <w:r w:rsidR="00760065" w:rsidRPr="00D00D93">
        <w:t xml:space="preserve">descrita </w:t>
      </w:r>
      <w:r w:rsidR="00F92024" w:rsidRPr="00D00D93">
        <w:t xml:space="preserve">por </w:t>
      </w:r>
      <w:r w:rsidRPr="00D00D93">
        <w:t>los servicios del PCT</w:t>
      </w:r>
      <w:r w:rsidR="00F92024" w:rsidRPr="00D00D93">
        <w:t xml:space="preserve"> por Internet</w:t>
      </w:r>
      <w:r w:rsidR="001B7D70" w:rsidRPr="00D00D93">
        <w:t>.</w:t>
      </w:r>
    </w:p>
    <w:p w:rsidR="001B7D70" w:rsidRPr="00D00D93" w:rsidRDefault="00BD2442" w:rsidP="001B7D70">
      <w:pPr>
        <w:pStyle w:val="Heading1"/>
        <w:keepNext w:val="0"/>
      </w:pPr>
      <w:r w:rsidRPr="00D00D93">
        <w:t xml:space="preserve">PUNTO </w:t>
      </w:r>
      <w:r w:rsidR="001B7D70" w:rsidRPr="00D00D93">
        <w:t>7</w:t>
      </w:r>
      <w:proofErr w:type="gramStart"/>
      <w:r w:rsidR="001B7D70" w:rsidRPr="00D00D93">
        <w:t>:  Participa</w:t>
      </w:r>
      <w:r w:rsidRPr="00D00D93">
        <w:t>CIÓN</w:t>
      </w:r>
      <w:proofErr w:type="gramEnd"/>
      <w:r w:rsidRPr="00D00D93">
        <w:t xml:space="preserve"> EN </w:t>
      </w:r>
      <w:r w:rsidR="001B7D70" w:rsidRPr="00D00D93">
        <w:t>WIPO CASE</w:t>
      </w:r>
      <w:r w:rsidR="00F93585" w:rsidRPr="00D00D93">
        <w:t xml:space="preserve"> </w:t>
      </w:r>
      <w:r w:rsidR="00760065" w:rsidRPr="00D00D93">
        <w:t xml:space="preserve">COMO REFUERZO </w:t>
      </w:r>
      <w:r w:rsidRPr="00D00D93">
        <w:t xml:space="preserve">DE </w:t>
      </w:r>
      <w:r w:rsidR="001B7D70" w:rsidRPr="00D00D93">
        <w:t>Global Dossier</w:t>
      </w:r>
    </w:p>
    <w:p w:rsidR="001B7D70" w:rsidRPr="00D00D93" w:rsidRDefault="004A3F02" w:rsidP="00740EFC">
      <w:pPr>
        <w:pStyle w:val="ONUMFS"/>
      </w:pPr>
      <w:r w:rsidRPr="00D00D93">
        <w:t xml:space="preserve">Los debates se basaron en el </w:t>
      </w:r>
      <w:r w:rsidR="001B7D70" w:rsidRPr="00D00D93">
        <w:t>document</w:t>
      </w:r>
      <w:r w:rsidRPr="00D00D93">
        <w:t>o</w:t>
      </w:r>
      <w:r w:rsidR="001B7D70" w:rsidRPr="00D00D93">
        <w:t xml:space="preserve"> PCT/MIA/25/8.</w:t>
      </w:r>
    </w:p>
    <w:p w:rsidR="001B7D70" w:rsidRPr="00D00D93" w:rsidRDefault="00BD2442" w:rsidP="00740EFC">
      <w:pPr>
        <w:pStyle w:val="ONUMFS"/>
      </w:pPr>
      <w:r w:rsidRPr="00D00D93">
        <w:t xml:space="preserve">Las Administraciones Internacionales </w:t>
      </w:r>
      <w:r w:rsidR="00406887" w:rsidRPr="00D00D93">
        <w:t>señal</w:t>
      </w:r>
      <w:r w:rsidR="00F93585" w:rsidRPr="00D00D93">
        <w:t xml:space="preserve">aron </w:t>
      </w:r>
      <w:r w:rsidR="00406887" w:rsidRPr="00D00D93">
        <w:t xml:space="preserve">las ventajas de </w:t>
      </w:r>
      <w:r w:rsidR="00F92024" w:rsidRPr="00D00D93">
        <w:t xml:space="preserve">reutilizar </w:t>
      </w:r>
      <w:r w:rsidR="00F93585" w:rsidRPr="00D00D93">
        <w:t xml:space="preserve">los </w:t>
      </w:r>
      <w:r w:rsidR="00406887" w:rsidRPr="00D00D93">
        <w:t xml:space="preserve">resultados </w:t>
      </w:r>
      <w:r w:rsidR="00F93585" w:rsidRPr="00D00D93">
        <w:t xml:space="preserve">de </w:t>
      </w:r>
      <w:r w:rsidR="001B7D70" w:rsidRPr="00D00D93">
        <w:t xml:space="preserve">WIPO CASE, </w:t>
      </w:r>
      <w:r w:rsidR="00F93585" w:rsidRPr="00D00D93">
        <w:t xml:space="preserve">incluso a través de los sólidos vínculos que </w:t>
      </w:r>
      <w:r w:rsidR="009D457F" w:rsidRPr="00D00D93">
        <w:t xml:space="preserve">dicha </w:t>
      </w:r>
      <w:r w:rsidR="00F93585" w:rsidRPr="00D00D93">
        <w:t>plataforma tiene establecidos con el servicio Global Dossier de las Oficinas de la Cooperación Pentalateral</w:t>
      </w:r>
      <w:r w:rsidR="001B7D70" w:rsidRPr="00D00D93">
        <w:t xml:space="preserve">.  </w:t>
      </w:r>
      <w:r w:rsidR="009D457F" w:rsidRPr="00D00D93">
        <w:t>En su opinión, l</w:t>
      </w:r>
      <w:r w:rsidR="00F93585" w:rsidRPr="00D00D93">
        <w:t xml:space="preserve">as ventajas </w:t>
      </w:r>
      <w:r w:rsidR="00373463" w:rsidRPr="00D00D93">
        <w:t xml:space="preserve">se acrecentarían de manera considerable </w:t>
      </w:r>
      <w:r w:rsidR="00F93585" w:rsidRPr="00D00D93">
        <w:t>si se ampliase el número de Oficinas participantes</w:t>
      </w:r>
      <w:r w:rsidR="00F83933" w:rsidRPr="00D00D93">
        <w:t xml:space="preserve">, particularmente </w:t>
      </w:r>
      <w:r w:rsidR="00F947DA" w:rsidRPr="00D00D93">
        <w:t xml:space="preserve">las que </w:t>
      </w:r>
      <w:r w:rsidR="009D457F" w:rsidRPr="00D00D93">
        <w:t xml:space="preserve">lo hacen </w:t>
      </w:r>
      <w:r w:rsidR="00F947DA" w:rsidRPr="00D00D93">
        <w:t xml:space="preserve">a título de </w:t>
      </w:r>
      <w:r w:rsidR="00F83933" w:rsidRPr="00D00D93">
        <w:t>Oficinas proveedoras.</w:t>
      </w:r>
      <w:r w:rsidR="001B7D70" w:rsidRPr="00D00D93">
        <w:t xml:space="preserve">  </w:t>
      </w:r>
      <w:r w:rsidR="00F83933" w:rsidRPr="00D00D93">
        <w:t>Permitir el acceso para presentar información para uso público y de las Oficinas resulta especialmente útil</w:t>
      </w:r>
      <w:r w:rsidR="001B7D70" w:rsidRPr="00D00D93">
        <w:t xml:space="preserve">.  </w:t>
      </w:r>
      <w:r w:rsidR="00760065" w:rsidRPr="00D00D93">
        <w:t xml:space="preserve">Siendo como es </w:t>
      </w:r>
      <w:r w:rsidR="00F947DA" w:rsidRPr="00D00D93">
        <w:t xml:space="preserve">un servicio global, es importante que los documentos y datos estén disponibles </w:t>
      </w:r>
      <w:r w:rsidR="009D457F" w:rsidRPr="00D00D93">
        <w:t xml:space="preserve">con seguridad </w:t>
      </w:r>
      <w:r w:rsidR="00A11EE7" w:rsidRPr="00D00D93">
        <w:t>las</w:t>
      </w:r>
      <w:r w:rsidR="009956EA" w:rsidRPr="00D00D93">
        <w:t> 24 </w:t>
      </w:r>
      <w:r w:rsidR="00A11EE7" w:rsidRPr="00D00D93">
        <w:t>horas del día, todos los días de la semana</w:t>
      </w:r>
      <w:r w:rsidR="001B7D70" w:rsidRPr="00D00D93">
        <w:t>.</w:t>
      </w:r>
    </w:p>
    <w:p w:rsidR="00607FE5" w:rsidRPr="00D00D93" w:rsidRDefault="00F947DA" w:rsidP="00740EFC">
      <w:pPr>
        <w:pStyle w:val="ONUMFS"/>
      </w:pPr>
      <w:r w:rsidRPr="00D00D93">
        <w:t xml:space="preserve">Muchas Administraciones Internacionales expresaron su apoyo al servicio </w:t>
      </w:r>
      <w:r w:rsidR="001B7D70" w:rsidRPr="00D00D93">
        <w:t xml:space="preserve">WIPO CASE.  </w:t>
      </w:r>
      <w:r w:rsidRPr="00D00D93">
        <w:t xml:space="preserve">La mayoría de ellas </w:t>
      </w:r>
      <w:r w:rsidR="00A11EE7" w:rsidRPr="00D00D93">
        <w:t xml:space="preserve">declaró </w:t>
      </w:r>
      <w:r w:rsidRPr="00D00D93">
        <w:t xml:space="preserve">estar </w:t>
      </w:r>
      <w:r w:rsidR="00A11EE7" w:rsidRPr="00D00D93">
        <w:t xml:space="preserve">ya </w:t>
      </w:r>
      <w:r w:rsidRPr="00D00D93">
        <w:t xml:space="preserve">utilizándolo o bien tener previsto sumársele </w:t>
      </w:r>
      <w:r w:rsidR="00A11EE7" w:rsidRPr="00D00D93">
        <w:t xml:space="preserve">en tanto que </w:t>
      </w:r>
      <w:r w:rsidRPr="00D00D93">
        <w:t xml:space="preserve">Oficina proveedora, tras </w:t>
      </w:r>
      <w:r w:rsidR="009D457F" w:rsidRPr="00D00D93">
        <w:t xml:space="preserve">llevar ya tiempo </w:t>
      </w:r>
      <w:r w:rsidRPr="00D00D93">
        <w:t xml:space="preserve">funcionando </w:t>
      </w:r>
      <w:r w:rsidR="00A11EE7" w:rsidRPr="00D00D93">
        <w:t xml:space="preserve">en calidad de </w:t>
      </w:r>
      <w:r w:rsidRPr="00D00D93">
        <w:t>Oficina con derecho de acceso.  Varias Administraciones af</w:t>
      </w:r>
      <w:r w:rsidR="00A11EE7" w:rsidRPr="00D00D93">
        <w:t>i</w:t>
      </w:r>
      <w:r w:rsidRPr="00D00D93">
        <w:t xml:space="preserve">rmaron estar trabajando en </w:t>
      </w:r>
      <w:r w:rsidR="009D457F" w:rsidRPr="00D00D93">
        <w:t xml:space="preserve">aras </w:t>
      </w:r>
      <w:r w:rsidR="00A11EE7" w:rsidRPr="00D00D93">
        <w:t>de la puesta a disposición de datos sobre citas estructurados</w:t>
      </w:r>
      <w:r w:rsidRPr="00D00D93">
        <w:t xml:space="preserve">.  </w:t>
      </w:r>
      <w:r w:rsidR="00A11EE7" w:rsidRPr="00D00D93">
        <w:t xml:space="preserve">Una Administración </w:t>
      </w:r>
      <w:r w:rsidR="00607FE5" w:rsidRPr="00D00D93">
        <w:t xml:space="preserve">dijo que </w:t>
      </w:r>
      <w:r w:rsidR="00953DA4" w:rsidRPr="00D00D93">
        <w:t xml:space="preserve">hasta que </w:t>
      </w:r>
      <w:r w:rsidR="00607FE5" w:rsidRPr="00D00D93">
        <w:t xml:space="preserve">no </w:t>
      </w:r>
      <w:r w:rsidR="009D457F" w:rsidRPr="00D00D93">
        <w:t xml:space="preserve">transcurra </w:t>
      </w:r>
      <w:r w:rsidR="00607FE5" w:rsidRPr="00D00D93">
        <w:t xml:space="preserve">algún tiempo seguirá sin estar en condiciones de armonizar completamente su servicio interno de </w:t>
      </w:r>
      <w:r w:rsidR="00607FE5" w:rsidRPr="00D00D93">
        <w:lastRenderedPageBreak/>
        <w:t>expedientes de soli</w:t>
      </w:r>
      <w:r w:rsidR="00953DA4" w:rsidRPr="00D00D93">
        <w:t>ci</w:t>
      </w:r>
      <w:r w:rsidR="00607FE5" w:rsidRPr="00D00D93">
        <w:t>tudes con la</w:t>
      </w:r>
      <w:r w:rsidR="009D457F" w:rsidRPr="00D00D93">
        <w:t>s</w:t>
      </w:r>
      <w:r w:rsidR="00607FE5" w:rsidRPr="00D00D93">
        <w:t xml:space="preserve"> entregas de documentos a WIPO CASE, si bien reconoció la importancia que tiene </w:t>
      </w:r>
      <w:r w:rsidR="00953DA4" w:rsidRPr="00D00D93">
        <w:t xml:space="preserve">procurar </w:t>
      </w:r>
      <w:r w:rsidR="00607FE5" w:rsidRPr="00D00D93">
        <w:t>una información completa</w:t>
      </w:r>
      <w:r w:rsidR="009D457F" w:rsidRPr="00D00D93">
        <w:t>,</w:t>
      </w:r>
      <w:r w:rsidR="00607FE5" w:rsidRPr="00D00D93">
        <w:t xml:space="preserve"> tras lo cual </w:t>
      </w:r>
      <w:r w:rsidR="00760065" w:rsidRPr="00D00D93">
        <w:t xml:space="preserve">expresó </w:t>
      </w:r>
      <w:r w:rsidR="009D457F" w:rsidRPr="00D00D93">
        <w:t xml:space="preserve">su confianza en </w:t>
      </w:r>
      <w:r w:rsidR="00607FE5" w:rsidRPr="00D00D93">
        <w:t xml:space="preserve">poder llegar a proporcionarla en un futuro próximo. </w:t>
      </w:r>
    </w:p>
    <w:p w:rsidR="001B7D70" w:rsidRPr="00D00D93" w:rsidRDefault="004A3F02" w:rsidP="00FA036D">
      <w:pPr>
        <w:pStyle w:val="ONUMFS"/>
        <w:tabs>
          <w:tab w:val="clear" w:pos="567"/>
        </w:tabs>
        <w:ind w:left="567"/>
      </w:pPr>
      <w:r w:rsidRPr="00D00D93">
        <w:t xml:space="preserve">La Reunión tomó nota del contenido del documento </w:t>
      </w:r>
      <w:r w:rsidR="001B7D70" w:rsidRPr="00D00D93">
        <w:t>PCT/MIA/25/8.</w:t>
      </w:r>
    </w:p>
    <w:p w:rsidR="001B7D70" w:rsidRPr="00FA036D" w:rsidRDefault="00BD2442" w:rsidP="00FA036D">
      <w:pPr>
        <w:pStyle w:val="Heading1"/>
        <w:keepNext w:val="0"/>
      </w:pPr>
      <w:r w:rsidRPr="00FA036D">
        <w:t xml:space="preserve">PUNTO </w:t>
      </w:r>
      <w:r w:rsidR="001B7D70" w:rsidRPr="00FA036D">
        <w:t>8</w:t>
      </w:r>
      <w:proofErr w:type="gramStart"/>
      <w:r w:rsidR="001B7D70" w:rsidRPr="00FA036D">
        <w:t xml:space="preserve">:  </w:t>
      </w:r>
      <w:r w:rsidR="00F92024" w:rsidRPr="00FA036D">
        <w:t>SALVAGUARDIAS</w:t>
      </w:r>
      <w:proofErr w:type="gramEnd"/>
      <w:r w:rsidR="00F92024" w:rsidRPr="00FA036D">
        <w:t xml:space="preserve"> </w:t>
      </w:r>
      <w:r w:rsidR="009D457F" w:rsidRPr="00FA036D">
        <w:t xml:space="preserve">CONTRA </w:t>
      </w:r>
      <w:r w:rsidR="004E2F59" w:rsidRPr="00FA036D">
        <w:t xml:space="preserve">INTERRUPCIONES </w:t>
      </w:r>
      <w:r w:rsidR="00FB7F02" w:rsidRPr="00FA036D">
        <w:t>Y CIBERATAQUES</w:t>
      </w:r>
    </w:p>
    <w:p w:rsidR="001B7D70" w:rsidRPr="00D00D93" w:rsidRDefault="00CE4E2C" w:rsidP="00740EFC">
      <w:pPr>
        <w:pStyle w:val="ONUMFS"/>
      </w:pPr>
      <w:r w:rsidRPr="00D00D93">
        <w:t xml:space="preserve">Los debates se basaron en el documento </w:t>
      </w:r>
      <w:r w:rsidR="001B7D70" w:rsidRPr="00D00D93">
        <w:t>PCT/MIA/25/12.</w:t>
      </w:r>
    </w:p>
    <w:p w:rsidR="004E2F59" w:rsidRPr="00D00D93" w:rsidRDefault="00EE188E" w:rsidP="00740EFC">
      <w:pPr>
        <w:pStyle w:val="ONUMFS"/>
      </w:pPr>
      <w:r w:rsidRPr="00D00D93">
        <w:t xml:space="preserve">La OEP </w:t>
      </w:r>
      <w:r w:rsidR="004E2F59" w:rsidRPr="00D00D93">
        <w:t>presentó el documento</w:t>
      </w:r>
      <w:r w:rsidR="001B7D70" w:rsidRPr="00D00D93">
        <w:t xml:space="preserve"> </w:t>
      </w:r>
      <w:r w:rsidR="004E2F59" w:rsidRPr="00D00D93">
        <w:t xml:space="preserve">y señaló que la propuesta principal se contiene en su </w:t>
      </w:r>
      <w:r w:rsidR="00864F6D" w:rsidRPr="00D00D93">
        <w:t>p</w:t>
      </w:r>
      <w:r w:rsidR="001B7D70" w:rsidRPr="00D00D93">
        <w:t>art</w:t>
      </w:r>
      <w:r w:rsidR="00E40D53" w:rsidRPr="00D00D93">
        <w:t>e</w:t>
      </w:r>
      <w:r w:rsidR="001B7D70" w:rsidRPr="00D00D93">
        <w:t xml:space="preserve"> I, </w:t>
      </w:r>
      <w:r w:rsidR="004E2F59" w:rsidRPr="00D00D93">
        <w:t xml:space="preserve">que </w:t>
      </w:r>
      <w:r w:rsidR="00DB1D8C" w:rsidRPr="00D00D93">
        <w:t xml:space="preserve">aborda </w:t>
      </w:r>
      <w:r w:rsidR="004E2F59" w:rsidRPr="00D00D93">
        <w:t>los casos en los que un servicio electrónico no está disponible por causas imputables a una Oficina,</w:t>
      </w:r>
      <w:r w:rsidR="001B7D70" w:rsidRPr="00D00D93">
        <w:t xml:space="preserve"> </w:t>
      </w:r>
      <w:r w:rsidR="004E2F59" w:rsidRPr="00D00D93">
        <w:t xml:space="preserve">incluyendo el tiempo de </w:t>
      </w:r>
      <w:r w:rsidR="00864F6D" w:rsidRPr="00D00D93">
        <w:t xml:space="preserve">parada </w:t>
      </w:r>
      <w:r w:rsidR="00DB1D8C" w:rsidRPr="00D00D93">
        <w:t>destina</w:t>
      </w:r>
      <w:r w:rsidR="0095325B" w:rsidRPr="00D00D93">
        <w:t>d</w:t>
      </w:r>
      <w:r w:rsidR="00DB1D8C" w:rsidRPr="00D00D93">
        <w:t xml:space="preserve">o </w:t>
      </w:r>
      <w:r w:rsidR="009D457F" w:rsidRPr="00D00D93">
        <w:t xml:space="preserve">a trabajos de </w:t>
      </w:r>
      <w:r w:rsidR="004E2F59" w:rsidRPr="00D00D93">
        <w:t>mantenimiento</w:t>
      </w:r>
      <w:r w:rsidR="001B7D70" w:rsidRPr="00D00D93">
        <w:t xml:space="preserve">.  </w:t>
      </w:r>
      <w:r w:rsidR="00E40D53" w:rsidRPr="00D00D93">
        <w:t xml:space="preserve">En opinión de la OEP, no existe en el PCT disposición específica que ofrezca salvaguardias </w:t>
      </w:r>
      <w:r w:rsidR="00DB1D8C" w:rsidRPr="00D00D93">
        <w:t xml:space="preserve">suficientemente </w:t>
      </w:r>
      <w:r w:rsidR="00E40D53" w:rsidRPr="00D00D93">
        <w:t>equivalen</w:t>
      </w:r>
      <w:r w:rsidR="009956EA" w:rsidRPr="00D00D93">
        <w:t>tes a las previstas en la Regla </w:t>
      </w:r>
      <w:r w:rsidR="00E40D53" w:rsidRPr="00D00D93">
        <w:t xml:space="preserve">134.1 del Convenio sobre la Patente Europea.  La </w:t>
      </w:r>
      <w:r w:rsidR="00864F6D" w:rsidRPr="00D00D93">
        <w:t>p</w:t>
      </w:r>
      <w:r w:rsidR="00E40D53" w:rsidRPr="00D00D93">
        <w:t xml:space="preserve">arte II del documento invita a debatir sobre situaciones en las que los problemas </w:t>
      </w:r>
      <w:r w:rsidR="007B3612" w:rsidRPr="00D00D93">
        <w:t>s</w:t>
      </w:r>
      <w:r w:rsidR="00E40D53" w:rsidRPr="00D00D93">
        <w:t xml:space="preserve">e localizan </w:t>
      </w:r>
      <w:r w:rsidR="007B3612" w:rsidRPr="00D00D93">
        <w:t>por el lado de los usuarios</w:t>
      </w:r>
      <w:r w:rsidR="00E40D53" w:rsidRPr="00D00D93">
        <w:t xml:space="preserve">.  </w:t>
      </w:r>
      <w:r w:rsidR="007B3612" w:rsidRPr="00D00D93">
        <w:t>Dijo que considera que la aplicación de la Regla 82</w:t>
      </w:r>
      <w:r w:rsidR="007B3612" w:rsidRPr="00D00D93">
        <w:rPr>
          <w:i/>
        </w:rPr>
        <w:t>quater</w:t>
      </w:r>
      <w:r w:rsidR="007B3612" w:rsidRPr="00D00D93">
        <w:t xml:space="preserve"> es muy restrictiva, y señaló que las Directrices para las Oficinas receptoras aclaran que esa disposición solo debe aplicarse cuando no existan </w:t>
      </w:r>
      <w:r w:rsidR="00B55D4D" w:rsidRPr="00D00D93">
        <w:t xml:space="preserve">otros </w:t>
      </w:r>
      <w:r w:rsidR="007B3612" w:rsidRPr="00D00D93">
        <w:t xml:space="preserve">medios de comunicación disponibles. </w:t>
      </w:r>
      <w:r w:rsidR="00622ACC" w:rsidRPr="00D00D93">
        <w:t xml:space="preserve"> Observó que el servicio postal no es pertinente para la cuestión en su jurisdicción, puesto que las fechas de presentación se reconocerían únicamente en función de la recepción por la </w:t>
      </w:r>
      <w:r w:rsidR="00595566" w:rsidRPr="00D00D93">
        <w:t>O</w:t>
      </w:r>
      <w:r w:rsidR="00622ACC" w:rsidRPr="00D00D93">
        <w:t xml:space="preserve">ficina, y no así de la fecha de envío.  La OEP </w:t>
      </w:r>
      <w:r w:rsidR="00595566" w:rsidRPr="00D00D93">
        <w:t>señaló que cuestiones similares ya fueron debatidas dos años atrás</w:t>
      </w:r>
      <w:r w:rsidR="00622ACC" w:rsidRPr="00D00D93">
        <w:t xml:space="preserve">, </w:t>
      </w:r>
      <w:r w:rsidR="00595566" w:rsidRPr="00D00D93">
        <w:t>pero que acontecimientos recientes</w:t>
      </w:r>
      <w:r w:rsidR="00622ACC" w:rsidRPr="00D00D93">
        <w:t xml:space="preserve">, </w:t>
      </w:r>
      <w:r w:rsidR="00595566" w:rsidRPr="00D00D93">
        <w:t>incluidos ciberataques a gran escala</w:t>
      </w:r>
      <w:r w:rsidR="00622ACC" w:rsidRPr="00D00D93">
        <w:t xml:space="preserve">, </w:t>
      </w:r>
      <w:r w:rsidR="00595566" w:rsidRPr="00D00D93">
        <w:t>han venido a subrayar la necesidad de</w:t>
      </w:r>
      <w:r w:rsidR="00E02F4C" w:rsidRPr="00D00D93">
        <w:t xml:space="preserve"> </w:t>
      </w:r>
      <w:r w:rsidR="00595566" w:rsidRPr="00D00D93">
        <w:t>volver a someter a examen est</w:t>
      </w:r>
      <w:r w:rsidR="00864F6D" w:rsidRPr="00D00D93">
        <w:t>e</w:t>
      </w:r>
      <w:r w:rsidR="00595566" w:rsidRPr="00D00D93">
        <w:t xml:space="preserve"> </w:t>
      </w:r>
      <w:r w:rsidR="00864F6D" w:rsidRPr="00D00D93">
        <w:t>asunto</w:t>
      </w:r>
      <w:r w:rsidR="00622ACC" w:rsidRPr="00D00D93">
        <w:t>.</w:t>
      </w:r>
    </w:p>
    <w:p w:rsidR="0067486D" w:rsidRPr="00D00D93" w:rsidRDefault="00FB7F02" w:rsidP="00740EFC">
      <w:pPr>
        <w:pStyle w:val="ONUMFS"/>
      </w:pPr>
      <w:r w:rsidRPr="00D00D93">
        <w:t xml:space="preserve">Las Administraciones </w:t>
      </w:r>
      <w:r w:rsidR="00595566" w:rsidRPr="00D00D93">
        <w:t xml:space="preserve">reconocieron la importancia cada vez mayor de </w:t>
      </w:r>
      <w:r w:rsidR="00E02F4C" w:rsidRPr="00D00D93">
        <w:t xml:space="preserve">los temas </w:t>
      </w:r>
      <w:r w:rsidR="00595566" w:rsidRPr="00D00D93">
        <w:t xml:space="preserve">que se </w:t>
      </w:r>
      <w:r w:rsidR="00373463" w:rsidRPr="00D00D93">
        <w:t xml:space="preserve">abordan </w:t>
      </w:r>
      <w:r w:rsidR="0067486D" w:rsidRPr="00D00D93">
        <w:t xml:space="preserve">en el </w:t>
      </w:r>
      <w:r w:rsidR="00595566" w:rsidRPr="00D00D93">
        <w:t>documento</w:t>
      </w:r>
      <w:r w:rsidR="001B7D70" w:rsidRPr="00D00D93">
        <w:t xml:space="preserve">.  </w:t>
      </w:r>
      <w:r w:rsidR="00595566" w:rsidRPr="00D00D93">
        <w:t xml:space="preserve">Sin embargo, </w:t>
      </w:r>
      <w:r w:rsidR="00DB1D8C" w:rsidRPr="00D00D93">
        <w:t xml:space="preserve">manifestaron no haber podido comentarlas en detalle, </w:t>
      </w:r>
      <w:r w:rsidR="005E3C1B" w:rsidRPr="00D00D93">
        <w:t xml:space="preserve">debido al escaso tiempo transcurrido desde </w:t>
      </w:r>
      <w:r w:rsidR="00DB1D8C" w:rsidRPr="00D00D93">
        <w:t xml:space="preserve">la publicación del </w:t>
      </w:r>
      <w:r w:rsidR="005E3C1B" w:rsidRPr="00D00D93">
        <w:t>informe</w:t>
      </w:r>
      <w:r w:rsidR="001B7D70" w:rsidRPr="00D00D93">
        <w:t xml:space="preserve">.  </w:t>
      </w:r>
      <w:r w:rsidR="0067486D" w:rsidRPr="00D00D93">
        <w:t xml:space="preserve">La OEP </w:t>
      </w:r>
      <w:r w:rsidR="005E3C1B" w:rsidRPr="00D00D93">
        <w:t xml:space="preserve">observó </w:t>
      </w:r>
      <w:r w:rsidR="0067486D" w:rsidRPr="00D00D93">
        <w:t>que, si bien el año anterior había preparado un docum</w:t>
      </w:r>
      <w:r w:rsidR="00DB1D8C" w:rsidRPr="00D00D93">
        <w:t>e</w:t>
      </w:r>
      <w:r w:rsidR="0067486D" w:rsidRPr="00D00D93">
        <w:t xml:space="preserve">nto sobre el tema </w:t>
      </w:r>
      <w:r w:rsidR="00864F6D" w:rsidRPr="00D00D93">
        <w:t xml:space="preserve">para </w:t>
      </w:r>
      <w:r w:rsidR="00373463" w:rsidRPr="00D00D93">
        <w:t xml:space="preserve">examinarlo </w:t>
      </w:r>
      <w:r w:rsidR="00E02F4C" w:rsidRPr="00D00D93">
        <w:t xml:space="preserve">de manera </w:t>
      </w:r>
      <w:r w:rsidR="00373463" w:rsidRPr="00D00D93">
        <w:t xml:space="preserve">preliminar </w:t>
      </w:r>
      <w:r w:rsidR="0067486D" w:rsidRPr="00D00D93">
        <w:t xml:space="preserve">con algunas Oficinas en </w:t>
      </w:r>
      <w:r w:rsidR="00E02F4C" w:rsidRPr="00D00D93">
        <w:t xml:space="preserve">un </w:t>
      </w:r>
      <w:r w:rsidR="0067486D" w:rsidRPr="00D00D93">
        <w:t>foro</w:t>
      </w:r>
      <w:r w:rsidR="00E02F4C" w:rsidRPr="00D00D93">
        <w:t xml:space="preserve"> distinto</w:t>
      </w:r>
      <w:r w:rsidR="0067486D" w:rsidRPr="00D00D93">
        <w:t xml:space="preserve">, ese documento </w:t>
      </w:r>
      <w:r w:rsidR="005E3C1B" w:rsidRPr="00D00D93">
        <w:t xml:space="preserve">se ha </w:t>
      </w:r>
      <w:r w:rsidR="00E02F4C" w:rsidRPr="00D00D93">
        <w:t xml:space="preserve">visto retrasado </w:t>
      </w:r>
      <w:r w:rsidR="005E3C1B" w:rsidRPr="00D00D93">
        <w:t xml:space="preserve">por la necesidad </w:t>
      </w:r>
      <w:r w:rsidR="00373463" w:rsidRPr="00D00D93">
        <w:t xml:space="preserve">de </w:t>
      </w:r>
      <w:r w:rsidR="005E3C1B" w:rsidRPr="00D00D93">
        <w:t xml:space="preserve">recabar y analizar </w:t>
      </w:r>
      <w:r w:rsidR="00E02F4C" w:rsidRPr="00D00D93">
        <w:t xml:space="preserve">observaciones </w:t>
      </w:r>
      <w:r w:rsidR="005E3C1B" w:rsidRPr="00D00D93">
        <w:t xml:space="preserve">de los usuarios a través de un cuestionario dirigido a esas </w:t>
      </w:r>
      <w:r w:rsidR="0067486D" w:rsidRPr="00D00D93">
        <w:t>Of</w:t>
      </w:r>
      <w:r w:rsidR="005E3C1B" w:rsidRPr="00D00D93">
        <w:t>icinas</w:t>
      </w:r>
      <w:r w:rsidR="0067486D" w:rsidRPr="00D00D93">
        <w:t>.</w:t>
      </w:r>
    </w:p>
    <w:p w:rsidR="008C3651" w:rsidRPr="00D00D93" w:rsidRDefault="00FB7F02" w:rsidP="00740EFC">
      <w:pPr>
        <w:pStyle w:val="ONUMFS"/>
      </w:pPr>
      <w:r w:rsidRPr="00D00D93">
        <w:t xml:space="preserve">Algunas Administraciones </w:t>
      </w:r>
      <w:r w:rsidR="00864F6D" w:rsidRPr="00D00D93">
        <w:t xml:space="preserve">formularon </w:t>
      </w:r>
      <w:r w:rsidR="005E3C1B" w:rsidRPr="00D00D93">
        <w:t xml:space="preserve">sus </w:t>
      </w:r>
      <w:r w:rsidR="00E02F4C" w:rsidRPr="00D00D93">
        <w:t>observaciones</w:t>
      </w:r>
      <w:r w:rsidR="005E3C1B" w:rsidRPr="00D00D93">
        <w:t xml:space="preserve"> iniciales </w:t>
      </w:r>
      <w:r w:rsidR="00161C94" w:rsidRPr="00D00D93">
        <w:t xml:space="preserve">sobre esas cuestiones, </w:t>
      </w:r>
      <w:r w:rsidR="00373463" w:rsidRPr="00D00D93">
        <w:t xml:space="preserve">manifestando </w:t>
      </w:r>
      <w:r w:rsidR="00E02F4C" w:rsidRPr="00D00D93">
        <w:t xml:space="preserve">acoger algunas de ellas </w:t>
      </w:r>
      <w:r w:rsidR="008C3651" w:rsidRPr="00D00D93">
        <w:t xml:space="preserve">con </w:t>
      </w:r>
      <w:r w:rsidR="00161C94" w:rsidRPr="00D00D93">
        <w:t xml:space="preserve">simpatía </w:t>
      </w:r>
      <w:r w:rsidR="008C3651" w:rsidRPr="00D00D93">
        <w:t xml:space="preserve">cualquier </w:t>
      </w:r>
      <w:r w:rsidR="00161C94" w:rsidRPr="00D00D93">
        <w:t>eventual modificación de la Regla</w:t>
      </w:r>
      <w:r w:rsidR="008C3651" w:rsidRPr="00D00D93">
        <w:t> 80.5,</w:t>
      </w:r>
      <w:r w:rsidR="001B7D70" w:rsidRPr="00D00D93">
        <w:t xml:space="preserve"> </w:t>
      </w:r>
      <w:r w:rsidR="008C3651" w:rsidRPr="00D00D93">
        <w:t xml:space="preserve">mientras que otras consideraron inapropiado aplicar esa Regla a los tiempos de parada de los sistemas de presentación electrónica de las Oficinas </w:t>
      </w:r>
      <w:r w:rsidR="009956EA" w:rsidRPr="00D00D93">
        <w:t>de PI</w:t>
      </w:r>
      <w:r w:rsidR="008C3651" w:rsidRPr="00D00D93">
        <w:t xml:space="preserve">. </w:t>
      </w:r>
    </w:p>
    <w:p w:rsidR="00831890" w:rsidRPr="00D00D93" w:rsidRDefault="00FB7F02" w:rsidP="00740EFC">
      <w:pPr>
        <w:pStyle w:val="ONUMFS"/>
      </w:pPr>
      <w:r w:rsidRPr="00D00D93">
        <w:t>La Oficina de Patentes y Marcas de los Estados Unidos de América (</w:t>
      </w:r>
      <w:r w:rsidR="001B7D70" w:rsidRPr="00D00D93">
        <w:t>USPTO</w:t>
      </w:r>
      <w:r w:rsidRPr="00D00D93">
        <w:t>)</w:t>
      </w:r>
      <w:r w:rsidR="001B7D70" w:rsidRPr="00D00D93">
        <w:t xml:space="preserve"> </w:t>
      </w:r>
      <w:r w:rsidR="008C3651" w:rsidRPr="00D00D93">
        <w:t>observó q</w:t>
      </w:r>
      <w:r w:rsidR="00B55D4D" w:rsidRPr="00D00D93">
        <w:t>ue, durante la octava reunión del Grupo de Trabajo del PCT</w:t>
      </w:r>
      <w:r w:rsidR="00831890" w:rsidRPr="00D00D93">
        <w:t xml:space="preserve">, se había </w:t>
      </w:r>
      <w:r w:rsidR="00147E73" w:rsidRPr="00D00D93">
        <w:t xml:space="preserve">aceptado </w:t>
      </w:r>
      <w:r w:rsidR="00831890" w:rsidRPr="00D00D93">
        <w:t>(véanse los párrafos  402 y  403 del Informe de esa sesión, documento PCT/WG/8/26) la necesidad de llevar a cabo una interpretación restrictiva de la Regla</w:t>
      </w:r>
      <w:r w:rsidR="001B7D70" w:rsidRPr="00D00D93">
        <w:t> 82</w:t>
      </w:r>
      <w:r w:rsidR="001B7D70" w:rsidRPr="00D00D93">
        <w:rPr>
          <w:i/>
        </w:rPr>
        <w:t>quater</w:t>
      </w:r>
      <w:r w:rsidR="001B7D70" w:rsidRPr="00D00D93">
        <w:t xml:space="preserve"> </w:t>
      </w:r>
      <w:r w:rsidR="00B55D4D" w:rsidRPr="00D00D93">
        <w:t xml:space="preserve">y que </w:t>
      </w:r>
      <w:r w:rsidR="00831890" w:rsidRPr="00D00D93">
        <w:t xml:space="preserve">durante sus debates ella misma </w:t>
      </w:r>
      <w:r w:rsidR="00B55D4D" w:rsidRPr="00D00D93">
        <w:t xml:space="preserve">había </w:t>
      </w:r>
      <w:r w:rsidR="00BE1796" w:rsidRPr="00D00D93">
        <w:t xml:space="preserve">hecho depender la aceptación por su parte de cualquier modificación de la Norma que </w:t>
      </w:r>
      <w:r w:rsidR="008A745F" w:rsidRPr="00D00D93">
        <w:t xml:space="preserve">abarque </w:t>
      </w:r>
      <w:r w:rsidR="00BE1796" w:rsidRPr="00D00D93">
        <w:t xml:space="preserve">una indisponibilidad generalizada de los servicios de comunicación electrónica </w:t>
      </w:r>
      <w:r w:rsidR="0062775A" w:rsidRPr="00D00D93">
        <w:t>de la adopción de una directriz en ese sentido</w:t>
      </w:r>
      <w:r w:rsidR="00831890" w:rsidRPr="00D00D93">
        <w:t>.  Dijo que su postura sobre esa cuestión no ha cambiado.</w:t>
      </w:r>
    </w:p>
    <w:p w:rsidR="0067486D" w:rsidRPr="00D00D93" w:rsidRDefault="0067486D" w:rsidP="00740EFC">
      <w:pPr>
        <w:pStyle w:val="ONUMFS"/>
        <w:tabs>
          <w:tab w:val="clear" w:pos="567"/>
        </w:tabs>
        <w:ind w:left="567"/>
      </w:pPr>
      <w:r w:rsidRPr="00D00D93">
        <w:t>La Reunión tomó nota de que la OEP pre</w:t>
      </w:r>
      <w:r w:rsidR="00B55D4D" w:rsidRPr="00D00D93">
        <w:t>t</w:t>
      </w:r>
      <w:r w:rsidRPr="00D00D93">
        <w:t xml:space="preserve">ende seguir reuniendo información con miras a decidir si </w:t>
      </w:r>
      <w:r w:rsidR="005E3C1B" w:rsidRPr="00D00D93">
        <w:t xml:space="preserve">formula </w:t>
      </w:r>
      <w:r w:rsidRPr="00D00D93">
        <w:t xml:space="preserve">propuestas que someter a la consideración del Grupo de Trabajo del PCT. </w:t>
      </w:r>
    </w:p>
    <w:p w:rsidR="001B7D70" w:rsidRPr="00D00D93" w:rsidRDefault="00BD2442" w:rsidP="001B7D70">
      <w:pPr>
        <w:pStyle w:val="Heading1"/>
        <w:keepNext w:val="0"/>
      </w:pPr>
      <w:r w:rsidRPr="00D00D93">
        <w:t xml:space="preserve">PUNTO </w:t>
      </w:r>
      <w:r w:rsidR="001B7D70" w:rsidRPr="00D00D93">
        <w:t>9</w:t>
      </w:r>
      <w:proofErr w:type="gramStart"/>
      <w:r w:rsidR="001B7D70" w:rsidRPr="00D00D93">
        <w:t xml:space="preserve">:  </w:t>
      </w:r>
      <w:r w:rsidR="009831DE" w:rsidRPr="00D00D93">
        <w:t>DESARROLLO</w:t>
      </w:r>
      <w:proofErr w:type="gramEnd"/>
      <w:r w:rsidR="009831DE" w:rsidRPr="00D00D93">
        <w:t xml:space="preserve"> FUTURO DEL </w:t>
      </w:r>
      <w:r w:rsidR="001B7D70" w:rsidRPr="00D00D93">
        <w:t>PCT</w:t>
      </w:r>
    </w:p>
    <w:p w:rsidR="001B7D70" w:rsidRPr="00D00D93" w:rsidRDefault="004A3F02" w:rsidP="00740EFC">
      <w:pPr>
        <w:pStyle w:val="ONUMFS"/>
      </w:pPr>
      <w:r w:rsidRPr="00D00D93">
        <w:t xml:space="preserve">Los debates se basaron en el documento </w:t>
      </w:r>
      <w:r w:rsidR="001B7D70" w:rsidRPr="00D00D93">
        <w:t>PCT/MIA/25/10.</w:t>
      </w:r>
    </w:p>
    <w:p w:rsidR="00462E8C" w:rsidRPr="00D00D93" w:rsidRDefault="00462E8C" w:rsidP="00740EFC">
      <w:pPr>
        <w:pStyle w:val="ONUMFS"/>
      </w:pPr>
      <w:r w:rsidRPr="00D00D93">
        <w:t xml:space="preserve">La Oficina Internacional señaló que está planteándose la posibilidad de presentar un documento al Grupo del Trabajo del PCT </w:t>
      </w:r>
      <w:r w:rsidR="002E6C39" w:rsidRPr="00D00D93">
        <w:t xml:space="preserve">que </w:t>
      </w:r>
      <w:r w:rsidR="008A745F" w:rsidRPr="00D00D93">
        <w:t xml:space="preserve">aborde una revisión de </w:t>
      </w:r>
      <w:r w:rsidRPr="00D00D93">
        <w:t>las recomendaciones de la “hoja de ruta del PCT” suscri</w:t>
      </w:r>
      <w:r w:rsidR="00874B50" w:rsidRPr="00D00D93">
        <w:t>tas por los Estados miembros en</w:t>
      </w:r>
      <w:r w:rsidR="00D00D93">
        <w:t xml:space="preserve"> </w:t>
      </w:r>
      <w:r w:rsidRPr="00D00D93">
        <w:t xml:space="preserve">2010 y </w:t>
      </w:r>
      <w:r w:rsidR="008A745F" w:rsidRPr="00D00D93">
        <w:t xml:space="preserve">establezca </w:t>
      </w:r>
      <w:r w:rsidRPr="00D00D93">
        <w:t xml:space="preserve">la </w:t>
      </w:r>
      <w:r w:rsidRPr="00D00D93">
        <w:lastRenderedPageBreak/>
        <w:t xml:space="preserve">conveniencia de seguir proporcionando orientaciones </w:t>
      </w:r>
      <w:r w:rsidR="008A745F" w:rsidRPr="00D00D93">
        <w:t xml:space="preserve">para </w:t>
      </w:r>
      <w:r w:rsidRPr="00D00D93">
        <w:t>garantizar que las diversas l</w:t>
      </w:r>
      <w:r w:rsidR="0095325B" w:rsidRPr="00D00D93">
        <w:t>í</w:t>
      </w:r>
      <w:r w:rsidRPr="00D00D93">
        <w:t>neas de trabajo adoptadas en relación con el desarrollo del sistema del PCT satisfacen las necesidades actuales del sistema y están en consonancia.</w:t>
      </w:r>
    </w:p>
    <w:p w:rsidR="00462E8C" w:rsidRPr="00D00D93" w:rsidRDefault="00462E8C" w:rsidP="00740EFC">
      <w:pPr>
        <w:pStyle w:val="ONUMFS"/>
      </w:pPr>
      <w:r w:rsidRPr="00D00D93">
        <w:t xml:space="preserve">Las Administraciones acogieron favorablemente </w:t>
      </w:r>
      <w:r w:rsidR="002E6C39" w:rsidRPr="00D00D93">
        <w:t xml:space="preserve">la idea de </w:t>
      </w:r>
      <w:r w:rsidRPr="00D00D93">
        <w:t xml:space="preserve">un examen de ese tipo y convinieron en que las cuestiones señaladas son pertinentes e importantes.  Sin embargo, algunas Administraciones pidieron dotar al examen de un alcance más amplio a fin de que también identifique, compare y sitúe en contexto el amplio abanico de propuestas que las Oficinas y Estados miembros </w:t>
      </w:r>
      <w:r w:rsidR="0072587C" w:rsidRPr="00D00D93">
        <w:t xml:space="preserve">han presentado </w:t>
      </w:r>
      <w:r w:rsidRPr="00D00D93">
        <w:t xml:space="preserve">en el </w:t>
      </w:r>
      <w:r w:rsidR="008A745F" w:rsidRPr="00D00D93">
        <w:t>ínterin</w:t>
      </w:r>
      <w:r w:rsidRPr="00D00D93">
        <w:t xml:space="preserve">. </w:t>
      </w:r>
    </w:p>
    <w:p w:rsidR="00041E45" w:rsidRPr="00D00D93" w:rsidRDefault="00041E45" w:rsidP="00740EFC">
      <w:pPr>
        <w:pStyle w:val="ONUMFS"/>
      </w:pPr>
      <w:r w:rsidRPr="00D00D93">
        <w:t xml:space="preserve">Varias Administraciones acogieron </w:t>
      </w:r>
      <w:r w:rsidR="00BA1016" w:rsidRPr="00D00D93">
        <w:t xml:space="preserve">con satisfacción </w:t>
      </w:r>
      <w:r w:rsidR="002E6C39" w:rsidRPr="00D00D93">
        <w:t xml:space="preserve">un </w:t>
      </w:r>
      <w:r w:rsidRPr="00D00D93">
        <w:t xml:space="preserve">enfoque </w:t>
      </w:r>
      <w:r w:rsidR="00BA1016" w:rsidRPr="00D00D93">
        <w:t xml:space="preserve">con </w:t>
      </w:r>
      <w:r w:rsidRPr="00D00D93">
        <w:t xml:space="preserve">el que </w:t>
      </w:r>
      <w:r w:rsidR="00BA1016" w:rsidRPr="00D00D93">
        <w:t xml:space="preserve">fundamentalmente </w:t>
      </w:r>
      <w:r w:rsidRPr="00D00D93">
        <w:t xml:space="preserve">se </w:t>
      </w:r>
      <w:r w:rsidR="008A745F" w:rsidRPr="00D00D93">
        <w:t xml:space="preserve">persigue </w:t>
      </w:r>
      <w:r w:rsidR="00BA1016" w:rsidRPr="00D00D93">
        <w:t xml:space="preserve">habilitar </w:t>
      </w:r>
      <w:r w:rsidRPr="00D00D93">
        <w:t>mejoras adminis</w:t>
      </w:r>
      <w:r w:rsidR="00BA1016" w:rsidRPr="00D00D93">
        <w:t>t</w:t>
      </w:r>
      <w:r w:rsidRPr="00D00D93">
        <w:t xml:space="preserve">rativas en el contexto del marco jurídico existente, incluyendo avances </w:t>
      </w:r>
      <w:r w:rsidR="00BA1016" w:rsidRPr="00D00D93">
        <w:t>en materia de</w:t>
      </w:r>
      <w:r w:rsidR="009956EA" w:rsidRPr="00D00D93">
        <w:t> </w:t>
      </w:r>
      <w:r w:rsidRPr="00D00D93">
        <w:t xml:space="preserve">TI y </w:t>
      </w:r>
      <w:r w:rsidR="00BA1016" w:rsidRPr="00D00D93">
        <w:t xml:space="preserve">medidas encaminadas a </w:t>
      </w:r>
      <w:r w:rsidRPr="00D00D93">
        <w:t>mejorar la calidad de los informes</w:t>
      </w:r>
      <w:r w:rsidR="00BA1016" w:rsidRPr="00D00D93">
        <w:t xml:space="preserve"> </w:t>
      </w:r>
      <w:r w:rsidRPr="00D00D93">
        <w:t>y de la información sobre patentes.</w:t>
      </w:r>
    </w:p>
    <w:p w:rsidR="000939F9" w:rsidRPr="00D00D93" w:rsidRDefault="00BA1016" w:rsidP="00740EFC">
      <w:pPr>
        <w:pStyle w:val="ONUMFS"/>
      </w:pPr>
      <w:r w:rsidRPr="00D00D93">
        <w:t xml:space="preserve">Una </w:t>
      </w:r>
      <w:r w:rsidR="00636E19" w:rsidRPr="00D00D93">
        <w:t xml:space="preserve">Administración </w:t>
      </w:r>
      <w:r w:rsidR="000939F9" w:rsidRPr="00D00D93">
        <w:t>se congratuló en líneas ge</w:t>
      </w:r>
      <w:r w:rsidR="0095325B" w:rsidRPr="00D00D93">
        <w:t>n</w:t>
      </w:r>
      <w:r w:rsidR="000939F9" w:rsidRPr="00D00D93">
        <w:t>erales del examen</w:t>
      </w:r>
      <w:r w:rsidR="001B7D70" w:rsidRPr="00D00D93">
        <w:t xml:space="preserve">, </w:t>
      </w:r>
      <w:r w:rsidR="000939F9" w:rsidRPr="00D00D93">
        <w:t>y señaló que muchas medidas positivas, como las estrategias de búsqueda y los</w:t>
      </w:r>
      <w:r w:rsidR="001B7D70" w:rsidRPr="00D00D93">
        <w:t xml:space="preserve"> </w:t>
      </w:r>
      <w:r w:rsidR="000939F9" w:rsidRPr="00D00D93">
        <w:t xml:space="preserve">mecanismos </w:t>
      </w:r>
      <w:r w:rsidR="009C3AA8" w:rsidRPr="00D00D93">
        <w:t xml:space="preserve">de </w:t>
      </w:r>
      <w:r w:rsidR="000939F9" w:rsidRPr="00D00D93">
        <w:t xml:space="preserve">formulación de </w:t>
      </w:r>
      <w:r w:rsidR="002C5E55" w:rsidRPr="00D00D93">
        <w:t>observaciones</w:t>
      </w:r>
      <w:r w:rsidR="001B7D70" w:rsidRPr="00D00D93">
        <w:t xml:space="preserve">, </w:t>
      </w:r>
      <w:r w:rsidR="000939F9" w:rsidRPr="00D00D93">
        <w:t xml:space="preserve">ya habían sido introducidas o estaban en vías de serlo en cumplimiento de las correspondientes recomendaciones.  Sin embargo, dijo que el examen </w:t>
      </w:r>
      <w:r w:rsidR="008A745F" w:rsidRPr="00D00D93">
        <w:t xml:space="preserve">debería </w:t>
      </w:r>
      <w:r w:rsidR="000939F9" w:rsidRPr="00D00D93">
        <w:t xml:space="preserve">tener también en cuenta ámbitos que preocupan a los Estados miembros.  Concretamente, la Administración reiteró la preocupación, ya manifestada en </w:t>
      </w:r>
      <w:r w:rsidR="008A745F" w:rsidRPr="00D00D93">
        <w:t xml:space="preserve">sesiones </w:t>
      </w:r>
      <w:r w:rsidR="000939F9" w:rsidRPr="00D00D93">
        <w:t>anteriores, de que la integración del procedimiento acelerado de examen de solicitudes de patente</w:t>
      </w:r>
      <w:r w:rsidR="006E3258">
        <w:t xml:space="preserve"> (PPH)</w:t>
      </w:r>
      <w:r w:rsidR="000939F9" w:rsidRPr="00D00D93">
        <w:t xml:space="preserve"> </w:t>
      </w:r>
      <w:r w:rsidR="00462E8C" w:rsidRPr="00D00D93">
        <w:t xml:space="preserve">en el </w:t>
      </w:r>
      <w:r w:rsidR="000939F9" w:rsidRPr="00D00D93">
        <w:t xml:space="preserve">PCT </w:t>
      </w:r>
      <w:r w:rsidR="002E6C39" w:rsidRPr="00D00D93">
        <w:t xml:space="preserve">resultaría inconveniente </w:t>
      </w:r>
      <w:r w:rsidR="00462E8C" w:rsidRPr="00D00D93">
        <w:t>para algunos Estados miembros</w:t>
      </w:r>
      <w:r w:rsidR="000939F9" w:rsidRPr="00D00D93">
        <w:t xml:space="preserve">, </w:t>
      </w:r>
      <w:r w:rsidR="00462E8C" w:rsidRPr="00D00D93">
        <w:t xml:space="preserve">pues es probable que entorpezca la puesta en práctica de las recomendaciones en materia de asistencia técnica de la hoja de ruta del PCT o la Agenda de la OMPI para el Desarrollo. </w:t>
      </w:r>
    </w:p>
    <w:p w:rsidR="00BA1016" w:rsidRPr="00D00D93" w:rsidRDefault="00BA1016" w:rsidP="00740EFC">
      <w:pPr>
        <w:pStyle w:val="ONUMFS"/>
      </w:pPr>
      <w:r w:rsidRPr="00D00D93">
        <w:t xml:space="preserve">La </w:t>
      </w:r>
      <w:r w:rsidR="005B1DAD" w:rsidRPr="00D00D93">
        <w:t>Oficina Internacional</w:t>
      </w:r>
      <w:r w:rsidR="001B7D70" w:rsidRPr="00D00D93">
        <w:t xml:space="preserve"> </w:t>
      </w:r>
      <w:r w:rsidR="00462E8C" w:rsidRPr="00D00D93">
        <w:t xml:space="preserve">manifestó </w:t>
      </w:r>
      <w:r w:rsidRPr="00D00D93">
        <w:t xml:space="preserve">haber tomado nota de los comentarios formulados por las Administraciones y dijo que los tendrá en cuenta </w:t>
      </w:r>
      <w:r w:rsidR="00462E8C" w:rsidRPr="00D00D93">
        <w:t xml:space="preserve">al preparar </w:t>
      </w:r>
      <w:r w:rsidRPr="00D00D93">
        <w:t>el documento de trabajo que se examinará en la próxima reunión del Grupo de Tra</w:t>
      </w:r>
      <w:r w:rsidR="0095325B" w:rsidRPr="00D00D93">
        <w:t>b</w:t>
      </w:r>
      <w:r w:rsidRPr="00D00D93">
        <w:t xml:space="preserve">ajo, </w:t>
      </w:r>
      <w:r w:rsidR="002E6C39" w:rsidRPr="00D00D93">
        <w:t xml:space="preserve">que tendrá lugar </w:t>
      </w:r>
      <w:r w:rsidRPr="00D00D93">
        <w:t xml:space="preserve">en junio </w:t>
      </w:r>
      <w:r w:rsidR="009956EA" w:rsidRPr="00D00D93">
        <w:t>de 20</w:t>
      </w:r>
      <w:r w:rsidR="00EE0128">
        <w:t>1</w:t>
      </w:r>
      <w:r w:rsidRPr="00D00D93">
        <w:t xml:space="preserve">8. </w:t>
      </w:r>
    </w:p>
    <w:p w:rsidR="001B7D70" w:rsidRPr="00D00D93" w:rsidRDefault="00BD2442" w:rsidP="001B7D70">
      <w:pPr>
        <w:pStyle w:val="Heading1"/>
        <w:keepNext w:val="0"/>
      </w:pPr>
      <w:r w:rsidRPr="00D00D93">
        <w:t xml:space="preserve">PUNTO </w:t>
      </w:r>
      <w:r w:rsidR="001B7D70" w:rsidRPr="00D00D93">
        <w:t>10</w:t>
      </w:r>
      <w:proofErr w:type="gramStart"/>
      <w:r w:rsidR="001B7D70" w:rsidRPr="00D00D93">
        <w:t>:  Promo</w:t>
      </w:r>
      <w:r w:rsidR="008644BA" w:rsidRPr="00D00D93">
        <w:t>CIÓN</w:t>
      </w:r>
      <w:proofErr w:type="gramEnd"/>
      <w:r w:rsidR="008644BA" w:rsidRPr="00D00D93">
        <w:t xml:space="preserve"> DE LA INTERRELACIÓN ENTRE LAS FASES INTERNACIONAL Y NACIONAL </w:t>
      </w:r>
    </w:p>
    <w:p w:rsidR="001B7D70" w:rsidRPr="00D00D93" w:rsidRDefault="004A3F02" w:rsidP="00740EFC">
      <w:pPr>
        <w:pStyle w:val="ONUMFS"/>
      </w:pPr>
      <w:r w:rsidRPr="00D00D93">
        <w:t xml:space="preserve">Los debates se basaron en el documento </w:t>
      </w:r>
      <w:r w:rsidR="001B7D70" w:rsidRPr="00D00D93">
        <w:t>PCT/MIA/25/3.</w:t>
      </w:r>
    </w:p>
    <w:p w:rsidR="00AB59C5" w:rsidRPr="00D00D93" w:rsidRDefault="00462E8C" w:rsidP="00740EFC">
      <w:pPr>
        <w:pStyle w:val="ONUMFS"/>
      </w:pPr>
      <w:r w:rsidRPr="00D00D93">
        <w:t xml:space="preserve">Las </w:t>
      </w:r>
      <w:r w:rsidR="005B1DAD" w:rsidRPr="00D00D93">
        <w:t>Administraciones</w:t>
      </w:r>
      <w:r w:rsidR="001B7D70" w:rsidRPr="00D00D93">
        <w:t xml:space="preserve"> </w:t>
      </w:r>
      <w:r w:rsidRPr="00D00D93">
        <w:t xml:space="preserve">reiteraron su apoyo a los principios </w:t>
      </w:r>
      <w:r w:rsidR="00500852" w:rsidRPr="00D00D93">
        <w:t xml:space="preserve">en los que se basan las propuestas que figuran en el cuerpo principal del documento PCT/MIA/25/3.  </w:t>
      </w:r>
      <w:r w:rsidR="000F6AA7" w:rsidRPr="00D00D93">
        <w:t xml:space="preserve">Tras afirmarse que </w:t>
      </w:r>
      <w:r w:rsidR="00500852" w:rsidRPr="00D00D93">
        <w:t xml:space="preserve">la identificación de las partes pertinentes de los equivalentes en inglés de los documentos citados que </w:t>
      </w:r>
      <w:r w:rsidR="0072587C" w:rsidRPr="00D00D93">
        <w:t xml:space="preserve">plantea </w:t>
      </w:r>
      <w:r w:rsidR="00500852" w:rsidRPr="00D00D93">
        <w:t xml:space="preserve">una de las propuestas </w:t>
      </w:r>
      <w:r w:rsidR="000F6AA7" w:rsidRPr="00D00D93">
        <w:t xml:space="preserve">es </w:t>
      </w:r>
      <w:r w:rsidR="00500852" w:rsidRPr="00D00D93">
        <w:t xml:space="preserve">una buena práctica que </w:t>
      </w:r>
      <w:r w:rsidR="000F6AA7" w:rsidRPr="00D00D93">
        <w:t>mejorará la accesibilidad d</w:t>
      </w:r>
      <w:r w:rsidR="00500852" w:rsidRPr="00D00D93">
        <w:t xml:space="preserve">el informe de búsqueda internacional para un amplio </w:t>
      </w:r>
      <w:r w:rsidR="000F6AA7" w:rsidRPr="00D00D93">
        <w:t xml:space="preserve">elenco </w:t>
      </w:r>
      <w:r w:rsidR="00500852" w:rsidRPr="00D00D93">
        <w:t xml:space="preserve">de Oficinas designadas, una Administración sugirió </w:t>
      </w:r>
      <w:r w:rsidR="005B3921" w:rsidRPr="00D00D93">
        <w:t xml:space="preserve">que se dé una redacción más clara a </w:t>
      </w:r>
      <w:r w:rsidR="0072587C" w:rsidRPr="00D00D93">
        <w:t xml:space="preserve">la </w:t>
      </w:r>
      <w:r w:rsidR="005B3921" w:rsidRPr="00D00D93">
        <w:t xml:space="preserve">propuesta </w:t>
      </w:r>
      <w:r w:rsidR="0072587C" w:rsidRPr="00D00D93">
        <w:t xml:space="preserve">a fin de configurarla </w:t>
      </w:r>
      <w:r w:rsidR="003E3F23" w:rsidRPr="00D00D93">
        <w:t xml:space="preserve">como </w:t>
      </w:r>
      <w:r w:rsidR="005B3921" w:rsidRPr="00D00D93">
        <w:t xml:space="preserve">una </w:t>
      </w:r>
      <w:r w:rsidR="00500852" w:rsidRPr="00D00D93">
        <w:t xml:space="preserve">recomendación </w:t>
      </w:r>
      <w:r w:rsidR="0072587C" w:rsidRPr="00D00D93">
        <w:t xml:space="preserve">y no </w:t>
      </w:r>
      <w:r w:rsidR="005B3921" w:rsidRPr="00D00D93">
        <w:t xml:space="preserve">como un requisito para </w:t>
      </w:r>
      <w:r w:rsidR="00500852" w:rsidRPr="00D00D93">
        <w:t xml:space="preserve">los examinadores.  </w:t>
      </w:r>
      <w:r w:rsidR="003E3F23" w:rsidRPr="00D00D93">
        <w:t xml:space="preserve">El énfasis en la conveniencia de </w:t>
      </w:r>
      <w:r w:rsidR="00AB59C5" w:rsidRPr="00D00D93">
        <w:t xml:space="preserve">que se </w:t>
      </w:r>
      <w:r w:rsidR="002E6C39" w:rsidRPr="00D00D93">
        <w:t xml:space="preserve">realicen </w:t>
      </w:r>
      <w:r w:rsidR="003E3F23" w:rsidRPr="00D00D93">
        <w:t xml:space="preserve">búsquedas respecto de materias que no sean patentables de conformidad con la legislación </w:t>
      </w:r>
      <w:r w:rsidR="0072587C" w:rsidRPr="00D00D93">
        <w:t xml:space="preserve">nacional </w:t>
      </w:r>
      <w:r w:rsidR="003E3F23" w:rsidRPr="00D00D93">
        <w:t>de una determinada Administración encargada de la búsqueda internacional obedece a que de esa manera se ampliar</w:t>
      </w:r>
      <w:r w:rsidR="0072587C" w:rsidRPr="00D00D93">
        <w:t>ía</w:t>
      </w:r>
      <w:r w:rsidR="003E3F23" w:rsidRPr="00D00D93">
        <w:t xml:space="preserve"> la información a disposición </w:t>
      </w:r>
      <w:r w:rsidR="00AB59C5" w:rsidRPr="00D00D93">
        <w:t>de otras Oficinas en tan</w:t>
      </w:r>
      <w:r w:rsidR="002E6C39" w:rsidRPr="00D00D93">
        <w:t>t</w:t>
      </w:r>
      <w:r w:rsidR="00AB59C5" w:rsidRPr="00D00D93">
        <w:t xml:space="preserve">o que Oficinas designadas, si bien </w:t>
      </w:r>
      <w:r w:rsidR="0072587C" w:rsidRPr="00D00D93">
        <w:t xml:space="preserve">también </w:t>
      </w:r>
      <w:r w:rsidR="00AB59C5" w:rsidRPr="00D00D93">
        <w:t xml:space="preserve">se puso el acento en que una búsqueda eficaz puede no resultar siempre viable, debido, por ejemplo, a la carencia de conocimientos técnicos en materias que no son patentables.  Una delegación añadió que </w:t>
      </w:r>
      <w:r w:rsidR="0072587C" w:rsidRPr="00D00D93">
        <w:t xml:space="preserve">debería seguir evaluándose </w:t>
      </w:r>
      <w:r w:rsidR="00AB59C5" w:rsidRPr="00D00D93">
        <w:t xml:space="preserve">el uso de los resultados de la búsqueda internacional en la fase nacional.  </w:t>
      </w:r>
      <w:r w:rsidR="008D5603" w:rsidRPr="00D00D93">
        <w:t>La propuesta de aclaración de los objetivos atine</w:t>
      </w:r>
      <w:r w:rsidR="0095325B" w:rsidRPr="00D00D93">
        <w:t>n</w:t>
      </w:r>
      <w:r w:rsidR="008D5603" w:rsidRPr="00D00D93">
        <w:t xml:space="preserve">tes a la identificación de los defectos de forma y contenido podría </w:t>
      </w:r>
      <w:r w:rsidR="0072587C" w:rsidRPr="00D00D93">
        <w:t xml:space="preserve">propiciar </w:t>
      </w:r>
      <w:r w:rsidR="008D5603" w:rsidRPr="00D00D93">
        <w:t>unos informes más uniformes</w:t>
      </w:r>
      <w:r w:rsidR="00AB59C5" w:rsidRPr="00D00D93">
        <w:t>.</w:t>
      </w:r>
    </w:p>
    <w:p w:rsidR="00F85469" w:rsidRPr="00D00D93" w:rsidRDefault="00B829C4" w:rsidP="00740EFC">
      <w:pPr>
        <w:pStyle w:val="ONUMFS"/>
        <w:tabs>
          <w:tab w:val="clear" w:pos="567"/>
        </w:tabs>
        <w:ind w:left="567"/>
      </w:pPr>
      <w:r w:rsidRPr="00D00D93">
        <w:t xml:space="preserve">La Reunión </w:t>
      </w:r>
      <w:r w:rsidR="00F85469" w:rsidRPr="00D00D93">
        <w:t xml:space="preserve">tomó nota de que la </w:t>
      </w:r>
      <w:r w:rsidR="005B1DAD" w:rsidRPr="00D00D93">
        <w:t>Oficina Internacional</w:t>
      </w:r>
      <w:r w:rsidR="001B7D70" w:rsidRPr="00D00D93">
        <w:t xml:space="preserve"> </w:t>
      </w:r>
      <w:r w:rsidR="00EB4C4F" w:rsidRPr="00D00D93">
        <w:t xml:space="preserve">distribuirá </w:t>
      </w:r>
      <w:r w:rsidR="00F85469" w:rsidRPr="00D00D93">
        <w:t xml:space="preserve">en breve una Circular PCT en la que propondrá formalmente modificaciones a las </w:t>
      </w:r>
      <w:r w:rsidR="00F85469" w:rsidRPr="00D00D93">
        <w:rPr>
          <w:rFonts w:eastAsia="Times New Roman"/>
        </w:rPr>
        <w:t>Directrices de búsqueda internacional y de examen preliminar internacional del PCT, que tendrán en cuenta las propuestas formuladas por la Oficina Japonesa de Patentes (JPO).</w:t>
      </w:r>
    </w:p>
    <w:p w:rsidR="00CD2256" w:rsidRPr="00D00D93" w:rsidRDefault="00F85469" w:rsidP="00740EFC">
      <w:pPr>
        <w:pStyle w:val="ONUMFS"/>
      </w:pPr>
      <w:r w:rsidRPr="00D00D93">
        <w:lastRenderedPageBreak/>
        <w:t xml:space="preserve">Varias Administraciones dejaron constancia de su apoyo </w:t>
      </w:r>
      <w:r w:rsidR="0072587C" w:rsidRPr="00D00D93">
        <w:t xml:space="preserve">continuo </w:t>
      </w:r>
      <w:r w:rsidRPr="00D00D93">
        <w:t>a muchas de las</w:t>
      </w:r>
      <w:r w:rsidR="00CD2256" w:rsidRPr="00D00D93">
        <w:t xml:space="preserve"> otras </w:t>
      </w:r>
      <w:r w:rsidRPr="00D00D93">
        <w:t xml:space="preserve">cuestiones que se recogen en el Anexo del documento PCT/MIA/25/3, </w:t>
      </w:r>
      <w:r w:rsidR="00CD2256" w:rsidRPr="00D00D93">
        <w:t xml:space="preserve">si bien manifestaron seguir estando preocupadas por los principios en los que se </w:t>
      </w:r>
      <w:r w:rsidR="008D5603" w:rsidRPr="00D00D93">
        <w:t xml:space="preserve">basan </w:t>
      </w:r>
      <w:r w:rsidR="00CD2256" w:rsidRPr="00D00D93">
        <w:t xml:space="preserve">algunas de las ideas que se han sugerido, </w:t>
      </w:r>
      <w:r w:rsidR="008D5603" w:rsidRPr="00D00D93">
        <w:t xml:space="preserve">como </w:t>
      </w:r>
      <w:r w:rsidR="00CD2256" w:rsidRPr="00D00D93">
        <w:t>las bú</w:t>
      </w:r>
      <w:r w:rsidR="0095325B" w:rsidRPr="00D00D93">
        <w:t>s</w:t>
      </w:r>
      <w:r w:rsidR="00CD2256" w:rsidRPr="00D00D93">
        <w:t xml:space="preserve">quedas </w:t>
      </w:r>
      <w:r w:rsidR="008D5603" w:rsidRPr="00D00D93">
        <w:t xml:space="preserve">correspondientes a </w:t>
      </w:r>
      <w:r w:rsidR="00CD2256" w:rsidRPr="00D00D93">
        <w:t xml:space="preserve">solicitudes provisionales, el requisito </w:t>
      </w:r>
      <w:r w:rsidR="008D5603" w:rsidRPr="00D00D93">
        <w:t xml:space="preserve">de obligatoriedad de </w:t>
      </w:r>
      <w:r w:rsidR="00CD2256" w:rsidRPr="00D00D93">
        <w:t>lo</w:t>
      </w:r>
      <w:r w:rsidR="008D5603" w:rsidRPr="00D00D93">
        <w:t>s</w:t>
      </w:r>
      <w:r w:rsidR="00CD2256" w:rsidRPr="00D00D93">
        <w:t xml:space="preserve"> informes del Capítulo</w:t>
      </w:r>
      <w:r w:rsidR="009956EA" w:rsidRPr="00D00D93">
        <w:t> </w:t>
      </w:r>
      <w:r w:rsidR="00CD2256" w:rsidRPr="00D00D93">
        <w:t>11 en determinadas circunstancias y la introducción del procedimiento acelerado de examen de solicitudes de patente en el PCT</w:t>
      </w:r>
      <w:r w:rsidR="008D5603" w:rsidRPr="00D00D93">
        <w:t>.</w:t>
      </w:r>
      <w:r w:rsidR="00CD2256" w:rsidRPr="00D00D93">
        <w:t xml:space="preserve"> </w:t>
      </w:r>
    </w:p>
    <w:p w:rsidR="001B7D70" w:rsidRPr="00D00D93" w:rsidRDefault="00BD2442" w:rsidP="001B7D70">
      <w:pPr>
        <w:pStyle w:val="Heading1"/>
        <w:keepNext w:val="0"/>
      </w:pPr>
      <w:r w:rsidRPr="00D00D93">
        <w:t xml:space="preserve">PUNTO </w:t>
      </w:r>
      <w:r w:rsidR="001B7D70" w:rsidRPr="00D00D93">
        <w:t>11</w:t>
      </w:r>
      <w:proofErr w:type="gramStart"/>
      <w:r w:rsidR="001B7D70" w:rsidRPr="00D00D93">
        <w:t xml:space="preserve">:  </w:t>
      </w:r>
      <w:r w:rsidR="00381DFA" w:rsidRPr="00D00D93">
        <w:t>PROYECTO</w:t>
      </w:r>
      <w:proofErr w:type="gramEnd"/>
      <w:r w:rsidR="00381DFA" w:rsidRPr="00D00D93">
        <w:t xml:space="preserve"> PILOTO SOBRE LA APLICACIÓN DE LA COMPENSACIÓN POR SALDOS NETOS A LAS TASAS DEL PCT </w:t>
      </w:r>
    </w:p>
    <w:p w:rsidR="001B7D70" w:rsidRPr="00D00D93" w:rsidRDefault="00CE4E2C" w:rsidP="00740EFC">
      <w:pPr>
        <w:pStyle w:val="ONUMFS"/>
      </w:pPr>
      <w:r w:rsidRPr="00D00D93">
        <w:t xml:space="preserve">Los debates se basaron en el documento </w:t>
      </w:r>
      <w:r w:rsidR="001B7D70" w:rsidRPr="00D00D93">
        <w:t>PCT/MIA/25/5.</w:t>
      </w:r>
    </w:p>
    <w:p w:rsidR="00505785" w:rsidRPr="00D00D93" w:rsidRDefault="0095325B" w:rsidP="00740EFC">
      <w:pPr>
        <w:pStyle w:val="ONUMFS"/>
      </w:pPr>
      <w:r w:rsidRPr="00D00D93">
        <w:t xml:space="preserve">La </w:t>
      </w:r>
      <w:r w:rsidR="005B1DAD" w:rsidRPr="00D00D93">
        <w:t>Oficina Internacional</w:t>
      </w:r>
      <w:r w:rsidR="001B7D70" w:rsidRPr="00D00D93">
        <w:t xml:space="preserve"> i</w:t>
      </w:r>
      <w:r w:rsidRPr="00D00D93">
        <w:t xml:space="preserve">nformó a la </w:t>
      </w:r>
      <w:r w:rsidR="00B829C4" w:rsidRPr="00D00D93">
        <w:t xml:space="preserve">Reunión </w:t>
      </w:r>
      <w:r w:rsidRPr="00D00D93">
        <w:t xml:space="preserve">de que, junto con la OEP, había puesto en marcha un proyecto piloto sobre </w:t>
      </w:r>
      <w:r w:rsidR="00A17283" w:rsidRPr="00D00D93">
        <w:t>la aplicación de la c</w:t>
      </w:r>
      <w:r w:rsidRPr="00D00D93">
        <w:t>ompensación por saldos netos</w:t>
      </w:r>
      <w:r w:rsidR="00381DFA" w:rsidRPr="00D00D93">
        <w:t>,</w:t>
      </w:r>
      <w:r w:rsidRPr="00D00D93">
        <w:t xml:space="preserve"> </w:t>
      </w:r>
      <w:r w:rsidR="00F0106F" w:rsidRPr="00D00D93">
        <w:t xml:space="preserve">que tiene por objeto </w:t>
      </w:r>
      <w:r w:rsidRPr="00D00D93">
        <w:t xml:space="preserve">las tasas de búsqueda que la USPTO, en su calidad de Oficina receptora, </w:t>
      </w:r>
      <w:r w:rsidR="00AF5C30" w:rsidRPr="00D00D93">
        <w:t xml:space="preserve">percibe </w:t>
      </w:r>
      <w:r w:rsidRPr="00D00D93">
        <w:t xml:space="preserve">por cuenta de la OEP, las tasas de búsqueda que la Oficina Internacional, en su calidad de Oficina receptora, </w:t>
      </w:r>
      <w:r w:rsidR="00AF5C30" w:rsidRPr="00D00D93">
        <w:t xml:space="preserve">percibe </w:t>
      </w:r>
      <w:r w:rsidRPr="00D00D93">
        <w:t xml:space="preserve">por cuenta de la OEP, las tasas de búsqueda suplementaria </w:t>
      </w:r>
      <w:r w:rsidR="0072587C" w:rsidRPr="00D00D93">
        <w:t xml:space="preserve">que </w:t>
      </w:r>
      <w:r w:rsidR="00505785" w:rsidRPr="00D00D93">
        <w:t xml:space="preserve">la Oficina Internacional </w:t>
      </w:r>
      <w:r w:rsidR="0072587C" w:rsidRPr="00D00D93">
        <w:t xml:space="preserve">percibe </w:t>
      </w:r>
      <w:r w:rsidR="00505785" w:rsidRPr="00D00D93">
        <w:t xml:space="preserve">por cuenta de la OEP, las tasas de presentación internacional </w:t>
      </w:r>
      <w:r w:rsidR="002E6C39" w:rsidRPr="00D00D93">
        <w:t xml:space="preserve">que </w:t>
      </w:r>
      <w:r w:rsidR="00505785" w:rsidRPr="00D00D93">
        <w:t>la</w:t>
      </w:r>
      <w:r w:rsidR="00874B50" w:rsidRPr="00D00D93">
        <w:t> </w:t>
      </w:r>
      <w:r w:rsidR="00505785" w:rsidRPr="00D00D93">
        <w:t xml:space="preserve">OEP </w:t>
      </w:r>
      <w:r w:rsidR="002E6C39" w:rsidRPr="00D00D93">
        <w:t xml:space="preserve">cobra </w:t>
      </w:r>
      <w:r w:rsidR="00505785" w:rsidRPr="00D00D93">
        <w:t>en calidad de Oficina receptora y cualesquiera</w:t>
      </w:r>
      <w:r w:rsidR="007812D7" w:rsidRPr="00D00D93">
        <w:t xml:space="preserve"> importes en virtud de la Regla</w:t>
      </w:r>
      <w:r w:rsidR="00505785" w:rsidRPr="00D00D93">
        <w:t> 16.1</w:t>
      </w:r>
      <w:r w:rsidR="00DB6C95" w:rsidRPr="00D00D93">
        <w:t>.</w:t>
      </w:r>
      <w:r w:rsidR="00505785" w:rsidRPr="00D00D93">
        <w:t xml:space="preserve">e) que se adeuden a la OEP o que </w:t>
      </w:r>
      <w:r w:rsidR="00894A84" w:rsidRPr="00D00D93">
        <w:t xml:space="preserve">la OEP </w:t>
      </w:r>
      <w:r w:rsidR="00505785" w:rsidRPr="00D00D93">
        <w:t xml:space="preserve">adeude a la Oficina Internacional.  La primera operación de compensación </w:t>
      </w:r>
      <w:r w:rsidR="00F0106F" w:rsidRPr="00D00D93">
        <w:t xml:space="preserve">por saldos </w:t>
      </w:r>
      <w:r w:rsidR="009956EA" w:rsidRPr="00D00D93">
        <w:t>tendrá lugar el </w:t>
      </w:r>
      <w:r w:rsidR="00505785" w:rsidRPr="00D00D93">
        <w:t xml:space="preserve">22 de febrero </w:t>
      </w:r>
      <w:r w:rsidR="009956EA" w:rsidRPr="00D00D93">
        <w:t>de 20</w:t>
      </w:r>
      <w:r w:rsidR="00505785" w:rsidRPr="00D00D93">
        <w:t xml:space="preserve">18 respecto de </w:t>
      </w:r>
      <w:r w:rsidR="00F0106F" w:rsidRPr="00D00D93">
        <w:t xml:space="preserve">las </w:t>
      </w:r>
      <w:r w:rsidR="00505785" w:rsidRPr="00D00D93">
        <w:t>transacciones</w:t>
      </w:r>
      <w:r w:rsidR="00F0106F" w:rsidRPr="00D00D93">
        <w:t xml:space="preserve"> </w:t>
      </w:r>
      <w:r w:rsidR="00894A84" w:rsidRPr="00D00D93">
        <w:t xml:space="preserve">realizadas </w:t>
      </w:r>
      <w:r w:rsidR="0072587C" w:rsidRPr="00D00D93">
        <w:t xml:space="preserve">en </w:t>
      </w:r>
      <w:r w:rsidR="00505785" w:rsidRPr="00D00D93">
        <w:t xml:space="preserve">enero </w:t>
      </w:r>
      <w:r w:rsidR="009956EA" w:rsidRPr="00D00D93">
        <w:t>de 20</w:t>
      </w:r>
      <w:r w:rsidR="00505785" w:rsidRPr="00D00D93">
        <w:t xml:space="preserve">18.  Las Oficinas receptoras de la India, Turquía y Suiza </w:t>
      </w:r>
      <w:r w:rsidR="00AF5C30" w:rsidRPr="00D00D93">
        <w:t xml:space="preserve">se sumarán al </w:t>
      </w:r>
      <w:r w:rsidR="00505785" w:rsidRPr="00D00D93">
        <w:t>proyecto piloto el</w:t>
      </w:r>
      <w:r w:rsidR="009956EA" w:rsidRPr="00D00D93">
        <w:t> </w:t>
      </w:r>
      <w:r w:rsidR="00505785" w:rsidRPr="00D00D93">
        <w:t xml:space="preserve">1 de abril </w:t>
      </w:r>
      <w:r w:rsidR="009956EA" w:rsidRPr="00D00D93">
        <w:t>de 20</w:t>
      </w:r>
      <w:r w:rsidR="00505785" w:rsidRPr="00D00D93">
        <w:t xml:space="preserve">18, estando </w:t>
      </w:r>
      <w:r w:rsidR="00AF5C30" w:rsidRPr="00D00D93">
        <w:t xml:space="preserve">en este caso </w:t>
      </w:r>
      <w:r w:rsidR="0072587C" w:rsidRPr="00D00D93">
        <w:t xml:space="preserve">prevista </w:t>
      </w:r>
      <w:r w:rsidR="00AF5C30" w:rsidRPr="00D00D93">
        <w:t xml:space="preserve">la </w:t>
      </w:r>
      <w:r w:rsidR="00505785" w:rsidRPr="00D00D93">
        <w:t>primera operación</w:t>
      </w:r>
      <w:r w:rsidR="00F0106F" w:rsidRPr="00D00D93">
        <w:t xml:space="preserve"> </w:t>
      </w:r>
      <w:r w:rsidR="00505785" w:rsidRPr="00D00D93">
        <w:t xml:space="preserve">de compensación para mayo </w:t>
      </w:r>
      <w:r w:rsidR="009956EA" w:rsidRPr="00D00D93">
        <w:t>de 20</w:t>
      </w:r>
      <w:r w:rsidR="00505785" w:rsidRPr="00D00D93">
        <w:t xml:space="preserve">18. </w:t>
      </w:r>
      <w:r w:rsidR="00CF05DB" w:rsidRPr="00D00D93">
        <w:t xml:space="preserve"> </w:t>
      </w:r>
      <w:r w:rsidR="00505785" w:rsidRPr="00D00D93">
        <w:t>Otras Oficinas receptoras que han elegido a la OEP como Administración encargada de la búsqueda internacional</w:t>
      </w:r>
      <w:r w:rsidR="00F0106F" w:rsidRPr="00D00D93">
        <w:t xml:space="preserve"> competente han sido contactadas, empezando por </w:t>
      </w:r>
      <w:r w:rsidR="002E6C39" w:rsidRPr="00D00D93">
        <w:t xml:space="preserve">las </w:t>
      </w:r>
      <w:r w:rsidR="00F0106F" w:rsidRPr="00D00D93">
        <w:t xml:space="preserve">que </w:t>
      </w:r>
      <w:r w:rsidR="00AF5C30" w:rsidRPr="00D00D93">
        <w:t xml:space="preserve">cobran </w:t>
      </w:r>
      <w:r w:rsidR="002E6C39" w:rsidRPr="00D00D93">
        <w:t xml:space="preserve">las </w:t>
      </w:r>
      <w:r w:rsidR="00F0106F" w:rsidRPr="00D00D93">
        <w:t xml:space="preserve">tasas en monedas distintas del euro. </w:t>
      </w:r>
      <w:r w:rsidR="00CF05DB" w:rsidRPr="00D00D93">
        <w:t xml:space="preserve"> </w:t>
      </w:r>
      <w:r w:rsidR="00F0106F" w:rsidRPr="00D00D93">
        <w:t>En una etapa posterior</w:t>
      </w:r>
      <w:r w:rsidR="002E6C39" w:rsidRPr="00D00D93">
        <w:t>,</w:t>
      </w:r>
      <w:r w:rsidR="00F0106F" w:rsidRPr="00D00D93">
        <w:t xml:space="preserve"> se invitará a participar en el proyecto piloto a algunas Oficinas receptoras que </w:t>
      </w:r>
      <w:r w:rsidR="00AF5C30" w:rsidRPr="00D00D93">
        <w:t xml:space="preserve">perciben </w:t>
      </w:r>
      <w:r w:rsidR="002E6C39" w:rsidRPr="00D00D93">
        <w:t xml:space="preserve">las </w:t>
      </w:r>
      <w:r w:rsidR="00F0106F" w:rsidRPr="00D00D93">
        <w:t xml:space="preserve">tasas en euros. </w:t>
      </w:r>
    </w:p>
    <w:p w:rsidR="009F6125" w:rsidRPr="00D00D93" w:rsidRDefault="00EE188E" w:rsidP="00740EFC">
      <w:pPr>
        <w:pStyle w:val="ONUMFS"/>
      </w:pPr>
      <w:r w:rsidRPr="00D00D93">
        <w:t xml:space="preserve">La OEP </w:t>
      </w:r>
      <w:r w:rsidR="00AF5C30" w:rsidRPr="00D00D93">
        <w:t xml:space="preserve">dijo que espera que otras Oficinas receptoras se sumen a su proyecto piloto y pidió que la transferencia de tasas en el marco del proyecto se vincule a la </w:t>
      </w:r>
      <w:r w:rsidR="009F6125" w:rsidRPr="00D00D93">
        <w:t xml:space="preserve">transferencia electrónica </w:t>
      </w:r>
      <w:r w:rsidR="00AF5C30" w:rsidRPr="00D00D93">
        <w:t xml:space="preserve">de copias </w:t>
      </w:r>
      <w:r w:rsidR="009F6125" w:rsidRPr="00D00D93">
        <w:t xml:space="preserve">para la búsqueda por medio del sistema eSearchCopy.  Dijo también que la Oficina de Patentes de la India (IPO) y TURKPATENT aguardan con impaciencia el momento de iniciar su participación en el proyecto piloto junto con la OEP, y que la </w:t>
      </w:r>
      <w:r w:rsidR="009F6125" w:rsidRPr="00D00D93">
        <w:rPr>
          <w:rFonts w:eastAsia="Times New Roman"/>
        </w:rPr>
        <w:t>Oficina Sueca de Patentes y Registro</w:t>
      </w:r>
      <w:r w:rsidR="009F6125" w:rsidRPr="00D00D93">
        <w:t xml:space="preserve"> (PRV) ha confirmado también su futura </w:t>
      </w:r>
      <w:r w:rsidR="009956EA" w:rsidRPr="00D00D93">
        <w:t>participación en ese proyecto.</w:t>
      </w:r>
      <w:r w:rsidR="009F6125" w:rsidRPr="00D00D93">
        <w:t xml:space="preserve">  </w:t>
      </w:r>
    </w:p>
    <w:p w:rsidR="00D2452B" w:rsidRPr="00D00D93" w:rsidRDefault="00381DFA" w:rsidP="00740EFC">
      <w:pPr>
        <w:pStyle w:val="ONUMFS"/>
      </w:pPr>
      <w:r w:rsidRPr="00D00D93">
        <w:t xml:space="preserve">Las otras </w:t>
      </w:r>
      <w:r w:rsidR="005B1DAD" w:rsidRPr="00D00D93">
        <w:t>Administraciones</w:t>
      </w:r>
      <w:r w:rsidR="001B7D70" w:rsidRPr="00D00D93">
        <w:t xml:space="preserve"> </w:t>
      </w:r>
      <w:r w:rsidRPr="00D00D93">
        <w:t>que ha</w:t>
      </w:r>
      <w:r w:rsidR="00894A84" w:rsidRPr="00D00D93">
        <w:t>b</w:t>
      </w:r>
      <w:r w:rsidRPr="00D00D93">
        <w:t xml:space="preserve">ían </w:t>
      </w:r>
      <w:r w:rsidR="00894A84" w:rsidRPr="00D00D93">
        <w:t xml:space="preserve">expresado </w:t>
      </w:r>
      <w:r w:rsidRPr="00D00D93">
        <w:t xml:space="preserve">su interés en </w:t>
      </w:r>
      <w:r w:rsidR="00894A84" w:rsidRPr="00D00D93">
        <w:t xml:space="preserve">iniciar </w:t>
      </w:r>
      <w:r w:rsidRPr="00D00D93">
        <w:t>un proyecto piloto en materia de compensación por saldos netos apoyaron el concepto del proyecto, tal como se hace constar en el documento, manifestando algunas su intención</w:t>
      </w:r>
      <w:r w:rsidR="001B7D70" w:rsidRPr="00D00D93">
        <w:t xml:space="preserve"> </w:t>
      </w:r>
      <w:r w:rsidRPr="00D00D93">
        <w:t xml:space="preserve">de iniciar un proyecto piloto con la </w:t>
      </w:r>
      <w:r w:rsidR="005B1DAD" w:rsidRPr="00D00D93">
        <w:t>Oficina Internacional</w:t>
      </w:r>
      <w:r w:rsidR="001B7D70" w:rsidRPr="00D00D93">
        <w:t xml:space="preserve"> </w:t>
      </w:r>
      <w:r w:rsidRPr="00D00D93">
        <w:t xml:space="preserve">en los próximos meses.  Cualquier mecanismo de compensación por saldos netos </w:t>
      </w:r>
      <w:r w:rsidR="00D2452B" w:rsidRPr="00D00D93">
        <w:t>ha de ser voluntario y asegurar la transparencia de todas las transacciones</w:t>
      </w:r>
      <w:r w:rsidR="001B7D70" w:rsidRPr="00D00D93">
        <w:t xml:space="preserve">, </w:t>
      </w:r>
      <w:r w:rsidR="00D2452B" w:rsidRPr="00D00D93">
        <w:t>lo que exige verificar los sistemas de contabilidad, así como introducir las necesarias modificaciones en los sistemas de</w:t>
      </w:r>
      <w:r w:rsidR="009956EA" w:rsidRPr="00D00D93">
        <w:t> </w:t>
      </w:r>
      <w:r w:rsidR="00D2452B" w:rsidRPr="00D00D93">
        <w:t xml:space="preserve">TI </w:t>
      </w:r>
      <w:r w:rsidR="00894A84" w:rsidRPr="00D00D93">
        <w:t xml:space="preserve">a los fines de </w:t>
      </w:r>
      <w:r w:rsidR="00D2452B" w:rsidRPr="00D00D93">
        <w:t>sincronizar las transacciones con su registro.</w:t>
      </w:r>
      <w:r w:rsidR="001B7D70" w:rsidRPr="00D00D93">
        <w:t xml:space="preserve">  </w:t>
      </w:r>
      <w:r w:rsidR="00D2452B" w:rsidRPr="00D00D93">
        <w:t xml:space="preserve">Ello podría plantear nuevos retos a </w:t>
      </w:r>
      <w:r w:rsidR="00EB4C4F" w:rsidRPr="00D00D93">
        <w:t xml:space="preserve">cualquier </w:t>
      </w:r>
      <w:r w:rsidR="00D2452B" w:rsidRPr="00D00D93">
        <w:t xml:space="preserve">proyecto piloto que </w:t>
      </w:r>
      <w:r w:rsidR="00EB4C4F" w:rsidRPr="00D00D93">
        <w:t xml:space="preserve">tenga </w:t>
      </w:r>
      <w:r w:rsidR="006C75E6" w:rsidRPr="00D00D93">
        <w:t xml:space="preserve">por </w:t>
      </w:r>
      <w:r w:rsidR="00D2452B" w:rsidRPr="00D00D93">
        <w:t xml:space="preserve">objeto los pagos </w:t>
      </w:r>
      <w:r w:rsidR="006C75E6" w:rsidRPr="00D00D93">
        <w:t>d</w:t>
      </w:r>
      <w:r w:rsidR="00D2452B" w:rsidRPr="00D00D93">
        <w:t xml:space="preserve">e tasas de los Sistemas de Madrid y de La Haya;  una Administración </w:t>
      </w:r>
      <w:r w:rsidR="006C75E6" w:rsidRPr="00D00D93">
        <w:t>indicó que en la actualidad gestiona esas transacciones con la Oficina Internacional semanalmente</w:t>
      </w:r>
      <w:r w:rsidR="00D2452B" w:rsidRPr="00D00D93">
        <w:t xml:space="preserve">, </w:t>
      </w:r>
      <w:r w:rsidR="006C75E6" w:rsidRPr="00D00D93">
        <w:t xml:space="preserve">a diferencia de los mecanismos de compensación mensual </w:t>
      </w:r>
      <w:r w:rsidR="00894A84" w:rsidRPr="00D00D93">
        <w:t xml:space="preserve">vigentes </w:t>
      </w:r>
      <w:r w:rsidR="006C75E6" w:rsidRPr="00D00D93">
        <w:t>en el caso del PCT</w:t>
      </w:r>
      <w:r w:rsidR="00D2452B" w:rsidRPr="00D00D93">
        <w:t>.</w:t>
      </w:r>
    </w:p>
    <w:p w:rsidR="001B7D70" w:rsidRPr="00D00D93" w:rsidRDefault="009F6125" w:rsidP="00740EFC">
      <w:pPr>
        <w:pStyle w:val="ONUMFS"/>
      </w:pPr>
      <w:r w:rsidRPr="00D00D93">
        <w:t xml:space="preserve">Dos Administraciones que no </w:t>
      </w:r>
      <w:r w:rsidR="00894A84" w:rsidRPr="00D00D93">
        <w:t xml:space="preserve">figuran </w:t>
      </w:r>
      <w:r w:rsidRPr="00D00D93">
        <w:t>en los párrafos 13 a 17 del documento entre las Administraciones encargadas de la búsqueda internacional participantes</w:t>
      </w:r>
      <w:r w:rsidR="00CE50D6" w:rsidRPr="00D00D93">
        <w:t>,</w:t>
      </w:r>
      <w:r w:rsidRPr="00D00D93">
        <w:t xml:space="preserve"> </w:t>
      </w:r>
      <w:r w:rsidR="00CE50D6" w:rsidRPr="00D00D93">
        <w:t>manifestaron su intención de seguir con interés el proyecto piloto sobre compensación por saldos netos</w:t>
      </w:r>
      <w:r w:rsidR="001B7D70" w:rsidRPr="00D00D93">
        <w:t xml:space="preserve">, </w:t>
      </w:r>
      <w:r w:rsidR="00CE50D6" w:rsidRPr="00D00D93">
        <w:t>con miras a una posible participación en el futuro</w:t>
      </w:r>
      <w:r w:rsidR="001B7D70" w:rsidRPr="00D00D93">
        <w:t xml:space="preserve">. </w:t>
      </w:r>
    </w:p>
    <w:p w:rsidR="001B7D70" w:rsidRPr="00D00D93" w:rsidRDefault="004A3F02" w:rsidP="00740EFC">
      <w:pPr>
        <w:pStyle w:val="ONUMFS"/>
        <w:tabs>
          <w:tab w:val="clear" w:pos="567"/>
        </w:tabs>
        <w:ind w:left="567"/>
      </w:pPr>
      <w:r w:rsidRPr="00D00D93">
        <w:t xml:space="preserve">La Reunión tomó nota del contenido del documento </w:t>
      </w:r>
      <w:r w:rsidR="001B7D70" w:rsidRPr="00D00D93">
        <w:t>PCT/MIA/25/5.</w:t>
      </w:r>
    </w:p>
    <w:p w:rsidR="001B7D70" w:rsidRPr="00D00D93" w:rsidRDefault="00BD2442" w:rsidP="001023D2">
      <w:pPr>
        <w:pStyle w:val="Heading1"/>
      </w:pPr>
      <w:r w:rsidRPr="00D00D93">
        <w:lastRenderedPageBreak/>
        <w:t xml:space="preserve">PUNTO </w:t>
      </w:r>
      <w:r w:rsidR="008173C8" w:rsidRPr="00D00D93">
        <w:t>12</w:t>
      </w:r>
      <w:proofErr w:type="gramStart"/>
      <w:r w:rsidR="008173C8" w:rsidRPr="00D00D93">
        <w:t>:  cantidad</w:t>
      </w:r>
      <w:proofErr w:type="gramEnd"/>
      <w:r w:rsidR="008173C8" w:rsidRPr="00D00D93">
        <w:t xml:space="preserve"> de palabras en los resúmenes y los dibujos de la portada </w:t>
      </w:r>
    </w:p>
    <w:p w:rsidR="001B7D70" w:rsidRPr="00D00D93" w:rsidRDefault="00CE4E2C" w:rsidP="001023D2">
      <w:pPr>
        <w:pStyle w:val="ONUMFS"/>
        <w:keepNext/>
      </w:pPr>
      <w:r w:rsidRPr="00D00D93">
        <w:t xml:space="preserve">Los debates se basaron en el documento </w:t>
      </w:r>
      <w:r w:rsidR="001B7D70" w:rsidRPr="00D00D93">
        <w:t>PCT/MIA/25/11.</w:t>
      </w:r>
    </w:p>
    <w:p w:rsidR="005127CD" w:rsidRPr="00D00D93" w:rsidRDefault="00D2452B" w:rsidP="00740EFC">
      <w:pPr>
        <w:pStyle w:val="ONUMFS"/>
      </w:pPr>
      <w:r w:rsidRPr="00D00D93">
        <w:t>Varias Administraciones</w:t>
      </w:r>
      <w:r w:rsidR="006C75E6" w:rsidRPr="00D00D93">
        <w:t xml:space="preserve"> </w:t>
      </w:r>
      <w:r w:rsidRPr="00D00D93">
        <w:t xml:space="preserve">reconocieron la importancia que </w:t>
      </w:r>
      <w:r w:rsidR="006C75E6" w:rsidRPr="00D00D93">
        <w:t xml:space="preserve">tienen </w:t>
      </w:r>
      <w:r w:rsidRPr="00D00D93">
        <w:t>unos res</w:t>
      </w:r>
      <w:r w:rsidR="006C75E6" w:rsidRPr="00D00D93">
        <w:t xml:space="preserve">úmenes </w:t>
      </w:r>
      <w:r w:rsidRPr="00D00D93">
        <w:t xml:space="preserve">de </w:t>
      </w:r>
      <w:r w:rsidR="006C75E6" w:rsidRPr="00D00D93">
        <w:t xml:space="preserve">buena </w:t>
      </w:r>
      <w:r w:rsidRPr="00D00D93">
        <w:t xml:space="preserve">calidad </w:t>
      </w:r>
      <w:r w:rsidR="006C75E6" w:rsidRPr="00D00D93">
        <w:t>y se</w:t>
      </w:r>
      <w:r w:rsidR="005127CD" w:rsidRPr="00D00D93">
        <w:t xml:space="preserve"> manifestaro</w:t>
      </w:r>
      <w:r w:rsidR="007B3F41" w:rsidRPr="00D00D93">
        <w:t>n</w:t>
      </w:r>
      <w:r w:rsidR="005127CD" w:rsidRPr="00D00D93">
        <w:t xml:space="preserve"> </w:t>
      </w:r>
      <w:r w:rsidR="00894A84" w:rsidRPr="00D00D93">
        <w:t xml:space="preserve">partidarias </w:t>
      </w:r>
      <w:r w:rsidR="005127CD" w:rsidRPr="00D00D93">
        <w:t xml:space="preserve">de los siguientes pasos que </w:t>
      </w:r>
      <w:r w:rsidR="00894A84" w:rsidRPr="00D00D93">
        <w:t xml:space="preserve">se han </w:t>
      </w:r>
      <w:r w:rsidR="005127CD" w:rsidRPr="00D00D93">
        <w:t>proyectado</w:t>
      </w:r>
      <w:r w:rsidR="00894A84" w:rsidRPr="00D00D93">
        <w:t xml:space="preserve"> dar</w:t>
      </w:r>
      <w:r w:rsidR="001B7D70" w:rsidRPr="00D00D93">
        <w:t xml:space="preserve">, </w:t>
      </w:r>
      <w:r w:rsidR="005127CD" w:rsidRPr="00D00D93">
        <w:t>inclu</w:t>
      </w:r>
      <w:r w:rsidR="00894A84" w:rsidRPr="00D00D93">
        <w:t xml:space="preserve">ido </w:t>
      </w:r>
      <w:r w:rsidR="005127CD" w:rsidRPr="00D00D93">
        <w:t xml:space="preserve">el de no optar aún por introducir tasas relacionadas con la mayor o menor calidad de los resúmenes. </w:t>
      </w:r>
    </w:p>
    <w:p w:rsidR="00537B6C" w:rsidRPr="00D00D93" w:rsidRDefault="00636E19" w:rsidP="00740EFC">
      <w:pPr>
        <w:pStyle w:val="ONUMFS"/>
      </w:pPr>
      <w:r w:rsidRPr="00D00D93">
        <w:t>Una Administración</w:t>
      </w:r>
      <w:r w:rsidR="001B7D70" w:rsidRPr="00D00D93">
        <w:t xml:space="preserve"> </w:t>
      </w:r>
      <w:r w:rsidR="00D622E6" w:rsidRPr="00D00D93">
        <w:t>recordó el hecho de que no existe una correspondencia directa entre la extensión y la calidad de los resúmenes</w:t>
      </w:r>
      <w:r w:rsidR="00EB4C4F" w:rsidRPr="00D00D93">
        <w:t>,</w:t>
      </w:r>
      <w:r w:rsidR="00D622E6" w:rsidRPr="00D00D93">
        <w:t xml:space="preserve"> y que las consideraciones a tener en cuenta varían en función de los </w:t>
      </w:r>
      <w:r w:rsidR="00894A84" w:rsidRPr="00D00D93">
        <w:t xml:space="preserve">diferentes </w:t>
      </w:r>
      <w:r w:rsidR="00D622E6" w:rsidRPr="00D00D93">
        <w:t>sectores de la tecnología</w:t>
      </w:r>
      <w:r w:rsidR="001B7D70" w:rsidRPr="00D00D93">
        <w:t xml:space="preserve">.  </w:t>
      </w:r>
      <w:r w:rsidR="00201D30" w:rsidRPr="00D00D93">
        <w:t>Afirmó que, en su opinión, l</w:t>
      </w:r>
      <w:r w:rsidR="00D622E6" w:rsidRPr="00D00D93">
        <w:t xml:space="preserve">a formación de los solicitantes </w:t>
      </w:r>
      <w:r w:rsidR="00201D30" w:rsidRPr="00D00D93">
        <w:t xml:space="preserve">que se </w:t>
      </w:r>
      <w:r w:rsidR="00894A84" w:rsidRPr="00D00D93">
        <w:t xml:space="preserve">atengan </w:t>
      </w:r>
      <w:r w:rsidR="00201D30" w:rsidRPr="00D00D93">
        <w:t>a directrices en lugar de a requisitos obligatorios constituiría la forma adecuada de proceder</w:t>
      </w:r>
      <w:r w:rsidR="001B7D70" w:rsidRPr="00D00D93">
        <w:t xml:space="preserve">.  </w:t>
      </w:r>
      <w:r w:rsidR="00201D30" w:rsidRPr="00D00D93">
        <w:t xml:space="preserve">Otras </w:t>
      </w:r>
      <w:r w:rsidRPr="00D00D93">
        <w:t>Administración</w:t>
      </w:r>
      <w:r w:rsidR="00D622E6" w:rsidRPr="00D00D93">
        <w:t xml:space="preserve"> </w:t>
      </w:r>
      <w:r w:rsidR="00201D30" w:rsidRPr="00D00D93">
        <w:t>dijo que a los solicitantes debiera</w:t>
      </w:r>
      <w:r w:rsidR="00537B6C" w:rsidRPr="00D00D93">
        <w:t>n</w:t>
      </w:r>
      <w:r w:rsidR="00201D30" w:rsidRPr="00D00D93">
        <w:t xml:space="preserve"> </w:t>
      </w:r>
      <w:r w:rsidR="00537B6C" w:rsidRPr="00D00D93">
        <w:t xml:space="preserve">recordárseles </w:t>
      </w:r>
      <w:r w:rsidR="00201D30" w:rsidRPr="00D00D93">
        <w:t>los motivos por los que la red</w:t>
      </w:r>
      <w:r w:rsidR="00537B6C" w:rsidRPr="00D00D93">
        <w:t>a</w:t>
      </w:r>
      <w:r w:rsidR="00201D30" w:rsidRPr="00D00D93">
        <w:t>cción de unos resúmenes de buena calidad redunda en su propio interés</w:t>
      </w:r>
      <w:r w:rsidR="001B7D70" w:rsidRPr="00D00D93">
        <w:t xml:space="preserve">, </w:t>
      </w:r>
      <w:r w:rsidR="00537B6C" w:rsidRPr="00D00D93">
        <w:t>pues, entre otras cosas, asegura que su divulgación pueda encontrarse formando efectivamente parte del estado de la técnica frente a solicitudes posteriores de competi</w:t>
      </w:r>
      <w:r w:rsidR="00F66E6F" w:rsidRPr="00D00D93">
        <w:t>d</w:t>
      </w:r>
      <w:r w:rsidR="00537B6C" w:rsidRPr="00D00D93">
        <w:t xml:space="preserve">ores, y permite dar a conocer la </w:t>
      </w:r>
      <w:r w:rsidR="00894A84" w:rsidRPr="00D00D93">
        <w:t xml:space="preserve">potencial </w:t>
      </w:r>
      <w:r w:rsidR="00537B6C" w:rsidRPr="00D00D93">
        <w:t>disponibilidad y pertinencia de su propia tecnología.  Las Administraciones manifestaron su disposición a prese</w:t>
      </w:r>
      <w:r w:rsidR="006D22B8" w:rsidRPr="00D00D93">
        <w:t>n</w:t>
      </w:r>
      <w:r w:rsidR="00537B6C" w:rsidRPr="00D00D93">
        <w:t xml:space="preserve">tar </w:t>
      </w:r>
      <w:r w:rsidR="00436FF7" w:rsidRPr="00D00D93">
        <w:t xml:space="preserve">observaciones </w:t>
      </w:r>
      <w:r w:rsidR="00537B6C" w:rsidRPr="00D00D93">
        <w:t xml:space="preserve">sobre las propuestas concretas de modificación de la Guía del Solicitante </w:t>
      </w:r>
      <w:r w:rsidR="008F4FE8" w:rsidRPr="00D00D93">
        <w:t xml:space="preserve">y de las Directrices </w:t>
      </w:r>
      <w:r w:rsidR="008F4FE8" w:rsidRPr="00D00D93">
        <w:rPr>
          <w:rFonts w:eastAsia="Times New Roman"/>
        </w:rPr>
        <w:t>de búsqueda internacional y de examen preliminar internacional del PCT</w:t>
      </w:r>
      <w:r w:rsidR="008F4FE8" w:rsidRPr="00D00D93">
        <w:t xml:space="preserve"> en respuesta a la próxima </w:t>
      </w:r>
      <w:r w:rsidR="00537B6C" w:rsidRPr="00D00D93">
        <w:t>Circular</w:t>
      </w:r>
      <w:r w:rsidR="008F4FE8" w:rsidRPr="00D00D93">
        <w:t xml:space="preserve"> PCT</w:t>
      </w:r>
      <w:r w:rsidR="00537B6C" w:rsidRPr="00D00D93">
        <w:t>.</w:t>
      </w:r>
    </w:p>
    <w:p w:rsidR="001B7D70" w:rsidRPr="00D00D93" w:rsidRDefault="00B829C4" w:rsidP="00740EFC">
      <w:pPr>
        <w:pStyle w:val="ONUMFS"/>
        <w:tabs>
          <w:tab w:val="clear" w:pos="567"/>
        </w:tabs>
        <w:ind w:left="567"/>
      </w:pPr>
      <w:r w:rsidRPr="00D00D93">
        <w:t xml:space="preserve">La Reunión </w:t>
      </w:r>
      <w:r w:rsidR="005127CD" w:rsidRPr="00D00D93">
        <w:t xml:space="preserve">tomó nota de la situación de la labor relacionada con la extensión y la calidad de los resúmenes </w:t>
      </w:r>
      <w:r w:rsidR="00D622E6" w:rsidRPr="00D00D93">
        <w:t xml:space="preserve">de </w:t>
      </w:r>
      <w:r w:rsidR="005127CD" w:rsidRPr="00D00D93">
        <w:t>las solicitudes internacionales.</w:t>
      </w:r>
    </w:p>
    <w:p w:rsidR="001B7D70" w:rsidRPr="00D00D93" w:rsidRDefault="00BD2442" w:rsidP="001B7D70">
      <w:pPr>
        <w:pStyle w:val="Heading1"/>
        <w:keepNext w:val="0"/>
      </w:pPr>
      <w:r w:rsidRPr="00D00D93">
        <w:t xml:space="preserve">PUNTO </w:t>
      </w:r>
      <w:r w:rsidR="001B7D70" w:rsidRPr="00D00D93">
        <w:t>13</w:t>
      </w:r>
      <w:proofErr w:type="gramStart"/>
      <w:r w:rsidR="001B7D70" w:rsidRPr="00D00D93">
        <w:t xml:space="preserve">:  </w:t>
      </w:r>
      <w:r w:rsidR="008F4FE8" w:rsidRPr="00D00D93">
        <w:t>tercer</w:t>
      </w:r>
      <w:proofErr w:type="gramEnd"/>
      <w:r w:rsidR="008F4FE8" w:rsidRPr="00D00D93">
        <w:t xml:space="preserve"> proyecto piloto </w:t>
      </w:r>
      <w:r w:rsidR="00F40DF4" w:rsidRPr="00D00D93">
        <w:t xml:space="preserve">sobre </w:t>
      </w:r>
      <w:r w:rsidR="008F4FE8" w:rsidRPr="00D00D93">
        <w:t xml:space="preserve">COLABORACIÓN EN LA BÚSQUEDA Y EL EXAMEN EN EL MARCO DEL </w:t>
      </w:r>
      <w:r w:rsidR="001B7D70" w:rsidRPr="00D00D93">
        <w:t xml:space="preserve">PCT </w:t>
      </w:r>
    </w:p>
    <w:p w:rsidR="001B7D70" w:rsidRPr="00D00D93" w:rsidRDefault="00CE4E2C" w:rsidP="00740EFC">
      <w:pPr>
        <w:pStyle w:val="ONUMFS"/>
      </w:pPr>
      <w:r w:rsidRPr="00D00D93">
        <w:t>Los debates se basaron en el documento</w:t>
      </w:r>
      <w:r w:rsidR="001B7D70" w:rsidRPr="00D00D93">
        <w:t xml:space="preserve"> PCT/MIA/25/7.</w:t>
      </w:r>
    </w:p>
    <w:p w:rsidR="0082604B" w:rsidRPr="00D00D93" w:rsidRDefault="00EE188E" w:rsidP="00740EFC">
      <w:pPr>
        <w:pStyle w:val="ONUMFS"/>
      </w:pPr>
      <w:r w:rsidRPr="00D00D93">
        <w:t xml:space="preserve">La OEP </w:t>
      </w:r>
      <w:r w:rsidR="00F40DF4" w:rsidRPr="00D00D93">
        <w:t xml:space="preserve">explicó que el </w:t>
      </w:r>
      <w:r w:rsidR="00CE4E2C" w:rsidRPr="00D00D93">
        <w:t xml:space="preserve">Grupo Piloto del PCT de Colaboración en la Búsqueda y el Examen </w:t>
      </w:r>
      <w:r w:rsidR="001B7D70" w:rsidRPr="00D00D93">
        <w:t xml:space="preserve">(CS&amp;E) </w:t>
      </w:r>
      <w:r w:rsidR="00F40DF4" w:rsidRPr="00D00D93">
        <w:t>se encuentra en el segundo año de su fase preparatoria</w:t>
      </w:r>
      <w:r w:rsidR="001B7D70" w:rsidRPr="00D00D93">
        <w:t xml:space="preserve">.  </w:t>
      </w:r>
      <w:r w:rsidR="00F40DF4" w:rsidRPr="00D00D93">
        <w:t xml:space="preserve">En su última reunión celebrada en noviembre </w:t>
      </w:r>
      <w:r w:rsidR="009956EA" w:rsidRPr="00D00D93">
        <w:t>de 20</w:t>
      </w:r>
      <w:r w:rsidR="00F40DF4" w:rsidRPr="00D00D93">
        <w:t xml:space="preserve">17 en Tokio, se logró avanzar en la definición de los </w:t>
      </w:r>
      <w:r w:rsidR="00CE4E2C" w:rsidRPr="00D00D93">
        <w:t xml:space="preserve">indicadores de seguimiento </w:t>
      </w:r>
      <w:r w:rsidR="00F40DF4" w:rsidRPr="00D00D93">
        <w:t>del proyecto piloto</w:t>
      </w:r>
      <w:r w:rsidR="001B7D70" w:rsidRPr="00D00D93">
        <w:t xml:space="preserve">, </w:t>
      </w:r>
      <w:r w:rsidR="00F40DF4" w:rsidRPr="00D00D93">
        <w:t xml:space="preserve">particularmente </w:t>
      </w:r>
      <w:r w:rsidR="00094EE8" w:rsidRPr="00D00D93">
        <w:t xml:space="preserve">en </w:t>
      </w:r>
      <w:r w:rsidR="006D22B8" w:rsidRPr="00D00D93">
        <w:t xml:space="preserve">la de </w:t>
      </w:r>
      <w:r w:rsidR="00F40DF4" w:rsidRPr="00D00D93">
        <w:t xml:space="preserve">sus </w:t>
      </w:r>
      <w:r w:rsidR="001B7D70" w:rsidRPr="00D00D93">
        <w:t>indica</w:t>
      </w:r>
      <w:r w:rsidR="007B3F41" w:rsidRPr="00D00D93">
        <w:t>d</w:t>
      </w:r>
      <w:r w:rsidR="001B7D70" w:rsidRPr="00D00D93">
        <w:t>or</w:t>
      </w:r>
      <w:r w:rsidR="00F40DF4" w:rsidRPr="00D00D93">
        <w:t>e</w:t>
      </w:r>
      <w:r w:rsidR="001B7D70" w:rsidRPr="00D00D93">
        <w:t>s</w:t>
      </w:r>
      <w:r w:rsidR="00F40DF4" w:rsidRPr="00D00D93">
        <w:t xml:space="preserve"> operativos</w:t>
      </w:r>
      <w:r w:rsidR="001B7D70" w:rsidRPr="00D00D93">
        <w:t xml:space="preserve">.  </w:t>
      </w:r>
      <w:r w:rsidR="00F40DF4" w:rsidRPr="00D00D93">
        <w:t xml:space="preserve">En la próxima reunión, que tendrá lugar en Madrid del 26 al 27 de febrero </w:t>
      </w:r>
      <w:r w:rsidR="009956EA" w:rsidRPr="00D00D93">
        <w:t>de 20</w:t>
      </w:r>
      <w:r w:rsidR="00F40DF4" w:rsidRPr="00D00D93">
        <w:t>18</w:t>
      </w:r>
      <w:r w:rsidR="001B7D70" w:rsidRPr="00D00D93">
        <w:t xml:space="preserve">, </w:t>
      </w:r>
      <w:r w:rsidR="00874B50" w:rsidRPr="00D00D93">
        <w:t>el Grupo Piloto </w:t>
      </w:r>
      <w:r w:rsidR="001B7D70" w:rsidRPr="00D00D93">
        <w:t xml:space="preserve">CS&amp;E </w:t>
      </w:r>
      <w:r w:rsidR="00A5563C" w:rsidRPr="00D00D93">
        <w:t xml:space="preserve">tratará de </w:t>
      </w:r>
      <w:r w:rsidR="0082604B" w:rsidRPr="00D00D93">
        <w:t xml:space="preserve">ultimar </w:t>
      </w:r>
      <w:r w:rsidR="00A5563C" w:rsidRPr="00D00D93">
        <w:t xml:space="preserve">las </w:t>
      </w:r>
      <w:r w:rsidR="001130C3" w:rsidRPr="00D00D93">
        <w:t xml:space="preserve">modalidades </w:t>
      </w:r>
      <w:r w:rsidR="0082604B" w:rsidRPr="00D00D93">
        <w:t>operativ</w:t>
      </w:r>
      <w:r w:rsidR="00A5563C" w:rsidRPr="00D00D93">
        <w:t>a</w:t>
      </w:r>
      <w:r w:rsidR="0082604B" w:rsidRPr="00D00D93">
        <w:t>s del pr</w:t>
      </w:r>
      <w:r w:rsidR="00A5563C" w:rsidRPr="00D00D93">
        <w:t>o</w:t>
      </w:r>
      <w:r w:rsidR="0082604B" w:rsidRPr="00D00D93">
        <w:t>yecto</w:t>
      </w:r>
      <w:r w:rsidR="00725ED6" w:rsidRPr="00D00D93">
        <w:t xml:space="preserve"> piloto</w:t>
      </w:r>
      <w:r w:rsidR="0082604B" w:rsidRPr="00D00D93">
        <w:t>, examinar</w:t>
      </w:r>
      <w:r w:rsidR="00A5563C" w:rsidRPr="00D00D93">
        <w:t>á</w:t>
      </w:r>
      <w:r w:rsidR="0082604B" w:rsidRPr="00D00D93">
        <w:t xml:space="preserve"> la información </w:t>
      </w:r>
      <w:r w:rsidR="00725ED6" w:rsidRPr="00D00D93">
        <w:t xml:space="preserve">que </w:t>
      </w:r>
      <w:r w:rsidR="0082604B" w:rsidRPr="00D00D93">
        <w:t xml:space="preserve">sobre </w:t>
      </w:r>
      <w:r w:rsidR="00094EE8" w:rsidRPr="00D00D93">
        <w:t xml:space="preserve">él </w:t>
      </w:r>
      <w:r w:rsidR="00725ED6" w:rsidRPr="00D00D93">
        <w:t xml:space="preserve">se facilita </w:t>
      </w:r>
      <w:r w:rsidR="0082604B" w:rsidRPr="00D00D93">
        <w:t xml:space="preserve">en los respectivos sitios web de las Oficinas </w:t>
      </w:r>
      <w:r w:rsidR="00A5563C" w:rsidRPr="00D00D93">
        <w:t xml:space="preserve">a fin de fomentar </w:t>
      </w:r>
      <w:r w:rsidR="0082604B" w:rsidRPr="00D00D93">
        <w:t xml:space="preserve">la participación entre la comunidad de usuarios y tomará una decisión acerca de la fecha de puesta en marcha de </w:t>
      </w:r>
      <w:r w:rsidR="00094EE8" w:rsidRPr="00D00D93">
        <w:t xml:space="preserve">su </w:t>
      </w:r>
      <w:r w:rsidR="0082604B" w:rsidRPr="00D00D93">
        <w:t>fase operativa</w:t>
      </w:r>
      <w:r w:rsidR="00A5563C" w:rsidRPr="00D00D93">
        <w:t>.</w:t>
      </w:r>
    </w:p>
    <w:p w:rsidR="001130C3" w:rsidRPr="00D00D93" w:rsidRDefault="00A5563C" w:rsidP="00740EFC">
      <w:pPr>
        <w:pStyle w:val="ONUMFS"/>
      </w:pPr>
      <w:r w:rsidRPr="00D00D93">
        <w:t xml:space="preserve">La </w:t>
      </w:r>
      <w:r w:rsidR="001B7D70" w:rsidRPr="00D00D93">
        <w:t xml:space="preserve">USPTO, </w:t>
      </w:r>
      <w:r w:rsidRPr="00D00D93">
        <w:t xml:space="preserve">que </w:t>
      </w:r>
      <w:r w:rsidR="00094EE8" w:rsidRPr="00D00D93">
        <w:t xml:space="preserve">manifestó </w:t>
      </w:r>
      <w:r w:rsidRPr="00D00D93">
        <w:t xml:space="preserve">haber participado en el anterior ejercicio de colaboración en la búsqueda y el examen junto con la </w:t>
      </w:r>
      <w:r w:rsidR="001B7D70" w:rsidRPr="00D00D93">
        <w:t xml:space="preserve">JPO </w:t>
      </w:r>
      <w:r w:rsidRPr="00D00D93">
        <w:t>y la Oficina Surc</w:t>
      </w:r>
      <w:r w:rsidR="00874B50" w:rsidRPr="00D00D93">
        <w:t>oreana de Propiedad Intelectual </w:t>
      </w:r>
      <w:r w:rsidRPr="00D00D93">
        <w:t>(KIPO)</w:t>
      </w:r>
      <w:r w:rsidR="001B7D70" w:rsidRPr="00D00D93">
        <w:t xml:space="preserve">, </w:t>
      </w:r>
      <w:r w:rsidR="00094EE8" w:rsidRPr="00D00D93">
        <w:t xml:space="preserve">dijo que acoge </w:t>
      </w:r>
      <w:r w:rsidRPr="00D00D93">
        <w:t xml:space="preserve">con satisfacción </w:t>
      </w:r>
      <w:r w:rsidR="001130C3" w:rsidRPr="00D00D93">
        <w:t xml:space="preserve">el </w:t>
      </w:r>
      <w:r w:rsidRPr="00D00D93">
        <w:t xml:space="preserve">debate acerca de </w:t>
      </w:r>
      <w:r w:rsidR="001130C3" w:rsidRPr="00D00D93">
        <w:t xml:space="preserve">la manera en que </w:t>
      </w:r>
      <w:r w:rsidRPr="00D00D93">
        <w:t xml:space="preserve">el proyecto piloto sobre colaboración en la búsqueda y el examen </w:t>
      </w:r>
      <w:r w:rsidR="001130C3" w:rsidRPr="00D00D93">
        <w:t xml:space="preserve">mejorará la calidad y ahorrará tiempo </w:t>
      </w:r>
      <w:r w:rsidR="00094EE8" w:rsidRPr="00D00D93">
        <w:t xml:space="preserve">al </w:t>
      </w:r>
      <w:r w:rsidR="001130C3" w:rsidRPr="00D00D93">
        <w:t xml:space="preserve">examen nacional. </w:t>
      </w:r>
    </w:p>
    <w:p w:rsidR="001B7D70" w:rsidRPr="00D00D93" w:rsidRDefault="004A3F02" w:rsidP="00740EFC">
      <w:pPr>
        <w:pStyle w:val="ONUMFS"/>
        <w:tabs>
          <w:tab w:val="clear" w:pos="567"/>
        </w:tabs>
        <w:ind w:left="567"/>
      </w:pPr>
      <w:r w:rsidRPr="00D00D93">
        <w:t xml:space="preserve">La Reunión tomó nota del contenido del documento </w:t>
      </w:r>
      <w:r w:rsidR="001B7D70" w:rsidRPr="00D00D93">
        <w:t>PCT/MIA/25/7.</w:t>
      </w:r>
    </w:p>
    <w:p w:rsidR="001B7D70" w:rsidRPr="00D00D93" w:rsidRDefault="00BD2442" w:rsidP="001B7D70">
      <w:pPr>
        <w:pStyle w:val="Heading1"/>
        <w:keepNext w:val="0"/>
      </w:pPr>
      <w:r w:rsidRPr="00D00D93">
        <w:t xml:space="preserve">PUNTO </w:t>
      </w:r>
      <w:r w:rsidR="001B7D70" w:rsidRPr="00D00D93">
        <w:t>14</w:t>
      </w:r>
      <w:proofErr w:type="gramStart"/>
      <w:r w:rsidR="001B7D70" w:rsidRPr="00D00D93">
        <w:t xml:space="preserve">:  </w:t>
      </w:r>
      <w:r w:rsidR="008173C8" w:rsidRPr="00D00D93">
        <w:t>NORMA</w:t>
      </w:r>
      <w:proofErr w:type="gramEnd"/>
      <w:r w:rsidR="008173C8" w:rsidRPr="00D00D93">
        <w:t xml:space="preserve"> PARA LA PRESENTACIÓN DE LISTAS DE SECUENCIA</w:t>
      </w:r>
      <w:r w:rsidR="00094EE8" w:rsidRPr="00D00D93">
        <w:t>s</w:t>
      </w:r>
      <w:r w:rsidR="008173C8" w:rsidRPr="00D00D93">
        <w:t xml:space="preserve"> EN VIRTUD DEL PCT </w:t>
      </w:r>
    </w:p>
    <w:p w:rsidR="001B7D70" w:rsidRPr="00D00D93" w:rsidRDefault="004A3F02" w:rsidP="00740EFC">
      <w:pPr>
        <w:pStyle w:val="ONUMFS"/>
      </w:pPr>
      <w:r w:rsidRPr="00D00D93">
        <w:t xml:space="preserve">Los debates se basaron en el documento </w:t>
      </w:r>
      <w:r w:rsidR="001B7D70" w:rsidRPr="00D00D93">
        <w:t>PCT/MIA/25/2</w:t>
      </w:r>
    </w:p>
    <w:p w:rsidR="00FA0F86" w:rsidRDefault="00636E19" w:rsidP="00740EFC">
      <w:pPr>
        <w:pStyle w:val="ONUMFS"/>
      </w:pPr>
      <w:r w:rsidRPr="00D00D93">
        <w:t>Una Administración</w:t>
      </w:r>
      <w:r w:rsidR="001B7D70" w:rsidRPr="00D00D93">
        <w:t xml:space="preserve"> </w:t>
      </w:r>
      <w:r w:rsidR="001130C3" w:rsidRPr="00D00D93">
        <w:t xml:space="preserve">subrayó la necesidad </w:t>
      </w:r>
      <w:r w:rsidR="00752F22" w:rsidRPr="00D00D93">
        <w:t xml:space="preserve">de contactar con los solicitantes a propósito de la adopción de la fecha de presentación internacional como fecha de referencia para determinar la norma aplicable </w:t>
      </w:r>
      <w:r w:rsidR="00094EE8" w:rsidRPr="00D00D93">
        <w:t xml:space="preserve">a </w:t>
      </w:r>
      <w:r w:rsidR="00752F22" w:rsidRPr="00D00D93">
        <w:t xml:space="preserve">la presentación de listas de secuencias en las solicitudes </w:t>
      </w:r>
    </w:p>
    <w:p w:rsidR="001B7D70" w:rsidRPr="00D00D93" w:rsidRDefault="00752F22" w:rsidP="00FA0F86">
      <w:pPr>
        <w:pStyle w:val="ONUMFS"/>
        <w:numPr>
          <w:ilvl w:val="0"/>
          <w:numId w:val="0"/>
        </w:numPr>
      </w:pPr>
      <w:bookmarkStart w:id="5" w:name="_GoBack"/>
      <w:bookmarkEnd w:id="5"/>
      <w:proofErr w:type="gramStart"/>
      <w:r w:rsidRPr="00D00D93">
        <w:lastRenderedPageBreak/>
        <w:t>internacionales</w:t>
      </w:r>
      <w:proofErr w:type="gramEnd"/>
      <w:r w:rsidR="001B7D70" w:rsidRPr="00D00D93">
        <w:t xml:space="preserve"> </w:t>
      </w:r>
      <w:r w:rsidR="006639DB" w:rsidRPr="00D00D93">
        <w:t xml:space="preserve">con motivo </w:t>
      </w:r>
      <w:r w:rsidR="009C4CB5" w:rsidRPr="00D00D93">
        <w:t xml:space="preserve">de </w:t>
      </w:r>
      <w:r w:rsidRPr="00D00D93">
        <w:t>la transición</w:t>
      </w:r>
      <w:r w:rsidR="006639DB" w:rsidRPr="00D00D93">
        <w:t xml:space="preserve"> de la Norma ST.25 a la ST.26 de la OMPI</w:t>
      </w:r>
      <w:r w:rsidR="009C4CB5" w:rsidRPr="00D00D93">
        <w:t xml:space="preserve"> </w:t>
      </w:r>
      <w:r w:rsidRPr="00D00D93">
        <w:t>que</w:t>
      </w:r>
      <w:r w:rsidR="006639DB" w:rsidRPr="00D00D93">
        <w:t>,</w:t>
      </w:r>
      <w:r w:rsidRPr="00D00D93">
        <w:t xml:space="preserve"> </w:t>
      </w:r>
      <w:r w:rsidR="006639DB" w:rsidRPr="00D00D93">
        <w:t>a la manera de un cambio radical (“big bang”), tendrá lugar</w:t>
      </w:r>
      <w:r w:rsidRPr="00D00D93">
        <w:t xml:space="preserve"> en enero </w:t>
      </w:r>
      <w:r w:rsidR="009956EA" w:rsidRPr="00D00D93">
        <w:t>de 20</w:t>
      </w:r>
      <w:r w:rsidR="001B7D70" w:rsidRPr="00D00D93">
        <w:t xml:space="preserve">22.  </w:t>
      </w:r>
      <w:r w:rsidRPr="00D00D93">
        <w:t xml:space="preserve">Esa Administración propuso </w:t>
      </w:r>
      <w:r w:rsidR="009C4CB5" w:rsidRPr="00D00D93">
        <w:t>que la herramienta informática de validación se confeccione en varios idiomas</w:t>
      </w:r>
      <w:r w:rsidR="001B7D70" w:rsidRPr="00D00D93">
        <w:t xml:space="preserve">.  </w:t>
      </w:r>
    </w:p>
    <w:p w:rsidR="001B7D70" w:rsidRPr="00D00D93" w:rsidRDefault="004A3F02" w:rsidP="00740EFC">
      <w:pPr>
        <w:pStyle w:val="ONUMFS"/>
        <w:tabs>
          <w:tab w:val="clear" w:pos="567"/>
        </w:tabs>
        <w:ind w:left="567"/>
      </w:pPr>
      <w:r w:rsidRPr="00D00D93">
        <w:t xml:space="preserve">La Reunión tomó nota del contenido del documento </w:t>
      </w:r>
      <w:r w:rsidR="001B7D70" w:rsidRPr="00D00D93">
        <w:t>PCT/MIA/25/2.</w:t>
      </w:r>
    </w:p>
    <w:p w:rsidR="001B7D70" w:rsidRPr="00D00D93" w:rsidRDefault="00BD2442" w:rsidP="001B7D70">
      <w:pPr>
        <w:pStyle w:val="Heading1"/>
        <w:keepNext w:val="0"/>
      </w:pPr>
      <w:r w:rsidRPr="00D00D93">
        <w:t xml:space="preserve">PUNTO </w:t>
      </w:r>
      <w:r w:rsidR="001B7D70" w:rsidRPr="00D00D93">
        <w:t>15</w:t>
      </w:r>
      <w:proofErr w:type="gramStart"/>
      <w:r w:rsidR="001B7D70" w:rsidRPr="00D00D93">
        <w:t xml:space="preserve">:  </w:t>
      </w:r>
      <w:r w:rsidR="008173C8" w:rsidRPr="00D00D93">
        <w:t>DOCUMENTACIÓN</w:t>
      </w:r>
      <w:proofErr w:type="gramEnd"/>
      <w:r w:rsidR="008173C8" w:rsidRPr="00D00D93">
        <w:t xml:space="preserve"> MÍNIMA DEL PCT </w:t>
      </w:r>
    </w:p>
    <w:p w:rsidR="001B7D70" w:rsidRPr="00D00D93" w:rsidRDefault="001B7D70" w:rsidP="001B7D70">
      <w:pPr>
        <w:pStyle w:val="Heading3"/>
        <w:keepNext w:val="0"/>
      </w:pPr>
      <w:r w:rsidRPr="00D00D93">
        <w:t>a)</w:t>
      </w:r>
      <w:r w:rsidRPr="00D00D93">
        <w:tab/>
      </w:r>
      <w:r w:rsidR="008173C8" w:rsidRPr="00D00D93">
        <w:t>Equipo Técnico sobre documentación mínima del PCT</w:t>
      </w:r>
      <w:proofErr w:type="gramStart"/>
      <w:r w:rsidR="008173C8" w:rsidRPr="00D00D93">
        <w:t>:  Informe</w:t>
      </w:r>
      <w:proofErr w:type="gramEnd"/>
      <w:r w:rsidR="008173C8" w:rsidRPr="00D00D93">
        <w:t xml:space="preserve"> de situación </w:t>
      </w:r>
    </w:p>
    <w:p w:rsidR="001B7D70" w:rsidRPr="00D00D93" w:rsidRDefault="004A3F02" w:rsidP="00740EFC">
      <w:pPr>
        <w:pStyle w:val="ONUMFS"/>
      </w:pPr>
      <w:r w:rsidRPr="00D00D93">
        <w:t xml:space="preserve">Los debates se basaron en el </w:t>
      </w:r>
      <w:r w:rsidR="001B7D70" w:rsidRPr="00D00D93">
        <w:t>document</w:t>
      </w:r>
      <w:r w:rsidRPr="00D00D93">
        <w:t>o</w:t>
      </w:r>
      <w:r w:rsidR="001B7D70" w:rsidRPr="00D00D93">
        <w:t xml:space="preserve"> PCT/MIA/25/4 </w:t>
      </w:r>
      <w:r w:rsidRPr="00D00D93">
        <w:t xml:space="preserve">y en una </w:t>
      </w:r>
      <w:r w:rsidR="00537D5F" w:rsidRPr="00D00D93">
        <w:t>prese</w:t>
      </w:r>
      <w:r w:rsidR="005F5AF1" w:rsidRPr="00D00D93">
        <w:t>n</w:t>
      </w:r>
      <w:r w:rsidR="00537D5F" w:rsidRPr="00D00D93">
        <w:t xml:space="preserve">tación a cargo de </w:t>
      </w:r>
      <w:r w:rsidRPr="00D00D93">
        <w:t>la OEP</w:t>
      </w:r>
      <w:r w:rsidR="001B7D70" w:rsidRPr="00D00D93">
        <w:rPr>
          <w:rStyle w:val="FootnoteReference"/>
        </w:rPr>
        <w:footnoteReference w:id="3"/>
      </w:r>
      <w:r w:rsidR="001B7D70" w:rsidRPr="00D00D93">
        <w:t>.</w:t>
      </w:r>
    </w:p>
    <w:p w:rsidR="0017394F" w:rsidRPr="00D00D93" w:rsidRDefault="0004499A" w:rsidP="00740EFC">
      <w:pPr>
        <w:pStyle w:val="ONUMFS"/>
      </w:pPr>
      <w:r w:rsidRPr="00D00D93">
        <w:t xml:space="preserve">Las </w:t>
      </w:r>
      <w:r w:rsidR="005B1DAD" w:rsidRPr="00D00D93">
        <w:t>Administraciones</w:t>
      </w:r>
      <w:r w:rsidR="001B7D70" w:rsidRPr="00D00D93">
        <w:t xml:space="preserve"> </w:t>
      </w:r>
      <w:r w:rsidRPr="00D00D93">
        <w:t xml:space="preserve">tomaron nota con satisfacción de un informe de la OEP que atestigua los significativos progresos </w:t>
      </w:r>
      <w:r w:rsidR="006D22B8" w:rsidRPr="00D00D93">
        <w:t xml:space="preserve">cosechados </w:t>
      </w:r>
      <w:r w:rsidRPr="00D00D93">
        <w:t xml:space="preserve">en el señalamiento de muchas de las </w:t>
      </w:r>
      <w:r w:rsidR="009753D8" w:rsidRPr="00D00D93">
        <w:t xml:space="preserve">consideraciones </w:t>
      </w:r>
      <w:r w:rsidR="006639DB" w:rsidRPr="00D00D93">
        <w:t xml:space="preserve">que intervienen en la </w:t>
      </w:r>
      <w:r w:rsidRPr="00D00D93">
        <w:t>mejora de l</w:t>
      </w:r>
      <w:r w:rsidR="006D22B8" w:rsidRPr="00D00D93">
        <w:t>o</w:t>
      </w:r>
      <w:r w:rsidRPr="00D00D93">
        <w:t xml:space="preserve"> que actualmente constituye una situación extremadamente complicada </w:t>
      </w:r>
      <w:r w:rsidR="006639DB" w:rsidRPr="00D00D93">
        <w:t xml:space="preserve">referida </w:t>
      </w:r>
      <w:r w:rsidR="009753D8" w:rsidRPr="00D00D93">
        <w:t xml:space="preserve">al modo en que los documentos de patente se adscriben a la documentación mínima del PCT.  En particular, no existe una entidad que </w:t>
      </w:r>
      <w:r w:rsidR="006A54B3" w:rsidRPr="00D00D93">
        <w:t xml:space="preserve">claramente </w:t>
      </w:r>
      <w:r w:rsidR="009753D8" w:rsidRPr="00D00D93">
        <w:t xml:space="preserve">pueda </w:t>
      </w:r>
      <w:r w:rsidR="006639DB" w:rsidRPr="00D00D93">
        <w:t xml:space="preserve">conceptuarse como </w:t>
      </w:r>
      <w:r w:rsidR="009753D8" w:rsidRPr="00D00D93">
        <w:t xml:space="preserve">“documentación mínima”, pues los requisitos </w:t>
      </w:r>
      <w:r w:rsidR="0017394F" w:rsidRPr="00D00D93">
        <w:t xml:space="preserve">varían de una </w:t>
      </w:r>
      <w:r w:rsidR="009753D8" w:rsidRPr="00D00D93">
        <w:t xml:space="preserve">Administración </w:t>
      </w:r>
      <w:r w:rsidR="0017394F" w:rsidRPr="00D00D93">
        <w:t xml:space="preserve">a otra, dependiendo de sus idiomas de trabajo, así como de factores que </w:t>
      </w:r>
      <w:r w:rsidR="006A54B3" w:rsidRPr="00D00D93">
        <w:t>cambian con el tiempo</w:t>
      </w:r>
      <w:r w:rsidR="0017394F" w:rsidRPr="00D00D93">
        <w:t xml:space="preserve">, como la disponibilidad de resúmenes en </w:t>
      </w:r>
      <w:r w:rsidR="006A54B3" w:rsidRPr="00D00D93">
        <w:t>inglés.</w:t>
      </w:r>
      <w:r w:rsidR="0017394F" w:rsidRPr="00D00D93">
        <w:t xml:space="preserve">  </w:t>
      </w:r>
      <w:r w:rsidR="006A54B3" w:rsidRPr="00D00D93">
        <w:t>Las consideraciones pertine</w:t>
      </w:r>
      <w:r w:rsidR="005F5AF1" w:rsidRPr="00D00D93">
        <w:t>n</w:t>
      </w:r>
      <w:r w:rsidR="006A54B3" w:rsidRPr="00D00D93">
        <w:t>tes en el momento actual son muy diferentes de las que primaban en el momento de acuñarse el concepto de documentación mínima.</w:t>
      </w:r>
      <w:r w:rsidR="0017394F" w:rsidRPr="00D00D93">
        <w:t xml:space="preserve">  </w:t>
      </w:r>
      <w:r w:rsidR="006A54B3" w:rsidRPr="00D00D93">
        <w:t xml:space="preserve">El grueso de los documentos de patente está ya disponible </w:t>
      </w:r>
      <w:r w:rsidR="006639DB" w:rsidRPr="00D00D93">
        <w:t>en formato de texto completo integrados en bases de datos</w:t>
      </w:r>
      <w:r w:rsidR="006A54B3" w:rsidRPr="00D00D93">
        <w:t xml:space="preserve">, </w:t>
      </w:r>
      <w:r w:rsidR="00DA3CE5" w:rsidRPr="00D00D93">
        <w:t>lo que contrasta con los sistemas de documentación fundamentalmente sobre papel prevalecientes en otro tiempo</w:t>
      </w:r>
      <w:r w:rsidR="0017394F" w:rsidRPr="00D00D93">
        <w:t xml:space="preserve">.  </w:t>
      </w:r>
      <w:r w:rsidR="00DA3CE5" w:rsidRPr="00D00D93">
        <w:t xml:space="preserve">La </w:t>
      </w:r>
      <w:r w:rsidR="00F77312" w:rsidRPr="00D00D93">
        <w:t xml:space="preserve">mejora constante de la </w:t>
      </w:r>
      <w:r w:rsidR="00DA3CE5" w:rsidRPr="00D00D93">
        <w:t xml:space="preserve">calidad </w:t>
      </w:r>
      <w:r w:rsidR="00F77312" w:rsidRPr="00D00D93">
        <w:t xml:space="preserve">de la traducción automática entre </w:t>
      </w:r>
      <w:r w:rsidR="006639DB" w:rsidRPr="00D00D93">
        <w:t xml:space="preserve">diferentes </w:t>
      </w:r>
      <w:r w:rsidR="00F77312" w:rsidRPr="00D00D93">
        <w:t>idiomas es un tema de especial actualidad.</w:t>
      </w:r>
      <w:r w:rsidR="0017394F" w:rsidRPr="00D00D93">
        <w:t xml:space="preserve">  </w:t>
      </w:r>
      <w:r w:rsidR="00F77312" w:rsidRPr="00D00D93">
        <w:t xml:space="preserve">La literatura distinta de la de patentes plantea una cuestión particularmente difícil, que </w:t>
      </w:r>
      <w:r w:rsidR="00A77CCB" w:rsidRPr="00D00D93">
        <w:t xml:space="preserve">se </w:t>
      </w:r>
      <w:r w:rsidR="00F77312" w:rsidRPr="00D00D93">
        <w:t xml:space="preserve">complica </w:t>
      </w:r>
      <w:r w:rsidR="00A77CCB" w:rsidRPr="00D00D93">
        <w:t xml:space="preserve">aún más por </w:t>
      </w:r>
      <w:r w:rsidR="00F77312" w:rsidRPr="00D00D93">
        <w:t xml:space="preserve">el hecho de que el término venga principalmente </w:t>
      </w:r>
      <w:r w:rsidR="00A77CCB" w:rsidRPr="00D00D93">
        <w:t>referido a</w:t>
      </w:r>
      <w:r w:rsidR="00F77312" w:rsidRPr="00D00D93">
        <w:t>l co</w:t>
      </w:r>
      <w:r w:rsidR="00A77CCB" w:rsidRPr="00D00D93">
        <w:t>n</w:t>
      </w:r>
      <w:r w:rsidR="00F77312" w:rsidRPr="00D00D93">
        <w:t>cepto de publicaciones periódicas</w:t>
      </w:r>
      <w:r w:rsidR="00DA3CE5" w:rsidRPr="00D00D93">
        <w:t xml:space="preserve">, </w:t>
      </w:r>
      <w:r w:rsidR="00A77CCB" w:rsidRPr="00D00D93">
        <w:t xml:space="preserve">siendo así que algunas de esas publicaciones resultan ahora muy difíciles de obtener o han dejado de estar disponibles en </w:t>
      </w:r>
      <w:r w:rsidR="00A17283" w:rsidRPr="00D00D93">
        <w:t xml:space="preserve">el formato en el que quedaron incorporadas </w:t>
      </w:r>
      <w:r w:rsidR="00450197" w:rsidRPr="00D00D93">
        <w:t xml:space="preserve">a </w:t>
      </w:r>
      <w:r w:rsidR="00A77CCB" w:rsidRPr="00D00D93">
        <w:t xml:space="preserve">la documentación mínima. </w:t>
      </w:r>
    </w:p>
    <w:p w:rsidR="00A77CCB" w:rsidRPr="00D00D93" w:rsidRDefault="00A77CCB" w:rsidP="00740EFC">
      <w:pPr>
        <w:pStyle w:val="ONUMFS"/>
      </w:pPr>
      <w:r w:rsidRPr="00D00D93">
        <w:t xml:space="preserve">En relación con los documentos relacionados con patentes, las Administraciones observaron que una de las principales cuestiones que ha de abordarse es </w:t>
      </w:r>
      <w:r w:rsidR="00450197" w:rsidRPr="00D00D93">
        <w:t xml:space="preserve">la de determinar en qué medida </w:t>
      </w:r>
      <w:r w:rsidRPr="00D00D93">
        <w:t xml:space="preserve">los modelos de utilidad </w:t>
      </w:r>
      <w:r w:rsidR="008C0097" w:rsidRPr="00D00D93">
        <w:t>forman parte de la documentación mínima</w:t>
      </w:r>
      <w:r w:rsidRPr="00D00D93">
        <w:t xml:space="preserve">.  En la actualidad, los certificados de utilidad franceses </w:t>
      </w:r>
      <w:r w:rsidR="00450197" w:rsidRPr="00D00D93">
        <w:t xml:space="preserve">estarían </w:t>
      </w:r>
      <w:r w:rsidR="008C0097" w:rsidRPr="00D00D93">
        <w:t>comprendidos en ella</w:t>
      </w:r>
      <w:r w:rsidRPr="00D00D93">
        <w:t>, p</w:t>
      </w:r>
      <w:r w:rsidR="00450197" w:rsidRPr="00D00D93">
        <w:t>e</w:t>
      </w:r>
      <w:r w:rsidRPr="00D00D93">
        <w:t xml:space="preserve">ro no así otros </w:t>
      </w:r>
      <w:r w:rsidR="00450197" w:rsidRPr="00D00D93">
        <w:t xml:space="preserve">tipos de </w:t>
      </w:r>
      <w:r w:rsidRPr="00D00D93">
        <w:t>mode</w:t>
      </w:r>
      <w:r w:rsidR="00450197" w:rsidRPr="00D00D93">
        <w:t>l</w:t>
      </w:r>
      <w:r w:rsidRPr="00D00D93">
        <w:t xml:space="preserve">os de utilidad, algunos de los cuales </w:t>
      </w:r>
      <w:r w:rsidR="00450197" w:rsidRPr="00D00D93">
        <w:t xml:space="preserve">ofrecen un amplio conjunto </w:t>
      </w:r>
      <w:r w:rsidRPr="00D00D93">
        <w:t xml:space="preserve">de divulgaciones técnicas. </w:t>
      </w:r>
      <w:r w:rsidR="00CF05DB" w:rsidRPr="00D00D93">
        <w:t xml:space="preserve"> </w:t>
      </w:r>
      <w:r w:rsidRPr="00D00D93">
        <w:t xml:space="preserve">Algunas Administraciones reiteraron la opinión de que </w:t>
      </w:r>
      <w:r w:rsidR="00A17283" w:rsidRPr="00D00D93">
        <w:t xml:space="preserve">todo </w:t>
      </w:r>
      <w:r w:rsidRPr="00D00D93">
        <w:t xml:space="preserve">modelo de utilidad </w:t>
      </w:r>
      <w:r w:rsidR="00450197" w:rsidRPr="00D00D93">
        <w:t xml:space="preserve">que se </w:t>
      </w:r>
      <w:r w:rsidR="00A17283" w:rsidRPr="00D00D93">
        <w:t xml:space="preserve">ponga </w:t>
      </w:r>
      <w:r w:rsidRPr="00D00D93">
        <w:t xml:space="preserve">a disposición en un formato adecuado </w:t>
      </w:r>
      <w:r w:rsidR="006D22B8" w:rsidRPr="00D00D93">
        <w:t>debe</w:t>
      </w:r>
      <w:r w:rsidR="00A17283" w:rsidRPr="00D00D93">
        <w:t>ría</w:t>
      </w:r>
      <w:r w:rsidR="006D22B8" w:rsidRPr="00D00D93">
        <w:t xml:space="preserve"> </w:t>
      </w:r>
      <w:r w:rsidR="008C0097" w:rsidRPr="00D00D93">
        <w:t xml:space="preserve">pasar a formar parte de </w:t>
      </w:r>
      <w:r w:rsidRPr="00D00D93">
        <w:t xml:space="preserve">la documentación mínima. </w:t>
      </w:r>
      <w:r w:rsidR="00CF05DB" w:rsidRPr="00D00D93">
        <w:t xml:space="preserve"> </w:t>
      </w:r>
      <w:r w:rsidRPr="00D00D93">
        <w:t xml:space="preserve">Otras Administraciones </w:t>
      </w:r>
      <w:r w:rsidR="008C0097" w:rsidRPr="00D00D93">
        <w:t xml:space="preserve">expresaron </w:t>
      </w:r>
      <w:r w:rsidRPr="00D00D93">
        <w:t>la necesidad de que se</w:t>
      </w:r>
      <w:r w:rsidR="00450197" w:rsidRPr="00D00D93">
        <w:t xml:space="preserve"> </w:t>
      </w:r>
      <w:r w:rsidRPr="00D00D93">
        <w:t xml:space="preserve">lleve </w:t>
      </w:r>
      <w:r w:rsidR="008C0097" w:rsidRPr="00D00D93">
        <w:t xml:space="preserve">a cabo </w:t>
      </w:r>
      <w:r w:rsidR="00450197" w:rsidRPr="00D00D93">
        <w:t xml:space="preserve">un </w:t>
      </w:r>
      <w:r w:rsidR="008C0097" w:rsidRPr="00D00D93">
        <w:t xml:space="preserve">examen </w:t>
      </w:r>
      <w:r w:rsidR="00450197" w:rsidRPr="00D00D93">
        <w:t xml:space="preserve">detenido </w:t>
      </w:r>
      <w:r w:rsidRPr="00D00D93">
        <w:t>del valor a</w:t>
      </w:r>
      <w:r w:rsidR="00450197" w:rsidRPr="00D00D93">
        <w:t>ñ</w:t>
      </w:r>
      <w:r w:rsidRPr="00D00D93">
        <w:t>adido que podrían suponer para una búsqueda.</w:t>
      </w:r>
    </w:p>
    <w:p w:rsidR="001B7D70" w:rsidRPr="00D00D93" w:rsidRDefault="00636E19" w:rsidP="00740EFC">
      <w:pPr>
        <w:pStyle w:val="ONUMFS"/>
      </w:pPr>
      <w:r w:rsidRPr="00D00D93">
        <w:t>Una Administración</w:t>
      </w:r>
      <w:r w:rsidR="001B7D70" w:rsidRPr="00D00D93">
        <w:t xml:space="preserve"> </w:t>
      </w:r>
      <w:r w:rsidR="003E18B4" w:rsidRPr="00D00D93">
        <w:t>señaló la importancia que tiene encontrar las definiciones correctas de documentación mínima, teniendo en cuenta los requisitos de las Reglas</w:t>
      </w:r>
      <w:r w:rsidR="001B7D70" w:rsidRPr="00D00D93">
        <w:t xml:space="preserve"> 36 </w:t>
      </w:r>
      <w:r w:rsidR="003E18B4" w:rsidRPr="00D00D93">
        <w:t>y</w:t>
      </w:r>
      <w:r w:rsidR="009956EA" w:rsidRPr="00D00D93">
        <w:t> </w:t>
      </w:r>
      <w:r w:rsidR="001B7D70" w:rsidRPr="00D00D93">
        <w:t xml:space="preserve">63 </w:t>
      </w:r>
      <w:r w:rsidR="003E18B4" w:rsidRPr="00D00D93">
        <w:t>del PCT</w:t>
      </w:r>
      <w:r w:rsidR="000D685D" w:rsidRPr="00D00D93">
        <w:t>,</w:t>
      </w:r>
      <w:r w:rsidR="003E18B4" w:rsidRPr="00D00D93">
        <w:t xml:space="preserve"> que exigen que </w:t>
      </w:r>
      <w:r w:rsidR="005B1DAD" w:rsidRPr="00D00D93">
        <w:t>Administraciones</w:t>
      </w:r>
      <w:r w:rsidR="001B7D70" w:rsidRPr="00D00D93">
        <w:t xml:space="preserve"> </w:t>
      </w:r>
      <w:r w:rsidR="003E18B4" w:rsidRPr="00D00D93">
        <w:t xml:space="preserve">tengan un acceso permanente y efectivo </w:t>
      </w:r>
      <w:r w:rsidR="000D685D" w:rsidRPr="00D00D93">
        <w:t>a</w:t>
      </w:r>
      <w:r w:rsidR="00A17283" w:rsidRPr="00D00D93">
        <w:t xml:space="preserve">l elenco completo de </w:t>
      </w:r>
      <w:r w:rsidR="000D685D" w:rsidRPr="00D00D93">
        <w:t>documentación</w:t>
      </w:r>
      <w:r w:rsidR="001B7D70" w:rsidRPr="00D00D93">
        <w:t>.</w:t>
      </w:r>
    </w:p>
    <w:p w:rsidR="001B7D70" w:rsidRPr="00D00D93" w:rsidRDefault="0017394F" w:rsidP="00740EFC">
      <w:pPr>
        <w:pStyle w:val="ONUMFS"/>
      </w:pPr>
      <w:r w:rsidRPr="00D00D93">
        <w:t xml:space="preserve">La </w:t>
      </w:r>
      <w:r w:rsidR="001B7D70" w:rsidRPr="00D00D93">
        <w:t xml:space="preserve">USPTO, </w:t>
      </w:r>
      <w:r w:rsidR="000D685D" w:rsidRPr="00D00D93">
        <w:t xml:space="preserve">en </w:t>
      </w:r>
      <w:r w:rsidR="00A17283" w:rsidRPr="00D00D93">
        <w:t xml:space="preserve">su </w:t>
      </w:r>
      <w:r w:rsidR="000D685D" w:rsidRPr="00D00D93">
        <w:t>calidad de respon</w:t>
      </w:r>
      <w:r w:rsidR="005F5AF1" w:rsidRPr="00D00D93">
        <w:t>s</w:t>
      </w:r>
      <w:r w:rsidR="000D685D" w:rsidRPr="00D00D93">
        <w:t xml:space="preserve">able de la labor del Equipo Técnico sobre la literatura distinta de la de patentes, indicó que </w:t>
      </w:r>
      <w:r w:rsidR="00537D5F" w:rsidRPr="00D00D93">
        <w:t xml:space="preserve">próximamente </w:t>
      </w:r>
      <w:r w:rsidR="000D685D" w:rsidRPr="00D00D93">
        <w:t xml:space="preserve">presentará a las Administraciones un estudio sobre el uso de la literatura distinta de la de patentes </w:t>
      </w:r>
      <w:r w:rsidR="00537D5F" w:rsidRPr="00D00D93">
        <w:t xml:space="preserve">con fines de </w:t>
      </w:r>
      <w:r w:rsidR="000D685D" w:rsidRPr="00D00D93">
        <w:t>búsqueda</w:t>
      </w:r>
      <w:r w:rsidR="001B7D70" w:rsidRPr="00D00D93">
        <w:t xml:space="preserve">, </w:t>
      </w:r>
      <w:r w:rsidR="000D685D" w:rsidRPr="00D00D93">
        <w:t xml:space="preserve">en el que se abordarán temas tales como la fuente, la modalidad de búsqueda, </w:t>
      </w:r>
      <w:r w:rsidR="00A17283" w:rsidRPr="00D00D93">
        <w:t xml:space="preserve">las </w:t>
      </w:r>
      <w:r w:rsidR="000D685D" w:rsidRPr="00D00D93">
        <w:t xml:space="preserve">cuestiones lingüísticas, el uso de resúmenes, </w:t>
      </w:r>
      <w:r w:rsidR="00537D5F" w:rsidRPr="00D00D93">
        <w:t xml:space="preserve">las condiciones para el intercambio de las citas y otros tipos de restricciones que puedan ser de aplicación. </w:t>
      </w:r>
    </w:p>
    <w:p w:rsidR="001B7D70" w:rsidRPr="00D00D93" w:rsidRDefault="00B829C4" w:rsidP="00740EFC">
      <w:pPr>
        <w:pStyle w:val="ONUMFS"/>
        <w:tabs>
          <w:tab w:val="clear" w:pos="567"/>
        </w:tabs>
        <w:ind w:left="567"/>
      </w:pPr>
      <w:r w:rsidRPr="00D00D93">
        <w:lastRenderedPageBreak/>
        <w:t xml:space="preserve">La Reunión tomó nota </w:t>
      </w:r>
      <w:r w:rsidR="0017394F" w:rsidRPr="00D00D93">
        <w:t xml:space="preserve">del contenido del informe de situación relativo a la labor del Equipo Técnico sobre documentación mínima del PCT. </w:t>
      </w:r>
    </w:p>
    <w:p w:rsidR="001B7D70" w:rsidRPr="00D00D93" w:rsidRDefault="001B7D70" w:rsidP="001B7D70">
      <w:pPr>
        <w:pStyle w:val="Heading3"/>
        <w:keepNext w:val="0"/>
      </w:pPr>
      <w:r w:rsidRPr="00D00D93">
        <w:t>b)</w:t>
      </w:r>
      <w:r w:rsidRPr="00D00D93">
        <w:tab/>
      </w:r>
      <w:r w:rsidR="004A3F02" w:rsidRPr="00D00D93">
        <w:t xml:space="preserve">Biblioteca </w:t>
      </w:r>
      <w:r w:rsidR="00FC0EED" w:rsidRPr="00D00D93">
        <w:t xml:space="preserve">Digital sobre </w:t>
      </w:r>
      <w:r w:rsidR="004A3F02" w:rsidRPr="00D00D93">
        <w:t xml:space="preserve">Conocimientos Tradicionales de la India </w:t>
      </w:r>
    </w:p>
    <w:p w:rsidR="001B7D70" w:rsidRPr="00D00D93" w:rsidRDefault="0017394F" w:rsidP="00740EFC">
      <w:pPr>
        <w:pStyle w:val="ONUMFS"/>
      </w:pPr>
      <w:r w:rsidRPr="00D00D93">
        <w:t xml:space="preserve">Los debates se basaron en el documento </w:t>
      </w:r>
      <w:r w:rsidR="001B7D70" w:rsidRPr="00D00D93">
        <w:t xml:space="preserve">PCT/MIA/25/9 </w:t>
      </w:r>
      <w:r w:rsidRPr="00D00D93">
        <w:t xml:space="preserve">y en una presentación a cargo de la </w:t>
      </w:r>
      <w:r w:rsidR="001B7D70" w:rsidRPr="00D00D93">
        <w:t>IPO</w:t>
      </w:r>
      <w:r w:rsidR="001B7D70" w:rsidRPr="00D00D93">
        <w:rPr>
          <w:rStyle w:val="FootnoteReference"/>
        </w:rPr>
        <w:footnoteReference w:id="4"/>
      </w:r>
      <w:r w:rsidR="001B7D70" w:rsidRPr="00D00D93">
        <w:t>.</w:t>
      </w:r>
    </w:p>
    <w:p w:rsidR="003E5B93" w:rsidRPr="00D00D93" w:rsidRDefault="00FC0EED" w:rsidP="00740EFC">
      <w:pPr>
        <w:pStyle w:val="ONUMFS"/>
      </w:pPr>
      <w:r w:rsidRPr="00D00D93">
        <w:t xml:space="preserve">La IPO recordó las razones por las que </w:t>
      </w:r>
      <w:r w:rsidR="009956EA" w:rsidRPr="00D00D93">
        <w:t>en 20</w:t>
      </w:r>
      <w:r w:rsidRPr="00D00D93">
        <w:t>15 propuso incluir la Biblioteca Tradicional sobre Conocimientos Tradiciona</w:t>
      </w:r>
      <w:r w:rsidR="005F5AF1" w:rsidRPr="00D00D93">
        <w:t>l</w:t>
      </w:r>
      <w:r w:rsidRPr="00D00D93">
        <w:t>es (TKDL</w:t>
      </w:r>
      <w:r w:rsidR="00271382" w:rsidRPr="00D00D93">
        <w:t>, por sus siglas en inglés</w:t>
      </w:r>
      <w:r w:rsidRPr="00D00D93">
        <w:t xml:space="preserve">) de la India en la documentación mínima del PCT.  Señaló que varias patentes habían sido impugnadas con éxito tras acreditarse la existencia del conocimiento tradicional pertinente.  La base de datos </w:t>
      </w:r>
      <w:r w:rsidR="00922506" w:rsidRPr="00D00D93">
        <w:t xml:space="preserve">ya </w:t>
      </w:r>
      <w:r w:rsidRPr="00D00D93">
        <w:t xml:space="preserve">está </w:t>
      </w:r>
      <w:r w:rsidR="00922506" w:rsidRPr="00D00D93">
        <w:t xml:space="preserve">siendo utilizada </w:t>
      </w:r>
      <w:r w:rsidRPr="00D00D93">
        <w:t xml:space="preserve">en muchas Oficinas de patentes, </w:t>
      </w:r>
      <w:r w:rsidR="00271382" w:rsidRPr="00D00D93">
        <w:t xml:space="preserve">incluso por las </w:t>
      </w:r>
      <w:r w:rsidRPr="00D00D93">
        <w:t xml:space="preserve">que </w:t>
      </w:r>
      <w:r w:rsidR="00271382" w:rsidRPr="00D00D93">
        <w:t xml:space="preserve">ejercen </w:t>
      </w:r>
      <w:r w:rsidR="00922506" w:rsidRPr="00D00D93">
        <w:t xml:space="preserve">la función </w:t>
      </w:r>
      <w:r w:rsidRPr="00D00D93">
        <w:t>de Administraci</w:t>
      </w:r>
      <w:r w:rsidR="00271382" w:rsidRPr="00D00D93">
        <w:t>ones</w:t>
      </w:r>
      <w:r w:rsidR="00922506" w:rsidRPr="00D00D93">
        <w:t xml:space="preserve"> </w:t>
      </w:r>
      <w:r w:rsidRPr="00D00D93">
        <w:t>encargada</w:t>
      </w:r>
      <w:r w:rsidR="00271382" w:rsidRPr="00D00D93">
        <w:t>s</w:t>
      </w:r>
      <w:r w:rsidRPr="00D00D93">
        <w:t xml:space="preserve"> de la búsqueda internacional.  </w:t>
      </w:r>
      <w:r w:rsidR="00922506" w:rsidRPr="00D00D93">
        <w:t>La Oficina presentó los cambios introducidos en el acuerdo de acceso.</w:t>
      </w:r>
      <w:r w:rsidRPr="00D00D93">
        <w:t xml:space="preserve">  </w:t>
      </w:r>
      <w:r w:rsidR="00922506" w:rsidRPr="00D00D93">
        <w:t xml:space="preserve">En su opinión, esos cambios abordan todas las preocupaciones que las Administraciones Internacionales habían expuesto con anterioridad, excepto las relacionadas con el deseo de poder cagar la base de datos completa en los sistemas de búsqueda internos de </w:t>
      </w:r>
      <w:r w:rsidR="005F5AF1" w:rsidRPr="00D00D93">
        <w:t>l</w:t>
      </w:r>
      <w:r w:rsidR="00922506" w:rsidRPr="00D00D93">
        <w:t xml:space="preserve">as Administraciones a fin de poder efectuar búsquedas más eficaces </w:t>
      </w:r>
      <w:r w:rsidR="006966D9" w:rsidRPr="00D00D93">
        <w:t xml:space="preserve">a partir de </w:t>
      </w:r>
      <w:r w:rsidR="00922506" w:rsidRPr="00D00D93">
        <w:t xml:space="preserve">informaciones procedentes de </w:t>
      </w:r>
      <w:r w:rsidR="00E450DB" w:rsidRPr="00D00D93">
        <w:t xml:space="preserve">esa </w:t>
      </w:r>
      <w:r w:rsidR="00922506" w:rsidRPr="00D00D93">
        <w:t>otra fuente.  La Oficina señaló</w:t>
      </w:r>
      <w:r w:rsidRPr="00D00D93">
        <w:t xml:space="preserve"> </w:t>
      </w:r>
      <w:r w:rsidR="006966D9" w:rsidRPr="00D00D93">
        <w:t xml:space="preserve">que </w:t>
      </w:r>
      <w:r w:rsidR="00271382" w:rsidRPr="00D00D93">
        <w:t xml:space="preserve">a ningún otro proveedor de información le había sido impuesto </w:t>
      </w:r>
      <w:r w:rsidR="006966D9" w:rsidRPr="00D00D93">
        <w:t xml:space="preserve">requisito </w:t>
      </w:r>
      <w:r w:rsidR="00271382" w:rsidRPr="00D00D93">
        <w:t>semejante</w:t>
      </w:r>
      <w:r w:rsidR="006966D9" w:rsidRPr="00D00D93">
        <w:t xml:space="preserve"> y que otras partes de la documentación mínima resultan difíciles o caros de indagar</w:t>
      </w:r>
      <w:r w:rsidRPr="00D00D93">
        <w:t xml:space="preserve">.  </w:t>
      </w:r>
      <w:r w:rsidR="006966D9" w:rsidRPr="00D00D93">
        <w:t>En cuanto a la disponibilidad de la información para los solicitantes</w:t>
      </w:r>
      <w:r w:rsidRPr="00D00D93">
        <w:t xml:space="preserve">, </w:t>
      </w:r>
      <w:r w:rsidR="006966D9" w:rsidRPr="00D00D93">
        <w:t>la Oficina obse</w:t>
      </w:r>
      <w:r w:rsidR="00FC0E11" w:rsidRPr="00D00D93">
        <w:t>r</w:t>
      </w:r>
      <w:r w:rsidR="006966D9" w:rsidRPr="00D00D93">
        <w:t xml:space="preserve">vó también que </w:t>
      </w:r>
      <w:r w:rsidR="00271382" w:rsidRPr="00D00D93">
        <w:t xml:space="preserve">todo </w:t>
      </w:r>
      <w:r w:rsidR="006966D9" w:rsidRPr="00D00D93">
        <w:t>el material original referido en la base de datos consistía en documentación publica</w:t>
      </w:r>
      <w:r w:rsidR="00FC0E11" w:rsidRPr="00D00D93">
        <w:t>d</w:t>
      </w:r>
      <w:r w:rsidR="006966D9" w:rsidRPr="00D00D93">
        <w:t xml:space="preserve">a </w:t>
      </w:r>
      <w:r w:rsidR="00FC0E11" w:rsidRPr="00D00D93">
        <w:t xml:space="preserve">y, por ende, </w:t>
      </w:r>
      <w:r w:rsidR="006966D9" w:rsidRPr="00D00D93">
        <w:t xml:space="preserve">disponible a </w:t>
      </w:r>
      <w:r w:rsidR="00FC0E11" w:rsidRPr="00D00D93">
        <w:t xml:space="preserve">través </w:t>
      </w:r>
      <w:r w:rsidR="006966D9" w:rsidRPr="00D00D93">
        <w:t>de</w:t>
      </w:r>
      <w:r w:rsidR="00FC0E11" w:rsidRPr="00D00D93">
        <w:t xml:space="preserve"> </w:t>
      </w:r>
      <w:r w:rsidR="006966D9" w:rsidRPr="00D00D93">
        <w:t xml:space="preserve">otras fuentes. </w:t>
      </w:r>
      <w:r w:rsidR="00FC0E11" w:rsidRPr="00D00D93">
        <w:t xml:space="preserve"> Asimismo, la IPO ofreció a los solicitantes potenciales el servicio </w:t>
      </w:r>
      <w:r w:rsidR="003E5B93" w:rsidRPr="00D00D93">
        <w:t xml:space="preserve">consistente en la posibilidad de realizar en la base de datos una búsqueda con carácter previo a la solicitud a fin de evitar verse sorprendidos por material que pueda </w:t>
      </w:r>
      <w:r w:rsidR="00271382" w:rsidRPr="00D00D93">
        <w:t xml:space="preserve">tomarse </w:t>
      </w:r>
      <w:r w:rsidR="003E5B93" w:rsidRPr="00D00D93">
        <w:t>de la base de datos</w:t>
      </w:r>
      <w:r w:rsidR="00271382" w:rsidRPr="00D00D93">
        <w:t>,</w:t>
      </w:r>
      <w:r w:rsidR="003E5B93" w:rsidRPr="00D00D93">
        <w:t xml:space="preserve"> y que otras Oficinas puedan hacer lo mismo.</w:t>
      </w:r>
    </w:p>
    <w:p w:rsidR="001B7D70" w:rsidRPr="00D00D93" w:rsidRDefault="003E5B93" w:rsidP="00740EFC">
      <w:pPr>
        <w:pStyle w:val="ONUMFS"/>
      </w:pPr>
      <w:r w:rsidRPr="00D00D93">
        <w:t xml:space="preserve">Las </w:t>
      </w:r>
      <w:r w:rsidR="005B1DAD" w:rsidRPr="00D00D93">
        <w:t>Administraciones</w:t>
      </w:r>
      <w:r w:rsidR="001B7D70" w:rsidRPr="00D00D93">
        <w:t xml:space="preserve"> </w:t>
      </w:r>
      <w:r w:rsidR="005A7A01" w:rsidRPr="00D00D93">
        <w:t xml:space="preserve">reiteraron su opinión de </w:t>
      </w:r>
      <w:r w:rsidRPr="00D00D93">
        <w:t xml:space="preserve">que la </w:t>
      </w:r>
      <w:r w:rsidR="001B7D70" w:rsidRPr="00D00D93">
        <w:t>TK</w:t>
      </w:r>
      <w:r w:rsidRPr="00D00D93">
        <w:t>D</w:t>
      </w:r>
      <w:r w:rsidR="001B7D70" w:rsidRPr="00D00D93">
        <w:t xml:space="preserve">L </w:t>
      </w:r>
      <w:r w:rsidRPr="00D00D93">
        <w:t xml:space="preserve">constituye una valiosa fuente de información </w:t>
      </w:r>
      <w:r w:rsidR="005A7A01" w:rsidRPr="00D00D93">
        <w:t>para realizar búsquedas de solicitudes de patente de los distintos sectores de la tecnología</w:t>
      </w:r>
      <w:r w:rsidR="001B7D70" w:rsidRPr="00D00D93">
        <w:t xml:space="preserve">.  </w:t>
      </w:r>
      <w:r w:rsidR="005A7A01" w:rsidRPr="00D00D93">
        <w:t>Así con todo, añadieron que, antes de que pueda ser incluida, el Equipo Técnico habrá de tener completada la labor ulterior relativa a los principios de la litera</w:t>
      </w:r>
      <w:r w:rsidR="005F5AF1" w:rsidRPr="00D00D93">
        <w:t>t</w:t>
      </w:r>
      <w:r w:rsidR="005A7A01" w:rsidRPr="00D00D93">
        <w:t>ura distinta de la de patentes en la documentación mínima del PCT</w:t>
      </w:r>
      <w:r w:rsidR="001B7D70" w:rsidRPr="00D00D93">
        <w:t xml:space="preserve">.  </w:t>
      </w:r>
      <w:r w:rsidR="005A7A01" w:rsidRPr="00D00D93">
        <w:t>Se manifestaron las siguientes inquietudes concretas</w:t>
      </w:r>
      <w:r w:rsidR="001B7D70" w:rsidRPr="00D00D93">
        <w:t>:</w:t>
      </w:r>
    </w:p>
    <w:p w:rsidR="001B7D70" w:rsidRPr="00D00D93" w:rsidRDefault="005A7A01" w:rsidP="00740EFC">
      <w:pPr>
        <w:pStyle w:val="ONUMFS"/>
        <w:numPr>
          <w:ilvl w:val="1"/>
          <w:numId w:val="11"/>
        </w:numPr>
      </w:pPr>
      <w:r w:rsidRPr="00D00D93">
        <w:t>las limitaciones que el acuerdo de acceso modificado sigue imponiendo a la capacidad de visualizar y utilizar material del estado de la técnica</w:t>
      </w:r>
      <w:r w:rsidR="001B7D70" w:rsidRPr="00D00D93">
        <w:t>;</w:t>
      </w:r>
    </w:p>
    <w:p w:rsidR="001B7D70" w:rsidRPr="00D00D93" w:rsidRDefault="00AC600A" w:rsidP="00740EFC">
      <w:pPr>
        <w:pStyle w:val="ONUMFS"/>
        <w:numPr>
          <w:ilvl w:val="1"/>
          <w:numId w:val="11"/>
        </w:numPr>
      </w:pPr>
      <w:r w:rsidRPr="00D00D93">
        <w:t>la situación en la que quedar</w:t>
      </w:r>
      <w:r w:rsidR="0003412B" w:rsidRPr="00D00D93">
        <w:t xml:space="preserve">án </w:t>
      </w:r>
      <w:r w:rsidRPr="00D00D93">
        <w:t xml:space="preserve">las </w:t>
      </w:r>
      <w:r w:rsidR="005B1DAD" w:rsidRPr="00D00D93">
        <w:t>Administraciones</w:t>
      </w:r>
      <w:r w:rsidR="001B7D70" w:rsidRPr="00D00D93">
        <w:t xml:space="preserve"> </w:t>
      </w:r>
      <w:r w:rsidRPr="00D00D93">
        <w:t xml:space="preserve">si su acceso a la </w:t>
      </w:r>
      <w:r w:rsidR="001B7D70" w:rsidRPr="00D00D93">
        <w:t xml:space="preserve">TKDL </w:t>
      </w:r>
      <w:r w:rsidR="0003412B" w:rsidRPr="00D00D93">
        <w:t xml:space="preserve">es </w:t>
      </w:r>
      <w:r w:rsidRPr="00D00D93">
        <w:t>revocado</w:t>
      </w:r>
      <w:r w:rsidR="001B7D70" w:rsidRPr="00D00D93">
        <w:t>;</w:t>
      </w:r>
    </w:p>
    <w:p w:rsidR="00AC600A" w:rsidRPr="00D00D93" w:rsidRDefault="00AC600A" w:rsidP="00740EFC">
      <w:pPr>
        <w:pStyle w:val="ONUMFS"/>
        <w:numPr>
          <w:ilvl w:val="1"/>
          <w:numId w:val="11"/>
        </w:numPr>
      </w:pPr>
      <w:r w:rsidRPr="00D00D93">
        <w:t xml:space="preserve">la eficacia de la búsqueda si no es posible </w:t>
      </w:r>
      <w:r w:rsidR="005259A3" w:rsidRPr="00D00D93">
        <w:t>llevar</w:t>
      </w:r>
      <w:r w:rsidR="0003412B" w:rsidRPr="00D00D93">
        <w:t>la</w:t>
      </w:r>
      <w:r w:rsidR="005259A3" w:rsidRPr="00D00D93">
        <w:t xml:space="preserve"> a cabo </w:t>
      </w:r>
      <w:r w:rsidRPr="00D00D93">
        <w:t xml:space="preserve">en la TKDL a través de sistemas comunes a otras bases de datos; </w:t>
      </w:r>
    </w:p>
    <w:p w:rsidR="008D5B43" w:rsidRPr="00D00D93" w:rsidRDefault="005259A3" w:rsidP="00740EFC">
      <w:pPr>
        <w:pStyle w:val="ONUMFS"/>
        <w:numPr>
          <w:ilvl w:val="1"/>
          <w:numId w:val="11"/>
        </w:numPr>
      </w:pPr>
      <w:r w:rsidRPr="00D00D93">
        <w:t xml:space="preserve">el efecto del preámbulo </w:t>
      </w:r>
      <w:r w:rsidR="008C4747" w:rsidRPr="00D00D93">
        <w:t>de la parte de la documentación mínima del PCT dedicada a la literatura distinta de la de patentes</w:t>
      </w:r>
      <w:r w:rsidR="001B7D70" w:rsidRPr="00D00D93">
        <w:t xml:space="preserve">, </w:t>
      </w:r>
      <w:r w:rsidR="008C4747" w:rsidRPr="00D00D93">
        <w:t xml:space="preserve">que limita el requisito de </w:t>
      </w:r>
      <w:r w:rsidR="008D5B43" w:rsidRPr="00D00D93">
        <w:t xml:space="preserve">efectuar </w:t>
      </w:r>
      <w:r w:rsidR="008C4747" w:rsidRPr="00D00D93">
        <w:t>búsqueda</w:t>
      </w:r>
      <w:r w:rsidR="008D5B43" w:rsidRPr="00D00D93">
        <w:t>s</w:t>
      </w:r>
      <w:r w:rsidR="008C4747" w:rsidRPr="00D00D93">
        <w:t xml:space="preserve"> </w:t>
      </w:r>
      <w:r w:rsidR="008D5B43" w:rsidRPr="00D00D93">
        <w:t xml:space="preserve">en la </w:t>
      </w:r>
      <w:r w:rsidR="008C4747" w:rsidRPr="00D00D93">
        <w:t>literatura dis</w:t>
      </w:r>
      <w:r w:rsidR="008D5B43" w:rsidRPr="00D00D93">
        <w:t>t</w:t>
      </w:r>
      <w:r w:rsidR="008C4747" w:rsidRPr="00D00D93">
        <w:t xml:space="preserve">inta de la de patentes a </w:t>
      </w:r>
      <w:r w:rsidR="008D5B43" w:rsidRPr="00D00D93">
        <w:t xml:space="preserve">las </w:t>
      </w:r>
      <w:r w:rsidR="008C4747" w:rsidRPr="00D00D93">
        <w:t xml:space="preserve">publicaciones </w:t>
      </w:r>
      <w:r w:rsidR="008D5B43" w:rsidRPr="00D00D93">
        <w:t>del período de cinco años inmediatamente anterior a la fecha de presentación internacional de la solicitud internacional objeto de búsqueda;</w:t>
      </w:r>
      <w:r w:rsidR="00CF05DB" w:rsidRPr="00D00D93">
        <w:t xml:space="preserve"> </w:t>
      </w:r>
      <w:r w:rsidR="008D5B43" w:rsidRPr="00D00D93">
        <w:t xml:space="preserve"> y </w:t>
      </w:r>
    </w:p>
    <w:p w:rsidR="001B7D70" w:rsidRPr="00D00D93" w:rsidRDefault="00AC600A" w:rsidP="00740EFC">
      <w:pPr>
        <w:pStyle w:val="ONUMFS"/>
        <w:numPr>
          <w:ilvl w:val="1"/>
          <w:numId w:val="11"/>
        </w:numPr>
      </w:pPr>
      <w:r w:rsidRPr="00D00D93">
        <w:t xml:space="preserve">los contenidos de la </w:t>
      </w:r>
      <w:r w:rsidR="001B7D70" w:rsidRPr="00D00D93">
        <w:t xml:space="preserve">TKDL </w:t>
      </w:r>
      <w:r w:rsidRPr="00D00D93">
        <w:t>que se solicita</w:t>
      </w:r>
      <w:r w:rsidR="0003412B" w:rsidRPr="00D00D93">
        <w:t xml:space="preserve">n incluir </w:t>
      </w:r>
      <w:r w:rsidR="00626BA1" w:rsidRPr="00D00D93">
        <w:t>en la documentación mínima del </w:t>
      </w:r>
      <w:r w:rsidRPr="00D00D93">
        <w:t>PCT no están claramente definidos</w:t>
      </w:r>
      <w:r w:rsidR="001B7D70" w:rsidRPr="00D00D93">
        <w:t>.</w:t>
      </w:r>
    </w:p>
    <w:p w:rsidR="005259A3" w:rsidRPr="00D00D93" w:rsidRDefault="00636E19" w:rsidP="00740EFC">
      <w:pPr>
        <w:pStyle w:val="ONUMFS"/>
      </w:pPr>
      <w:r w:rsidRPr="00D00D93">
        <w:lastRenderedPageBreak/>
        <w:t>Una Administración</w:t>
      </w:r>
      <w:r w:rsidR="001B7D70" w:rsidRPr="00D00D93">
        <w:t xml:space="preserve"> </w:t>
      </w:r>
      <w:r w:rsidR="005259A3" w:rsidRPr="00D00D93">
        <w:t xml:space="preserve">que aún no tiene acceso a la TKDL indicó que necesita disponer de información </w:t>
      </w:r>
      <w:r w:rsidR="0003412B" w:rsidRPr="00D00D93">
        <w:t xml:space="preserve">ampliada </w:t>
      </w:r>
      <w:r w:rsidR="005259A3" w:rsidRPr="00D00D93">
        <w:t>sobre la base de datos y sus métodos de a</w:t>
      </w:r>
      <w:r w:rsidR="004032E4" w:rsidRPr="00D00D93">
        <w:t>c</w:t>
      </w:r>
      <w:r w:rsidR="005259A3" w:rsidRPr="00D00D93">
        <w:t>ceso.</w:t>
      </w:r>
    </w:p>
    <w:p w:rsidR="001B7D70" w:rsidRPr="00D00D93" w:rsidRDefault="00FC0E11" w:rsidP="00740EFC">
      <w:pPr>
        <w:pStyle w:val="ONUMFS"/>
      </w:pPr>
      <w:r w:rsidRPr="00D00D93">
        <w:t xml:space="preserve">La </w:t>
      </w:r>
      <w:r w:rsidR="001B7D70" w:rsidRPr="00D00D93">
        <w:t xml:space="preserve">IPO </w:t>
      </w:r>
      <w:r w:rsidR="004032E4" w:rsidRPr="00D00D93">
        <w:t>afirmó haber tomado nota de las preocupaciones manifestadas</w:t>
      </w:r>
      <w:r w:rsidR="001B7D70" w:rsidRPr="00D00D93">
        <w:t xml:space="preserve">.  </w:t>
      </w:r>
      <w:r w:rsidR="004032E4" w:rsidRPr="00D00D93">
        <w:t>Dijo que seguirá abordándolas en las reuniones del Equipo Técnico y que confía en poder alcanzar un resultado positivo pronto.</w:t>
      </w:r>
    </w:p>
    <w:p w:rsidR="001B7D70" w:rsidRPr="00D00D93" w:rsidRDefault="0070349F" w:rsidP="00FA036D">
      <w:pPr>
        <w:pStyle w:val="Heading1"/>
      </w:pPr>
      <w:r w:rsidRPr="00D00D93">
        <w:t xml:space="preserve">PUNTO </w:t>
      </w:r>
      <w:r w:rsidR="001B7D70" w:rsidRPr="00D00D93">
        <w:t>16</w:t>
      </w:r>
      <w:proofErr w:type="gramStart"/>
      <w:r w:rsidR="001B7D70" w:rsidRPr="00D00D93">
        <w:t xml:space="preserve">:  </w:t>
      </w:r>
      <w:r w:rsidR="008173C8" w:rsidRPr="00D00D93">
        <w:t>LABOR</w:t>
      </w:r>
      <w:proofErr w:type="gramEnd"/>
      <w:r w:rsidR="008173C8" w:rsidRPr="00D00D93">
        <w:t xml:space="preserve"> FUTURA </w:t>
      </w:r>
    </w:p>
    <w:p w:rsidR="001B7D70" w:rsidRPr="00D00D93" w:rsidRDefault="008D5B43" w:rsidP="00740EFC">
      <w:pPr>
        <w:pStyle w:val="ONUMFS"/>
        <w:tabs>
          <w:tab w:val="clear" w:pos="567"/>
        </w:tabs>
        <w:ind w:left="567"/>
      </w:pPr>
      <w:r w:rsidRPr="00D00D93">
        <w:t xml:space="preserve">La Reunión anunció que está previsto que la próxima sesión se celebre en el primer trimestre </w:t>
      </w:r>
      <w:r w:rsidR="009956EA" w:rsidRPr="00D00D93">
        <w:t>de 20</w:t>
      </w:r>
      <w:r w:rsidRPr="00D00D93">
        <w:t>19, inmediatamente después de la reunión del Subgrupo encargado de la Calidad.</w:t>
      </w:r>
      <w:r w:rsidR="001B7D70" w:rsidRPr="00D00D93">
        <w:t xml:space="preserve">  </w:t>
      </w:r>
      <w:r w:rsidR="00C01581" w:rsidRPr="00D00D93">
        <w:t xml:space="preserve">Habida cuenta de que el programa de trabajo del Subgrupo encargado de la Calidad </w:t>
      </w:r>
      <w:r w:rsidR="00373463" w:rsidRPr="00D00D93">
        <w:t xml:space="preserve">se ha visto engrosado </w:t>
      </w:r>
      <w:r w:rsidR="00C01581" w:rsidRPr="00D00D93">
        <w:t>en sus últimas reuniones</w:t>
      </w:r>
      <w:r w:rsidR="001B7D70" w:rsidRPr="00D00D93">
        <w:t xml:space="preserve">, </w:t>
      </w:r>
      <w:r w:rsidR="00B829C4" w:rsidRPr="00D00D93">
        <w:t xml:space="preserve">la Reunión </w:t>
      </w:r>
      <w:r w:rsidR="00B93CAD" w:rsidRPr="00D00D93">
        <w:t xml:space="preserve">aceptó la sugerencia </w:t>
      </w:r>
      <w:r w:rsidR="00C01581" w:rsidRPr="00D00D93">
        <w:t xml:space="preserve">formulada </w:t>
      </w:r>
      <w:r w:rsidR="00B93CAD" w:rsidRPr="00D00D93">
        <w:t xml:space="preserve">por la </w:t>
      </w:r>
      <w:r w:rsidR="005B1DAD" w:rsidRPr="00D00D93">
        <w:t>Oficina Internacional</w:t>
      </w:r>
      <w:r w:rsidR="001B7D70" w:rsidRPr="00D00D93">
        <w:t xml:space="preserve"> </w:t>
      </w:r>
      <w:r w:rsidR="00C01581" w:rsidRPr="00D00D93">
        <w:t>de que la reunión del Subgr</w:t>
      </w:r>
      <w:r w:rsidR="005F5AF1" w:rsidRPr="00D00D93">
        <w:t>u</w:t>
      </w:r>
      <w:r w:rsidR="00C01581" w:rsidRPr="00D00D93">
        <w:t>po encargado de la Calidad correspondiente a</w:t>
      </w:r>
      <w:r w:rsidR="009956EA" w:rsidRPr="00D00D93">
        <w:t> </w:t>
      </w:r>
      <w:r w:rsidR="00C01581" w:rsidRPr="00D00D93">
        <w:t xml:space="preserve">2019 se celebre a lo largo de tres días, y que la sesión de la Reunión de ese mismo año se </w:t>
      </w:r>
      <w:r w:rsidR="00A17283" w:rsidRPr="00D00D93">
        <w:t xml:space="preserve">celebre </w:t>
      </w:r>
      <w:r w:rsidR="00C01581" w:rsidRPr="00D00D93">
        <w:t>a lo largo de dos</w:t>
      </w:r>
      <w:r w:rsidR="001B7D70" w:rsidRPr="00D00D93">
        <w:t xml:space="preserve">.  </w:t>
      </w:r>
    </w:p>
    <w:p w:rsidR="002F4C35" w:rsidRPr="00D00D93" w:rsidRDefault="008D5B43" w:rsidP="00740EFC">
      <w:pPr>
        <w:pStyle w:val="ONUMFS"/>
        <w:tabs>
          <w:tab w:val="clear" w:pos="567"/>
        </w:tabs>
        <w:ind w:left="567"/>
      </w:pPr>
      <w:r w:rsidRPr="00D00D93">
        <w:t xml:space="preserve">La </w:t>
      </w:r>
      <w:r w:rsidR="00B829C4" w:rsidRPr="00D00D93">
        <w:t xml:space="preserve">Reunión </w:t>
      </w:r>
      <w:r w:rsidRPr="00D00D93">
        <w:t xml:space="preserve">se complació en aceptar </w:t>
      </w:r>
      <w:r w:rsidR="002E6C39" w:rsidRPr="00D00D93">
        <w:t xml:space="preserve">el ofrecimiento </w:t>
      </w:r>
      <w:r w:rsidR="00A17283" w:rsidRPr="00D00D93">
        <w:t xml:space="preserve">que </w:t>
      </w:r>
      <w:r w:rsidR="002E6C39" w:rsidRPr="00D00D93">
        <w:t xml:space="preserve">la Oficina de Patentes de Egipto </w:t>
      </w:r>
      <w:r w:rsidR="00A17283" w:rsidRPr="00D00D93">
        <w:t xml:space="preserve">había dirigido </w:t>
      </w:r>
      <w:r w:rsidR="002E6C39" w:rsidRPr="00D00D93">
        <w:t xml:space="preserve">a </w:t>
      </w:r>
      <w:r w:rsidR="002F4C35" w:rsidRPr="00D00D93">
        <w:t xml:space="preserve">la Oficina Internacional </w:t>
      </w:r>
      <w:r w:rsidR="00A17283" w:rsidRPr="00D00D93">
        <w:t xml:space="preserve">para </w:t>
      </w:r>
      <w:r w:rsidR="002F4C35" w:rsidRPr="00D00D93">
        <w:t>albergar la ses</w:t>
      </w:r>
      <w:r w:rsidR="00B93CAD" w:rsidRPr="00D00D93">
        <w:t>i</w:t>
      </w:r>
      <w:r w:rsidR="002F4C35" w:rsidRPr="00D00D93">
        <w:t>ón de la Reunión de las Administraciones Internacionales y la reuni</w:t>
      </w:r>
      <w:r w:rsidR="00B93CAD" w:rsidRPr="00D00D93">
        <w:t xml:space="preserve">ón </w:t>
      </w:r>
      <w:r w:rsidR="002F4C35" w:rsidRPr="00D00D93">
        <w:t>del Subgrupo e</w:t>
      </w:r>
      <w:r w:rsidR="00B93CAD" w:rsidRPr="00D00D93">
        <w:t>n</w:t>
      </w:r>
      <w:r w:rsidR="002F4C35" w:rsidRPr="00D00D93">
        <w:t xml:space="preserve">cargado de la Calidad </w:t>
      </w:r>
      <w:r w:rsidR="00B93CAD" w:rsidRPr="00D00D93">
        <w:t>correspondientes a</w:t>
      </w:r>
      <w:r w:rsidR="009956EA" w:rsidRPr="00D00D93">
        <w:t> </w:t>
      </w:r>
      <w:r w:rsidR="002F4C35" w:rsidRPr="00D00D93">
        <w:t>2019.</w:t>
      </w:r>
    </w:p>
    <w:p w:rsidR="001B7D70" w:rsidRPr="00D00D93" w:rsidRDefault="001B7D70" w:rsidP="001B7D70">
      <w:pPr>
        <w:pStyle w:val="ONUME"/>
        <w:numPr>
          <w:ilvl w:val="0"/>
          <w:numId w:val="0"/>
        </w:numPr>
      </w:pPr>
      <w:r w:rsidRPr="00D00D93">
        <w:t>[</w:t>
      </w:r>
      <w:r w:rsidR="0070349F" w:rsidRPr="00D00D93">
        <w:t xml:space="preserve">No se reproduce aquí el Anexo I del documento </w:t>
      </w:r>
      <w:r w:rsidRPr="00D00D93">
        <w:t xml:space="preserve">PCT/MIA/25/13, </w:t>
      </w:r>
      <w:r w:rsidR="0070349F" w:rsidRPr="00D00D93">
        <w:t>en el que se consigna la lista de participantes</w:t>
      </w:r>
      <w:r w:rsidRPr="00D00D93">
        <w:t>]</w:t>
      </w:r>
    </w:p>
    <w:p w:rsidR="001B7D70" w:rsidRPr="00D00D93" w:rsidRDefault="001B7D70" w:rsidP="001B7D70">
      <w:pPr>
        <w:pStyle w:val="ONUME"/>
        <w:numPr>
          <w:ilvl w:val="0"/>
          <w:numId w:val="0"/>
        </w:numPr>
      </w:pPr>
    </w:p>
    <w:p w:rsidR="001B7D70" w:rsidRPr="00D00D93" w:rsidRDefault="001B7D70" w:rsidP="001B7D70">
      <w:pPr>
        <w:pStyle w:val="Endofdocument-Annex"/>
        <w:rPr>
          <w:lang w:val="es-ES"/>
        </w:rPr>
      </w:pPr>
      <w:r w:rsidRPr="00D00D93">
        <w:rPr>
          <w:lang w:val="es-ES"/>
        </w:rPr>
        <w:t>[</w:t>
      </w:r>
      <w:r w:rsidR="0070349F" w:rsidRPr="00D00D93">
        <w:rPr>
          <w:lang w:val="es-ES"/>
        </w:rPr>
        <w:t xml:space="preserve">Sigue el Anexo </w:t>
      </w:r>
      <w:r w:rsidRPr="00D00D93">
        <w:rPr>
          <w:lang w:val="es-ES"/>
        </w:rPr>
        <w:t>II (</w:t>
      </w:r>
      <w:r w:rsidR="0070349F" w:rsidRPr="00D00D93">
        <w:rPr>
          <w:lang w:val="es-ES"/>
        </w:rPr>
        <w:t xml:space="preserve">del documento </w:t>
      </w:r>
      <w:r w:rsidRPr="00D00D93">
        <w:rPr>
          <w:lang w:val="es-ES"/>
        </w:rPr>
        <w:t>PCT/MIA/25/13)]</w:t>
      </w:r>
    </w:p>
    <w:p w:rsidR="001B7D70" w:rsidRPr="00D00D93" w:rsidRDefault="001B7D70" w:rsidP="001B7D70">
      <w:pPr>
        <w:pStyle w:val="Endofdocument-Annex"/>
        <w:rPr>
          <w:lang w:val="es-ES"/>
        </w:rPr>
      </w:pPr>
    </w:p>
    <w:p w:rsidR="001B7D70" w:rsidRPr="00D00D93" w:rsidRDefault="001B7D70" w:rsidP="001B7D70">
      <w:pPr>
        <w:pStyle w:val="Endofdocument-Annex"/>
        <w:rPr>
          <w:lang w:val="es-ES"/>
        </w:rPr>
        <w:sectPr w:rsidR="001B7D70" w:rsidRPr="00D00D93" w:rsidSect="00515056">
          <w:headerReference w:type="default" r:id="rId11"/>
          <w:headerReference w:type="first" r:id="rId12"/>
          <w:endnotePr>
            <w:numFmt w:val="decimal"/>
          </w:endnotePr>
          <w:pgSz w:w="11907" w:h="16840" w:code="9"/>
          <w:pgMar w:top="567" w:right="1134" w:bottom="1247" w:left="1418" w:header="510" w:footer="1021" w:gutter="0"/>
          <w:pgNumType w:start="1"/>
          <w:cols w:space="720"/>
          <w:titlePg/>
          <w:docGrid w:linePitch="299"/>
        </w:sectPr>
      </w:pPr>
    </w:p>
    <w:p w:rsidR="001B7D70" w:rsidRPr="00D00D93" w:rsidRDefault="001B7D70" w:rsidP="001B7D70">
      <w:pPr>
        <w:pStyle w:val="ONUME"/>
        <w:numPr>
          <w:ilvl w:val="0"/>
          <w:numId w:val="0"/>
        </w:numPr>
        <w:tabs>
          <w:tab w:val="left" w:pos="720"/>
        </w:tabs>
      </w:pPr>
      <w:r w:rsidRPr="00D00D93">
        <w:rPr>
          <w:caps/>
        </w:rPr>
        <w:lastRenderedPageBreak/>
        <w:t>Anex</w:t>
      </w:r>
      <w:r w:rsidR="00B93CAD" w:rsidRPr="00D00D93">
        <w:rPr>
          <w:caps/>
        </w:rPr>
        <w:t>O</w:t>
      </w:r>
      <w:r w:rsidRPr="00D00D93">
        <w:rPr>
          <w:caps/>
        </w:rPr>
        <w:t xml:space="preserve"> II</w:t>
      </w:r>
      <w:r w:rsidRPr="00D00D93">
        <w:t xml:space="preserve"> (</w:t>
      </w:r>
      <w:r w:rsidR="00B93CAD" w:rsidRPr="00D00D93">
        <w:t xml:space="preserve">del </w:t>
      </w:r>
      <w:r w:rsidRPr="00D00D93">
        <w:t>document</w:t>
      </w:r>
      <w:r w:rsidR="005F5AF1" w:rsidRPr="00D00D93">
        <w:t>o</w:t>
      </w:r>
      <w:r w:rsidRPr="00D00D93">
        <w:t xml:space="preserve"> PCT/MIA/25/13)</w:t>
      </w:r>
    </w:p>
    <w:p w:rsidR="00740EFC" w:rsidRDefault="00B93CAD" w:rsidP="00740EFC">
      <w:pPr>
        <w:pStyle w:val="ONUME"/>
        <w:numPr>
          <w:ilvl w:val="0"/>
          <w:numId w:val="0"/>
        </w:numPr>
        <w:tabs>
          <w:tab w:val="left" w:pos="720"/>
        </w:tabs>
        <w:spacing w:after="0"/>
        <w:rPr>
          <w:caps/>
        </w:rPr>
      </w:pPr>
      <w:r w:rsidRPr="00D00D93">
        <w:rPr>
          <w:caps/>
        </w:rPr>
        <w:t xml:space="preserve">SUBGRUPO </w:t>
      </w:r>
      <w:r w:rsidR="0096205A" w:rsidRPr="00D00D93">
        <w:rPr>
          <w:caps/>
        </w:rPr>
        <w:t xml:space="preserve">de la pct/mia </w:t>
      </w:r>
      <w:r w:rsidRPr="00D00D93">
        <w:rPr>
          <w:caps/>
        </w:rPr>
        <w:t>ENCARGADO DE LA CALIDAD</w:t>
      </w:r>
      <w:r w:rsidR="0096205A" w:rsidRPr="00D00D93">
        <w:rPr>
          <w:caps/>
        </w:rPr>
        <w:t>,</w:t>
      </w:r>
      <w:r w:rsidRPr="00D00D93">
        <w:rPr>
          <w:caps/>
        </w:rPr>
        <w:t xml:space="preserve"> OCTAVA REUNIÓN INFORMAL </w:t>
      </w:r>
    </w:p>
    <w:p w:rsidR="001B7D70" w:rsidRPr="00D00D93" w:rsidRDefault="0096205A" w:rsidP="00740EFC">
      <w:pPr>
        <w:pStyle w:val="ONUME"/>
        <w:numPr>
          <w:ilvl w:val="0"/>
          <w:numId w:val="0"/>
        </w:numPr>
        <w:tabs>
          <w:tab w:val="left" w:pos="720"/>
        </w:tabs>
        <w:rPr>
          <w:caps/>
        </w:rPr>
      </w:pPr>
      <w:r w:rsidRPr="00D00D93">
        <w:rPr>
          <w:caps/>
        </w:rPr>
        <w:t>MADRID</w:t>
      </w:r>
      <w:r w:rsidR="001B7D70" w:rsidRPr="00D00D93">
        <w:rPr>
          <w:caps/>
        </w:rPr>
        <w:t xml:space="preserve">, </w:t>
      </w:r>
      <w:r w:rsidRPr="00D00D93">
        <w:rPr>
          <w:caps/>
        </w:rPr>
        <w:t xml:space="preserve">19 Y 20 DE FEBRERO </w:t>
      </w:r>
      <w:r w:rsidR="009956EA" w:rsidRPr="00D00D93">
        <w:rPr>
          <w:caps/>
        </w:rPr>
        <w:t>DE 20</w:t>
      </w:r>
      <w:r w:rsidR="001B7D70" w:rsidRPr="00D00D93">
        <w:rPr>
          <w:caps/>
        </w:rPr>
        <w:t>18</w:t>
      </w:r>
    </w:p>
    <w:p w:rsidR="001B7D70" w:rsidRPr="00D00D93" w:rsidRDefault="00B67E4C" w:rsidP="001B7D70">
      <w:pPr>
        <w:pStyle w:val="ONUME"/>
        <w:numPr>
          <w:ilvl w:val="0"/>
          <w:numId w:val="0"/>
        </w:numPr>
        <w:tabs>
          <w:tab w:val="left" w:pos="720"/>
        </w:tabs>
        <w:rPr>
          <w:caps/>
        </w:rPr>
      </w:pPr>
      <w:r w:rsidRPr="00D00D93">
        <w:rPr>
          <w:caps/>
        </w:rPr>
        <w:t xml:space="preserve">RESUMEN DE LA PRESIDENCIA </w:t>
      </w:r>
    </w:p>
    <w:p w:rsidR="001B7D70" w:rsidRPr="00D00D93" w:rsidRDefault="001B7D70" w:rsidP="001B7D70">
      <w:pPr>
        <w:pStyle w:val="Heading1"/>
        <w:keepNext w:val="0"/>
      </w:pPr>
      <w:r w:rsidRPr="00D00D93">
        <w:t>Introduc</w:t>
      </w:r>
      <w:r w:rsidR="00B67E4C" w:rsidRPr="00D00D93">
        <w:t xml:space="preserve">ción </w:t>
      </w:r>
    </w:p>
    <w:p w:rsidR="00470DB6" w:rsidRPr="00D00D93" w:rsidRDefault="00C01581" w:rsidP="00740EFC">
      <w:pPr>
        <w:pStyle w:val="ONUMFS"/>
        <w:numPr>
          <w:ilvl w:val="0"/>
          <w:numId w:val="13"/>
        </w:numPr>
      </w:pPr>
      <w:r w:rsidRPr="00D00D93">
        <w:t>La Sra.</w:t>
      </w:r>
      <w:r w:rsidR="009956EA" w:rsidRPr="00D00D93">
        <w:t> </w:t>
      </w:r>
      <w:r w:rsidR="001B7D70" w:rsidRPr="00D00D93">
        <w:t xml:space="preserve">Cristina Fernández Ordás, </w:t>
      </w:r>
      <w:r w:rsidR="00A26BAA" w:rsidRPr="00D00D93">
        <w:t>directora</w:t>
      </w:r>
      <w:r w:rsidR="00D00D93">
        <w:t xml:space="preserve"> adjunta</w:t>
      </w:r>
      <w:r w:rsidR="00A26BAA" w:rsidRPr="00D00D93">
        <w:t xml:space="preserve"> </w:t>
      </w:r>
      <w:r w:rsidRPr="00D00D93">
        <w:t xml:space="preserve">del Departamento de Coordinación Jurídica y Relaciones Internacionales, dio la bienvenida a todos los participantes a la Oficina Española de Patente y Marcas (OEPM). </w:t>
      </w:r>
      <w:r w:rsidR="00CF05DB" w:rsidRPr="00D00D93">
        <w:t xml:space="preserve"> </w:t>
      </w:r>
      <w:r w:rsidR="00646150" w:rsidRPr="00D00D93">
        <w:t>Señaló que, t</w:t>
      </w:r>
      <w:r w:rsidRPr="00D00D93">
        <w:t xml:space="preserve">ras haber sido designada </w:t>
      </w:r>
      <w:r w:rsidR="00636E19" w:rsidRPr="00D00D93">
        <w:t xml:space="preserve">Administración encargada de la búsqueda internacional </w:t>
      </w:r>
      <w:r w:rsidR="009956EA" w:rsidRPr="00D00D93">
        <w:t>en 19</w:t>
      </w:r>
      <w:r w:rsidR="001B7D70" w:rsidRPr="00D00D93">
        <w:t xml:space="preserve">93 </w:t>
      </w:r>
      <w:r w:rsidR="00F10987" w:rsidRPr="00D00D93">
        <w:t xml:space="preserve">y </w:t>
      </w:r>
      <w:r w:rsidR="00636E19" w:rsidRPr="00D00D93">
        <w:t xml:space="preserve">Administración encargada del examen preliminar internacional </w:t>
      </w:r>
      <w:r w:rsidR="009956EA" w:rsidRPr="00D00D93">
        <w:t>en 20</w:t>
      </w:r>
      <w:r w:rsidR="001B7D70" w:rsidRPr="00D00D93">
        <w:t xml:space="preserve">01, </w:t>
      </w:r>
      <w:r w:rsidR="00F10987" w:rsidRPr="00D00D93">
        <w:t xml:space="preserve">la </w:t>
      </w:r>
      <w:r w:rsidR="005B1DAD" w:rsidRPr="00D00D93">
        <w:t xml:space="preserve">Reunión de las Administraciones Internacionales </w:t>
      </w:r>
      <w:r w:rsidR="004154DA" w:rsidRPr="00D00D93">
        <w:t>tiene lugar en la </w:t>
      </w:r>
      <w:r w:rsidR="00F10987" w:rsidRPr="00D00D93">
        <w:t>OEPM por primera vez.</w:t>
      </w:r>
      <w:r w:rsidR="001B7D70" w:rsidRPr="00D00D93">
        <w:t xml:space="preserve">  </w:t>
      </w:r>
      <w:r w:rsidR="00F10987" w:rsidRPr="00D00D93">
        <w:t>La Sra</w:t>
      </w:r>
      <w:r w:rsidR="005F5AF1" w:rsidRPr="00D00D93">
        <w:t>.</w:t>
      </w:r>
      <w:r w:rsidR="009956EA" w:rsidRPr="00D00D93">
        <w:t> </w:t>
      </w:r>
      <w:r w:rsidR="001B7D70" w:rsidRPr="00D00D93">
        <w:t xml:space="preserve">Fernández </w:t>
      </w:r>
      <w:r w:rsidR="00FE7D77" w:rsidRPr="00D00D93">
        <w:t xml:space="preserve">incidió en </w:t>
      </w:r>
      <w:r w:rsidR="00F10987" w:rsidRPr="00D00D93">
        <w:t xml:space="preserve">la importancia que la calidad tiene </w:t>
      </w:r>
      <w:r w:rsidR="00FE7D77" w:rsidRPr="00D00D93">
        <w:t xml:space="preserve">para </w:t>
      </w:r>
      <w:r w:rsidR="009956EA" w:rsidRPr="00D00D93">
        <w:t>el </w:t>
      </w:r>
      <w:r w:rsidR="001B7D70" w:rsidRPr="00D00D93">
        <w:t>PCT</w:t>
      </w:r>
      <w:r w:rsidR="00FE7D77" w:rsidRPr="00D00D93">
        <w:t xml:space="preserve">, </w:t>
      </w:r>
      <w:r w:rsidR="00646150" w:rsidRPr="00D00D93">
        <w:t xml:space="preserve">por tratarse </w:t>
      </w:r>
      <w:r w:rsidR="00FE7D77" w:rsidRPr="00D00D93">
        <w:t xml:space="preserve">de una </w:t>
      </w:r>
      <w:r w:rsidR="00F10987" w:rsidRPr="00D00D93">
        <w:t xml:space="preserve">variable que incide favorablemente en el desarrollo global del sistema de patentes y, </w:t>
      </w:r>
      <w:r w:rsidR="005F0986" w:rsidRPr="00D00D93">
        <w:t>en consecuencia</w:t>
      </w:r>
      <w:r w:rsidR="00F10987" w:rsidRPr="00D00D93">
        <w:t xml:space="preserve">, </w:t>
      </w:r>
      <w:r w:rsidR="00A13989" w:rsidRPr="00D00D93">
        <w:t xml:space="preserve">recalcó </w:t>
      </w:r>
      <w:r w:rsidR="00F10987" w:rsidRPr="00D00D93">
        <w:t xml:space="preserve">la necesidad </w:t>
      </w:r>
      <w:r w:rsidR="00FE7D77" w:rsidRPr="00D00D93">
        <w:t xml:space="preserve">que hay de </w:t>
      </w:r>
      <w:r w:rsidR="00470DB6" w:rsidRPr="00D00D93">
        <w:t xml:space="preserve">promover </w:t>
      </w:r>
      <w:r w:rsidR="00F10987" w:rsidRPr="00D00D93">
        <w:t xml:space="preserve">y </w:t>
      </w:r>
      <w:r w:rsidR="00817004" w:rsidRPr="00D00D93">
        <w:t xml:space="preserve">potenciar </w:t>
      </w:r>
      <w:r w:rsidR="00D20554" w:rsidRPr="00D00D93">
        <w:t xml:space="preserve">la calidad </w:t>
      </w:r>
      <w:r w:rsidR="00FE7D77" w:rsidRPr="00D00D93">
        <w:t xml:space="preserve">en </w:t>
      </w:r>
      <w:r w:rsidR="00F10987" w:rsidRPr="00D00D93">
        <w:t xml:space="preserve">la </w:t>
      </w:r>
      <w:r w:rsidR="00470DB6" w:rsidRPr="00D00D93">
        <w:t xml:space="preserve">operativa </w:t>
      </w:r>
      <w:r w:rsidR="00FE7D77" w:rsidRPr="00D00D93">
        <w:t xml:space="preserve">de las </w:t>
      </w:r>
      <w:r w:rsidR="005B1DAD" w:rsidRPr="00D00D93">
        <w:t>Administraciones Internacionales</w:t>
      </w:r>
      <w:r w:rsidR="001B7D70" w:rsidRPr="00D00D93">
        <w:t xml:space="preserve">.  </w:t>
      </w:r>
      <w:r w:rsidR="00FE7D77" w:rsidRPr="00D00D93">
        <w:t xml:space="preserve">En algunas </w:t>
      </w:r>
      <w:r w:rsidR="005B1DAD" w:rsidRPr="00D00D93">
        <w:t>Administraciones</w:t>
      </w:r>
      <w:r w:rsidR="001B7D70" w:rsidRPr="00D00D93">
        <w:t xml:space="preserve">, </w:t>
      </w:r>
      <w:r w:rsidR="00FE7D77" w:rsidRPr="00D00D93">
        <w:t xml:space="preserve">ello se ha </w:t>
      </w:r>
      <w:r w:rsidR="00D20554" w:rsidRPr="00D00D93">
        <w:t xml:space="preserve">conseguido </w:t>
      </w:r>
      <w:r w:rsidR="00646150" w:rsidRPr="00D00D93">
        <w:t xml:space="preserve">a través de </w:t>
      </w:r>
      <w:r w:rsidR="00470DB6" w:rsidRPr="00D00D93">
        <w:t xml:space="preserve">la </w:t>
      </w:r>
      <w:r w:rsidR="00FE7D77" w:rsidRPr="00D00D93">
        <w:t>certificación ISO</w:t>
      </w:r>
      <w:r w:rsidR="009956EA" w:rsidRPr="00D00D93">
        <w:t> </w:t>
      </w:r>
      <w:r w:rsidR="00FE7D77" w:rsidRPr="00D00D93">
        <w:t>9001</w:t>
      </w:r>
      <w:r w:rsidR="001B7D70" w:rsidRPr="00D00D93">
        <w:t xml:space="preserve">.  </w:t>
      </w:r>
      <w:r w:rsidR="00FE7D77" w:rsidRPr="00D00D93">
        <w:t xml:space="preserve">Como principio general </w:t>
      </w:r>
      <w:r w:rsidR="00646150" w:rsidRPr="00D00D93">
        <w:t xml:space="preserve">en materia de </w:t>
      </w:r>
      <w:r w:rsidR="00FE7D77" w:rsidRPr="00D00D93">
        <w:t>calidad</w:t>
      </w:r>
      <w:r w:rsidR="001B7D70" w:rsidRPr="00D00D93">
        <w:t xml:space="preserve">, </w:t>
      </w:r>
      <w:r w:rsidR="00A13989" w:rsidRPr="00D00D93">
        <w:t xml:space="preserve">dijo que </w:t>
      </w:r>
      <w:r w:rsidR="00FE7D77" w:rsidRPr="00D00D93">
        <w:t>es necesario tener claras las f</w:t>
      </w:r>
      <w:r w:rsidR="00470DB6" w:rsidRPr="00D00D93">
        <w:t>u</w:t>
      </w:r>
      <w:r w:rsidR="00FE7D77" w:rsidRPr="00D00D93">
        <w:t>nciones de cada Ofic</w:t>
      </w:r>
      <w:r w:rsidR="005F5AF1" w:rsidRPr="00D00D93">
        <w:t>i</w:t>
      </w:r>
      <w:r w:rsidR="00FE7D77" w:rsidRPr="00D00D93">
        <w:t xml:space="preserve">na y contar con los recursos necesarios, </w:t>
      </w:r>
      <w:r w:rsidR="00A13989" w:rsidRPr="00D00D93">
        <w:t xml:space="preserve">así como con </w:t>
      </w:r>
      <w:r w:rsidR="00FE7D77" w:rsidRPr="00D00D93">
        <w:t xml:space="preserve">mecanismos </w:t>
      </w:r>
      <w:r w:rsidR="00470DB6" w:rsidRPr="00D00D93">
        <w:t xml:space="preserve">instaurados </w:t>
      </w:r>
      <w:r w:rsidR="005F0986" w:rsidRPr="00D00D93">
        <w:t xml:space="preserve">de </w:t>
      </w:r>
      <w:r w:rsidR="00FE7D77" w:rsidRPr="00D00D93">
        <w:t xml:space="preserve">formulación de </w:t>
      </w:r>
      <w:r w:rsidR="002C5E55" w:rsidRPr="00D00D93">
        <w:t xml:space="preserve">observaciones </w:t>
      </w:r>
      <w:r w:rsidR="00470DB6" w:rsidRPr="00D00D93">
        <w:t xml:space="preserve">que permitan </w:t>
      </w:r>
      <w:r w:rsidR="00FE7D77" w:rsidRPr="00D00D93">
        <w:t xml:space="preserve">identificar los problemas y minimizar su eventual incidencia </w:t>
      </w:r>
      <w:r w:rsidR="00A13989" w:rsidRPr="00D00D93">
        <w:t>en el futuro</w:t>
      </w:r>
      <w:r w:rsidR="00FE7D77" w:rsidRPr="00D00D93">
        <w:t xml:space="preserve">.  </w:t>
      </w:r>
      <w:r w:rsidR="00A13989" w:rsidRPr="00D00D93">
        <w:t xml:space="preserve">Añadió </w:t>
      </w:r>
      <w:r w:rsidR="00470DB6" w:rsidRPr="00D00D93">
        <w:t xml:space="preserve">que, con el fin de </w:t>
      </w:r>
      <w:r w:rsidR="005F0986" w:rsidRPr="00D00D93">
        <w:t xml:space="preserve">ofrecer un </w:t>
      </w:r>
      <w:r w:rsidR="00470DB6" w:rsidRPr="00D00D93">
        <w:t>servicio</w:t>
      </w:r>
      <w:r w:rsidR="005F0986" w:rsidRPr="00D00D93">
        <w:t xml:space="preserve"> de alta calidad</w:t>
      </w:r>
      <w:r w:rsidR="00470DB6" w:rsidRPr="00D00D93">
        <w:t>, la OEPM ha incluido la calidad y la excele</w:t>
      </w:r>
      <w:r w:rsidR="005F5AF1" w:rsidRPr="00D00D93">
        <w:t>n</w:t>
      </w:r>
      <w:r w:rsidR="00470DB6" w:rsidRPr="00D00D93">
        <w:t xml:space="preserve">cia como uno de los </w:t>
      </w:r>
      <w:r w:rsidR="00A13989" w:rsidRPr="00D00D93">
        <w:t xml:space="preserve">elementos </w:t>
      </w:r>
      <w:r w:rsidR="00646150" w:rsidRPr="00D00D93">
        <w:t xml:space="preserve">integradores de </w:t>
      </w:r>
      <w:r w:rsidR="00470DB6" w:rsidRPr="00D00D93">
        <w:t>su Plan Estratégico</w:t>
      </w:r>
      <w:r w:rsidR="009956EA" w:rsidRPr="00D00D93">
        <w:t> </w:t>
      </w:r>
      <w:r w:rsidR="004154DA" w:rsidRPr="00D00D93">
        <w:t>2017 </w:t>
      </w:r>
      <w:r w:rsidR="00470DB6" w:rsidRPr="00D00D93">
        <w:t>2020 en materia de</w:t>
      </w:r>
      <w:r w:rsidR="009956EA" w:rsidRPr="00D00D93">
        <w:t xml:space="preserve"> Propiedad Industrial.  La Sra. </w:t>
      </w:r>
      <w:r w:rsidR="00470DB6" w:rsidRPr="00D00D93">
        <w:t xml:space="preserve">Fernández concluyó su alocución de bienvenida </w:t>
      </w:r>
      <w:r w:rsidR="00646150" w:rsidRPr="00D00D93">
        <w:t>prese</w:t>
      </w:r>
      <w:r w:rsidR="003A1D47" w:rsidRPr="00D00D93">
        <w:t>n</w:t>
      </w:r>
      <w:r w:rsidR="00646150" w:rsidRPr="00D00D93">
        <w:t xml:space="preserve">tando </w:t>
      </w:r>
      <w:r w:rsidR="00470DB6" w:rsidRPr="00D00D93">
        <w:t xml:space="preserve">una ponencia sobre la </w:t>
      </w:r>
      <w:r w:rsidR="00A13989" w:rsidRPr="00D00D93">
        <w:t>OEPM</w:t>
      </w:r>
      <w:r w:rsidR="00470DB6" w:rsidRPr="00D00D93">
        <w:rPr>
          <w:rStyle w:val="FootnoteReference"/>
        </w:rPr>
        <w:footnoteReference w:id="5"/>
      </w:r>
      <w:r w:rsidR="00470DB6" w:rsidRPr="00D00D93">
        <w:t xml:space="preserve">. </w:t>
      </w:r>
    </w:p>
    <w:p w:rsidR="001B7D70" w:rsidRPr="00D00D93" w:rsidRDefault="002236DA" w:rsidP="00740EFC">
      <w:pPr>
        <w:pStyle w:val="ONUMFS"/>
      </w:pPr>
      <w:r w:rsidRPr="00D00D93">
        <w:t>Presidió la reunión e</w:t>
      </w:r>
      <w:r w:rsidR="00470DB6" w:rsidRPr="00D00D93">
        <w:t>l Sr.</w:t>
      </w:r>
      <w:r w:rsidR="009956EA" w:rsidRPr="00D00D93">
        <w:t> </w:t>
      </w:r>
      <w:r w:rsidR="001B7D70" w:rsidRPr="00D00D93">
        <w:t xml:space="preserve">Javier Vera Roa, </w:t>
      </w:r>
      <w:r w:rsidRPr="00D00D93">
        <w:t>consejero t</w:t>
      </w:r>
      <w:r w:rsidR="00470DB6" w:rsidRPr="00D00D93">
        <w:t>écnico</w:t>
      </w:r>
      <w:r w:rsidR="001B7D70" w:rsidRPr="00D00D93">
        <w:t xml:space="preserve"> </w:t>
      </w:r>
      <w:r w:rsidRPr="00D00D93">
        <w:t xml:space="preserve">del </w:t>
      </w:r>
      <w:r w:rsidR="001B7D70" w:rsidRPr="00D00D93">
        <w:t>Depart</w:t>
      </w:r>
      <w:r w:rsidR="005F5AF1" w:rsidRPr="00D00D93">
        <w:t>a</w:t>
      </w:r>
      <w:r w:rsidR="001B7D70" w:rsidRPr="00D00D93">
        <w:t>ment</w:t>
      </w:r>
      <w:r w:rsidR="00EF3F98" w:rsidRPr="00D00D93">
        <w:t xml:space="preserve">o de Patentes e Información Tecnológica </w:t>
      </w:r>
      <w:r w:rsidRPr="00D00D93">
        <w:t xml:space="preserve">de la </w:t>
      </w:r>
      <w:r w:rsidR="00EF3F98" w:rsidRPr="00D00D93">
        <w:t>OEPM.</w:t>
      </w:r>
    </w:p>
    <w:p w:rsidR="00EF3F98" w:rsidRPr="00D00D93" w:rsidRDefault="00636E19" w:rsidP="00740EFC">
      <w:pPr>
        <w:pStyle w:val="ONUMFS"/>
      </w:pPr>
      <w:r w:rsidRPr="00D00D93">
        <w:t>Una Administración</w:t>
      </w:r>
      <w:r w:rsidR="001B7D70" w:rsidRPr="00D00D93">
        <w:t xml:space="preserve"> </w:t>
      </w:r>
      <w:r w:rsidR="00EF3F98" w:rsidRPr="00D00D93">
        <w:t xml:space="preserve">reparó en el retraso </w:t>
      </w:r>
      <w:r w:rsidR="009C3AA8" w:rsidRPr="00D00D93">
        <w:t xml:space="preserve">producido en la distribución </w:t>
      </w:r>
      <w:r w:rsidR="00EF3F98" w:rsidRPr="00D00D93">
        <w:t xml:space="preserve">de algunos </w:t>
      </w:r>
      <w:r w:rsidR="00646150" w:rsidRPr="00D00D93">
        <w:t xml:space="preserve">de los </w:t>
      </w:r>
      <w:r w:rsidR="00EF3F98" w:rsidRPr="00D00D93">
        <w:t xml:space="preserve">documentos de la </w:t>
      </w:r>
      <w:r w:rsidR="002236DA" w:rsidRPr="00D00D93">
        <w:t xml:space="preserve">reunión </w:t>
      </w:r>
      <w:r w:rsidR="00EF3F98" w:rsidRPr="00D00D93">
        <w:t xml:space="preserve">y señaló que es posible que tenga que </w:t>
      </w:r>
      <w:r w:rsidR="00A13989" w:rsidRPr="00D00D93">
        <w:t>seguir prese</w:t>
      </w:r>
      <w:r w:rsidR="005F5AF1" w:rsidRPr="00D00D93">
        <w:t>n</w:t>
      </w:r>
      <w:r w:rsidR="00A13989" w:rsidRPr="00D00D93">
        <w:t xml:space="preserve">tando </w:t>
      </w:r>
      <w:r w:rsidR="00EF3F98" w:rsidRPr="00D00D93">
        <w:t xml:space="preserve">comentarios sobre </w:t>
      </w:r>
      <w:r w:rsidR="00A13989" w:rsidRPr="00D00D93">
        <w:t xml:space="preserve">diferentes </w:t>
      </w:r>
      <w:r w:rsidR="00EF3F98" w:rsidRPr="00D00D93">
        <w:t xml:space="preserve">cuestiones a través de la wiki </w:t>
      </w:r>
      <w:r w:rsidR="00646150" w:rsidRPr="00D00D93">
        <w:t xml:space="preserve">después de finalizada </w:t>
      </w:r>
      <w:r w:rsidR="00EF3F98" w:rsidRPr="00D00D93">
        <w:t xml:space="preserve">la sesión. </w:t>
      </w:r>
      <w:r w:rsidR="00CF05DB" w:rsidRPr="00D00D93">
        <w:t xml:space="preserve"> </w:t>
      </w:r>
      <w:r w:rsidR="00EF3F98" w:rsidRPr="00D00D93">
        <w:t xml:space="preserve">Solicitó que </w:t>
      </w:r>
      <w:r w:rsidR="00646150" w:rsidRPr="00D00D93">
        <w:t xml:space="preserve">en </w:t>
      </w:r>
      <w:r w:rsidR="00EF3F98" w:rsidRPr="00D00D93">
        <w:t xml:space="preserve">futuras </w:t>
      </w:r>
      <w:r w:rsidR="002236DA" w:rsidRPr="00D00D93">
        <w:t xml:space="preserve">reuniones </w:t>
      </w:r>
      <w:r w:rsidR="00EF3F98" w:rsidRPr="00D00D93">
        <w:t xml:space="preserve">los documentos de trabajo </w:t>
      </w:r>
      <w:r w:rsidR="00646150" w:rsidRPr="00D00D93">
        <w:t xml:space="preserve">se preparen </w:t>
      </w:r>
      <w:r w:rsidR="00EF3F98" w:rsidRPr="00D00D93">
        <w:t>con al menos cuatro semanas de antelación.</w:t>
      </w:r>
    </w:p>
    <w:p w:rsidR="001B7D70" w:rsidRPr="00D00D93" w:rsidRDefault="001B7D70" w:rsidP="001B7D70">
      <w:pPr>
        <w:pStyle w:val="Heading1"/>
        <w:keepNext w:val="0"/>
      </w:pPr>
      <w:r w:rsidRPr="00D00D93">
        <w:t>1.</w:t>
      </w:r>
      <w:r w:rsidRPr="00D00D93">
        <w:tab/>
      </w:r>
      <w:r w:rsidR="00B67E4C" w:rsidRPr="00D00D93">
        <w:t xml:space="preserve">sistemas de gestión de la calidad </w:t>
      </w:r>
    </w:p>
    <w:p w:rsidR="001B7D70" w:rsidRPr="00D00D93" w:rsidRDefault="001B7D70" w:rsidP="001B7D70">
      <w:pPr>
        <w:pStyle w:val="Heading2"/>
        <w:keepNext w:val="0"/>
        <w:ind w:left="567" w:hanging="567"/>
      </w:pPr>
      <w:r w:rsidRPr="00D00D93">
        <w:t>a)</w:t>
      </w:r>
      <w:r w:rsidRPr="00D00D93">
        <w:tab/>
      </w:r>
      <w:r w:rsidR="00A61B8B" w:rsidRPr="00D00D93">
        <w:t>INFORMES SOBRE LOS SISTEMAS DE GESTIÓN DE LA CALIDAD PREVISTOS EN EL CAPÍTULO 21 DE LA DIREC</w:t>
      </w:r>
      <w:r w:rsidR="005F5AF1" w:rsidRPr="00D00D93">
        <w:t>t</w:t>
      </w:r>
      <w:r w:rsidR="00A61B8B" w:rsidRPr="00D00D93">
        <w:t>RICES DE BÚSQUEDA</w:t>
      </w:r>
      <w:r w:rsidR="00F31507">
        <w:t xml:space="preserve"> INTERNACIONAL</w:t>
      </w:r>
      <w:r w:rsidR="00A61B8B" w:rsidRPr="00D00D93">
        <w:t xml:space="preserve"> Y </w:t>
      </w:r>
      <w:r w:rsidR="00F31507">
        <w:t xml:space="preserve">DE </w:t>
      </w:r>
      <w:r w:rsidR="00A61B8B" w:rsidRPr="00D00D93">
        <w:t>EXAM</w:t>
      </w:r>
      <w:r w:rsidR="005F5AF1" w:rsidRPr="00D00D93">
        <w:t>e</w:t>
      </w:r>
      <w:r w:rsidR="00A61B8B" w:rsidRPr="00D00D93">
        <w:t xml:space="preserve">N </w:t>
      </w:r>
      <w:r w:rsidR="00F31507">
        <w:t xml:space="preserve">PRELIMINAR INTERNACIONAL </w:t>
      </w:r>
      <w:r w:rsidR="00A61B8B" w:rsidRPr="00D00D93">
        <w:t xml:space="preserve">DEL PCT </w:t>
      </w:r>
    </w:p>
    <w:p w:rsidR="001B7D70" w:rsidRPr="00D00D93" w:rsidRDefault="001B7D70" w:rsidP="00FA036D">
      <w:pPr>
        <w:pStyle w:val="Heading2"/>
        <w:keepNext w:val="0"/>
        <w:ind w:left="567" w:hanging="567"/>
      </w:pPr>
      <w:r w:rsidRPr="00D00D93">
        <w:t>b)</w:t>
      </w:r>
      <w:r w:rsidRPr="00D00D93">
        <w:tab/>
      </w:r>
      <w:r w:rsidR="00B67E4C" w:rsidRPr="00D00D93">
        <w:t>sistemas de gestión de la calidad en las administracio</w:t>
      </w:r>
      <w:r w:rsidR="005F5AF1" w:rsidRPr="00D00D93">
        <w:t>N</w:t>
      </w:r>
      <w:r w:rsidR="00B67E4C" w:rsidRPr="00D00D93">
        <w:t xml:space="preserve">es internacionales </w:t>
      </w:r>
    </w:p>
    <w:p w:rsidR="005508E3" w:rsidRPr="00D00D93" w:rsidRDefault="00ED534E" w:rsidP="00740EFC">
      <w:pPr>
        <w:pStyle w:val="ONUMFS"/>
      </w:pPr>
      <w:r w:rsidRPr="00D00D93">
        <w:t xml:space="preserve">Las </w:t>
      </w:r>
      <w:r w:rsidR="005B1DAD" w:rsidRPr="00D00D93">
        <w:t>Administraciones</w:t>
      </w:r>
      <w:r w:rsidR="001B7D70" w:rsidRPr="00D00D93">
        <w:t xml:space="preserve"> </w:t>
      </w:r>
      <w:r w:rsidRPr="00D00D93">
        <w:t xml:space="preserve">convinieron en que el sistema de informes sobre los sistemas de gestión de la calidad resulta útil y </w:t>
      </w:r>
      <w:r w:rsidR="005667FC" w:rsidRPr="00D00D93">
        <w:t xml:space="preserve">acogieron favorablemente </w:t>
      </w:r>
      <w:r w:rsidRPr="00D00D93">
        <w:t xml:space="preserve">el resumen que la Oficina Internacional proporciona en el documento.  </w:t>
      </w:r>
      <w:r w:rsidR="001965C2" w:rsidRPr="00D00D93">
        <w:t xml:space="preserve">Además de </w:t>
      </w:r>
      <w:r w:rsidRPr="00D00D93">
        <w:t>los informes sobre los sistemas de gestión de la calidad de otras Administraciones</w:t>
      </w:r>
      <w:r w:rsidR="001B7D70" w:rsidRPr="00D00D93">
        <w:t xml:space="preserve">, </w:t>
      </w:r>
      <w:r w:rsidRPr="00D00D93">
        <w:t xml:space="preserve">el Subgrupo </w:t>
      </w:r>
      <w:r w:rsidR="009C3AA8" w:rsidRPr="00D00D93">
        <w:t xml:space="preserve">consideró también </w:t>
      </w:r>
      <w:r w:rsidR="00817004" w:rsidRPr="00D00D93">
        <w:t xml:space="preserve">valiosas </w:t>
      </w:r>
      <w:r w:rsidRPr="00D00D93">
        <w:t>las prese</w:t>
      </w:r>
      <w:r w:rsidR="001965C2" w:rsidRPr="00D00D93">
        <w:t>n</w:t>
      </w:r>
      <w:r w:rsidRPr="00D00D93">
        <w:t xml:space="preserve">taciones relativas a la gestión </w:t>
      </w:r>
      <w:r w:rsidR="001965C2" w:rsidRPr="00D00D93">
        <w:t xml:space="preserve">que se hace de la </w:t>
      </w:r>
      <w:r w:rsidRPr="00D00D93">
        <w:t xml:space="preserve">calidad </w:t>
      </w:r>
      <w:r w:rsidR="001965C2" w:rsidRPr="00D00D93">
        <w:t xml:space="preserve">en </w:t>
      </w:r>
      <w:r w:rsidRPr="00D00D93">
        <w:t>la Oficina Estatal de Propiedad Intelectual de la República Popular China (SIPO),</w:t>
      </w:r>
      <w:r w:rsidR="001B7D70" w:rsidRPr="00D00D93">
        <w:t xml:space="preserve"> </w:t>
      </w:r>
      <w:r w:rsidR="004154DA" w:rsidRPr="00D00D93">
        <w:t>la Oficina Europea de Patentes </w:t>
      </w:r>
      <w:r w:rsidRPr="00D00D93">
        <w:t xml:space="preserve">(OEP) y la Oficina de </w:t>
      </w:r>
      <w:r w:rsidR="001965C2" w:rsidRPr="00D00D93">
        <w:t>P</w:t>
      </w:r>
      <w:r w:rsidRPr="00D00D93">
        <w:t xml:space="preserve">ropiedad Intelectual de Singapur </w:t>
      </w:r>
      <w:r w:rsidR="001B7D70" w:rsidRPr="00D00D93">
        <w:t>(IPOS)</w:t>
      </w:r>
      <w:r w:rsidR="001B7D70" w:rsidRPr="00D00D93">
        <w:rPr>
          <w:rStyle w:val="FootnoteReference"/>
        </w:rPr>
        <w:footnoteReference w:id="6"/>
      </w:r>
      <w:r w:rsidR="001965C2" w:rsidRPr="00D00D93">
        <w:t xml:space="preserve">, por </w:t>
      </w:r>
      <w:r w:rsidR="009219C8" w:rsidRPr="00D00D93">
        <w:t xml:space="preserve">constituir </w:t>
      </w:r>
      <w:r w:rsidR="001965C2" w:rsidRPr="00D00D93">
        <w:lastRenderedPageBreak/>
        <w:t>ejemplos pr</w:t>
      </w:r>
      <w:r w:rsidR="003A1D47" w:rsidRPr="00D00D93">
        <w:t>á</w:t>
      </w:r>
      <w:r w:rsidR="001965C2" w:rsidRPr="00D00D93">
        <w:t xml:space="preserve">cticos de </w:t>
      </w:r>
      <w:r w:rsidR="009219C8" w:rsidRPr="00D00D93">
        <w:t xml:space="preserve">cómo </w:t>
      </w:r>
      <w:r w:rsidR="001965C2" w:rsidRPr="00D00D93">
        <w:t xml:space="preserve">Administraciones de distinto tamaño afrontan </w:t>
      </w:r>
      <w:r w:rsidR="005667FC" w:rsidRPr="00D00D93">
        <w:t xml:space="preserve">las </w:t>
      </w:r>
      <w:r w:rsidR="001965C2" w:rsidRPr="00D00D93">
        <w:t xml:space="preserve">dificultades específicas </w:t>
      </w:r>
      <w:r w:rsidR="005667FC" w:rsidRPr="00D00D93">
        <w:t xml:space="preserve">con las que </w:t>
      </w:r>
      <w:r w:rsidR="009219C8" w:rsidRPr="00D00D93">
        <w:t xml:space="preserve">tropiezan al realizar </w:t>
      </w:r>
      <w:r w:rsidR="001965C2" w:rsidRPr="00D00D93">
        <w:t>búsqueda</w:t>
      </w:r>
      <w:r w:rsidR="009219C8" w:rsidRPr="00D00D93">
        <w:t>s</w:t>
      </w:r>
      <w:r w:rsidR="001965C2" w:rsidRPr="00D00D93">
        <w:t xml:space="preserve"> y </w:t>
      </w:r>
      <w:r w:rsidR="009219C8" w:rsidRPr="00D00D93">
        <w:t xml:space="preserve">exámenes </w:t>
      </w:r>
      <w:r w:rsidR="001965C2" w:rsidRPr="00D00D93">
        <w:t>de solicitudes de patente</w:t>
      </w:r>
      <w:r w:rsidR="001B7D70" w:rsidRPr="00D00D93">
        <w:t xml:space="preserve">.  </w:t>
      </w:r>
      <w:r w:rsidR="000D0F9C" w:rsidRPr="00D00D93">
        <w:t xml:space="preserve">En el marco de </w:t>
      </w:r>
      <w:r w:rsidR="00817004" w:rsidRPr="00D00D93">
        <w:t xml:space="preserve">su </w:t>
      </w:r>
      <w:r w:rsidR="00DA1636" w:rsidRPr="00D00D93">
        <w:t xml:space="preserve">crecimiento </w:t>
      </w:r>
      <w:r w:rsidR="000D0F9C" w:rsidRPr="00D00D93">
        <w:t xml:space="preserve">de </w:t>
      </w:r>
      <w:r w:rsidR="00DA1636" w:rsidRPr="00D00D93">
        <w:t>los últimos años</w:t>
      </w:r>
      <w:r w:rsidR="000D0F9C" w:rsidRPr="00D00D93">
        <w:t xml:space="preserve">, impelido por la necesidad de hacer </w:t>
      </w:r>
      <w:r w:rsidR="00CC2291" w:rsidRPr="00D00D93">
        <w:t xml:space="preserve">frente al </w:t>
      </w:r>
      <w:r w:rsidR="00DA1636" w:rsidRPr="00D00D93">
        <w:t>aumento sostenido de las solicitudes de patente</w:t>
      </w:r>
      <w:r w:rsidR="001B7D70" w:rsidRPr="00D00D93">
        <w:t xml:space="preserve">, </w:t>
      </w:r>
      <w:r w:rsidR="009956EA" w:rsidRPr="00D00D93">
        <w:t>la </w:t>
      </w:r>
      <w:r w:rsidR="001B7D70" w:rsidRPr="00D00D93">
        <w:t xml:space="preserve">SIPO </w:t>
      </w:r>
      <w:r w:rsidR="009219C8" w:rsidRPr="00D00D93">
        <w:t xml:space="preserve">instauró </w:t>
      </w:r>
      <w:r w:rsidR="00DA1636" w:rsidRPr="00D00D93">
        <w:t xml:space="preserve">un sistema de pautas en materia de examen y </w:t>
      </w:r>
      <w:r w:rsidR="009219C8" w:rsidRPr="00D00D93">
        <w:t xml:space="preserve">otro </w:t>
      </w:r>
      <w:r w:rsidR="00DA1636" w:rsidRPr="00D00D93">
        <w:t>de garantía de la calidad a los fi</w:t>
      </w:r>
      <w:r w:rsidR="009219C8" w:rsidRPr="00D00D93">
        <w:t>n</w:t>
      </w:r>
      <w:r w:rsidR="00DA1636" w:rsidRPr="00D00D93">
        <w:t xml:space="preserve">es de asegurar la coherencia y la calidad de los exámenes entre los diferentes departamentos </w:t>
      </w:r>
      <w:r w:rsidR="009219C8" w:rsidRPr="00D00D93">
        <w:t>incumbidos</w:t>
      </w:r>
      <w:r w:rsidR="00DA1636" w:rsidRPr="00D00D93">
        <w:t>.</w:t>
      </w:r>
      <w:r w:rsidR="001B7D70" w:rsidRPr="00D00D93">
        <w:t xml:space="preserve">  </w:t>
      </w:r>
      <w:r w:rsidR="009C3AA8" w:rsidRPr="00D00D93">
        <w:t>Por su parte</w:t>
      </w:r>
      <w:r w:rsidR="009219C8" w:rsidRPr="00D00D93">
        <w:t xml:space="preserve">, </w:t>
      </w:r>
      <w:r w:rsidR="009956EA" w:rsidRPr="00D00D93">
        <w:t>la </w:t>
      </w:r>
      <w:r w:rsidR="00EE188E" w:rsidRPr="00D00D93">
        <w:t xml:space="preserve">OEP </w:t>
      </w:r>
      <w:r w:rsidR="00DA1636" w:rsidRPr="00D00D93">
        <w:t xml:space="preserve">ha logrado reducir los tiempos de búsqueda </w:t>
      </w:r>
      <w:r w:rsidR="00D9362D" w:rsidRPr="00D00D93">
        <w:t xml:space="preserve">y </w:t>
      </w:r>
      <w:r w:rsidR="009219C8" w:rsidRPr="00D00D93">
        <w:t xml:space="preserve">se marca ahora </w:t>
      </w:r>
      <w:r w:rsidR="00D9362D" w:rsidRPr="00D00D93">
        <w:t>objetivos que priorizan el respeto de los plazos en los procedimientos de examen y oposición.</w:t>
      </w:r>
      <w:r w:rsidR="001B7D70" w:rsidRPr="00D00D93">
        <w:t xml:space="preserve">  </w:t>
      </w:r>
      <w:r w:rsidR="009C3AA8" w:rsidRPr="00D00D93">
        <w:t xml:space="preserve">En cuanto a </w:t>
      </w:r>
      <w:r w:rsidR="009956EA" w:rsidRPr="00D00D93">
        <w:t>la </w:t>
      </w:r>
      <w:r w:rsidR="001B7D70" w:rsidRPr="00D00D93">
        <w:t>IPOS</w:t>
      </w:r>
      <w:r w:rsidR="009C3AA8" w:rsidRPr="00D00D93">
        <w:t xml:space="preserve">, se trata de </w:t>
      </w:r>
      <w:r w:rsidR="00D9362D" w:rsidRPr="00D00D93">
        <w:t>una O</w:t>
      </w:r>
      <w:r w:rsidR="005F5AF1" w:rsidRPr="00D00D93">
        <w:t>f</w:t>
      </w:r>
      <w:r w:rsidR="00D9362D" w:rsidRPr="00D00D93">
        <w:t>icina relativamente novel en las operaciones del</w:t>
      </w:r>
      <w:r w:rsidR="009956EA" w:rsidRPr="00D00D93">
        <w:t> </w:t>
      </w:r>
      <w:r w:rsidR="00D9362D" w:rsidRPr="00D00D93">
        <w:t xml:space="preserve">PCT, </w:t>
      </w:r>
      <w:r w:rsidR="009C3AA8" w:rsidRPr="00D00D93">
        <w:t xml:space="preserve">que </w:t>
      </w:r>
      <w:r w:rsidR="00D9362D" w:rsidRPr="00D00D93">
        <w:t xml:space="preserve">está confeccionando procedimientos </w:t>
      </w:r>
      <w:r w:rsidR="000D0F9C" w:rsidRPr="00D00D93">
        <w:t xml:space="preserve">para </w:t>
      </w:r>
      <w:r w:rsidR="00D9362D" w:rsidRPr="00D00D93">
        <w:t>gestionar un número cada vez mayor de búsquedas internacionales.</w:t>
      </w:r>
      <w:r w:rsidR="001B7D70" w:rsidRPr="00D00D93">
        <w:t xml:space="preserve">  </w:t>
      </w:r>
      <w:r w:rsidR="00D9362D" w:rsidRPr="00D00D93">
        <w:t>Pese a estas diferencias, muchos aspectos de sus enfoques de gestión de</w:t>
      </w:r>
      <w:r w:rsidR="005508E3" w:rsidRPr="00D00D93">
        <w:t xml:space="preserve"> </w:t>
      </w:r>
      <w:r w:rsidR="00D9362D" w:rsidRPr="00D00D93">
        <w:t xml:space="preserve">la calidad </w:t>
      </w:r>
      <w:r w:rsidR="005508E3" w:rsidRPr="00D00D93">
        <w:t xml:space="preserve">revisten </w:t>
      </w:r>
      <w:r w:rsidR="009219C8" w:rsidRPr="00D00D93">
        <w:t xml:space="preserve">pertinencia </w:t>
      </w:r>
      <w:r w:rsidR="00D9362D" w:rsidRPr="00D00D93">
        <w:t xml:space="preserve">para otras Administraciones, </w:t>
      </w:r>
      <w:r w:rsidR="009219C8" w:rsidRPr="00D00D93">
        <w:t xml:space="preserve">aunque </w:t>
      </w:r>
      <w:r w:rsidR="00D9362D" w:rsidRPr="00D00D93">
        <w:t>l</w:t>
      </w:r>
      <w:r w:rsidR="00CC2291" w:rsidRPr="00D00D93">
        <w:t>a</w:t>
      </w:r>
      <w:r w:rsidR="00D9362D" w:rsidRPr="00D00D93">
        <w:t>s</w:t>
      </w:r>
      <w:r w:rsidR="00CC2291" w:rsidRPr="00D00D93">
        <w:t xml:space="preserve"> razones </w:t>
      </w:r>
      <w:r w:rsidR="009219C8" w:rsidRPr="00D00D93">
        <w:t xml:space="preserve">de las </w:t>
      </w:r>
      <w:r w:rsidR="005508E3" w:rsidRPr="00D00D93">
        <w:t xml:space="preserve">dificultades específicas </w:t>
      </w:r>
      <w:r w:rsidR="009219C8" w:rsidRPr="00D00D93">
        <w:t xml:space="preserve">que cada una de ellas </w:t>
      </w:r>
      <w:r w:rsidR="00CC2291" w:rsidRPr="00D00D93">
        <w:t>experiment</w:t>
      </w:r>
      <w:r w:rsidR="002236DA" w:rsidRPr="00D00D93">
        <w:t>e</w:t>
      </w:r>
      <w:r w:rsidR="00CC2291" w:rsidRPr="00D00D93">
        <w:t xml:space="preserve"> </w:t>
      </w:r>
      <w:r w:rsidR="005508E3" w:rsidRPr="00D00D93">
        <w:t>pued</w:t>
      </w:r>
      <w:r w:rsidR="009219C8" w:rsidRPr="00D00D93">
        <w:t>a</w:t>
      </w:r>
      <w:r w:rsidR="005508E3" w:rsidRPr="00D00D93">
        <w:t>n diferir de una a otra.</w:t>
      </w:r>
    </w:p>
    <w:p w:rsidR="001B7D70" w:rsidRPr="00D00D93" w:rsidRDefault="001965C2" w:rsidP="00740EFC">
      <w:pPr>
        <w:pStyle w:val="ONUMFS"/>
      </w:pPr>
      <w:r w:rsidRPr="00D00D93">
        <w:t xml:space="preserve">La OEPM </w:t>
      </w:r>
      <w:r w:rsidR="005508E3" w:rsidRPr="00D00D93">
        <w:t xml:space="preserve">informó sobre su participación </w:t>
      </w:r>
      <w:r w:rsidR="009956EA" w:rsidRPr="00D00D93">
        <w:t>junto con la </w:t>
      </w:r>
      <w:r w:rsidR="009219C8" w:rsidRPr="00D00D93">
        <w:t xml:space="preserve">OEP </w:t>
      </w:r>
      <w:r w:rsidR="005508E3" w:rsidRPr="00D00D93">
        <w:t xml:space="preserve">en el proyecto </w:t>
      </w:r>
      <w:r w:rsidR="005667FC" w:rsidRPr="00D00D93">
        <w:t xml:space="preserve">sobre </w:t>
      </w:r>
      <w:r w:rsidR="004A150B" w:rsidRPr="00D00D93">
        <w:t xml:space="preserve">expedientes </w:t>
      </w:r>
      <w:r w:rsidR="005508E3" w:rsidRPr="00D00D93">
        <w:t>de armonización</w:t>
      </w:r>
      <w:r w:rsidR="001B7D70" w:rsidRPr="00D00D93">
        <w:t xml:space="preserve">, </w:t>
      </w:r>
      <w:r w:rsidR="005508E3" w:rsidRPr="00D00D93">
        <w:t xml:space="preserve">en cuyo marco </w:t>
      </w:r>
      <w:r w:rsidR="005667FC" w:rsidRPr="00D00D93">
        <w:t xml:space="preserve">declaró </w:t>
      </w:r>
      <w:r w:rsidR="009956EA" w:rsidRPr="00D00D93">
        <w:t>haber recibido 50 </w:t>
      </w:r>
      <w:r w:rsidR="005508E3" w:rsidRPr="00D00D93">
        <w:t xml:space="preserve">expedientes </w:t>
      </w:r>
      <w:r w:rsidR="001B7D70" w:rsidRPr="00D00D93">
        <w:t xml:space="preserve">PCT </w:t>
      </w:r>
      <w:r w:rsidR="005508E3" w:rsidRPr="00D00D93">
        <w:t>y emitido</w:t>
      </w:r>
      <w:r w:rsidR="009956EA" w:rsidRPr="00D00D93">
        <w:t> 45 </w:t>
      </w:r>
      <w:r w:rsidR="005508E3" w:rsidRPr="00D00D93">
        <w:t>informes</w:t>
      </w:r>
      <w:r w:rsidR="001B7D70" w:rsidRPr="00D00D93">
        <w:t xml:space="preserve">.  </w:t>
      </w:r>
      <w:r w:rsidR="005508E3" w:rsidRPr="00D00D93">
        <w:t xml:space="preserve">Dijo que la experiencia ha resultado positiva y que tiene intención de </w:t>
      </w:r>
      <w:r w:rsidR="009219C8" w:rsidRPr="00D00D93">
        <w:t xml:space="preserve">proseguir </w:t>
      </w:r>
      <w:r w:rsidR="00CC2291" w:rsidRPr="00D00D93">
        <w:t xml:space="preserve">con esa </w:t>
      </w:r>
      <w:r w:rsidR="005508E3" w:rsidRPr="00D00D93">
        <w:t xml:space="preserve">labor </w:t>
      </w:r>
      <w:r w:rsidR="009956EA" w:rsidRPr="00D00D93">
        <w:t>en 20</w:t>
      </w:r>
      <w:r w:rsidR="005508E3" w:rsidRPr="00D00D93">
        <w:t>18</w:t>
      </w:r>
      <w:r w:rsidR="001B7D70" w:rsidRPr="00D00D93">
        <w:t xml:space="preserve">.  </w:t>
      </w:r>
      <w:r w:rsidR="00CC2291" w:rsidRPr="00D00D93">
        <w:t>Añadió que l</w:t>
      </w:r>
      <w:r w:rsidR="004A150B" w:rsidRPr="00D00D93">
        <w:t xml:space="preserve">os informes sobre los sistemas de gestión de la calidad del </w:t>
      </w:r>
      <w:r w:rsidR="004A150B" w:rsidRPr="00D00D93">
        <w:rPr>
          <w:rFonts w:eastAsia="Times New Roman"/>
        </w:rPr>
        <w:t>Instituto Nórdico de Patentes</w:t>
      </w:r>
      <w:r w:rsidR="004A150B" w:rsidRPr="00D00D93">
        <w:t xml:space="preserve"> </w:t>
      </w:r>
      <w:r w:rsidR="002236DA" w:rsidRPr="00D00D93">
        <w:t xml:space="preserve">(NPI) </w:t>
      </w:r>
      <w:r w:rsidR="004A150B" w:rsidRPr="00D00D93">
        <w:t xml:space="preserve">y la </w:t>
      </w:r>
      <w:r w:rsidR="004A150B" w:rsidRPr="00D00D93">
        <w:rPr>
          <w:rFonts w:eastAsia="Times New Roman"/>
        </w:rPr>
        <w:t>Oficina Nacional de Patentes y Registros de Finlandia</w:t>
      </w:r>
      <w:r w:rsidR="004A150B" w:rsidRPr="00D00D93">
        <w:t xml:space="preserve"> incluyen también </w:t>
      </w:r>
      <w:r w:rsidR="005508E3" w:rsidRPr="00D00D93">
        <w:t xml:space="preserve">informes </w:t>
      </w:r>
      <w:r w:rsidR="005667FC" w:rsidRPr="00D00D93">
        <w:t xml:space="preserve">relativos a </w:t>
      </w:r>
      <w:r w:rsidR="005508E3" w:rsidRPr="00D00D93">
        <w:t>la participación en ese proyecto</w:t>
      </w:r>
      <w:r w:rsidR="001B7D70" w:rsidRPr="00D00D93">
        <w:t>.</w:t>
      </w:r>
    </w:p>
    <w:p w:rsidR="001B7D70" w:rsidRPr="00D00D93" w:rsidRDefault="001965C2" w:rsidP="00740EFC">
      <w:pPr>
        <w:pStyle w:val="ONUMFS"/>
      </w:pPr>
      <w:r w:rsidRPr="00D00D93">
        <w:t xml:space="preserve">Dos </w:t>
      </w:r>
      <w:r w:rsidR="005B1DAD" w:rsidRPr="00D00D93">
        <w:t>Administraciones</w:t>
      </w:r>
      <w:r w:rsidR="001B7D70" w:rsidRPr="00D00D93">
        <w:t xml:space="preserve"> </w:t>
      </w:r>
      <w:r w:rsidR="004A150B" w:rsidRPr="00D00D93">
        <w:t>se refirieron al teletrabajo</w:t>
      </w:r>
      <w:r w:rsidR="001B7D70" w:rsidRPr="00D00D93">
        <w:t xml:space="preserve">.  </w:t>
      </w:r>
      <w:r w:rsidR="004A150B" w:rsidRPr="00D00D93">
        <w:t xml:space="preserve">Una de </w:t>
      </w:r>
      <w:r w:rsidR="005667FC" w:rsidRPr="00D00D93">
        <w:t xml:space="preserve">ellas </w:t>
      </w:r>
      <w:r w:rsidR="004A150B" w:rsidRPr="00D00D93">
        <w:t>manifestó haber introducido la opción del teletrabajo cinco años atrás, y que ha</w:t>
      </w:r>
      <w:r w:rsidR="00CC2291" w:rsidRPr="00D00D93">
        <w:t>bía</w:t>
      </w:r>
      <w:r w:rsidR="004A150B" w:rsidRPr="00D00D93">
        <w:t xml:space="preserve"> adaptado sus herramientas de formación e intercambio de información en consecuencia.</w:t>
      </w:r>
      <w:r w:rsidR="001B7D70" w:rsidRPr="00D00D93">
        <w:t xml:space="preserve">  </w:t>
      </w:r>
      <w:r w:rsidR="004A150B" w:rsidRPr="00D00D93">
        <w:t>En el caso de la otra Oficina, su experiencia con el teletrabajo es reciente, si bien gracias a ella</w:t>
      </w:r>
      <w:r w:rsidR="005667FC" w:rsidRPr="00D00D93">
        <w:t xml:space="preserve">, según </w:t>
      </w:r>
      <w:r w:rsidR="009219C8" w:rsidRPr="00D00D93">
        <w:t>declaró</w:t>
      </w:r>
      <w:r w:rsidR="005667FC" w:rsidRPr="00D00D93">
        <w:t xml:space="preserve">, </w:t>
      </w:r>
      <w:r w:rsidR="004A150B" w:rsidRPr="00D00D93">
        <w:t>ya habría logrado incre</w:t>
      </w:r>
      <w:r w:rsidR="00710ABC" w:rsidRPr="00D00D93">
        <w:t>m</w:t>
      </w:r>
      <w:r w:rsidR="004A150B" w:rsidRPr="00D00D93">
        <w:t xml:space="preserve">entar la productividad </w:t>
      </w:r>
      <w:r w:rsidR="00710ABC" w:rsidRPr="00D00D93">
        <w:t xml:space="preserve">de </w:t>
      </w:r>
      <w:r w:rsidR="004A150B" w:rsidRPr="00D00D93">
        <w:t xml:space="preserve">los examinadores participantes </w:t>
      </w:r>
      <w:r w:rsidR="009956EA" w:rsidRPr="00D00D93">
        <w:t>en un </w:t>
      </w:r>
      <w:r w:rsidR="00710ABC" w:rsidRPr="00D00D93">
        <w:t>40%</w:t>
      </w:r>
      <w:r w:rsidR="001B7D70" w:rsidRPr="00D00D93">
        <w:t xml:space="preserve">. </w:t>
      </w:r>
    </w:p>
    <w:p w:rsidR="001B7D70" w:rsidRPr="00D00D93" w:rsidRDefault="00636E19" w:rsidP="00740EFC">
      <w:pPr>
        <w:pStyle w:val="ONUMFS"/>
      </w:pPr>
      <w:r w:rsidRPr="00D00D93">
        <w:t>Una Administración</w:t>
      </w:r>
      <w:r w:rsidR="001B7D70" w:rsidRPr="00D00D93">
        <w:t xml:space="preserve"> </w:t>
      </w:r>
      <w:r w:rsidR="00710ABC" w:rsidRPr="00D00D93">
        <w:t>se manifestó a</w:t>
      </w:r>
      <w:r w:rsidR="005667FC" w:rsidRPr="00D00D93">
        <w:t xml:space="preserve"> </w:t>
      </w:r>
      <w:r w:rsidR="00710ABC" w:rsidRPr="00D00D93">
        <w:t>favor de que se refuercen los contenidos de los informes a fin de que se hagan eco del número de examinadores de patentes y sus áreas de especialización</w:t>
      </w:r>
      <w:r w:rsidR="001B7D70" w:rsidRPr="00D00D93">
        <w:t xml:space="preserve">, </w:t>
      </w:r>
      <w:r w:rsidR="00710ABC" w:rsidRPr="00D00D93">
        <w:t xml:space="preserve">tal como ya </w:t>
      </w:r>
      <w:r w:rsidR="005667FC" w:rsidRPr="00D00D93">
        <w:t xml:space="preserve">se </w:t>
      </w:r>
      <w:r w:rsidR="00710ABC" w:rsidRPr="00D00D93">
        <w:t xml:space="preserve">hace </w:t>
      </w:r>
      <w:r w:rsidR="009219C8" w:rsidRPr="00D00D93">
        <w:t xml:space="preserve">en </w:t>
      </w:r>
      <w:r w:rsidR="00710ABC" w:rsidRPr="00D00D93">
        <w:t>algunos de los informes</w:t>
      </w:r>
      <w:r w:rsidR="001B7D70" w:rsidRPr="00D00D93">
        <w:t>.</w:t>
      </w:r>
    </w:p>
    <w:p w:rsidR="001B7D70" w:rsidRPr="00D00D93" w:rsidRDefault="001965C2" w:rsidP="00740EFC">
      <w:pPr>
        <w:pStyle w:val="ONUMFS"/>
      </w:pPr>
      <w:r w:rsidRPr="00D00D93">
        <w:t>La Oficina de Propiedad Intelectual de Filipinas (IPOPHL)</w:t>
      </w:r>
      <w:r w:rsidR="001B7D70" w:rsidRPr="00D00D93">
        <w:t xml:space="preserve"> </w:t>
      </w:r>
      <w:r w:rsidR="009956EA" w:rsidRPr="00D00D93">
        <w:t>informó de que el </w:t>
      </w:r>
      <w:r w:rsidR="00710ABC" w:rsidRPr="00D00D93">
        <w:t xml:space="preserve">6 de diciembre </w:t>
      </w:r>
      <w:r w:rsidR="009956EA" w:rsidRPr="00D00D93">
        <w:t>de 20</w:t>
      </w:r>
      <w:r w:rsidR="00710ABC" w:rsidRPr="00D00D93">
        <w:t xml:space="preserve">17 </w:t>
      </w:r>
      <w:r w:rsidR="005667FC" w:rsidRPr="00D00D93">
        <w:t xml:space="preserve">renovó </w:t>
      </w:r>
      <w:r w:rsidR="00710ABC" w:rsidRPr="00D00D93">
        <w:t xml:space="preserve">su certificación conforme la </w:t>
      </w:r>
      <w:r w:rsidR="005667FC" w:rsidRPr="00D00D93">
        <w:t>n</w:t>
      </w:r>
      <w:r w:rsidR="00710ABC" w:rsidRPr="00D00D93">
        <w:t xml:space="preserve">orma </w:t>
      </w:r>
      <w:r w:rsidR="009956EA" w:rsidRPr="00D00D93">
        <w:t>ISO </w:t>
      </w:r>
      <w:r w:rsidR="001B7D70" w:rsidRPr="00D00D93">
        <w:t>9001:2015</w:t>
      </w:r>
      <w:r w:rsidR="00710ABC" w:rsidRPr="00D00D93">
        <w:t>,</w:t>
      </w:r>
      <w:r w:rsidR="001B7D70" w:rsidRPr="00D00D93">
        <w:t xml:space="preserve"> </w:t>
      </w:r>
      <w:r w:rsidR="00710ABC" w:rsidRPr="00D00D93">
        <w:t xml:space="preserve">que cubre </w:t>
      </w:r>
      <w:r w:rsidR="00481831" w:rsidRPr="00D00D93">
        <w:t xml:space="preserve">la administración pública que lleva a cabo de </w:t>
      </w:r>
      <w:r w:rsidR="00710ABC" w:rsidRPr="00D00D93">
        <w:t>los procedimientos de registro de patentes, modelos de utilidad, diseños industriales y marcas</w:t>
      </w:r>
      <w:r w:rsidR="001B7D70" w:rsidRPr="00D00D93">
        <w:t>.</w:t>
      </w:r>
    </w:p>
    <w:p w:rsidR="001B7D70" w:rsidRPr="00D00D93" w:rsidRDefault="00481831" w:rsidP="00740EFC">
      <w:pPr>
        <w:pStyle w:val="ONUMFS"/>
      </w:pPr>
      <w:r w:rsidRPr="00D00D93">
        <w:t xml:space="preserve">En respuesta a </w:t>
      </w:r>
      <w:r w:rsidR="005667FC" w:rsidRPr="00D00D93">
        <w:t xml:space="preserve">una </w:t>
      </w:r>
      <w:r w:rsidRPr="00D00D93">
        <w:t xml:space="preserve">pregunta </w:t>
      </w:r>
      <w:r w:rsidR="005667FC" w:rsidRPr="00D00D93">
        <w:t xml:space="preserve">formulada </w:t>
      </w:r>
      <w:r w:rsidR="009219C8" w:rsidRPr="00D00D93">
        <w:t xml:space="preserve">sobre </w:t>
      </w:r>
      <w:r w:rsidR="009956EA" w:rsidRPr="00D00D93">
        <w:t>la creación en la </w:t>
      </w:r>
      <w:r w:rsidRPr="00D00D93">
        <w:t>OEP de una división de examen de tres personas</w:t>
      </w:r>
      <w:r w:rsidR="001B7D70" w:rsidRPr="00D00D93">
        <w:t xml:space="preserve"> </w:t>
      </w:r>
      <w:r w:rsidRPr="00D00D93">
        <w:t xml:space="preserve">y </w:t>
      </w:r>
      <w:r w:rsidR="005667FC" w:rsidRPr="00D00D93">
        <w:t>e</w:t>
      </w:r>
      <w:r w:rsidRPr="00D00D93">
        <w:t xml:space="preserve">l procedimiento </w:t>
      </w:r>
      <w:r w:rsidR="005667FC" w:rsidRPr="00D00D93">
        <w:t xml:space="preserve">llamado de </w:t>
      </w:r>
      <w:r w:rsidR="001B7D70" w:rsidRPr="00D00D93">
        <w:t>“</w:t>
      </w:r>
      <w:r w:rsidR="005667FC" w:rsidRPr="00D00D93">
        <w:t>los tres pares de ojos</w:t>
      </w:r>
      <w:r w:rsidR="001B7D70" w:rsidRPr="00D00D93">
        <w:t xml:space="preserve">” </w:t>
      </w:r>
      <w:r w:rsidR="009219C8" w:rsidRPr="00D00D93">
        <w:t xml:space="preserve">que </w:t>
      </w:r>
      <w:r w:rsidR="00CC2291" w:rsidRPr="00D00D93">
        <w:t xml:space="preserve">aplica </w:t>
      </w:r>
      <w:r w:rsidR="00F175A0" w:rsidRPr="00D00D93">
        <w:t>la </w:t>
      </w:r>
      <w:r w:rsidR="001B7D70" w:rsidRPr="00D00D93">
        <w:t xml:space="preserve">IPOS, </w:t>
      </w:r>
      <w:r w:rsidR="005667FC" w:rsidRPr="00D00D93">
        <w:t xml:space="preserve">ambas </w:t>
      </w:r>
      <w:r w:rsidRPr="00D00D93">
        <w:t xml:space="preserve">Oficinas explicaron que la combinación de </w:t>
      </w:r>
      <w:r w:rsidR="005667FC" w:rsidRPr="00D00D93">
        <w:t xml:space="preserve">los </w:t>
      </w:r>
      <w:r w:rsidRPr="00D00D93">
        <w:t>tres examinadores concer</w:t>
      </w:r>
      <w:r w:rsidR="00E84F97" w:rsidRPr="00D00D93">
        <w:t>n</w:t>
      </w:r>
      <w:r w:rsidRPr="00D00D93">
        <w:t>idos variará dependiendo de los casos</w:t>
      </w:r>
      <w:r w:rsidR="001B7D70" w:rsidRPr="00D00D93">
        <w:t xml:space="preserve">.  </w:t>
      </w:r>
      <w:r w:rsidR="009956EA" w:rsidRPr="00D00D93">
        <w:t>En la </w:t>
      </w:r>
      <w:r w:rsidRPr="00D00D93">
        <w:t>OEP</w:t>
      </w:r>
      <w:r w:rsidR="001B7D70" w:rsidRPr="00D00D93">
        <w:t xml:space="preserve">, </w:t>
      </w:r>
      <w:r w:rsidRPr="00D00D93">
        <w:t>el que presida la división será normalmente un examinador más experimentado en el ámbito</w:t>
      </w:r>
      <w:r w:rsidR="009956EA" w:rsidRPr="00D00D93">
        <w:t xml:space="preserve"> técnico de que se trate.</w:t>
      </w:r>
      <w:r w:rsidR="00CF05DB" w:rsidRPr="00D00D93">
        <w:t xml:space="preserve"> </w:t>
      </w:r>
      <w:r w:rsidR="009956EA" w:rsidRPr="00D00D93">
        <w:t xml:space="preserve"> En la </w:t>
      </w:r>
      <w:r w:rsidRPr="00D00D93">
        <w:t>IPOS,</w:t>
      </w:r>
      <w:r w:rsidR="001B7D70" w:rsidRPr="00D00D93">
        <w:t xml:space="preserve"> </w:t>
      </w:r>
      <w:r w:rsidRPr="00D00D93">
        <w:t xml:space="preserve">el “colega examinador” </w:t>
      </w:r>
      <w:r w:rsidR="00E84F97" w:rsidRPr="00D00D93">
        <w:t>dependerá de la invención y de</w:t>
      </w:r>
      <w:r w:rsidR="005667FC" w:rsidRPr="00D00D93">
        <w:t xml:space="preserve"> la ma</w:t>
      </w:r>
      <w:r w:rsidR="009219C8" w:rsidRPr="00D00D93">
        <w:t>t</w:t>
      </w:r>
      <w:r w:rsidR="005667FC" w:rsidRPr="00D00D93">
        <w:t>eria en cuestión</w:t>
      </w:r>
      <w:r w:rsidR="001B7D70" w:rsidRPr="00D00D93">
        <w:t xml:space="preserve">. </w:t>
      </w:r>
    </w:p>
    <w:p w:rsidR="001B7D70" w:rsidRPr="00D00D93" w:rsidRDefault="001965C2" w:rsidP="00740EFC">
      <w:pPr>
        <w:pStyle w:val="ONUMFS"/>
      </w:pPr>
      <w:r w:rsidRPr="00D00D93">
        <w:t xml:space="preserve">La Secretaría </w:t>
      </w:r>
      <w:r w:rsidR="00E84F97" w:rsidRPr="00D00D93">
        <w:t xml:space="preserve">subrayó la importancia que aprender de los informes sobre los sistemas de gestión de la calidad de otras Administraciones tiene para </w:t>
      </w:r>
      <w:r w:rsidR="00004D87" w:rsidRPr="00D00D93">
        <w:t xml:space="preserve">cumplir con </w:t>
      </w:r>
      <w:r w:rsidR="009219C8" w:rsidRPr="00D00D93">
        <w:t xml:space="preserve">los </w:t>
      </w:r>
      <w:r w:rsidR="00004D87" w:rsidRPr="00D00D93">
        <w:t>objetivo</w:t>
      </w:r>
      <w:r w:rsidR="009219C8" w:rsidRPr="00D00D93">
        <w:t>s</w:t>
      </w:r>
      <w:r w:rsidR="00004D87" w:rsidRPr="00D00D93">
        <w:t xml:space="preserve"> de </w:t>
      </w:r>
      <w:r w:rsidR="00E84F97" w:rsidRPr="00D00D93">
        <w:t xml:space="preserve">mejora </w:t>
      </w:r>
      <w:r w:rsidR="009219C8" w:rsidRPr="00D00D93">
        <w:t xml:space="preserve">de </w:t>
      </w:r>
      <w:r w:rsidR="00E84F97" w:rsidRPr="00D00D93">
        <w:t>la calidad</w:t>
      </w:r>
      <w:r w:rsidR="001B7D70" w:rsidRPr="00D00D93">
        <w:t xml:space="preserve">.  </w:t>
      </w:r>
      <w:r w:rsidR="00E84F97" w:rsidRPr="00D00D93">
        <w:t xml:space="preserve">Ello no </w:t>
      </w:r>
      <w:r w:rsidR="00004D87" w:rsidRPr="00D00D93">
        <w:t>tendr</w:t>
      </w:r>
      <w:r w:rsidR="005F5AF1" w:rsidRPr="00D00D93">
        <w:t>á</w:t>
      </w:r>
      <w:r w:rsidR="00004D87" w:rsidRPr="00D00D93">
        <w:t xml:space="preserve"> </w:t>
      </w:r>
      <w:r w:rsidR="00E84F97" w:rsidRPr="00D00D93">
        <w:t xml:space="preserve">necesariamente que </w:t>
      </w:r>
      <w:r w:rsidR="009219C8" w:rsidRPr="00D00D93">
        <w:t xml:space="preserve">producirse </w:t>
      </w:r>
      <w:r w:rsidR="00CC2291" w:rsidRPr="00D00D93">
        <w:t xml:space="preserve">de manera multilateral </w:t>
      </w:r>
      <w:r w:rsidR="00E84F97" w:rsidRPr="00D00D93">
        <w:t xml:space="preserve">en el contexto del Subgrupo. </w:t>
      </w:r>
      <w:r w:rsidR="00CF05DB" w:rsidRPr="00D00D93">
        <w:t xml:space="preserve"> </w:t>
      </w:r>
      <w:r w:rsidR="005667FC" w:rsidRPr="00D00D93">
        <w:t xml:space="preserve">Llegado el caso, </w:t>
      </w:r>
      <w:r w:rsidR="00E84F97" w:rsidRPr="00D00D93">
        <w:t xml:space="preserve">podrá llevarse </w:t>
      </w:r>
      <w:r w:rsidR="002236DA" w:rsidRPr="00D00D93">
        <w:t xml:space="preserve">a </w:t>
      </w:r>
      <w:r w:rsidR="00E84F97" w:rsidRPr="00D00D93">
        <w:t xml:space="preserve">cabo bilateralmente entre Oficinas que presenten una estructura organizativa similar o </w:t>
      </w:r>
      <w:r w:rsidR="00004D87" w:rsidRPr="00D00D93">
        <w:t xml:space="preserve">que se enfrenten </w:t>
      </w:r>
      <w:r w:rsidR="00E84F97" w:rsidRPr="00D00D93">
        <w:t xml:space="preserve">a dificultades </w:t>
      </w:r>
      <w:r w:rsidR="005667FC" w:rsidRPr="00D00D93">
        <w:t>parecidas</w:t>
      </w:r>
      <w:r w:rsidR="00E84F97" w:rsidRPr="00D00D93">
        <w:t>.</w:t>
      </w:r>
    </w:p>
    <w:p w:rsidR="001B7D70" w:rsidRPr="00D00D93" w:rsidRDefault="001965C2" w:rsidP="00740EFC">
      <w:pPr>
        <w:pStyle w:val="ONUMFS"/>
        <w:ind w:left="567"/>
      </w:pPr>
      <w:r w:rsidRPr="00D00D93">
        <w:t xml:space="preserve">El Subgrupo </w:t>
      </w:r>
      <w:r w:rsidR="00003D65" w:rsidRPr="00D00D93">
        <w:t>formuló las siguie</w:t>
      </w:r>
      <w:r w:rsidR="005F5AF1" w:rsidRPr="00D00D93">
        <w:t>n</w:t>
      </w:r>
      <w:r w:rsidR="00003D65" w:rsidRPr="00D00D93">
        <w:t xml:space="preserve">tes recomendaciones: </w:t>
      </w:r>
    </w:p>
    <w:p w:rsidR="001B7D70" w:rsidRPr="00D00D93" w:rsidRDefault="00004D87" w:rsidP="00740EFC">
      <w:pPr>
        <w:pStyle w:val="ONUMFS"/>
        <w:numPr>
          <w:ilvl w:val="1"/>
          <w:numId w:val="11"/>
        </w:numPr>
        <w:tabs>
          <w:tab w:val="clear" w:pos="1134"/>
        </w:tabs>
        <w:ind w:left="1134"/>
      </w:pPr>
      <w:r w:rsidRPr="00D00D93">
        <w:t xml:space="preserve">que se continúen </w:t>
      </w:r>
      <w:r w:rsidR="005B0C37" w:rsidRPr="00D00D93">
        <w:t>prese</w:t>
      </w:r>
      <w:r w:rsidRPr="00D00D93">
        <w:t>n</w:t>
      </w:r>
      <w:r w:rsidR="005B0C37" w:rsidRPr="00D00D93">
        <w:t xml:space="preserve">tando </w:t>
      </w:r>
      <w:r w:rsidR="00003D65" w:rsidRPr="00D00D93">
        <w:t>informes sobre los si</w:t>
      </w:r>
      <w:r w:rsidR="005B0C37" w:rsidRPr="00D00D93">
        <w:t>s</w:t>
      </w:r>
      <w:r w:rsidR="00003D65" w:rsidRPr="00D00D93">
        <w:t>temas de gestión de</w:t>
      </w:r>
      <w:r w:rsidR="005B0C37" w:rsidRPr="00D00D93">
        <w:t xml:space="preserve"> </w:t>
      </w:r>
      <w:r w:rsidR="00003D65" w:rsidRPr="00D00D93">
        <w:t xml:space="preserve">la calidad </w:t>
      </w:r>
      <w:r w:rsidR="005B0C37" w:rsidRPr="00D00D93">
        <w:t xml:space="preserve">mediante el actual mecanismo de </w:t>
      </w:r>
      <w:r w:rsidRPr="00D00D93">
        <w:t xml:space="preserve">aportación </w:t>
      </w:r>
      <w:r w:rsidR="005B0C37" w:rsidRPr="00D00D93">
        <w:t>de información</w:t>
      </w:r>
      <w:r w:rsidR="00003D65" w:rsidRPr="00D00D93">
        <w:t>,</w:t>
      </w:r>
      <w:r w:rsidRPr="00D00D93">
        <w:t xml:space="preserve"> </w:t>
      </w:r>
      <w:r w:rsidR="005B0C37" w:rsidRPr="00D00D93">
        <w:t xml:space="preserve">en los que se </w:t>
      </w:r>
      <w:r w:rsidRPr="00D00D93">
        <w:t xml:space="preserve">indiquen </w:t>
      </w:r>
      <w:r w:rsidR="00003D65" w:rsidRPr="00D00D93">
        <w:t xml:space="preserve">los cambios </w:t>
      </w:r>
      <w:r w:rsidR="005B0C37" w:rsidRPr="00D00D93">
        <w:t xml:space="preserve">habidos </w:t>
      </w:r>
      <w:r w:rsidR="00003D65" w:rsidRPr="00D00D93">
        <w:t xml:space="preserve">con respecto al informe </w:t>
      </w:r>
      <w:r w:rsidR="005B0C37" w:rsidRPr="00D00D93">
        <w:t>anterior</w:t>
      </w:r>
      <w:r w:rsidRPr="00D00D93">
        <w:t xml:space="preserve">, </w:t>
      </w:r>
      <w:r w:rsidR="00CC2291" w:rsidRPr="00D00D93">
        <w:t>consignándolos</w:t>
      </w:r>
      <w:r w:rsidRPr="00D00D93">
        <w:t xml:space="preserve">, junto con cualquier otro asunto de interés, </w:t>
      </w:r>
      <w:r w:rsidR="005B0C37" w:rsidRPr="00D00D93">
        <w:t xml:space="preserve">en un resumen </w:t>
      </w:r>
      <w:r w:rsidR="00181C31" w:rsidRPr="00D00D93">
        <w:t>que figur</w:t>
      </w:r>
      <w:r w:rsidR="00CC2291" w:rsidRPr="00D00D93">
        <w:t>ará</w:t>
      </w:r>
      <w:r w:rsidR="00181C31" w:rsidRPr="00D00D93">
        <w:t xml:space="preserve"> </w:t>
      </w:r>
      <w:r w:rsidR="005B0C37" w:rsidRPr="00D00D93">
        <w:t>en la introducción del informe</w:t>
      </w:r>
      <w:r w:rsidR="001B7D70" w:rsidRPr="00D00D93">
        <w:t xml:space="preserve">; </w:t>
      </w:r>
    </w:p>
    <w:p w:rsidR="001B7D70" w:rsidRPr="00D00D93" w:rsidRDefault="005B0C37" w:rsidP="00740EFC">
      <w:pPr>
        <w:pStyle w:val="ONUMFS"/>
        <w:numPr>
          <w:ilvl w:val="1"/>
          <w:numId w:val="11"/>
        </w:numPr>
        <w:tabs>
          <w:tab w:val="clear" w:pos="1134"/>
        </w:tabs>
        <w:ind w:left="1134"/>
      </w:pPr>
      <w:r w:rsidRPr="00D00D93">
        <w:lastRenderedPageBreak/>
        <w:t xml:space="preserve">que las </w:t>
      </w:r>
      <w:r w:rsidR="005B1DAD" w:rsidRPr="00D00D93">
        <w:t>Administraciones</w:t>
      </w:r>
      <w:r w:rsidR="001B7D70" w:rsidRPr="00D00D93">
        <w:t xml:space="preserve"> </w:t>
      </w:r>
      <w:r w:rsidRPr="00D00D93">
        <w:t>tengan la opción de incluir diagram</w:t>
      </w:r>
      <w:r w:rsidR="00004D87" w:rsidRPr="00D00D93">
        <w:t>a</w:t>
      </w:r>
      <w:r w:rsidRPr="00D00D93">
        <w:t xml:space="preserve">s de flujo en los informes, tal como se </w:t>
      </w:r>
      <w:r w:rsidR="002236DA" w:rsidRPr="00D00D93">
        <w:t xml:space="preserve">establece </w:t>
      </w:r>
      <w:r w:rsidRPr="00D00D93">
        <w:t>en los párra</w:t>
      </w:r>
      <w:r w:rsidR="005F5AF1" w:rsidRPr="00D00D93">
        <w:t>f</w:t>
      </w:r>
      <w:r w:rsidRPr="00D00D93">
        <w:t>os</w:t>
      </w:r>
      <w:r w:rsidR="001B7D70" w:rsidRPr="00D00D93">
        <w:t> </w:t>
      </w:r>
      <w:r w:rsidR="001B7D70" w:rsidRPr="00D00D93">
        <w:fldChar w:fldCharType="begin"/>
      </w:r>
      <w:r w:rsidR="001B7D70" w:rsidRPr="00D00D93">
        <w:instrText xml:space="preserve"> REF _Ref506857006 \r \h </w:instrText>
      </w:r>
      <w:r w:rsidR="00407E25" w:rsidRPr="00D00D93">
        <w:instrText xml:space="preserve"> \* MERGEFORMAT </w:instrText>
      </w:r>
      <w:r w:rsidR="001B7D70" w:rsidRPr="00D00D93">
        <w:fldChar w:fldCharType="separate"/>
      </w:r>
      <w:r w:rsidR="009B75BF" w:rsidRPr="00D00D93">
        <w:t>15</w:t>
      </w:r>
      <w:r w:rsidR="001B7D70" w:rsidRPr="00D00D93">
        <w:fldChar w:fldCharType="end"/>
      </w:r>
      <w:r w:rsidR="001B7D70" w:rsidRPr="00D00D93">
        <w:t xml:space="preserve"> </w:t>
      </w:r>
      <w:r w:rsidRPr="00D00D93">
        <w:t xml:space="preserve">a </w:t>
      </w:r>
      <w:r w:rsidR="001B7D70" w:rsidRPr="00D00D93">
        <w:t> </w:t>
      </w:r>
      <w:r w:rsidR="001B7D70" w:rsidRPr="00D00D93">
        <w:fldChar w:fldCharType="begin"/>
      </w:r>
      <w:r w:rsidR="001B7D70" w:rsidRPr="00D00D93">
        <w:instrText xml:space="preserve"> REF _Ref506857023 \r \h </w:instrText>
      </w:r>
      <w:r w:rsidR="00407E25" w:rsidRPr="00D00D93">
        <w:instrText xml:space="preserve"> \* MERGEFORMAT </w:instrText>
      </w:r>
      <w:r w:rsidR="001B7D70" w:rsidRPr="00D00D93">
        <w:fldChar w:fldCharType="separate"/>
      </w:r>
      <w:r w:rsidR="009B75BF" w:rsidRPr="00D00D93">
        <w:t>17</w:t>
      </w:r>
      <w:r w:rsidR="001B7D70" w:rsidRPr="00D00D93">
        <w:fldChar w:fldCharType="end"/>
      </w:r>
      <w:r w:rsidR="001B7D70" w:rsidRPr="00D00D93">
        <w:t xml:space="preserve"> </w:t>
      </w:r>
      <w:r w:rsidRPr="00D00D93">
        <w:t>más adelante</w:t>
      </w:r>
      <w:r w:rsidR="001B7D70" w:rsidRPr="00D00D93">
        <w:t xml:space="preserve">;  </w:t>
      </w:r>
      <w:r w:rsidRPr="00D00D93">
        <w:t xml:space="preserve">y </w:t>
      </w:r>
    </w:p>
    <w:p w:rsidR="001B7D70" w:rsidRPr="00D00D93" w:rsidRDefault="005B0C37" w:rsidP="00740EFC">
      <w:pPr>
        <w:pStyle w:val="ONUMFS"/>
        <w:numPr>
          <w:ilvl w:val="1"/>
          <w:numId w:val="11"/>
        </w:numPr>
        <w:tabs>
          <w:tab w:val="clear" w:pos="1134"/>
        </w:tabs>
        <w:ind w:left="1134"/>
      </w:pPr>
      <w:r w:rsidRPr="00D00D93">
        <w:t>que otras Administraciones puedan presentar una descripción general de sus sistemas de gestión de la calidad en las r</w:t>
      </w:r>
      <w:r w:rsidR="005F5AF1" w:rsidRPr="00D00D93">
        <w:t>e</w:t>
      </w:r>
      <w:r w:rsidRPr="00D00D93">
        <w:t>uniones futuras del Subgrupo</w:t>
      </w:r>
      <w:r w:rsidR="001B7D70" w:rsidRPr="00D00D93">
        <w:t xml:space="preserve">.  </w:t>
      </w:r>
    </w:p>
    <w:p w:rsidR="001B7D70" w:rsidRPr="00D00D93" w:rsidRDefault="001B7D70" w:rsidP="00FA036D">
      <w:pPr>
        <w:pStyle w:val="Heading2"/>
        <w:keepNext w:val="0"/>
        <w:ind w:left="567" w:hanging="567"/>
      </w:pPr>
      <w:r w:rsidRPr="00D00D93">
        <w:t>c)</w:t>
      </w:r>
      <w:r w:rsidRPr="00D00D93">
        <w:tab/>
      </w:r>
      <w:r w:rsidR="00A61B8B" w:rsidRPr="00D00D93">
        <w:t xml:space="preserve">ENDURECIMIENTO DE LOS REQUISITOS EN MATERIA DE SISTEMAS DE GESTIÓN DE LA CALIDAD </w:t>
      </w:r>
    </w:p>
    <w:p w:rsidR="00181C31" w:rsidRPr="00D00D93" w:rsidRDefault="005F5AF1" w:rsidP="00740EFC">
      <w:pPr>
        <w:pStyle w:val="ONUMFS"/>
      </w:pPr>
      <w:r w:rsidRPr="00D00D93">
        <w:t xml:space="preserve">La </w:t>
      </w:r>
      <w:r w:rsidR="005B1DAD" w:rsidRPr="00D00D93">
        <w:t>Oficina Internacional</w:t>
      </w:r>
      <w:r w:rsidR="001B7D70" w:rsidRPr="00D00D93">
        <w:t xml:space="preserve"> </w:t>
      </w:r>
      <w:r w:rsidR="00181C31" w:rsidRPr="00D00D93">
        <w:t>informó de que hasta el momento ha recibido</w:t>
      </w:r>
      <w:r w:rsidR="001B7D70" w:rsidRPr="00D00D93">
        <w:t> 15 resp</w:t>
      </w:r>
      <w:r w:rsidR="009956EA" w:rsidRPr="00D00D93">
        <w:t>uestas a la Circular </w:t>
      </w:r>
      <w:r w:rsidR="00181C31" w:rsidRPr="00D00D93">
        <w:t xml:space="preserve">C. PCT 1523 sobre las modificaciones propuestas con miras a endurecer los requisitos en materia de sistemas de </w:t>
      </w:r>
      <w:r w:rsidRPr="00D00D93">
        <w:t xml:space="preserve">gestión </w:t>
      </w:r>
      <w:r w:rsidR="009956EA" w:rsidRPr="00D00D93">
        <w:t>de la calidad del Capítulo </w:t>
      </w:r>
      <w:r w:rsidR="00181C31" w:rsidRPr="00D00D93">
        <w:t>21.  En general, las respuestas recibidas abogan en favor de las propuestas</w:t>
      </w:r>
      <w:r w:rsidR="00CC2291" w:rsidRPr="00D00D93">
        <w:t xml:space="preserve"> planteadas</w:t>
      </w:r>
      <w:r w:rsidR="00181C31" w:rsidRPr="00D00D93">
        <w:t xml:space="preserve">. </w:t>
      </w:r>
    </w:p>
    <w:p w:rsidR="001B7D70" w:rsidRPr="00D00D93" w:rsidRDefault="00636E19" w:rsidP="00740EFC">
      <w:pPr>
        <w:pStyle w:val="ONUMFS"/>
      </w:pPr>
      <w:r w:rsidRPr="00D00D93">
        <w:t>Una Administración</w:t>
      </w:r>
      <w:r w:rsidR="001B7D70" w:rsidRPr="00D00D93">
        <w:t xml:space="preserve"> </w:t>
      </w:r>
      <w:r w:rsidR="00181C31" w:rsidRPr="00D00D93">
        <w:t xml:space="preserve">propuso que los requisitos </w:t>
      </w:r>
      <w:r w:rsidR="00CF5D3D" w:rsidRPr="00D00D93">
        <w:t xml:space="preserve">referidos a la documentación del proceso de búsqueda </w:t>
      </w:r>
      <w:r w:rsidR="00CC2291" w:rsidRPr="00D00D93">
        <w:t xml:space="preserve">que se establecen </w:t>
      </w:r>
      <w:r w:rsidR="009956EA" w:rsidRPr="00D00D93">
        <w:t>en el párrafo </w:t>
      </w:r>
      <w:r w:rsidR="001B7D70" w:rsidRPr="00D00D93">
        <w:t xml:space="preserve">21.21 </w:t>
      </w:r>
      <w:r w:rsidR="00CF5D3D" w:rsidRPr="00D00D93">
        <w:t xml:space="preserve">de las </w:t>
      </w:r>
      <w:r w:rsidR="00CF5D3D" w:rsidRPr="00D00D93">
        <w:rPr>
          <w:rFonts w:eastAsia="Times New Roman"/>
        </w:rPr>
        <w:t>Directrices de búsqueda y exam</w:t>
      </w:r>
      <w:r w:rsidR="009956EA" w:rsidRPr="00D00D93">
        <w:rPr>
          <w:rFonts w:eastAsia="Times New Roman"/>
        </w:rPr>
        <w:t>en del </w:t>
      </w:r>
      <w:r w:rsidR="00CF5D3D" w:rsidRPr="00D00D93">
        <w:rPr>
          <w:rFonts w:eastAsia="Times New Roman"/>
        </w:rPr>
        <w:t>PCT</w:t>
      </w:r>
      <w:r w:rsidR="00CF5D3D" w:rsidRPr="00D00D93">
        <w:t xml:space="preserve"> </w:t>
      </w:r>
      <w:r w:rsidR="00CC2291" w:rsidRPr="00D00D93">
        <w:t xml:space="preserve">revistan </w:t>
      </w:r>
      <w:r w:rsidR="00CF5D3D" w:rsidRPr="00D00D93">
        <w:t>carácter obligatorio.</w:t>
      </w:r>
      <w:r w:rsidR="001B7D70" w:rsidRPr="00D00D93">
        <w:t xml:space="preserve">  </w:t>
      </w:r>
      <w:r w:rsidR="00CF5D3D" w:rsidRPr="00D00D93">
        <w:t xml:space="preserve">Otra Administración </w:t>
      </w:r>
      <w:r w:rsidR="00157ED8" w:rsidRPr="00D00D93">
        <w:t xml:space="preserve">expresó el deseo de </w:t>
      </w:r>
      <w:r w:rsidR="00CF5D3D" w:rsidRPr="00D00D93">
        <w:t xml:space="preserve">proponer un nuevo mecanismo de presentación de informes sobre la gestión de la calidad </w:t>
      </w:r>
      <w:r w:rsidR="00157ED8" w:rsidRPr="00D00D93">
        <w:t xml:space="preserve">que prevea la intervención de </w:t>
      </w:r>
      <w:r w:rsidR="00CF5D3D" w:rsidRPr="00D00D93">
        <w:t>expertos en búsqueda</w:t>
      </w:r>
      <w:r w:rsidR="00157ED8" w:rsidRPr="00D00D93">
        <w:t>s</w:t>
      </w:r>
      <w:r w:rsidR="00CF5D3D" w:rsidRPr="00D00D93">
        <w:t xml:space="preserve"> internacional</w:t>
      </w:r>
      <w:r w:rsidR="00157ED8" w:rsidRPr="00D00D93">
        <w:t>es</w:t>
      </w:r>
      <w:r w:rsidR="00CF5D3D" w:rsidRPr="00D00D93">
        <w:t xml:space="preserve"> a fin de garantizar la eficacia de los sistemas, y </w:t>
      </w:r>
      <w:r w:rsidR="00CC2291" w:rsidRPr="00D00D93">
        <w:t xml:space="preserve">dijo </w:t>
      </w:r>
      <w:r w:rsidR="00CF5D3D" w:rsidRPr="00D00D93">
        <w:t xml:space="preserve">que </w:t>
      </w:r>
      <w:r w:rsidR="00CC2291" w:rsidRPr="00D00D93">
        <w:t>prese</w:t>
      </w:r>
      <w:r w:rsidR="003A1D47" w:rsidRPr="00D00D93">
        <w:t>n</w:t>
      </w:r>
      <w:r w:rsidR="00CC2291" w:rsidRPr="00D00D93">
        <w:t xml:space="preserve">taría </w:t>
      </w:r>
      <w:r w:rsidR="00CF5D3D" w:rsidRPr="00D00D93">
        <w:t xml:space="preserve">una propuesta </w:t>
      </w:r>
      <w:r w:rsidR="00157ED8" w:rsidRPr="00D00D93">
        <w:t xml:space="preserve">concreta </w:t>
      </w:r>
      <w:r w:rsidR="00CF5D3D" w:rsidRPr="00D00D93">
        <w:t>al respecto.</w:t>
      </w:r>
      <w:r w:rsidR="001B7D70" w:rsidRPr="00D00D93">
        <w:t xml:space="preserve">  </w:t>
      </w:r>
      <w:r w:rsidR="00157ED8" w:rsidRPr="00D00D93">
        <w:t>Ambas ideas se someterán a consideración en una futura rond</w:t>
      </w:r>
      <w:r w:rsidR="009956EA" w:rsidRPr="00D00D93">
        <w:t>a de modificaciones al Capítulo </w:t>
      </w:r>
      <w:r w:rsidR="00157ED8" w:rsidRPr="00D00D93">
        <w:t xml:space="preserve">21 </w:t>
      </w:r>
      <w:r w:rsidR="00CC2291" w:rsidRPr="00D00D93">
        <w:t xml:space="preserve">una vez que </w:t>
      </w:r>
      <w:r w:rsidR="00157ED8" w:rsidRPr="00D00D93">
        <w:t xml:space="preserve">se hayan promulgado las modificaciones previstas en la </w:t>
      </w:r>
      <w:r w:rsidR="009956EA" w:rsidRPr="00D00D93">
        <w:t>Circular </w:t>
      </w:r>
      <w:r w:rsidR="001B7D70" w:rsidRPr="00D00D93">
        <w:t xml:space="preserve">C. PCT 1523.  </w:t>
      </w:r>
      <w:r w:rsidR="00157ED8" w:rsidRPr="00D00D93">
        <w:t>Entretanto, la propuesta relativa a la documentación del proceso de búsqueda podría debatirse en la wik</w:t>
      </w:r>
      <w:r w:rsidR="005F5AF1" w:rsidRPr="00D00D93">
        <w:t>i</w:t>
      </w:r>
      <w:r w:rsidR="00157ED8" w:rsidRPr="00D00D93">
        <w:t xml:space="preserve"> del Subgrupo. </w:t>
      </w:r>
    </w:p>
    <w:p w:rsidR="001B7D70" w:rsidRPr="00D00D93" w:rsidRDefault="00157ED8" w:rsidP="00740EFC">
      <w:pPr>
        <w:pStyle w:val="ONUMFS"/>
        <w:tabs>
          <w:tab w:val="clear" w:pos="567"/>
        </w:tabs>
        <w:ind w:left="567"/>
      </w:pPr>
      <w:r w:rsidRPr="00D00D93">
        <w:t>El Subgrupo tomó nota de las consultas en curso y recomendó que las nuevas propuest</w:t>
      </w:r>
      <w:r w:rsidR="009956EA" w:rsidRPr="00D00D93">
        <w:t>as de modificación del Capítulo </w:t>
      </w:r>
      <w:r w:rsidRPr="00D00D93">
        <w:t>21 empiecen a debatirse en el foro electrónico.</w:t>
      </w:r>
    </w:p>
    <w:p w:rsidR="001B7D70" w:rsidRPr="00D00D93" w:rsidRDefault="001B7D70" w:rsidP="001B7D70">
      <w:pPr>
        <w:pStyle w:val="Heading2"/>
        <w:keepNext w:val="0"/>
      </w:pPr>
      <w:r w:rsidRPr="00D00D93">
        <w:t>d)</w:t>
      </w:r>
      <w:r w:rsidRPr="00D00D93">
        <w:tab/>
      </w:r>
      <w:r w:rsidR="00A61B8B" w:rsidRPr="00D00D93">
        <w:t xml:space="preserve">DIAGRAMAS DE FLUJO EN LOS SISTEMAS DE GESTIÓN DE LA CALIDAD </w:t>
      </w:r>
    </w:p>
    <w:p w:rsidR="00FC49CC" w:rsidRPr="00D00D93" w:rsidRDefault="00157ED8" w:rsidP="00740EFC">
      <w:pPr>
        <w:pStyle w:val="ONUMFS"/>
      </w:pPr>
      <w:bookmarkStart w:id="6" w:name="_Ref506857006"/>
      <w:r w:rsidRPr="00D00D93">
        <w:t xml:space="preserve">La </w:t>
      </w:r>
      <w:r w:rsidRPr="00D00D93">
        <w:rPr>
          <w:rFonts w:eastAsia="Times New Roman"/>
        </w:rPr>
        <w:t>Oficina Sueca de Patentes y Registro</w:t>
      </w:r>
      <w:r w:rsidR="001B7D70" w:rsidRPr="00D00D93">
        <w:t xml:space="preserve"> (PRV) </w:t>
      </w:r>
      <w:r w:rsidR="00355D8F" w:rsidRPr="00D00D93">
        <w:t xml:space="preserve">aseguró que, en su opinión, </w:t>
      </w:r>
      <w:r w:rsidR="005F5AF1" w:rsidRPr="00D00D93">
        <w:t xml:space="preserve">los diagramas de flujo </w:t>
      </w:r>
      <w:r w:rsidR="00355D8F" w:rsidRPr="00D00D93">
        <w:t xml:space="preserve">son </w:t>
      </w:r>
      <w:r w:rsidR="005F5AF1" w:rsidRPr="00D00D93">
        <w:t>particularmente útiles para comprender los informes sobre l</w:t>
      </w:r>
      <w:r w:rsidR="00DF643A" w:rsidRPr="00D00D93">
        <w:t>o</w:t>
      </w:r>
      <w:r w:rsidR="005F5AF1" w:rsidRPr="00D00D93">
        <w:t xml:space="preserve">s sistemas de </w:t>
      </w:r>
      <w:r w:rsidR="00DF643A" w:rsidRPr="00D00D93">
        <w:t xml:space="preserve">gestión </w:t>
      </w:r>
      <w:r w:rsidR="005F5AF1" w:rsidRPr="00D00D93">
        <w:t>de</w:t>
      </w:r>
      <w:r w:rsidR="00DF643A" w:rsidRPr="00D00D93">
        <w:t xml:space="preserve"> </w:t>
      </w:r>
      <w:r w:rsidR="005F5AF1" w:rsidRPr="00D00D93">
        <w:t>la calidad</w:t>
      </w:r>
      <w:r w:rsidR="001B7D70" w:rsidRPr="00D00D93">
        <w:t>.  As</w:t>
      </w:r>
      <w:r w:rsidR="00DF643A" w:rsidRPr="00D00D93">
        <w:t xml:space="preserve">í, por ejemplo, los gráficos sobre el tratamiento </w:t>
      </w:r>
      <w:r w:rsidR="003A43D9" w:rsidRPr="00D00D93">
        <w:t xml:space="preserve">de los casos de falta de unidad de la invención que se </w:t>
      </w:r>
      <w:r w:rsidR="00355D8F" w:rsidRPr="00D00D93">
        <w:t xml:space="preserve">incluyen </w:t>
      </w:r>
      <w:r w:rsidR="009956EA" w:rsidRPr="00D00D93">
        <w:t>en la presentación de la </w:t>
      </w:r>
      <w:r w:rsidR="003A43D9" w:rsidRPr="00D00D93">
        <w:t xml:space="preserve">IPOS han </w:t>
      </w:r>
      <w:r w:rsidR="00355D8F" w:rsidRPr="00D00D93">
        <w:t xml:space="preserve">servido </w:t>
      </w:r>
      <w:r w:rsidR="003A43D9" w:rsidRPr="00D00D93">
        <w:t>para comprender los procedimientos que se aplican en ese ámbito.</w:t>
      </w:r>
      <w:r w:rsidR="001B7D70" w:rsidRPr="00D00D93">
        <w:t xml:space="preserve">  </w:t>
      </w:r>
      <w:r w:rsidR="003A43D9" w:rsidRPr="00D00D93">
        <w:t xml:space="preserve">Manifestó haber utilizado diagramas de flujo con fines de formación interna y que ese tipo de diagramas </w:t>
      </w:r>
      <w:r w:rsidR="007D2D5B" w:rsidRPr="00D00D93">
        <w:t xml:space="preserve">resultó </w:t>
      </w:r>
      <w:r w:rsidR="003A43D9" w:rsidRPr="00D00D93">
        <w:t xml:space="preserve">de utilidad en </w:t>
      </w:r>
      <w:r w:rsidR="00355D8F" w:rsidRPr="00D00D93">
        <w:t xml:space="preserve">la transición </w:t>
      </w:r>
      <w:r w:rsidR="003A43D9" w:rsidRPr="00D00D93">
        <w:t xml:space="preserve">de la norma </w:t>
      </w:r>
      <w:r w:rsidR="001B7D70" w:rsidRPr="00D00D93">
        <w:t xml:space="preserve">ISO 9001:2008 </w:t>
      </w:r>
      <w:r w:rsidR="003A43D9" w:rsidRPr="00D00D93">
        <w:t xml:space="preserve">a la </w:t>
      </w:r>
      <w:r w:rsidR="00DC167E" w:rsidRPr="00D00D93">
        <w:t xml:space="preserve">norma </w:t>
      </w:r>
      <w:r w:rsidR="009956EA" w:rsidRPr="00D00D93">
        <w:t>ISO </w:t>
      </w:r>
      <w:r w:rsidR="001B7D70" w:rsidRPr="00D00D93">
        <w:t xml:space="preserve">9001:2015.  </w:t>
      </w:r>
      <w:r w:rsidR="003A43D9" w:rsidRPr="00D00D93">
        <w:t>Las Administraciones que presentaron comentarios</w:t>
      </w:r>
      <w:r w:rsidR="00355D8F" w:rsidRPr="00D00D93">
        <w:t xml:space="preserve"> </w:t>
      </w:r>
      <w:r w:rsidR="00DC167E" w:rsidRPr="00D00D93">
        <w:t xml:space="preserve">refirieron que, en su opinión, </w:t>
      </w:r>
      <w:r w:rsidR="003A43D9" w:rsidRPr="00D00D93">
        <w:t>el ejemplo de un diagrama de flujo que d</w:t>
      </w:r>
      <w:r w:rsidR="00884603" w:rsidRPr="00D00D93">
        <w:t>a</w:t>
      </w:r>
      <w:r w:rsidR="003A43D9" w:rsidRPr="00D00D93">
        <w:t xml:space="preserve"> cuenta del tratamiento que </w:t>
      </w:r>
      <w:r w:rsidR="009956EA" w:rsidRPr="00D00D93">
        <w:t>la </w:t>
      </w:r>
      <w:r w:rsidR="00FC49CC" w:rsidRPr="00D00D93">
        <w:t xml:space="preserve">IPOS </w:t>
      </w:r>
      <w:r w:rsidR="003A43D9" w:rsidRPr="00D00D93">
        <w:t>hace de los casos de falta de unidad de la inve</w:t>
      </w:r>
      <w:r w:rsidR="00FC49CC" w:rsidRPr="00D00D93">
        <w:t>n</w:t>
      </w:r>
      <w:r w:rsidR="003A43D9" w:rsidRPr="00D00D93">
        <w:t>c</w:t>
      </w:r>
      <w:r w:rsidR="00FC49CC" w:rsidRPr="00D00D93">
        <w:t>i</w:t>
      </w:r>
      <w:r w:rsidR="003A43D9" w:rsidRPr="00D00D93">
        <w:t xml:space="preserve">ón </w:t>
      </w:r>
      <w:r w:rsidR="00DC167E" w:rsidRPr="00D00D93">
        <w:t xml:space="preserve">resulta especialmente </w:t>
      </w:r>
      <w:r w:rsidR="003A43D9" w:rsidRPr="00D00D93">
        <w:t>útil para adquiri</w:t>
      </w:r>
      <w:r w:rsidR="00FC49CC" w:rsidRPr="00D00D93">
        <w:t>r</w:t>
      </w:r>
      <w:r w:rsidR="003A43D9" w:rsidRPr="00D00D93">
        <w:t xml:space="preserve"> una comprensión más adecuada de esa práctica.  </w:t>
      </w:r>
      <w:r w:rsidR="00FC49CC" w:rsidRPr="00D00D93">
        <w:t xml:space="preserve">Pese a reconocer la utilidad que tiene compartir ejemplos de diagramas de flujo y extraer </w:t>
      </w:r>
      <w:r w:rsidR="00237D8C" w:rsidRPr="00D00D93">
        <w:t xml:space="preserve">de </w:t>
      </w:r>
      <w:r w:rsidR="00DC167E" w:rsidRPr="00D00D93">
        <w:t xml:space="preserve">esa </w:t>
      </w:r>
      <w:r w:rsidR="00237D8C" w:rsidRPr="00D00D93">
        <w:t xml:space="preserve">fuente </w:t>
      </w:r>
      <w:r w:rsidR="00355D8F" w:rsidRPr="00D00D93">
        <w:t xml:space="preserve">detalles </w:t>
      </w:r>
      <w:r w:rsidR="00FC49CC" w:rsidRPr="00D00D93">
        <w:t>interesantes, una Administración observó que no creía que intentar establecer un</w:t>
      </w:r>
      <w:r w:rsidR="00ED42A4" w:rsidRPr="00D00D93">
        <w:t>a</w:t>
      </w:r>
      <w:r w:rsidR="00FC49CC" w:rsidRPr="00D00D93">
        <w:t xml:space="preserve"> </w:t>
      </w:r>
      <w:r w:rsidR="00ED42A4" w:rsidRPr="00D00D93">
        <w:t xml:space="preserve">plantilla </w:t>
      </w:r>
      <w:r w:rsidR="00FC49CC" w:rsidRPr="00D00D93">
        <w:t xml:space="preserve">común para procesos similares entre todas las Administraciones fuera la manera más adecuada de avanzar.  Además del trabajo que suponía, semejante práctica podría conducir a la pérdida de valiosa información específica </w:t>
      </w:r>
      <w:r w:rsidR="00355D8F" w:rsidRPr="00D00D93">
        <w:t xml:space="preserve">acerca de </w:t>
      </w:r>
      <w:r w:rsidR="00FC49CC" w:rsidRPr="00D00D93">
        <w:t xml:space="preserve">los procedimientos concretos de cada Administración.  En su lugar, la Administración animó a otras Administraciones a compartir ejemplos de sus diagramas de flujo a través de la wiki y al conjunto de las Administraciones a incorporar diagramas de flujo adecuados en los informes </w:t>
      </w:r>
      <w:r w:rsidR="00237D8C" w:rsidRPr="00D00D93">
        <w:t>que present</w:t>
      </w:r>
      <w:r w:rsidR="00DC167E" w:rsidRPr="00D00D93">
        <w:t>a</w:t>
      </w:r>
      <w:r w:rsidR="00237D8C" w:rsidRPr="00D00D93">
        <w:t xml:space="preserve">n </w:t>
      </w:r>
      <w:r w:rsidR="00FC49CC" w:rsidRPr="00D00D93">
        <w:t xml:space="preserve">sobre </w:t>
      </w:r>
      <w:r w:rsidR="00237D8C" w:rsidRPr="00D00D93">
        <w:t xml:space="preserve">sus </w:t>
      </w:r>
      <w:r w:rsidR="00FC49CC" w:rsidRPr="00D00D93">
        <w:t>sistemas de gestión de la calidad.</w:t>
      </w:r>
    </w:p>
    <w:bookmarkEnd w:id="6"/>
    <w:p w:rsidR="001B7D70" w:rsidRPr="00D00D93" w:rsidRDefault="00ED42A4" w:rsidP="00740EFC">
      <w:pPr>
        <w:pStyle w:val="ONUMFS"/>
      </w:pPr>
      <w:r w:rsidRPr="00D00D93">
        <w:t xml:space="preserve">Las </w:t>
      </w:r>
      <w:r w:rsidR="005B1DAD" w:rsidRPr="00D00D93">
        <w:t>Administraciones</w:t>
      </w:r>
      <w:r w:rsidR="001B7D70" w:rsidRPr="00D00D93">
        <w:t xml:space="preserve"> </w:t>
      </w:r>
      <w:r w:rsidRPr="00D00D93">
        <w:t xml:space="preserve">se manifestaron a favor de proseguir los debates sobre los diagramas de flujo en la wiki y animaron a las Administraciones que todavía no lo </w:t>
      </w:r>
      <w:r w:rsidR="00DC167E" w:rsidRPr="00D00D93">
        <w:t xml:space="preserve">hubieran </w:t>
      </w:r>
      <w:r w:rsidRPr="00D00D93">
        <w:t xml:space="preserve">hecho a compartir </w:t>
      </w:r>
      <w:r w:rsidR="00DC167E" w:rsidRPr="00D00D93">
        <w:t xml:space="preserve">esos </w:t>
      </w:r>
      <w:r w:rsidRPr="00D00D93">
        <w:t>diagramas.</w:t>
      </w:r>
      <w:r w:rsidR="001B7D70" w:rsidRPr="00D00D93">
        <w:t xml:space="preserve">  </w:t>
      </w:r>
      <w:r w:rsidRPr="00D00D93">
        <w:t>También dijeron apoyar la opción de incluir diagramas de flujo</w:t>
      </w:r>
      <w:r w:rsidR="001B7D70" w:rsidRPr="00D00D93">
        <w:t xml:space="preserve"> </w:t>
      </w:r>
      <w:r w:rsidRPr="00D00D93">
        <w:t xml:space="preserve">en los informes sobre los sistemas de gestión de la calidad </w:t>
      </w:r>
      <w:r w:rsidR="00DC167E" w:rsidRPr="00D00D93">
        <w:t xml:space="preserve">previstos en el </w:t>
      </w:r>
      <w:r w:rsidRPr="00D00D93">
        <w:t>Capítulo</w:t>
      </w:r>
      <w:r w:rsidR="001B7D70" w:rsidRPr="00D00D93">
        <w:t xml:space="preserve"> 21.  </w:t>
      </w:r>
      <w:r w:rsidRPr="00D00D93">
        <w:t xml:space="preserve">Sin embargo, señalaron </w:t>
      </w:r>
      <w:r w:rsidR="00237D8C" w:rsidRPr="00D00D93">
        <w:t xml:space="preserve">también </w:t>
      </w:r>
      <w:r w:rsidRPr="00D00D93">
        <w:t xml:space="preserve">que la inclusión de diagramas de flujo en esos informes no debe ser obligatoria y que su utilización no debe </w:t>
      </w:r>
      <w:r w:rsidR="00DC167E" w:rsidRPr="00D00D93">
        <w:t xml:space="preserve">tener por objeto </w:t>
      </w:r>
      <w:r w:rsidRPr="00D00D93">
        <w:t>sustituir texto descriptivo.</w:t>
      </w:r>
      <w:r w:rsidR="001B7D70" w:rsidRPr="00D00D93">
        <w:t xml:space="preserve">  </w:t>
      </w:r>
      <w:r w:rsidR="00636E19" w:rsidRPr="00D00D93">
        <w:t>Una Administración</w:t>
      </w:r>
      <w:r w:rsidR="001B7D70" w:rsidRPr="00D00D93">
        <w:t xml:space="preserve"> </w:t>
      </w:r>
      <w:r w:rsidR="000979B1" w:rsidRPr="00D00D93">
        <w:t xml:space="preserve">añadió que </w:t>
      </w:r>
      <w:r w:rsidR="00884603" w:rsidRPr="00D00D93">
        <w:t xml:space="preserve">todo </w:t>
      </w:r>
      <w:r w:rsidR="000979B1" w:rsidRPr="00D00D93">
        <w:t>diagrama de flujo que se haga constar en los informes deberá ser breve e informativo</w:t>
      </w:r>
      <w:r w:rsidR="001B7D70" w:rsidRPr="00D00D93">
        <w:t xml:space="preserve">. </w:t>
      </w:r>
    </w:p>
    <w:p w:rsidR="001B7D70" w:rsidRPr="00D00D93" w:rsidRDefault="00ED42A4" w:rsidP="00740EFC">
      <w:pPr>
        <w:pStyle w:val="ONUMFS"/>
        <w:tabs>
          <w:tab w:val="clear" w:pos="567"/>
        </w:tabs>
        <w:ind w:left="567"/>
      </w:pPr>
      <w:bookmarkStart w:id="7" w:name="_Ref506857023"/>
      <w:r w:rsidRPr="00D00D93">
        <w:lastRenderedPageBreak/>
        <w:t>El Subgrupo formuló las siguientes recomendaciones:</w:t>
      </w:r>
      <w:bookmarkEnd w:id="7"/>
    </w:p>
    <w:p w:rsidR="000979B1" w:rsidRPr="00D00D93" w:rsidRDefault="000979B1" w:rsidP="00740EFC">
      <w:pPr>
        <w:pStyle w:val="ONUMFS"/>
        <w:numPr>
          <w:ilvl w:val="1"/>
          <w:numId w:val="11"/>
        </w:numPr>
        <w:tabs>
          <w:tab w:val="clear" w:pos="1134"/>
        </w:tabs>
        <w:ind w:left="1134"/>
      </w:pPr>
      <w:r w:rsidRPr="00D00D93">
        <w:t xml:space="preserve">que las </w:t>
      </w:r>
      <w:r w:rsidR="005B1DAD" w:rsidRPr="00D00D93">
        <w:t>Administraciones</w:t>
      </w:r>
      <w:r w:rsidR="001B7D70" w:rsidRPr="00D00D93">
        <w:t xml:space="preserve"> </w:t>
      </w:r>
      <w:r w:rsidR="00BF517E" w:rsidRPr="00D00D93">
        <w:t xml:space="preserve">compartan </w:t>
      </w:r>
      <w:r w:rsidRPr="00D00D93">
        <w:t xml:space="preserve">en el foro electrónico del Subgrupo </w:t>
      </w:r>
      <w:r w:rsidR="00BF517E" w:rsidRPr="00D00D93">
        <w:t xml:space="preserve">otros </w:t>
      </w:r>
      <w:r w:rsidRPr="00D00D93">
        <w:t xml:space="preserve">ejemplos de diagramas de flujo que </w:t>
      </w:r>
      <w:r w:rsidR="00237D8C" w:rsidRPr="00D00D93">
        <w:t xml:space="preserve">utilicen </w:t>
      </w:r>
      <w:r w:rsidRPr="00D00D93">
        <w:t xml:space="preserve">en </w:t>
      </w:r>
      <w:r w:rsidR="00237D8C" w:rsidRPr="00D00D93">
        <w:t xml:space="preserve">el marco de su labor de </w:t>
      </w:r>
      <w:r w:rsidRPr="00D00D93">
        <w:t xml:space="preserve">búsqueda y examen preliminar internacionales; </w:t>
      </w:r>
      <w:r w:rsidR="00CF05DB" w:rsidRPr="00D00D93">
        <w:t xml:space="preserve"> </w:t>
      </w:r>
      <w:r w:rsidRPr="00D00D93">
        <w:t>y</w:t>
      </w:r>
    </w:p>
    <w:p w:rsidR="000979B1" w:rsidRPr="00D00D93" w:rsidRDefault="00BF517E" w:rsidP="00740EFC">
      <w:pPr>
        <w:pStyle w:val="ONUMFS"/>
        <w:numPr>
          <w:ilvl w:val="1"/>
          <w:numId w:val="11"/>
        </w:numPr>
        <w:tabs>
          <w:tab w:val="clear" w:pos="1134"/>
        </w:tabs>
        <w:ind w:left="1134"/>
      </w:pPr>
      <w:r w:rsidRPr="00D00D93">
        <w:t xml:space="preserve">que </w:t>
      </w:r>
      <w:r w:rsidR="000979B1" w:rsidRPr="00D00D93">
        <w:t xml:space="preserve">las </w:t>
      </w:r>
      <w:r w:rsidR="005B1DAD" w:rsidRPr="00D00D93">
        <w:t>Administraciones</w:t>
      </w:r>
      <w:r w:rsidR="001B7D70" w:rsidRPr="00D00D93">
        <w:t xml:space="preserve"> </w:t>
      </w:r>
      <w:r w:rsidRPr="00D00D93">
        <w:t xml:space="preserve">tengan </w:t>
      </w:r>
      <w:r w:rsidR="000979B1" w:rsidRPr="00D00D93">
        <w:t>la opc</w:t>
      </w:r>
      <w:r w:rsidRPr="00D00D93">
        <w:t>i</w:t>
      </w:r>
      <w:r w:rsidR="000979B1" w:rsidRPr="00D00D93">
        <w:t>ón de incluir diagramas de flujo en los informes sobre los sistemas de ge</w:t>
      </w:r>
      <w:r w:rsidRPr="00D00D93">
        <w:t>s</w:t>
      </w:r>
      <w:r w:rsidR="000979B1" w:rsidRPr="00D00D93">
        <w:t>t</w:t>
      </w:r>
      <w:r w:rsidRPr="00D00D93">
        <w:t>i</w:t>
      </w:r>
      <w:r w:rsidR="000979B1" w:rsidRPr="00D00D93">
        <w:t>ón d</w:t>
      </w:r>
      <w:r w:rsidRPr="00D00D93">
        <w:t>e</w:t>
      </w:r>
      <w:r w:rsidR="000979B1" w:rsidRPr="00D00D93">
        <w:t xml:space="preserve"> la calidad</w:t>
      </w:r>
      <w:r w:rsidRPr="00D00D93">
        <w:t xml:space="preserve"> que presenten</w:t>
      </w:r>
      <w:r w:rsidR="000979B1" w:rsidRPr="00D00D93">
        <w:t xml:space="preserve">, </w:t>
      </w:r>
      <w:r w:rsidRPr="00D00D93">
        <w:t xml:space="preserve">cuando </w:t>
      </w:r>
      <w:r w:rsidR="000979B1" w:rsidRPr="00D00D93">
        <w:t xml:space="preserve">ello </w:t>
      </w:r>
      <w:r w:rsidRPr="00D00D93">
        <w:t xml:space="preserve">facilite </w:t>
      </w:r>
      <w:r w:rsidR="000979B1" w:rsidRPr="00D00D93">
        <w:t xml:space="preserve">la comprensión </w:t>
      </w:r>
      <w:r w:rsidRPr="00D00D93">
        <w:t xml:space="preserve">por otras Administraciones </w:t>
      </w:r>
      <w:r w:rsidR="000979B1" w:rsidRPr="00D00D93">
        <w:t>de algún aspecto del informe.</w:t>
      </w:r>
    </w:p>
    <w:p w:rsidR="001B7D70" w:rsidRPr="00D00D93" w:rsidRDefault="001B7D70" w:rsidP="001B7D70">
      <w:pPr>
        <w:pStyle w:val="Heading2"/>
        <w:keepNext w:val="0"/>
      </w:pPr>
      <w:r w:rsidRPr="00D00D93">
        <w:t>e)</w:t>
      </w:r>
      <w:r w:rsidRPr="00D00D93">
        <w:tab/>
      </w:r>
      <w:r w:rsidR="00A61B8B" w:rsidRPr="00D00D93">
        <w:t>GESTIÓN DE RIESGOS</w:t>
      </w:r>
    </w:p>
    <w:p w:rsidR="00CE672F" w:rsidRPr="00D00D93" w:rsidRDefault="00D70F1F" w:rsidP="00740EFC">
      <w:pPr>
        <w:pStyle w:val="ONUMFS"/>
      </w:pPr>
      <w:r w:rsidRPr="00D00D93">
        <w:t xml:space="preserve">La OEPM realizó una presentación </w:t>
      </w:r>
      <w:r w:rsidR="009F5ACC" w:rsidRPr="00D00D93">
        <w:t xml:space="preserve">sobre </w:t>
      </w:r>
      <w:r w:rsidRPr="00D00D93">
        <w:t xml:space="preserve">los principios </w:t>
      </w:r>
      <w:r w:rsidR="009F5ACC" w:rsidRPr="00D00D93">
        <w:t xml:space="preserve">del pensamiento basado en el riesgo </w:t>
      </w:r>
      <w:r w:rsidR="008C4929" w:rsidRPr="00D00D93">
        <w:t xml:space="preserve">consagrados en </w:t>
      </w:r>
      <w:r w:rsidR="009F5ACC" w:rsidRPr="00D00D93">
        <w:t xml:space="preserve">la norma </w:t>
      </w:r>
      <w:r w:rsidR="001B7D70" w:rsidRPr="00D00D93">
        <w:t>ISO 9001:2015</w:t>
      </w:r>
      <w:r w:rsidR="009F5ACC" w:rsidRPr="00D00D93">
        <w:t xml:space="preserve">, especialmente dirigida a </w:t>
      </w:r>
      <w:r w:rsidR="00237D8C" w:rsidRPr="00D00D93">
        <w:t xml:space="preserve">las </w:t>
      </w:r>
      <w:r w:rsidR="009F5ACC" w:rsidRPr="00D00D93">
        <w:t xml:space="preserve">Administraciones </w:t>
      </w:r>
      <w:r w:rsidR="00237D8C" w:rsidRPr="00D00D93">
        <w:t xml:space="preserve">cuyos </w:t>
      </w:r>
      <w:r w:rsidR="009F5ACC" w:rsidRPr="00D00D93">
        <w:t xml:space="preserve">sistemas de gestión de la calidad no </w:t>
      </w:r>
      <w:r w:rsidR="00237D8C" w:rsidRPr="00D00D93">
        <w:t xml:space="preserve">están adaptados </w:t>
      </w:r>
      <w:r w:rsidR="009F5ACC" w:rsidRPr="00D00D93">
        <w:t xml:space="preserve">a la norma </w:t>
      </w:r>
      <w:r w:rsidR="009956EA" w:rsidRPr="00D00D93">
        <w:t>ISO </w:t>
      </w:r>
      <w:r w:rsidR="001B7D70" w:rsidRPr="00D00D93">
        <w:t>9001</w:t>
      </w:r>
      <w:r w:rsidR="00884603" w:rsidRPr="00D00D93">
        <w:t>,</w:t>
      </w:r>
      <w:r w:rsidR="001B7D70" w:rsidRPr="00D00D93">
        <w:t xml:space="preserve"> </w:t>
      </w:r>
      <w:r w:rsidR="009F5ACC" w:rsidRPr="00D00D93">
        <w:t xml:space="preserve">con </w:t>
      </w:r>
      <w:r w:rsidR="00237D8C" w:rsidRPr="00D00D93">
        <w:t>el pr</w:t>
      </w:r>
      <w:r w:rsidR="003A1D47" w:rsidRPr="00D00D93">
        <w:t>o</w:t>
      </w:r>
      <w:r w:rsidR="00237D8C" w:rsidRPr="00D00D93">
        <w:t xml:space="preserve">pósito </w:t>
      </w:r>
      <w:r w:rsidR="009F5ACC" w:rsidRPr="00D00D93">
        <w:t xml:space="preserve">de proporcionar información sobre las ventajas y consecuencias de incorporar los principios basados en el riesgo </w:t>
      </w:r>
      <w:r w:rsidR="00237D8C" w:rsidRPr="00D00D93">
        <w:t xml:space="preserve">en el </w:t>
      </w:r>
      <w:r w:rsidR="009956EA" w:rsidRPr="00D00D93">
        <w:t>Capítulo </w:t>
      </w:r>
      <w:r w:rsidR="009F5ACC" w:rsidRPr="00D00D93">
        <w:t>21</w:t>
      </w:r>
      <w:r w:rsidR="001B7D70" w:rsidRPr="00D00D93">
        <w:t xml:space="preserve">.  </w:t>
      </w:r>
      <w:r w:rsidR="00EB426A" w:rsidRPr="00D00D93">
        <w:t xml:space="preserve">La disposición </w:t>
      </w:r>
      <w:r w:rsidR="00C540F3" w:rsidRPr="00D00D93">
        <w:t xml:space="preserve">adopta un enfoque más sistemático respecto del riesgo, </w:t>
      </w:r>
      <w:r w:rsidR="00CE672F" w:rsidRPr="00D00D93">
        <w:t xml:space="preserve">concibiéndolo </w:t>
      </w:r>
      <w:r w:rsidR="009F5ACC" w:rsidRPr="00D00D93">
        <w:t xml:space="preserve">como parte integral del </w:t>
      </w:r>
      <w:r w:rsidR="00EB426A" w:rsidRPr="00D00D93">
        <w:t>sistema de gestión de la calidad</w:t>
      </w:r>
      <w:r w:rsidR="001B7D70" w:rsidRPr="00D00D93">
        <w:t xml:space="preserve">, </w:t>
      </w:r>
      <w:r w:rsidR="009F5ACC" w:rsidRPr="00D00D93">
        <w:t xml:space="preserve">en lugar de como </w:t>
      </w:r>
      <w:r w:rsidR="00CE672F" w:rsidRPr="00D00D93">
        <w:t xml:space="preserve">un </w:t>
      </w:r>
      <w:r w:rsidR="00C540F3" w:rsidRPr="00D00D93">
        <w:t>componente aparte del</w:t>
      </w:r>
      <w:r w:rsidR="00EB426A" w:rsidRPr="00D00D93">
        <w:t xml:space="preserve"> sistema</w:t>
      </w:r>
      <w:r w:rsidR="00CE672F" w:rsidRPr="00D00D93">
        <w:t>,</w:t>
      </w:r>
      <w:r w:rsidR="00C540F3" w:rsidRPr="00D00D93">
        <w:t xml:space="preserve"> que </w:t>
      </w:r>
      <w:r w:rsidR="00CE672F" w:rsidRPr="00D00D93">
        <w:t xml:space="preserve">apareja </w:t>
      </w:r>
      <w:r w:rsidR="00C540F3" w:rsidRPr="00D00D93">
        <w:t>la adopción de medidas preventivas.</w:t>
      </w:r>
      <w:r w:rsidR="001B7D70" w:rsidRPr="00D00D93">
        <w:t xml:space="preserve">  </w:t>
      </w:r>
      <w:r w:rsidR="00C540F3" w:rsidRPr="00D00D93">
        <w:t>Ese planteamiento hace posible unos sistemas más proactivos que reactivos</w:t>
      </w:r>
      <w:r w:rsidR="001B7D70" w:rsidRPr="00D00D93">
        <w:t xml:space="preserve">, </w:t>
      </w:r>
      <w:r w:rsidR="00C540F3" w:rsidRPr="00D00D93">
        <w:t>garantizando que los riesgos se identifiquen, aborden y controlen desde una etapa temprana.</w:t>
      </w:r>
      <w:r w:rsidR="001B7D70" w:rsidRPr="00D00D93">
        <w:t xml:space="preserve">  </w:t>
      </w:r>
      <w:r w:rsidR="00C540F3" w:rsidRPr="00D00D93">
        <w:t>Con</w:t>
      </w:r>
      <w:r w:rsidR="00CE672F" w:rsidRPr="00D00D93">
        <w:t xml:space="preserve">sideró importante subrayar </w:t>
      </w:r>
      <w:r w:rsidR="00C540F3" w:rsidRPr="00D00D93">
        <w:t xml:space="preserve">la importancia </w:t>
      </w:r>
      <w:r w:rsidR="00CE672F" w:rsidRPr="00D00D93">
        <w:t xml:space="preserve">de que la norma no prevea requisito alguno en materia de metodologías formales </w:t>
      </w:r>
      <w:r w:rsidR="008C4929" w:rsidRPr="00D00D93">
        <w:t xml:space="preserve">concretas </w:t>
      </w:r>
      <w:r w:rsidR="00CE672F" w:rsidRPr="00D00D93">
        <w:t>de gestión de</w:t>
      </w:r>
      <w:r w:rsidR="00EB426A" w:rsidRPr="00D00D93">
        <w:t>l</w:t>
      </w:r>
      <w:r w:rsidR="00CE672F" w:rsidRPr="00D00D93">
        <w:t xml:space="preserve"> riesgo</w:t>
      </w:r>
      <w:r w:rsidR="001B7D70" w:rsidRPr="00D00D93">
        <w:t xml:space="preserve">, </w:t>
      </w:r>
      <w:r w:rsidR="00CE672F" w:rsidRPr="00D00D93">
        <w:t xml:space="preserve">en </w:t>
      </w:r>
      <w:r w:rsidR="00EB426A" w:rsidRPr="00D00D93">
        <w:t xml:space="preserve">la medida en que esté claro que los riesgos han </w:t>
      </w:r>
      <w:r w:rsidR="00CE672F" w:rsidRPr="00D00D93">
        <w:t>sido debidamente abordados.</w:t>
      </w:r>
      <w:r w:rsidR="001B7D70" w:rsidRPr="00D00D93">
        <w:t xml:space="preserve">  </w:t>
      </w:r>
      <w:r w:rsidR="00192B49" w:rsidRPr="00D00D93">
        <w:t xml:space="preserve">En opinión de la Oficina, </w:t>
      </w:r>
      <w:r w:rsidR="00CE672F" w:rsidRPr="00D00D93">
        <w:t>añad</w:t>
      </w:r>
      <w:r w:rsidR="00192B49" w:rsidRPr="00D00D93">
        <w:t>ir</w:t>
      </w:r>
      <w:r w:rsidR="00CE672F" w:rsidRPr="00D00D93">
        <w:t xml:space="preserve"> los principios basados en el riesgo a l</w:t>
      </w:r>
      <w:r w:rsidR="00192B49" w:rsidRPr="00D00D93">
        <w:t>o</w:t>
      </w:r>
      <w:r w:rsidR="00CE672F" w:rsidRPr="00D00D93">
        <w:t>s</w:t>
      </w:r>
      <w:r w:rsidR="00192B49" w:rsidRPr="00D00D93">
        <w:t xml:space="preserve"> </w:t>
      </w:r>
      <w:r w:rsidR="00CE672F" w:rsidRPr="00D00D93">
        <w:t xml:space="preserve">requisitos del Capítulo 21 de las </w:t>
      </w:r>
      <w:r w:rsidR="00192B49" w:rsidRPr="00D00D93">
        <w:rPr>
          <w:rFonts w:eastAsia="Times New Roman"/>
        </w:rPr>
        <w:t>Directrices de búsqueda internacional y de examen preliminar internacional del PCT</w:t>
      </w:r>
      <w:r w:rsidR="00192B49" w:rsidRPr="00D00D93">
        <w:t xml:space="preserve"> </w:t>
      </w:r>
      <w:r w:rsidR="00884603" w:rsidRPr="00D00D93">
        <w:t>contribuir</w:t>
      </w:r>
      <w:r w:rsidR="008C4929" w:rsidRPr="00D00D93">
        <w:t>ía</w:t>
      </w:r>
      <w:r w:rsidR="00884603" w:rsidRPr="00D00D93">
        <w:t xml:space="preserve"> a </w:t>
      </w:r>
      <w:r w:rsidR="00CE672F" w:rsidRPr="00D00D93">
        <w:t xml:space="preserve">perfeccionar los procesos de las Administraciones Internacionales </w:t>
      </w:r>
      <w:r w:rsidR="00192B49" w:rsidRPr="00D00D93">
        <w:t>e infundir</w:t>
      </w:r>
      <w:r w:rsidR="008C4929" w:rsidRPr="00D00D93">
        <w:t>ía</w:t>
      </w:r>
      <w:r w:rsidR="00192B49" w:rsidRPr="00D00D93">
        <w:t xml:space="preserve"> a los usuarios mayor confianza en ellas.</w:t>
      </w:r>
      <w:r w:rsidR="00CE672F" w:rsidRPr="00D00D93">
        <w:t xml:space="preserve">  </w:t>
      </w:r>
      <w:r w:rsidR="00192B49" w:rsidRPr="00D00D93">
        <w:t xml:space="preserve">Asimismo, </w:t>
      </w:r>
      <w:r w:rsidR="008E5F4B" w:rsidRPr="00D00D93">
        <w:t xml:space="preserve">esto </w:t>
      </w:r>
      <w:r w:rsidR="00192B49" w:rsidRPr="00D00D93">
        <w:t xml:space="preserve">podría conseguirse sin </w:t>
      </w:r>
      <w:r w:rsidR="008E5F4B" w:rsidRPr="00D00D93">
        <w:t xml:space="preserve">imponer </w:t>
      </w:r>
      <w:r w:rsidR="00192B49" w:rsidRPr="00D00D93">
        <w:t>una carga significativa</w:t>
      </w:r>
      <w:r w:rsidR="008E5F4B" w:rsidRPr="00D00D93">
        <w:t>, pues el concepto de riesgo y</w:t>
      </w:r>
      <w:r w:rsidR="009956EA" w:rsidRPr="00D00D93">
        <w:t>a está implícito en el Capítulo </w:t>
      </w:r>
      <w:r w:rsidR="008E5F4B" w:rsidRPr="00D00D93">
        <w:t>21, que habla de la adopción de medidas preventivas y aborda cuestiones tales como los cambios en el volumen de trabajo, los retrasos o las fluctuaciones de la demanda.</w:t>
      </w:r>
    </w:p>
    <w:p w:rsidR="009C3759" w:rsidRPr="00D00D93" w:rsidRDefault="001B7D70" w:rsidP="00740EFC">
      <w:pPr>
        <w:pStyle w:val="ONUMFS"/>
      </w:pPr>
      <w:r w:rsidRPr="00D00D93">
        <w:t xml:space="preserve">IP Australia </w:t>
      </w:r>
      <w:r w:rsidR="009C3759" w:rsidRPr="00D00D93">
        <w:t xml:space="preserve">llevó a cabo </w:t>
      </w:r>
      <w:r w:rsidR="008E5F4B" w:rsidRPr="00D00D93">
        <w:t>una presentación sobre su enfoque de gestión del riesgo</w:t>
      </w:r>
      <w:r w:rsidRPr="00D00D93">
        <w:t xml:space="preserve">, </w:t>
      </w:r>
      <w:r w:rsidR="008E5F4B" w:rsidRPr="00D00D93">
        <w:t xml:space="preserve">que está basado en </w:t>
      </w:r>
      <w:r w:rsidR="00491F05" w:rsidRPr="00D00D93">
        <w:t xml:space="preserve">el estándar </w:t>
      </w:r>
      <w:r w:rsidR="008E5F4B" w:rsidRPr="00D00D93">
        <w:t>australian</w:t>
      </w:r>
      <w:r w:rsidR="00491F05" w:rsidRPr="00D00D93">
        <w:t>o</w:t>
      </w:r>
      <w:r w:rsidR="008E5F4B" w:rsidRPr="00D00D93">
        <w:t>/neozeland</w:t>
      </w:r>
      <w:r w:rsidR="00491F05" w:rsidRPr="00D00D93">
        <w:t xml:space="preserve">és </w:t>
      </w:r>
      <w:r w:rsidR="008E5F4B" w:rsidRPr="00D00D93">
        <w:t>asociad</w:t>
      </w:r>
      <w:r w:rsidR="00491F05" w:rsidRPr="00D00D93">
        <w:t>o</w:t>
      </w:r>
      <w:r w:rsidR="008E5F4B" w:rsidRPr="00D00D93">
        <w:t xml:space="preserve"> a la norma </w:t>
      </w:r>
      <w:r w:rsidR="009956EA" w:rsidRPr="00D00D93">
        <w:t>ISO </w:t>
      </w:r>
      <w:r w:rsidRPr="00D00D93">
        <w:t>31000:2009</w:t>
      </w:r>
      <w:r w:rsidRPr="00D00D93">
        <w:rPr>
          <w:rStyle w:val="FootnoteReference"/>
        </w:rPr>
        <w:footnoteReference w:id="7"/>
      </w:r>
      <w:r w:rsidRPr="00D00D93">
        <w:t xml:space="preserve">.  </w:t>
      </w:r>
      <w:r w:rsidR="00491F05" w:rsidRPr="00D00D93">
        <w:t>Aunque e</w:t>
      </w:r>
      <w:r w:rsidR="008E5F4B" w:rsidRPr="00D00D93">
        <w:t>se enfoq</w:t>
      </w:r>
      <w:r w:rsidR="00491F05" w:rsidRPr="00D00D93">
        <w:t xml:space="preserve">ue </w:t>
      </w:r>
      <w:r w:rsidR="00C27826" w:rsidRPr="00D00D93">
        <w:t xml:space="preserve">ha venido </w:t>
      </w:r>
      <w:r w:rsidR="008C4929" w:rsidRPr="00D00D93">
        <w:t xml:space="preserve">motivado </w:t>
      </w:r>
      <w:r w:rsidR="00491F05" w:rsidRPr="00D00D93">
        <w:t>por un</w:t>
      </w:r>
      <w:r w:rsidR="009C3759" w:rsidRPr="00D00D93">
        <w:t>a</w:t>
      </w:r>
      <w:r w:rsidR="00491F05" w:rsidRPr="00D00D93">
        <w:t xml:space="preserve"> </w:t>
      </w:r>
      <w:r w:rsidR="009C3759" w:rsidRPr="00D00D93">
        <w:t xml:space="preserve">exigencia </w:t>
      </w:r>
      <w:r w:rsidR="00491F05" w:rsidRPr="00D00D93">
        <w:t>del gobierno federal</w:t>
      </w:r>
      <w:r w:rsidRPr="00D00D93">
        <w:t xml:space="preserve">, </w:t>
      </w:r>
      <w:r w:rsidR="00491F05" w:rsidRPr="00D00D93">
        <w:t xml:space="preserve">los principios </w:t>
      </w:r>
      <w:r w:rsidR="009C3759" w:rsidRPr="00D00D93">
        <w:t xml:space="preserve">podrían resultar con carácter general </w:t>
      </w:r>
      <w:r w:rsidR="00EB426A" w:rsidRPr="00D00D93">
        <w:t>de mayor</w:t>
      </w:r>
      <w:r w:rsidR="00B92D33" w:rsidRPr="00D00D93">
        <w:t xml:space="preserve"> </w:t>
      </w:r>
      <w:r w:rsidR="00EB426A" w:rsidRPr="00D00D93">
        <w:t xml:space="preserve">utilidad </w:t>
      </w:r>
      <w:r w:rsidR="009C3759" w:rsidRPr="00D00D93">
        <w:t xml:space="preserve">para las </w:t>
      </w:r>
      <w:r w:rsidR="005B1DAD" w:rsidRPr="00D00D93">
        <w:t>Administraciones Internacionales</w:t>
      </w:r>
      <w:r w:rsidRPr="00D00D93">
        <w:t xml:space="preserve">.  </w:t>
      </w:r>
      <w:r w:rsidR="009C3759" w:rsidRPr="00D00D93">
        <w:t xml:space="preserve">El enfoque </w:t>
      </w:r>
      <w:r w:rsidR="008C4929" w:rsidRPr="00D00D93">
        <w:t xml:space="preserve">prevé </w:t>
      </w:r>
      <w:r w:rsidR="009C3759" w:rsidRPr="00D00D93">
        <w:t xml:space="preserve">la gestión del riesgo de planificación operativa a lo largo de un ciclo anual, la presentación de informes trimestrales, así como la gestión del riego </w:t>
      </w:r>
      <w:r w:rsidR="005C2D83" w:rsidRPr="00D00D93">
        <w:t xml:space="preserve">a nivel de </w:t>
      </w:r>
      <w:r w:rsidR="009C3759" w:rsidRPr="00D00D93">
        <w:t xml:space="preserve">proceso con evaluaciones de </w:t>
      </w:r>
      <w:r w:rsidR="005C2D83" w:rsidRPr="00D00D93">
        <w:t xml:space="preserve">los </w:t>
      </w:r>
      <w:r w:rsidR="009C3759" w:rsidRPr="00D00D93">
        <w:t>riesgo</w:t>
      </w:r>
      <w:r w:rsidR="005C2D83" w:rsidRPr="00D00D93">
        <w:t>s</w:t>
      </w:r>
      <w:r w:rsidR="009C3759" w:rsidRPr="00D00D93">
        <w:t xml:space="preserve"> transaccional</w:t>
      </w:r>
      <w:r w:rsidR="005C2D83" w:rsidRPr="00D00D93">
        <w:t>es</w:t>
      </w:r>
      <w:r w:rsidR="009C3759" w:rsidRPr="00D00D93">
        <w:t xml:space="preserve"> respecto de una diversidad de productos y servicios. </w:t>
      </w:r>
      <w:r w:rsidR="00CF05DB" w:rsidRPr="00D00D93">
        <w:t xml:space="preserve"> </w:t>
      </w:r>
      <w:r w:rsidR="009C3759" w:rsidRPr="00D00D93">
        <w:t>E</w:t>
      </w:r>
      <w:r w:rsidR="005C2D83" w:rsidRPr="00D00D93">
        <w:t xml:space="preserve">jemplo de ello </w:t>
      </w:r>
      <w:r w:rsidR="00EB426A" w:rsidRPr="00D00D93">
        <w:t xml:space="preserve">serían </w:t>
      </w:r>
      <w:r w:rsidR="009C3759" w:rsidRPr="00D00D93">
        <w:t xml:space="preserve">las nuevas solicitudes </w:t>
      </w:r>
      <w:r w:rsidR="005C2D83" w:rsidRPr="00D00D93">
        <w:t xml:space="preserve">que se presentan </w:t>
      </w:r>
      <w:r w:rsidR="00C27826" w:rsidRPr="00D00D93">
        <w:t xml:space="preserve">utilizando </w:t>
      </w:r>
      <w:r w:rsidR="005C2D83" w:rsidRPr="00D00D93">
        <w:t xml:space="preserve">el sistema de presentación electrónica ePCT </w:t>
      </w:r>
      <w:r w:rsidR="009C3759" w:rsidRPr="00D00D93">
        <w:t xml:space="preserve">y los procesos de examen de patentes. </w:t>
      </w:r>
      <w:r w:rsidR="00CF05DB" w:rsidRPr="00D00D93">
        <w:t xml:space="preserve"> </w:t>
      </w:r>
      <w:r w:rsidR="009C3759" w:rsidRPr="00D00D93">
        <w:t>El nivel de riesgo se ut</w:t>
      </w:r>
      <w:r w:rsidR="005C2D83" w:rsidRPr="00D00D93">
        <w:t>i</w:t>
      </w:r>
      <w:r w:rsidR="009C3759" w:rsidRPr="00D00D93">
        <w:t xml:space="preserve">liza para determinar los niveles de muestreo adecuados </w:t>
      </w:r>
      <w:r w:rsidR="00C27826" w:rsidRPr="00D00D93">
        <w:t xml:space="preserve">para </w:t>
      </w:r>
      <w:r w:rsidR="009C3759" w:rsidRPr="00D00D93">
        <w:t xml:space="preserve">los servicios. </w:t>
      </w:r>
      <w:r w:rsidR="00CF05DB" w:rsidRPr="00D00D93">
        <w:t xml:space="preserve"> </w:t>
      </w:r>
      <w:r w:rsidR="009C3759" w:rsidRPr="00D00D93">
        <w:t xml:space="preserve">En el caso del examen, </w:t>
      </w:r>
      <w:r w:rsidR="00B92D33" w:rsidRPr="00D00D93">
        <w:t>esto se ad</w:t>
      </w:r>
      <w:r w:rsidR="00C27826" w:rsidRPr="00D00D93">
        <w:t>a</w:t>
      </w:r>
      <w:r w:rsidR="00B92D33" w:rsidRPr="00D00D93">
        <w:t xml:space="preserve">pta para tener especialmente en cuenta a los aspirantes a examinadores </w:t>
      </w:r>
      <w:r w:rsidR="005C2D83" w:rsidRPr="00D00D93">
        <w:t>(</w:t>
      </w:r>
      <w:r w:rsidR="00B92D33" w:rsidRPr="00D00D93">
        <w:t xml:space="preserve">con </w:t>
      </w:r>
      <w:r w:rsidR="009956EA" w:rsidRPr="00D00D93">
        <w:t>muestreo del </w:t>
      </w:r>
      <w:r w:rsidR="00EB426A" w:rsidRPr="00D00D93">
        <w:t>100% de los productos propuestos)</w:t>
      </w:r>
      <w:r w:rsidR="00B92D33" w:rsidRPr="00D00D93">
        <w:t>, estableciéndose a continuación tres niveles de muestreo de procesos a cargo de examinadores cualificados</w:t>
      </w:r>
      <w:r w:rsidR="005C2D83" w:rsidRPr="00D00D93">
        <w:t xml:space="preserve">, </w:t>
      </w:r>
      <w:r w:rsidR="00C27826" w:rsidRPr="00D00D93">
        <w:t xml:space="preserve">en función </w:t>
      </w:r>
      <w:r w:rsidR="00EB426A" w:rsidRPr="00D00D93">
        <w:t>de los resultados</w:t>
      </w:r>
      <w:r w:rsidR="00B92D33" w:rsidRPr="00D00D93">
        <w:t xml:space="preserve"> </w:t>
      </w:r>
      <w:r w:rsidR="00EB426A" w:rsidRPr="00D00D93">
        <w:t xml:space="preserve">de revisiones </w:t>
      </w:r>
      <w:r w:rsidR="00B92D33" w:rsidRPr="00D00D93">
        <w:t>anteriores</w:t>
      </w:r>
      <w:r w:rsidR="00EB426A" w:rsidRPr="00D00D93">
        <w:t>.</w:t>
      </w:r>
      <w:r w:rsidR="00CF05DB" w:rsidRPr="00D00D93">
        <w:t xml:space="preserve"> </w:t>
      </w:r>
      <w:r w:rsidR="00EB426A" w:rsidRPr="00D00D93">
        <w:t xml:space="preserve"> Dijo que considera que este enfoque alienta las medidas preventivas y propicia un tratamiento cohere</w:t>
      </w:r>
      <w:r w:rsidR="00C35573" w:rsidRPr="00D00D93">
        <w:t>n</w:t>
      </w:r>
      <w:r w:rsidR="00EB426A" w:rsidRPr="00D00D93">
        <w:t>te de los resultados adversos y las consigu</w:t>
      </w:r>
      <w:r w:rsidR="00C35573" w:rsidRPr="00D00D93">
        <w:t xml:space="preserve">ientes </w:t>
      </w:r>
      <w:r w:rsidR="00EB426A" w:rsidRPr="00D00D93">
        <w:t xml:space="preserve">ganancias de eficiencia. </w:t>
      </w:r>
    </w:p>
    <w:p w:rsidR="001B7D70" w:rsidRPr="00D00D93" w:rsidRDefault="00192B49" w:rsidP="00740EFC">
      <w:pPr>
        <w:pStyle w:val="ONUMFS"/>
      </w:pPr>
      <w:r w:rsidRPr="00D00D93">
        <w:t>En respuesta a las preguntas</w:t>
      </w:r>
      <w:r w:rsidR="008C4929" w:rsidRPr="00D00D93">
        <w:t xml:space="preserve"> que se le formularon</w:t>
      </w:r>
      <w:r w:rsidR="001B7D70" w:rsidRPr="00D00D93">
        <w:t xml:space="preserve">, IP Australia </w:t>
      </w:r>
      <w:r w:rsidRPr="00D00D93">
        <w:t xml:space="preserve">señaló que los nivele de muestreo se basan en los examinadores </w:t>
      </w:r>
      <w:r w:rsidR="00C35573" w:rsidRPr="00D00D93">
        <w:t>concretos</w:t>
      </w:r>
      <w:r w:rsidR="001B7D70" w:rsidRPr="00D00D93">
        <w:t xml:space="preserve">, </w:t>
      </w:r>
      <w:r w:rsidRPr="00D00D93">
        <w:t>pero que son los procesos y lo</w:t>
      </w:r>
      <w:r w:rsidR="00C35573" w:rsidRPr="00D00D93">
        <w:t>s</w:t>
      </w:r>
      <w:r w:rsidRPr="00D00D93">
        <w:t xml:space="preserve"> resultados y no los examinadores los que constituyen el objeto de las revisiones</w:t>
      </w:r>
      <w:r w:rsidR="001B7D70" w:rsidRPr="00D00D93">
        <w:t xml:space="preserve">.  </w:t>
      </w:r>
      <w:r w:rsidRPr="00D00D93">
        <w:t>Más de la mitad de los examinadores están comprendidos en el nivel inferior de</w:t>
      </w:r>
      <w:r w:rsidR="00EB426A" w:rsidRPr="00D00D93">
        <w:t>l</w:t>
      </w:r>
      <w:r w:rsidRPr="00D00D93">
        <w:t xml:space="preserve"> muestreo y solo un reducido número de ello lo está en su nivel superior.</w:t>
      </w:r>
    </w:p>
    <w:p w:rsidR="001B7D70" w:rsidRPr="00D00D93" w:rsidRDefault="001B7D70" w:rsidP="001B7D70">
      <w:pPr>
        <w:pStyle w:val="Heading2"/>
        <w:keepNext w:val="0"/>
      </w:pPr>
      <w:r w:rsidRPr="00D00D93">
        <w:lastRenderedPageBreak/>
        <w:t>f)</w:t>
      </w:r>
      <w:r w:rsidRPr="00D00D93">
        <w:tab/>
      </w:r>
      <w:r w:rsidR="00A61B8B" w:rsidRPr="00D00D93">
        <w:t>RELACIÓN ENTRE EL CAPÍTULO 21 Y LA NORMA ISO 9001</w:t>
      </w:r>
    </w:p>
    <w:p w:rsidR="00165CC6" w:rsidRPr="00D00D93" w:rsidRDefault="005C2D83" w:rsidP="00740EFC">
      <w:pPr>
        <w:pStyle w:val="ONUMFS"/>
      </w:pPr>
      <w:r w:rsidRPr="00D00D93">
        <w:t xml:space="preserve">Tras la presentación </w:t>
      </w:r>
      <w:r w:rsidR="00DE43FF" w:rsidRPr="00D00D93">
        <w:t xml:space="preserve">realizada </w:t>
      </w:r>
      <w:r w:rsidRPr="00D00D93">
        <w:t>en el mar</w:t>
      </w:r>
      <w:r w:rsidR="004D44BC" w:rsidRPr="00D00D93">
        <w:t>c</w:t>
      </w:r>
      <w:r w:rsidRPr="00D00D93">
        <w:t>o del anterior punto del orden de día</w:t>
      </w:r>
      <w:r w:rsidR="001B7D70" w:rsidRPr="00D00D93">
        <w:t xml:space="preserve">, </w:t>
      </w:r>
      <w:r w:rsidR="009956EA" w:rsidRPr="00D00D93">
        <w:t>la </w:t>
      </w:r>
      <w:r w:rsidRPr="00D00D93">
        <w:t>OEPM prese</w:t>
      </w:r>
      <w:r w:rsidR="003A1D47" w:rsidRPr="00D00D93">
        <w:t>n</w:t>
      </w:r>
      <w:r w:rsidRPr="00D00D93">
        <w:t xml:space="preserve">tó el documento </w:t>
      </w:r>
      <w:r w:rsidR="00641D26" w:rsidRPr="00D00D93">
        <w:t xml:space="preserve">de información en el que se da cuenta de </w:t>
      </w:r>
      <w:r w:rsidRPr="00D00D93">
        <w:t xml:space="preserve">los debates </w:t>
      </w:r>
      <w:r w:rsidR="00DE43FF" w:rsidRPr="00D00D93">
        <w:t xml:space="preserve">habidos </w:t>
      </w:r>
      <w:r w:rsidRPr="00D00D93">
        <w:t>acerca de la comparación entre el Capítulo</w:t>
      </w:r>
      <w:r w:rsidR="009956EA" w:rsidRPr="00D00D93">
        <w:t> </w:t>
      </w:r>
      <w:r w:rsidR="004D44BC" w:rsidRPr="00D00D93">
        <w:t xml:space="preserve">21 </w:t>
      </w:r>
      <w:r w:rsidR="009956EA" w:rsidRPr="00D00D93">
        <w:t>y la normativa </w:t>
      </w:r>
      <w:r w:rsidR="001B7D70" w:rsidRPr="00D00D93">
        <w:t xml:space="preserve">ISO.  </w:t>
      </w:r>
      <w:r w:rsidRPr="00D00D93">
        <w:t>La</w:t>
      </w:r>
      <w:r w:rsidR="009956EA" w:rsidRPr="00D00D93">
        <w:t xml:space="preserve"> OEPM manifestó que el Capítulo </w:t>
      </w:r>
      <w:r w:rsidRPr="00D00D93">
        <w:t xml:space="preserve">21 </w:t>
      </w:r>
      <w:r w:rsidR="007E797A" w:rsidRPr="00D00D93">
        <w:t xml:space="preserve">constituye sin duda </w:t>
      </w:r>
      <w:r w:rsidR="007E797A" w:rsidRPr="00D00D93">
        <w:rPr>
          <w:szCs w:val="22"/>
        </w:rPr>
        <w:t xml:space="preserve">su referente en el </w:t>
      </w:r>
      <w:r w:rsidR="008C4929" w:rsidRPr="00D00D93">
        <w:rPr>
          <w:szCs w:val="22"/>
        </w:rPr>
        <w:t xml:space="preserve">ámbito </w:t>
      </w:r>
      <w:r w:rsidR="007E797A" w:rsidRPr="00D00D93">
        <w:rPr>
          <w:szCs w:val="22"/>
        </w:rPr>
        <w:t>de la calidad</w:t>
      </w:r>
      <w:r w:rsidR="001B7D70" w:rsidRPr="00D00D93">
        <w:rPr>
          <w:szCs w:val="22"/>
        </w:rPr>
        <w:t xml:space="preserve">.  </w:t>
      </w:r>
      <w:r w:rsidR="009956EA" w:rsidRPr="00D00D93">
        <w:rPr>
          <w:szCs w:val="22"/>
        </w:rPr>
        <w:t>De otra parte, la </w:t>
      </w:r>
      <w:r w:rsidR="007E797A" w:rsidRPr="00D00D93">
        <w:rPr>
          <w:szCs w:val="22"/>
        </w:rPr>
        <w:t xml:space="preserve">OEPM reconoció que las normas internacionales de calidad están evolucionando y que, por tanto, lo mismo debería estar </w:t>
      </w:r>
      <w:r w:rsidR="004D44BC" w:rsidRPr="00D00D93">
        <w:rPr>
          <w:szCs w:val="22"/>
        </w:rPr>
        <w:t xml:space="preserve">sucediendo </w:t>
      </w:r>
      <w:r w:rsidR="009956EA" w:rsidRPr="00D00D93">
        <w:rPr>
          <w:szCs w:val="22"/>
        </w:rPr>
        <w:t>con el Capítulo </w:t>
      </w:r>
      <w:r w:rsidR="007E797A" w:rsidRPr="00D00D93">
        <w:rPr>
          <w:szCs w:val="22"/>
        </w:rPr>
        <w:t>21</w:t>
      </w:r>
      <w:r w:rsidR="001B7D70" w:rsidRPr="00D00D93">
        <w:rPr>
          <w:szCs w:val="22"/>
        </w:rPr>
        <w:t xml:space="preserve">.  </w:t>
      </w:r>
      <w:r w:rsidR="007E797A" w:rsidRPr="00D00D93">
        <w:rPr>
          <w:szCs w:val="22"/>
        </w:rPr>
        <w:t xml:space="preserve">Además, dado que la </w:t>
      </w:r>
      <w:r w:rsidR="009956EA" w:rsidRPr="00D00D93">
        <w:rPr>
          <w:szCs w:val="22"/>
        </w:rPr>
        <w:t>ISO </w:t>
      </w:r>
      <w:r w:rsidR="001B7D70" w:rsidRPr="00D00D93">
        <w:rPr>
          <w:szCs w:val="22"/>
        </w:rPr>
        <w:t xml:space="preserve">9001 </w:t>
      </w:r>
      <w:r w:rsidR="007E797A" w:rsidRPr="00D00D93">
        <w:rPr>
          <w:szCs w:val="22"/>
        </w:rPr>
        <w:t xml:space="preserve">es la norma de calidad más difundida entre las </w:t>
      </w:r>
      <w:r w:rsidR="005B1DAD" w:rsidRPr="00D00D93">
        <w:rPr>
          <w:szCs w:val="22"/>
        </w:rPr>
        <w:t>Administraciones</w:t>
      </w:r>
      <w:r w:rsidR="001B7D70" w:rsidRPr="00D00D93">
        <w:rPr>
          <w:szCs w:val="22"/>
        </w:rPr>
        <w:t xml:space="preserve"> </w:t>
      </w:r>
      <w:r w:rsidR="007E797A" w:rsidRPr="00D00D93">
        <w:rPr>
          <w:szCs w:val="22"/>
        </w:rPr>
        <w:t xml:space="preserve">y </w:t>
      </w:r>
      <w:r w:rsidR="004D44BC" w:rsidRPr="00D00D93">
        <w:rPr>
          <w:szCs w:val="22"/>
        </w:rPr>
        <w:t>que esa norma incorp</w:t>
      </w:r>
      <w:r w:rsidR="003A1D47" w:rsidRPr="00D00D93">
        <w:rPr>
          <w:szCs w:val="22"/>
        </w:rPr>
        <w:t>o</w:t>
      </w:r>
      <w:r w:rsidR="004D44BC" w:rsidRPr="00D00D93">
        <w:rPr>
          <w:szCs w:val="22"/>
        </w:rPr>
        <w:t xml:space="preserve">ra </w:t>
      </w:r>
      <w:r w:rsidR="007E797A" w:rsidRPr="00D00D93">
        <w:rPr>
          <w:szCs w:val="22"/>
        </w:rPr>
        <w:t xml:space="preserve">importantes </w:t>
      </w:r>
      <w:r w:rsidR="004D44BC" w:rsidRPr="00D00D93">
        <w:rPr>
          <w:szCs w:val="22"/>
        </w:rPr>
        <w:t xml:space="preserve">modificaciones </w:t>
      </w:r>
      <w:r w:rsidR="007E797A" w:rsidRPr="00D00D93">
        <w:rPr>
          <w:szCs w:val="22"/>
        </w:rPr>
        <w:t xml:space="preserve">en su </w:t>
      </w:r>
      <w:r w:rsidR="00165CC6" w:rsidRPr="00D00D93">
        <w:rPr>
          <w:szCs w:val="22"/>
        </w:rPr>
        <w:t xml:space="preserve">última </w:t>
      </w:r>
      <w:r w:rsidR="007E797A" w:rsidRPr="00D00D93">
        <w:rPr>
          <w:szCs w:val="22"/>
        </w:rPr>
        <w:t xml:space="preserve">versión, </w:t>
      </w:r>
      <w:r w:rsidR="00165CC6" w:rsidRPr="00D00D93">
        <w:rPr>
          <w:szCs w:val="22"/>
        </w:rPr>
        <w:t>parece lógico que se</w:t>
      </w:r>
      <w:r w:rsidR="003A1D47" w:rsidRPr="00D00D93">
        <w:rPr>
          <w:szCs w:val="22"/>
        </w:rPr>
        <w:t>a</w:t>
      </w:r>
      <w:r w:rsidR="00F175A0" w:rsidRPr="00D00D93">
        <w:rPr>
          <w:szCs w:val="22"/>
        </w:rPr>
        <w:t xml:space="preserve"> la norma </w:t>
      </w:r>
      <w:r w:rsidR="001B7D70" w:rsidRPr="00D00D93">
        <w:rPr>
          <w:szCs w:val="22"/>
        </w:rPr>
        <w:t xml:space="preserve">ISO 9001:2015 </w:t>
      </w:r>
      <w:r w:rsidR="004D44BC" w:rsidRPr="00D00D93">
        <w:rPr>
          <w:szCs w:val="22"/>
        </w:rPr>
        <w:t xml:space="preserve">la que se utilice </w:t>
      </w:r>
      <w:r w:rsidR="00165CC6" w:rsidRPr="00D00D93">
        <w:rPr>
          <w:szCs w:val="22"/>
        </w:rPr>
        <w:t>como referencia a efectos de esa comparación</w:t>
      </w:r>
      <w:r w:rsidR="001B7D70" w:rsidRPr="00D00D93">
        <w:rPr>
          <w:szCs w:val="22"/>
        </w:rPr>
        <w:t xml:space="preserve">.  </w:t>
      </w:r>
      <w:r w:rsidR="009956EA" w:rsidRPr="00D00D93">
        <w:rPr>
          <w:szCs w:val="22"/>
        </w:rPr>
        <w:t>Pero el Capítulo </w:t>
      </w:r>
      <w:r w:rsidR="00165CC6" w:rsidRPr="00D00D93">
        <w:rPr>
          <w:szCs w:val="22"/>
        </w:rPr>
        <w:t>21 también podría beneficiarse de una comparación con cualquier otra norma reconocida que p</w:t>
      </w:r>
      <w:r w:rsidR="004D44BC" w:rsidRPr="00D00D93">
        <w:rPr>
          <w:szCs w:val="22"/>
        </w:rPr>
        <w:t>e</w:t>
      </w:r>
      <w:r w:rsidR="00165CC6" w:rsidRPr="00D00D93">
        <w:rPr>
          <w:szCs w:val="22"/>
        </w:rPr>
        <w:t>rmita identificar aspectos que falten e incorp</w:t>
      </w:r>
      <w:r w:rsidR="004D44BC" w:rsidRPr="00D00D93">
        <w:rPr>
          <w:szCs w:val="22"/>
        </w:rPr>
        <w:t>o</w:t>
      </w:r>
      <w:r w:rsidR="00165CC6" w:rsidRPr="00D00D93">
        <w:rPr>
          <w:szCs w:val="22"/>
        </w:rPr>
        <w:t>rar</w:t>
      </w:r>
      <w:r w:rsidR="009956EA" w:rsidRPr="00D00D93">
        <w:rPr>
          <w:szCs w:val="22"/>
        </w:rPr>
        <w:t>los al Capítulo </w:t>
      </w:r>
      <w:r w:rsidR="001B7D70" w:rsidRPr="00D00D93">
        <w:rPr>
          <w:szCs w:val="22"/>
        </w:rPr>
        <w:t xml:space="preserve">21.  </w:t>
      </w:r>
      <w:r w:rsidR="00DE43FF" w:rsidRPr="00D00D93">
        <w:rPr>
          <w:szCs w:val="22"/>
        </w:rPr>
        <w:t>A partir de</w:t>
      </w:r>
      <w:r w:rsidR="00165CC6" w:rsidRPr="00D00D93">
        <w:rPr>
          <w:szCs w:val="22"/>
        </w:rPr>
        <w:t xml:space="preserve"> la propia comparación y de lo</w:t>
      </w:r>
      <w:r w:rsidR="009956EA" w:rsidRPr="00D00D93">
        <w:rPr>
          <w:szCs w:val="22"/>
        </w:rPr>
        <w:t>s debates habido en el foro, la </w:t>
      </w:r>
      <w:r w:rsidR="00165CC6" w:rsidRPr="00D00D93">
        <w:rPr>
          <w:szCs w:val="22"/>
        </w:rPr>
        <w:t xml:space="preserve">OEPM dijo que existe una correspondencia importante entre la norma </w:t>
      </w:r>
      <w:r w:rsidR="001B7D70" w:rsidRPr="00D00D93">
        <w:t xml:space="preserve">ISO </w:t>
      </w:r>
      <w:r w:rsidR="00165CC6" w:rsidRPr="00D00D93">
        <w:t>y el Capítulo</w:t>
      </w:r>
      <w:r w:rsidR="001B7D70" w:rsidRPr="00D00D93">
        <w:t xml:space="preserve"> 21.  </w:t>
      </w:r>
      <w:r w:rsidR="00165CC6" w:rsidRPr="00D00D93">
        <w:t xml:space="preserve">A ese respecto, </w:t>
      </w:r>
      <w:r w:rsidR="008C4929" w:rsidRPr="00D00D93">
        <w:t xml:space="preserve">añadió </w:t>
      </w:r>
      <w:r w:rsidR="00165CC6" w:rsidRPr="00D00D93">
        <w:t>que cabría recurrir a una evaluación externa anual (cer</w:t>
      </w:r>
      <w:r w:rsidR="003A1D47" w:rsidRPr="00D00D93">
        <w:t>t</w:t>
      </w:r>
      <w:r w:rsidR="00165CC6" w:rsidRPr="00D00D93">
        <w:t>ifica</w:t>
      </w:r>
      <w:r w:rsidR="009956EA" w:rsidRPr="00D00D93">
        <w:t>ción </w:t>
      </w:r>
      <w:r w:rsidR="00165CC6" w:rsidRPr="00D00D93">
        <w:t xml:space="preserve">ISO </w:t>
      </w:r>
      <w:r w:rsidR="004D44BC" w:rsidRPr="00D00D93">
        <w:t xml:space="preserve">u </w:t>
      </w:r>
      <w:r w:rsidR="00165CC6" w:rsidRPr="00D00D93">
        <w:t xml:space="preserve">otra) a fin de </w:t>
      </w:r>
      <w:r w:rsidR="004D233D" w:rsidRPr="00D00D93">
        <w:t>resolver algunos problemas de cumplimiento, crear incentivos y reforzar la confianza</w:t>
      </w:r>
      <w:r w:rsidR="00165CC6" w:rsidRPr="00D00D93">
        <w:t>.  Especi</w:t>
      </w:r>
      <w:r w:rsidR="004D233D" w:rsidRPr="00D00D93">
        <w:t>almente importante fue la conclusión de que la gestión de riesgos se considera particularmente út</w:t>
      </w:r>
      <w:r w:rsidR="004D44BC" w:rsidRPr="00D00D93">
        <w:t>i</w:t>
      </w:r>
      <w:r w:rsidR="004D233D" w:rsidRPr="00D00D93">
        <w:t>l para los sistemas de gestión de la calidad en e</w:t>
      </w:r>
      <w:r w:rsidR="004D44BC" w:rsidRPr="00D00D93">
        <w:t>l</w:t>
      </w:r>
      <w:r w:rsidR="009956EA" w:rsidRPr="00D00D93">
        <w:t xml:space="preserve"> marco del </w:t>
      </w:r>
      <w:r w:rsidR="00165CC6" w:rsidRPr="00D00D93">
        <w:t xml:space="preserve">PCT </w:t>
      </w:r>
      <w:r w:rsidR="009956EA" w:rsidRPr="00D00D93">
        <w:t xml:space="preserve">y, por </w:t>
      </w:r>
      <w:r w:rsidR="00DE43FF" w:rsidRPr="00D00D93">
        <w:t xml:space="preserve">lo </w:t>
      </w:r>
      <w:r w:rsidR="009956EA" w:rsidRPr="00D00D93">
        <w:t>tanto, la </w:t>
      </w:r>
      <w:r w:rsidR="004D233D" w:rsidRPr="00D00D93">
        <w:t xml:space="preserve">OEPM propuso </w:t>
      </w:r>
      <w:r w:rsidR="004D44BC" w:rsidRPr="00D00D93">
        <w:t>que se</w:t>
      </w:r>
      <w:r w:rsidR="003A1D47" w:rsidRPr="00D00D93">
        <w:t xml:space="preserve"> </w:t>
      </w:r>
      <w:r w:rsidR="004D44BC" w:rsidRPr="00D00D93">
        <w:t xml:space="preserve">incluya </w:t>
      </w:r>
      <w:r w:rsidR="004D233D" w:rsidRPr="00D00D93">
        <w:t>en e</w:t>
      </w:r>
      <w:r w:rsidR="004D44BC" w:rsidRPr="00D00D93">
        <w:t>l</w:t>
      </w:r>
      <w:r w:rsidR="009956EA" w:rsidRPr="00D00D93">
        <w:t xml:space="preserve"> Capítulo </w:t>
      </w:r>
      <w:r w:rsidR="00165CC6" w:rsidRPr="00D00D93">
        <w:t>21.</w:t>
      </w:r>
    </w:p>
    <w:p w:rsidR="004D233D" w:rsidRPr="00D00D93" w:rsidRDefault="007E797A" w:rsidP="00740EFC">
      <w:pPr>
        <w:pStyle w:val="ONUMFS"/>
      </w:pPr>
      <w:r w:rsidRPr="00D00D93">
        <w:t xml:space="preserve">Las </w:t>
      </w:r>
      <w:r w:rsidR="005B1DAD" w:rsidRPr="00D00D93">
        <w:t>Administraciones Internacionales</w:t>
      </w:r>
      <w:r w:rsidR="001B7D70" w:rsidRPr="00D00D93">
        <w:t xml:space="preserve"> </w:t>
      </w:r>
      <w:r w:rsidR="00201462" w:rsidRPr="00D00D93">
        <w:t>se manifestaron en t</w:t>
      </w:r>
      <w:r w:rsidR="003A1D47" w:rsidRPr="00D00D93">
        <w:t>é</w:t>
      </w:r>
      <w:r w:rsidR="00201462" w:rsidRPr="00D00D93">
        <w:t xml:space="preserve">rminos generales de acuerdo </w:t>
      </w:r>
      <w:r w:rsidR="004D233D" w:rsidRPr="00D00D93">
        <w:t xml:space="preserve">con </w:t>
      </w:r>
      <w:r w:rsidR="00201462" w:rsidRPr="00D00D93">
        <w:t xml:space="preserve">ese </w:t>
      </w:r>
      <w:r w:rsidR="004D233D" w:rsidRPr="00D00D93">
        <w:t xml:space="preserve">punto de vista, si bien </w:t>
      </w:r>
      <w:r w:rsidR="00201462" w:rsidRPr="00D00D93">
        <w:t xml:space="preserve">consideraron importante </w:t>
      </w:r>
      <w:r w:rsidR="004D44BC" w:rsidRPr="00D00D93">
        <w:t xml:space="preserve">que se </w:t>
      </w:r>
      <w:r w:rsidR="00DE43FF" w:rsidRPr="00D00D93">
        <w:t xml:space="preserve">trace </w:t>
      </w:r>
      <w:r w:rsidR="004D233D" w:rsidRPr="00D00D93">
        <w:t>un dis</w:t>
      </w:r>
      <w:r w:rsidR="009956EA" w:rsidRPr="00D00D93">
        <w:t>tinción clara entre el Capítulo </w:t>
      </w:r>
      <w:r w:rsidR="004D233D" w:rsidRPr="00D00D93">
        <w:t xml:space="preserve">21 y la norma ISO 9001.  Mientras que el primero es específico de las patentes, la segunda es </w:t>
      </w:r>
      <w:r w:rsidR="00641D26" w:rsidRPr="00D00D93">
        <w:t xml:space="preserve">muy </w:t>
      </w:r>
      <w:r w:rsidR="004D233D" w:rsidRPr="00D00D93">
        <w:t xml:space="preserve">general.  </w:t>
      </w:r>
      <w:r w:rsidR="00201462" w:rsidRPr="00D00D93">
        <w:t xml:space="preserve">Debe </w:t>
      </w:r>
      <w:r w:rsidR="004D44BC" w:rsidRPr="00D00D93">
        <w:t>reconocerse</w:t>
      </w:r>
      <w:r w:rsidR="00201462" w:rsidRPr="00D00D93">
        <w:t>, por tanto</w:t>
      </w:r>
      <w:r w:rsidR="004D44BC" w:rsidRPr="00D00D93">
        <w:t>,</w:t>
      </w:r>
      <w:r w:rsidR="00201462" w:rsidRPr="00D00D93">
        <w:t xml:space="preserve"> que el cumplimiento de uno no supone necesariamente el cumplimiento del otro</w:t>
      </w:r>
      <w:r w:rsidR="004D233D" w:rsidRPr="00D00D93">
        <w:t xml:space="preserve">.  </w:t>
      </w:r>
      <w:r w:rsidR="00201462" w:rsidRPr="00D00D93">
        <w:t xml:space="preserve">Aunque vale la pena realizar un examen de las novedades que afectan a la </w:t>
      </w:r>
      <w:r w:rsidR="004D233D" w:rsidRPr="00D00D93">
        <w:t>ISO 9001</w:t>
      </w:r>
      <w:r w:rsidR="00201462" w:rsidRPr="00D00D93">
        <w:t xml:space="preserve">, </w:t>
      </w:r>
      <w:r w:rsidR="008C4929" w:rsidRPr="00D00D93">
        <w:t xml:space="preserve">esas </w:t>
      </w:r>
      <w:r w:rsidR="00201462" w:rsidRPr="00D00D93">
        <w:t>novedades no deberían adoptarse de manera automática.</w:t>
      </w:r>
      <w:r w:rsidR="004D233D" w:rsidRPr="00D00D93">
        <w:t xml:space="preserve">  </w:t>
      </w:r>
      <w:r w:rsidR="00201462" w:rsidRPr="00D00D93">
        <w:t xml:space="preserve">Como tampoco debiera haber requisito </w:t>
      </w:r>
      <w:r w:rsidR="004D44BC" w:rsidRPr="00D00D93">
        <w:t xml:space="preserve">alguno </w:t>
      </w:r>
      <w:r w:rsidR="00201462" w:rsidRPr="00D00D93">
        <w:t xml:space="preserve">que </w:t>
      </w:r>
      <w:r w:rsidR="00070D60" w:rsidRPr="00D00D93">
        <w:t xml:space="preserve">obligue </w:t>
      </w:r>
      <w:r w:rsidR="00201462" w:rsidRPr="00D00D93">
        <w:t xml:space="preserve">a las Administraciones </w:t>
      </w:r>
      <w:r w:rsidR="00DE43FF" w:rsidRPr="00D00D93">
        <w:t xml:space="preserve">a </w:t>
      </w:r>
      <w:r w:rsidR="00070D60" w:rsidRPr="00D00D93">
        <w:t>a</w:t>
      </w:r>
      <w:r w:rsidR="00201462" w:rsidRPr="00D00D93">
        <w:t>doptar lo</w:t>
      </w:r>
      <w:r w:rsidR="009956EA" w:rsidRPr="00D00D93">
        <w:t>s planteamientos de la ISO </w:t>
      </w:r>
      <w:r w:rsidR="00201462" w:rsidRPr="00D00D93">
        <w:t xml:space="preserve">9001 o </w:t>
      </w:r>
      <w:r w:rsidR="00070D60" w:rsidRPr="00D00D93">
        <w:t xml:space="preserve">a </w:t>
      </w:r>
      <w:r w:rsidR="00201462" w:rsidRPr="00D00D93">
        <w:t xml:space="preserve">solicitar </w:t>
      </w:r>
      <w:r w:rsidR="004D44BC" w:rsidRPr="00D00D93">
        <w:t>ser certificadas conforme a ella</w:t>
      </w:r>
      <w:r w:rsidR="00070D60" w:rsidRPr="00D00D93">
        <w:t xml:space="preserve">.  Las Oficinas deben seguir siendo libres de adoptar metodologías alternativas con las que poder </w:t>
      </w:r>
      <w:r w:rsidR="00641D26" w:rsidRPr="00D00D93">
        <w:t xml:space="preserve">alcanzar </w:t>
      </w:r>
      <w:r w:rsidR="00070D60" w:rsidRPr="00D00D93">
        <w:t>un resultado apropiado.</w:t>
      </w:r>
      <w:r w:rsidR="004D233D" w:rsidRPr="00D00D93">
        <w:t xml:space="preserve">  Una Administración </w:t>
      </w:r>
      <w:r w:rsidR="00070D60" w:rsidRPr="00D00D93">
        <w:t>consideró que una auditoría externa obligatoria no resultaría adecuada</w:t>
      </w:r>
      <w:r w:rsidR="004D233D" w:rsidRPr="00D00D93">
        <w:t>.</w:t>
      </w:r>
    </w:p>
    <w:p w:rsidR="001B7D70" w:rsidRPr="00D00D93" w:rsidRDefault="007E797A" w:rsidP="00740EFC">
      <w:pPr>
        <w:pStyle w:val="ONUMFS"/>
        <w:tabs>
          <w:tab w:val="clear" w:pos="567"/>
        </w:tabs>
        <w:ind w:left="567"/>
      </w:pPr>
      <w:r w:rsidRPr="00D00D93">
        <w:t xml:space="preserve">El </w:t>
      </w:r>
      <w:r w:rsidR="001B7D70" w:rsidRPr="00D00D93">
        <w:t>Subgrup</w:t>
      </w:r>
      <w:r w:rsidRPr="00D00D93">
        <w:t xml:space="preserve">o concluyó </w:t>
      </w:r>
      <w:r w:rsidR="006C2471" w:rsidRPr="00D00D93">
        <w:t xml:space="preserve">que existe un apoyo </w:t>
      </w:r>
      <w:r w:rsidR="004D44BC" w:rsidRPr="00D00D93">
        <w:t xml:space="preserve">generalizado </w:t>
      </w:r>
      <w:r w:rsidR="006C2471" w:rsidRPr="00D00D93">
        <w:t xml:space="preserve">a </w:t>
      </w:r>
      <w:r w:rsidR="00F34792" w:rsidRPr="00D00D93">
        <w:t xml:space="preserve">que </w:t>
      </w:r>
      <w:r w:rsidR="006C2471" w:rsidRPr="00D00D93">
        <w:t xml:space="preserve">los cambios </w:t>
      </w:r>
      <w:r w:rsidR="00F34792" w:rsidRPr="00D00D93">
        <w:t xml:space="preserve">producidos </w:t>
      </w:r>
      <w:r w:rsidR="006C2471" w:rsidRPr="00D00D93">
        <w:t xml:space="preserve">en la </w:t>
      </w:r>
      <w:r w:rsidR="001B7D70" w:rsidRPr="00D00D93">
        <w:t xml:space="preserve">ISO 9001 </w:t>
      </w:r>
      <w:r w:rsidR="00F34792" w:rsidRPr="00D00D93">
        <w:t>se so</w:t>
      </w:r>
      <w:r w:rsidR="003A1D47" w:rsidRPr="00D00D93">
        <w:t>metan a consideración y se evalú</w:t>
      </w:r>
      <w:r w:rsidR="00F34792" w:rsidRPr="00D00D93">
        <w:t>e la oportunida</w:t>
      </w:r>
      <w:r w:rsidR="009956EA" w:rsidRPr="00D00D93">
        <w:t>d de reflejarlos en el Capítulo</w:t>
      </w:r>
      <w:r w:rsidR="001B7D70" w:rsidRPr="00D00D93">
        <w:t xml:space="preserve"> 21, </w:t>
      </w:r>
      <w:r w:rsidR="00F34792" w:rsidRPr="00D00D93">
        <w:t>pero que esto no debería ser un proceso automático</w:t>
      </w:r>
      <w:r w:rsidR="001B7D70" w:rsidRPr="00D00D93">
        <w:t xml:space="preserve">.  </w:t>
      </w:r>
      <w:r w:rsidR="00F34792" w:rsidRPr="00D00D93">
        <w:t xml:space="preserve">El Subgrupo acogió favorablemente </w:t>
      </w:r>
      <w:r w:rsidR="00071F82" w:rsidRPr="00D00D93">
        <w:t xml:space="preserve">el ofrecimiento </w:t>
      </w:r>
      <w:r w:rsidR="00F34792" w:rsidRPr="00D00D93">
        <w:t xml:space="preserve">de la OEPM de dirigir los debates en la wiki </w:t>
      </w:r>
      <w:r w:rsidR="004D44BC" w:rsidRPr="00D00D93">
        <w:t xml:space="preserve">dirigidos </w:t>
      </w:r>
      <w:r w:rsidR="00F34792" w:rsidRPr="00D00D93">
        <w:t xml:space="preserve">a la elaboración de un texto específico </w:t>
      </w:r>
      <w:r w:rsidR="004D44BC" w:rsidRPr="00D00D93">
        <w:t xml:space="preserve">en materia de riesgos </w:t>
      </w:r>
      <w:r w:rsidR="00F34792" w:rsidRPr="00D00D93">
        <w:t>que incluir en el Capítulo</w:t>
      </w:r>
      <w:r w:rsidR="001B7D70" w:rsidRPr="00D00D93">
        <w:t> 21</w:t>
      </w:r>
      <w:r w:rsidR="00F34792" w:rsidRPr="00D00D93">
        <w:t>.</w:t>
      </w:r>
    </w:p>
    <w:p w:rsidR="001B7D70" w:rsidRPr="00D00D93" w:rsidRDefault="001B7D70" w:rsidP="001B7D70">
      <w:pPr>
        <w:pStyle w:val="Heading2"/>
        <w:keepNext w:val="0"/>
      </w:pPr>
      <w:r w:rsidRPr="00D00D93">
        <w:t>g)</w:t>
      </w:r>
      <w:r w:rsidRPr="00D00D93">
        <w:tab/>
      </w:r>
      <w:r w:rsidR="00A61B8B" w:rsidRPr="00D00D93">
        <w:t xml:space="preserve">OBSERVACIONES DE LOS USUARIOS </w:t>
      </w:r>
    </w:p>
    <w:p w:rsidR="00B23083" w:rsidRPr="00D00D93" w:rsidRDefault="00EE188E" w:rsidP="00740EFC">
      <w:pPr>
        <w:pStyle w:val="ONUMFS"/>
      </w:pPr>
      <w:r w:rsidRPr="00D00D93">
        <w:t xml:space="preserve">La OEP </w:t>
      </w:r>
      <w:r w:rsidR="00355D8F" w:rsidRPr="00D00D93">
        <w:t>realizó una prese</w:t>
      </w:r>
      <w:r w:rsidR="004D44BC" w:rsidRPr="00D00D93">
        <w:t>n</w:t>
      </w:r>
      <w:r w:rsidR="00355D8F" w:rsidRPr="00D00D93">
        <w:t>tación sobre su experi</w:t>
      </w:r>
      <w:r w:rsidR="00887C1E" w:rsidRPr="00D00D93">
        <w:t>e</w:t>
      </w:r>
      <w:r w:rsidR="00355D8F" w:rsidRPr="00D00D93">
        <w:t>ncia reciente con las observaciones de los usuarios</w:t>
      </w:r>
      <w:r w:rsidR="001B7D70" w:rsidRPr="00D00D93">
        <w:t xml:space="preserve">.  </w:t>
      </w:r>
      <w:r w:rsidR="004D44BC" w:rsidRPr="00D00D93">
        <w:t>Incluyó en ella aspectos basados en patrones</w:t>
      </w:r>
      <w:r w:rsidR="00887C1E" w:rsidRPr="00D00D93">
        <w:t xml:space="preserve">, pero también aspectos </w:t>
      </w:r>
      <w:r w:rsidR="004D44BC" w:rsidRPr="00D00D93">
        <w:t xml:space="preserve">no basados en </w:t>
      </w:r>
      <w:r w:rsidR="0003412B" w:rsidRPr="00D00D93">
        <w:t>ellos</w:t>
      </w:r>
      <w:r w:rsidR="001B7D70" w:rsidRPr="00D00D93">
        <w:t xml:space="preserve">.  </w:t>
      </w:r>
      <w:r w:rsidR="004D44BC" w:rsidRPr="00D00D93">
        <w:t>Las observaciones no basad</w:t>
      </w:r>
      <w:r w:rsidR="00887C1E" w:rsidRPr="00D00D93">
        <w:t>a</w:t>
      </w:r>
      <w:r w:rsidR="004D44BC" w:rsidRPr="00D00D93">
        <w:t>s en patrones son útiles, pero precisan ser validad</w:t>
      </w:r>
      <w:r w:rsidR="003A1D47" w:rsidRPr="00D00D93">
        <w:t>a</w:t>
      </w:r>
      <w:r w:rsidR="004D44BC" w:rsidRPr="00D00D93">
        <w:t>s para garantizar que sean adecuadas</w:t>
      </w:r>
      <w:r w:rsidR="001B7D70" w:rsidRPr="00D00D93">
        <w:t xml:space="preserve">.  </w:t>
      </w:r>
      <w:r w:rsidR="004D44BC" w:rsidRPr="00D00D93">
        <w:t>La Of</w:t>
      </w:r>
      <w:r w:rsidR="00887C1E" w:rsidRPr="00D00D93">
        <w:t>i</w:t>
      </w:r>
      <w:r w:rsidR="004D44BC" w:rsidRPr="00D00D93">
        <w:t xml:space="preserve">cina afirmó haber concluido </w:t>
      </w:r>
      <w:r w:rsidR="00E00D8F" w:rsidRPr="00D00D93">
        <w:t>hace poco el último ciclo de tres años de encuestas de satisfacción de los usuarios</w:t>
      </w:r>
      <w:r w:rsidR="001B7D70" w:rsidRPr="00D00D93">
        <w:t xml:space="preserve">.  </w:t>
      </w:r>
      <w:r w:rsidR="00E00D8F" w:rsidRPr="00D00D93">
        <w:t xml:space="preserve">Esas encuestas </w:t>
      </w:r>
      <w:r w:rsidR="00887C1E" w:rsidRPr="00D00D93">
        <w:t xml:space="preserve">han proporcionado </w:t>
      </w:r>
      <w:r w:rsidR="00E00D8F" w:rsidRPr="00D00D93">
        <w:t>nu</w:t>
      </w:r>
      <w:r w:rsidR="00887C1E" w:rsidRPr="00D00D93">
        <w:t>m</w:t>
      </w:r>
      <w:r w:rsidR="00E00D8F" w:rsidRPr="00D00D93">
        <w:t xml:space="preserve">erosos indicios </w:t>
      </w:r>
      <w:r w:rsidR="00887C1E" w:rsidRPr="00D00D93">
        <w:t xml:space="preserve">que apuntan a una </w:t>
      </w:r>
      <w:r w:rsidR="00E00D8F" w:rsidRPr="00D00D93">
        <w:t xml:space="preserve">mejora </w:t>
      </w:r>
      <w:r w:rsidR="00887C1E" w:rsidRPr="00D00D93">
        <w:t xml:space="preserve">de </w:t>
      </w:r>
      <w:r w:rsidR="00E00D8F" w:rsidRPr="00D00D93">
        <w:t>la satisfacción de los usuarios</w:t>
      </w:r>
      <w:r w:rsidR="001B7D70" w:rsidRPr="00D00D93">
        <w:t xml:space="preserve">, </w:t>
      </w:r>
      <w:r w:rsidR="0003412B" w:rsidRPr="00D00D93">
        <w:t xml:space="preserve">siendo así que parte de esa mejora sería </w:t>
      </w:r>
      <w:r w:rsidR="00E00D8F" w:rsidRPr="00D00D93">
        <w:t>el resultado de haberse identificado y abordado inquietudes concretas del ciclo anterior.</w:t>
      </w:r>
      <w:r w:rsidR="001B7D70" w:rsidRPr="00D00D93">
        <w:t xml:space="preserve">  </w:t>
      </w:r>
      <w:r w:rsidR="00E00D8F" w:rsidRPr="00D00D93">
        <w:t xml:space="preserve">Aunque siempre complace </w:t>
      </w:r>
      <w:r w:rsidR="00004C70" w:rsidRPr="00D00D93">
        <w:t xml:space="preserve">recabar </w:t>
      </w:r>
      <w:r w:rsidR="00E00D8F" w:rsidRPr="00D00D93">
        <w:t xml:space="preserve">observaciones favorables, </w:t>
      </w:r>
      <w:r w:rsidR="00004C70" w:rsidRPr="00D00D93">
        <w:t>los puntos de preocupación</w:t>
      </w:r>
      <w:r w:rsidR="00887C1E" w:rsidRPr="00D00D93">
        <w:t xml:space="preserve">, cuando se plantean </w:t>
      </w:r>
      <w:r w:rsidR="00004C70" w:rsidRPr="00D00D93">
        <w:t>adecuadamente</w:t>
      </w:r>
      <w:r w:rsidR="00887C1E" w:rsidRPr="00D00D93">
        <w:t>,</w:t>
      </w:r>
      <w:r w:rsidR="00004C70" w:rsidRPr="00D00D93">
        <w:t xml:space="preserve"> son particularmente valiosos para identificar ámbitos de mejora.</w:t>
      </w:r>
      <w:r w:rsidR="001B7D70" w:rsidRPr="00D00D93">
        <w:t xml:space="preserve">  </w:t>
      </w:r>
      <w:r w:rsidR="00B23083" w:rsidRPr="00D00D93">
        <w:t xml:space="preserve">Varios servicios nuevos y mejoras introducidas en la orientación del servicio se han </w:t>
      </w:r>
      <w:r w:rsidR="00205283" w:rsidRPr="00D00D93">
        <w:t xml:space="preserve">basado en </w:t>
      </w:r>
      <w:r w:rsidR="00B23083" w:rsidRPr="00D00D93">
        <w:t>las observaciones recibidas.  En particular, la atención prestada a las preocupaciones de los usua</w:t>
      </w:r>
      <w:r w:rsidR="00625FF6" w:rsidRPr="00D00D93">
        <w:t>r</w:t>
      </w:r>
      <w:r w:rsidR="00B23083" w:rsidRPr="00D00D93">
        <w:t xml:space="preserve">ios de fuera de Europa ha permitido </w:t>
      </w:r>
      <w:r w:rsidR="00625FF6" w:rsidRPr="00D00D93">
        <w:t>incidir en algun</w:t>
      </w:r>
      <w:r w:rsidR="00641D26" w:rsidRPr="00D00D93">
        <w:t>a</w:t>
      </w:r>
      <w:r w:rsidR="00625FF6" w:rsidRPr="00D00D93">
        <w:t xml:space="preserve">s </w:t>
      </w:r>
      <w:r w:rsidR="00641D26" w:rsidRPr="00D00D93">
        <w:t>cuestiones</w:t>
      </w:r>
      <w:r w:rsidR="00B23083" w:rsidRPr="00D00D93">
        <w:t xml:space="preserve">. </w:t>
      </w:r>
      <w:r w:rsidR="00625FF6" w:rsidRPr="00D00D93">
        <w:t xml:space="preserve"> Gracias a ello, p</w:t>
      </w:r>
      <w:r w:rsidR="00B23083" w:rsidRPr="00D00D93">
        <w:t xml:space="preserve">or ejemplo, la Oficina ha priorizado la emisión de informes de búsqueda y opiniones escritas respecto de todas las solicitudes presentadas a fin de garantizar </w:t>
      </w:r>
      <w:r w:rsidR="00887C1E" w:rsidRPr="00D00D93">
        <w:t xml:space="preserve">que todos </w:t>
      </w:r>
      <w:r w:rsidR="00B23083" w:rsidRPr="00D00D93">
        <w:t>los usuarios</w:t>
      </w:r>
      <w:r w:rsidR="00887C1E" w:rsidRPr="00D00D93">
        <w:t xml:space="preserve"> recib</w:t>
      </w:r>
      <w:r w:rsidR="0003412B" w:rsidRPr="00D00D93">
        <w:t>e</w:t>
      </w:r>
      <w:r w:rsidR="00887C1E" w:rsidRPr="00D00D93">
        <w:t>n el mismo servicio</w:t>
      </w:r>
      <w:r w:rsidR="00B23083" w:rsidRPr="00D00D93">
        <w:t xml:space="preserve">. </w:t>
      </w:r>
      <w:r w:rsidR="00CF05DB" w:rsidRPr="00D00D93">
        <w:t xml:space="preserve"> </w:t>
      </w:r>
      <w:r w:rsidR="00B23083" w:rsidRPr="00D00D93">
        <w:t xml:space="preserve">Asimismo, ha </w:t>
      </w:r>
      <w:r w:rsidR="00B23083" w:rsidRPr="00D00D93">
        <w:lastRenderedPageBreak/>
        <w:t xml:space="preserve">quedado patente que esos usuarios </w:t>
      </w:r>
      <w:r w:rsidR="00625FF6" w:rsidRPr="00D00D93">
        <w:t xml:space="preserve">eran desconocedores de </w:t>
      </w:r>
      <w:r w:rsidR="00205283" w:rsidRPr="00D00D93">
        <w:t xml:space="preserve">las diferencias </w:t>
      </w:r>
      <w:r w:rsidR="0003412B" w:rsidRPr="00D00D93">
        <w:t xml:space="preserve">que </w:t>
      </w:r>
      <w:r w:rsidR="00641D26" w:rsidRPr="00D00D93">
        <w:t xml:space="preserve">existen </w:t>
      </w:r>
      <w:r w:rsidR="00205283" w:rsidRPr="00D00D93">
        <w:t xml:space="preserve">entre los procedimientos, costos y regulaciones </w:t>
      </w:r>
      <w:r w:rsidR="00625FF6" w:rsidRPr="00D00D93">
        <w:t xml:space="preserve">de </w:t>
      </w:r>
      <w:r w:rsidR="009956EA" w:rsidRPr="00D00D93">
        <w:t>la </w:t>
      </w:r>
      <w:r w:rsidR="00205283" w:rsidRPr="00D00D93">
        <w:t xml:space="preserve">OEP y los </w:t>
      </w:r>
      <w:r w:rsidR="0003412B" w:rsidRPr="00D00D93">
        <w:t xml:space="preserve">aplicables en </w:t>
      </w:r>
      <w:r w:rsidR="00205283" w:rsidRPr="00D00D93">
        <w:t>sus países de origen.</w:t>
      </w:r>
      <w:r w:rsidR="00B23083" w:rsidRPr="00D00D93">
        <w:t xml:space="preserve">  </w:t>
      </w:r>
      <w:r w:rsidR="00887C1E" w:rsidRPr="00D00D93">
        <w:t>En su opinión, l</w:t>
      </w:r>
      <w:r w:rsidR="00205283" w:rsidRPr="00D00D93">
        <w:t>as obse</w:t>
      </w:r>
      <w:r w:rsidR="00625FF6" w:rsidRPr="00D00D93">
        <w:t>r</w:t>
      </w:r>
      <w:r w:rsidR="00205283" w:rsidRPr="00D00D93">
        <w:t>vaciones de los usuarios son más importantes que nunca</w:t>
      </w:r>
      <w:r w:rsidR="00B23083" w:rsidRPr="00D00D93">
        <w:t xml:space="preserve">, </w:t>
      </w:r>
      <w:r w:rsidR="00205283" w:rsidRPr="00D00D93">
        <w:t>pues sirven para orientar las actividades y aportan información</w:t>
      </w:r>
      <w:r w:rsidR="00625FF6" w:rsidRPr="00D00D93">
        <w:t xml:space="preserve"> a </w:t>
      </w:r>
      <w:r w:rsidR="00205283" w:rsidRPr="00D00D93">
        <w:t xml:space="preserve">los sistemas de gestión de la calidad. </w:t>
      </w:r>
    </w:p>
    <w:p w:rsidR="00887C1E" w:rsidRPr="00D00D93" w:rsidRDefault="00625FF6" w:rsidP="00740EFC">
      <w:pPr>
        <w:pStyle w:val="ONUMFS"/>
      </w:pPr>
      <w:r w:rsidRPr="00D00D93">
        <w:t>En r</w:t>
      </w:r>
      <w:r w:rsidR="00887C1E" w:rsidRPr="00D00D93">
        <w:t>e</w:t>
      </w:r>
      <w:r w:rsidRPr="00D00D93">
        <w:t>spuesta a las</w:t>
      </w:r>
      <w:r w:rsidR="00887C1E" w:rsidRPr="00D00D93">
        <w:t xml:space="preserve"> </w:t>
      </w:r>
      <w:r w:rsidRPr="00D00D93">
        <w:t xml:space="preserve">preguntas formuladas en relación con </w:t>
      </w:r>
      <w:r w:rsidR="00887C1E" w:rsidRPr="00D00D93">
        <w:t xml:space="preserve">las </w:t>
      </w:r>
      <w:r w:rsidRPr="00D00D93">
        <w:t xml:space="preserve">reducciones de tasas </w:t>
      </w:r>
      <w:r w:rsidR="00887C1E" w:rsidRPr="00D00D93">
        <w:t xml:space="preserve">que ha aprobado recientemente </w:t>
      </w:r>
      <w:r w:rsidR="009956EA" w:rsidRPr="00D00D93">
        <w:t>y que entrarán en vigor el </w:t>
      </w:r>
      <w:r w:rsidRPr="00D00D93">
        <w:t xml:space="preserve">1 de abril </w:t>
      </w:r>
      <w:r w:rsidR="009956EA" w:rsidRPr="00D00D93">
        <w:t>de 20</w:t>
      </w:r>
      <w:r w:rsidRPr="00D00D93">
        <w:t>18, la OEP observó que observaciones recibidas</w:t>
      </w:r>
      <w:r w:rsidR="00887C1E" w:rsidRPr="00D00D93">
        <w:t xml:space="preserve"> des</w:t>
      </w:r>
      <w:r w:rsidR="009956EA" w:rsidRPr="00D00D93">
        <w:t>de 20</w:t>
      </w:r>
      <w:r w:rsidR="00887C1E" w:rsidRPr="00D00D93">
        <w:t>10</w:t>
      </w:r>
      <w:r w:rsidRPr="00D00D93">
        <w:t xml:space="preserve"> </w:t>
      </w:r>
      <w:r w:rsidR="00641D26" w:rsidRPr="00D00D93">
        <w:t xml:space="preserve">pusieron de </w:t>
      </w:r>
      <w:r w:rsidR="00887C1E" w:rsidRPr="00D00D93">
        <w:t xml:space="preserve">manifiesto </w:t>
      </w:r>
      <w:r w:rsidRPr="00D00D93">
        <w:t>que la calidad del servicio era buen</w:t>
      </w:r>
      <w:r w:rsidR="00887C1E" w:rsidRPr="00D00D93">
        <w:t>a,</w:t>
      </w:r>
      <w:r w:rsidRPr="00D00D93">
        <w:t xml:space="preserve"> pero las tasas elevadas.  </w:t>
      </w:r>
      <w:r w:rsidR="00887C1E" w:rsidRPr="00D00D93">
        <w:t xml:space="preserve">Aunque esto </w:t>
      </w:r>
      <w:r w:rsidRPr="00D00D93">
        <w:t xml:space="preserve">se abordó inicialmente manteniendo las tasas </w:t>
      </w:r>
      <w:r w:rsidR="00887C1E" w:rsidRPr="00D00D93">
        <w:t xml:space="preserve">inalteradas </w:t>
      </w:r>
      <w:r w:rsidRPr="00D00D93">
        <w:t xml:space="preserve">(sin </w:t>
      </w:r>
      <w:r w:rsidR="00887C1E" w:rsidRPr="00D00D93">
        <w:t xml:space="preserve">tan siquiera </w:t>
      </w:r>
      <w:r w:rsidRPr="00D00D93">
        <w:t xml:space="preserve">subirlas por el efecto de la inflación) y mejorando los servicios, </w:t>
      </w:r>
      <w:r w:rsidR="00887C1E" w:rsidRPr="00D00D93">
        <w:t>ambas medidas no se consideraron suficientes</w:t>
      </w:r>
      <w:r w:rsidRPr="00D00D93">
        <w:t xml:space="preserve">. </w:t>
      </w:r>
      <w:r w:rsidR="00CF05DB" w:rsidRPr="00D00D93">
        <w:t xml:space="preserve"> </w:t>
      </w:r>
      <w:r w:rsidRPr="00D00D93">
        <w:t xml:space="preserve">Tras </w:t>
      </w:r>
      <w:r w:rsidR="00887C1E" w:rsidRPr="00D00D93">
        <w:t xml:space="preserve">nuevas observaciones de los usuarios, </w:t>
      </w:r>
      <w:r w:rsidR="00113C79" w:rsidRPr="00D00D93">
        <w:t>su Consejo de Administración acordó reducir las tasas de búsqueda internacional, así como a</w:t>
      </w:r>
      <w:r w:rsidR="0003412B" w:rsidRPr="00D00D93">
        <w:t xml:space="preserve">mpliar </w:t>
      </w:r>
      <w:r w:rsidR="00113C79" w:rsidRPr="00D00D93">
        <w:t xml:space="preserve">hasta </w:t>
      </w:r>
      <w:r w:rsidR="009956EA" w:rsidRPr="00D00D93">
        <w:t>el </w:t>
      </w:r>
      <w:r w:rsidR="00113C79" w:rsidRPr="00D00D93">
        <w:t xml:space="preserve">75% la reducción </w:t>
      </w:r>
      <w:r w:rsidR="00213B97" w:rsidRPr="00D00D93">
        <w:t xml:space="preserve">aplicable a </w:t>
      </w:r>
      <w:r w:rsidR="00113C79" w:rsidRPr="00D00D93">
        <w:t xml:space="preserve">la tasa de examen regional para las solicitudes </w:t>
      </w:r>
      <w:r w:rsidR="00213B97" w:rsidRPr="00D00D93">
        <w:t>que hayan obtenido en un informe de examen preliminar internacional una opinión positiva sobre la novedad, la actividad inventiva y otros requisitos.</w:t>
      </w:r>
      <w:r w:rsidR="00887C1E" w:rsidRPr="00D00D93">
        <w:t xml:space="preserve">  </w:t>
      </w:r>
      <w:r w:rsidR="00213B97" w:rsidRPr="00D00D93">
        <w:t xml:space="preserve">Esa medida ha supuesto un </w:t>
      </w:r>
      <w:r w:rsidR="0003412B" w:rsidRPr="00D00D93">
        <w:t xml:space="preserve">incremento </w:t>
      </w:r>
      <w:r w:rsidR="00213B97" w:rsidRPr="00D00D93">
        <w:t>considerable de la reducción</w:t>
      </w:r>
      <w:r w:rsidR="00887C1E" w:rsidRPr="00D00D93">
        <w:t xml:space="preserve">, </w:t>
      </w:r>
      <w:r w:rsidR="00213B97" w:rsidRPr="00D00D93">
        <w:t xml:space="preserve">al tiempo que refleja el hecho de que, si bien en muchas ocasiones la solicitud se encuentra próxima al punto en el que se la considera </w:t>
      </w:r>
      <w:r w:rsidR="00641D26" w:rsidRPr="00D00D93">
        <w:t xml:space="preserve">acreedora </w:t>
      </w:r>
      <w:r w:rsidR="00213B97" w:rsidRPr="00D00D93">
        <w:t xml:space="preserve">de la concesión, en muchos otros aún falta una labor sustantiva que </w:t>
      </w:r>
      <w:r w:rsidR="0003412B" w:rsidRPr="00D00D93">
        <w:t>llevar a cabo</w:t>
      </w:r>
      <w:r w:rsidR="00887C1E" w:rsidRPr="00D00D93">
        <w:t>.</w:t>
      </w:r>
    </w:p>
    <w:p w:rsidR="007D16E2" w:rsidRPr="00D00D93" w:rsidRDefault="00213B97" w:rsidP="00740EFC">
      <w:pPr>
        <w:pStyle w:val="ONUMFS"/>
        <w:tabs>
          <w:tab w:val="clear" w:pos="567"/>
        </w:tabs>
        <w:ind w:left="567"/>
      </w:pPr>
      <w:r w:rsidRPr="00D00D93">
        <w:t xml:space="preserve">El Subgrupo recomendó que su labor </w:t>
      </w:r>
      <w:r w:rsidR="00DF1B1D" w:rsidRPr="00D00D93">
        <w:t xml:space="preserve">relativa </w:t>
      </w:r>
      <w:r w:rsidR="007D16E2" w:rsidRPr="00D00D93">
        <w:t xml:space="preserve">a </w:t>
      </w:r>
      <w:r w:rsidRPr="00D00D93">
        <w:t xml:space="preserve">las observaciones de los usuarios </w:t>
      </w:r>
      <w:r w:rsidR="007D16E2" w:rsidRPr="00D00D93">
        <w:t xml:space="preserve">se considere </w:t>
      </w:r>
      <w:r w:rsidRPr="00D00D93">
        <w:t>finalizada por el momento</w:t>
      </w:r>
      <w:r w:rsidR="001B7D70" w:rsidRPr="00D00D93">
        <w:t xml:space="preserve"> </w:t>
      </w:r>
      <w:r w:rsidR="00375CA6" w:rsidRPr="00D00D93">
        <w:t xml:space="preserve">y, tras señalar </w:t>
      </w:r>
      <w:r w:rsidRPr="00D00D93">
        <w:t xml:space="preserve">que cualquier </w:t>
      </w:r>
      <w:r w:rsidR="00636E19" w:rsidRPr="00D00D93">
        <w:t>Administración</w:t>
      </w:r>
      <w:r w:rsidRPr="00D00D93">
        <w:t xml:space="preserve"> </w:t>
      </w:r>
      <w:r w:rsidR="007D16E2" w:rsidRPr="00D00D93">
        <w:t xml:space="preserve">podrá presentar nuevas propuestas de trabajo en ese ámbito </w:t>
      </w:r>
      <w:r w:rsidR="00375CA6" w:rsidRPr="00D00D93">
        <w:t xml:space="preserve">en caso de estimarlo </w:t>
      </w:r>
      <w:r w:rsidR="007D16E2" w:rsidRPr="00D00D93">
        <w:t xml:space="preserve">conveniente, </w:t>
      </w:r>
      <w:r w:rsidR="00375CA6" w:rsidRPr="00D00D93">
        <w:t xml:space="preserve">dijo que </w:t>
      </w:r>
      <w:r w:rsidR="00641D26" w:rsidRPr="00D00D93">
        <w:t xml:space="preserve">nada de </w:t>
      </w:r>
      <w:r w:rsidR="00375CA6" w:rsidRPr="00D00D93">
        <w:t xml:space="preserve">ello afectará </w:t>
      </w:r>
      <w:r w:rsidR="007D16E2" w:rsidRPr="00D00D93">
        <w:t xml:space="preserve">al requisito </w:t>
      </w:r>
      <w:r w:rsidR="00375CA6" w:rsidRPr="00D00D93">
        <w:t xml:space="preserve">permanente </w:t>
      </w:r>
      <w:r w:rsidR="007D16E2" w:rsidRPr="00D00D93">
        <w:t xml:space="preserve">que obliga a las Administraciones a informar sobre las observaciones de los usuarios en </w:t>
      </w:r>
      <w:r w:rsidR="00375CA6" w:rsidRPr="00D00D93">
        <w:t xml:space="preserve">los </w:t>
      </w:r>
      <w:r w:rsidR="007D16E2" w:rsidRPr="00D00D93">
        <w:t>info</w:t>
      </w:r>
      <w:r w:rsidR="003A1D47" w:rsidRPr="00D00D93">
        <w:t>r</w:t>
      </w:r>
      <w:r w:rsidR="007D16E2" w:rsidRPr="00D00D93">
        <w:t xml:space="preserve">mes anuales sobre </w:t>
      </w:r>
      <w:r w:rsidR="00375CA6" w:rsidRPr="00D00D93">
        <w:t xml:space="preserve">sus </w:t>
      </w:r>
      <w:r w:rsidR="007D16E2" w:rsidRPr="00D00D93">
        <w:t>sistemas de gestión de la calidad.</w:t>
      </w:r>
    </w:p>
    <w:p w:rsidR="001B7D70" w:rsidRPr="00D00D93" w:rsidRDefault="001B7D70" w:rsidP="00013004">
      <w:pPr>
        <w:pStyle w:val="Heading2"/>
        <w:keepNext w:val="0"/>
        <w:ind w:left="567" w:hanging="567"/>
      </w:pPr>
      <w:r w:rsidRPr="00D00D93">
        <w:t>h)</w:t>
      </w:r>
      <w:r w:rsidRPr="00D00D93">
        <w:tab/>
      </w:r>
      <w:r w:rsidR="00A61B8B" w:rsidRPr="00D00D93">
        <w:t xml:space="preserve">OBSERVACIONES OBTENIDAS EN EL MARCO DE LOS EJERCICIOS DE REVISIÓN POR HOMÓLOGOS DE LOS INFORMES SOBRE LOS SISTEMAS DE GESTIÓN DE LA CALIDAD DE LAS ADMINISTRACIONES INTERNACIONALES </w:t>
      </w:r>
    </w:p>
    <w:p w:rsidR="00230D9B" w:rsidRPr="00D00D93" w:rsidRDefault="00375CA6" w:rsidP="00740EFC">
      <w:pPr>
        <w:pStyle w:val="ONUMFS"/>
      </w:pPr>
      <w:r w:rsidRPr="00D00D93">
        <w:t xml:space="preserve">Las seis </w:t>
      </w:r>
      <w:r w:rsidR="005B1DAD" w:rsidRPr="00D00D93">
        <w:t>Administraciones</w:t>
      </w:r>
      <w:r w:rsidR="001B7D70" w:rsidRPr="00D00D93">
        <w:t xml:space="preserve"> </w:t>
      </w:r>
      <w:r w:rsidR="001E2DC3" w:rsidRPr="00D00D93">
        <w:t xml:space="preserve">que participaron en las revisiones por homólogos convinieron en que el ejercicio había resultado fructífero y debería repetirse en la reunión del Subgrupo encargado de la Calidad del próximo año, </w:t>
      </w:r>
      <w:r w:rsidR="00D26DC8" w:rsidRPr="00D00D93">
        <w:t xml:space="preserve">con </w:t>
      </w:r>
      <w:r w:rsidR="001E2DC3" w:rsidRPr="00D00D93">
        <w:t>la esper</w:t>
      </w:r>
      <w:r w:rsidR="003A1D47" w:rsidRPr="00D00D93">
        <w:t>a</w:t>
      </w:r>
      <w:r w:rsidR="001E2DC3" w:rsidRPr="00D00D93">
        <w:t xml:space="preserve">nza de que otras Administraciones puedan sumarse a las sesiones de revisión. </w:t>
      </w:r>
      <w:r w:rsidR="00CF05DB" w:rsidRPr="00D00D93">
        <w:t xml:space="preserve"> </w:t>
      </w:r>
      <w:r w:rsidR="001E2DC3" w:rsidRPr="00D00D93">
        <w:t xml:space="preserve">Entre los temas abordados se contaron la garantía y el control de la calidad, el examen de la gestión de los sistemas de gestión de la calidad, los </w:t>
      </w:r>
      <w:r w:rsidR="00230D9B" w:rsidRPr="00D00D93">
        <w:t xml:space="preserve">sistemas de </w:t>
      </w:r>
      <w:r w:rsidR="001E2DC3" w:rsidRPr="00D00D93">
        <w:t>au</w:t>
      </w:r>
      <w:r w:rsidR="00230D9B" w:rsidRPr="00D00D93">
        <w:t>t</w:t>
      </w:r>
      <w:r w:rsidR="001E2DC3" w:rsidRPr="00D00D93">
        <w:t xml:space="preserve">oevaluación, las encuestas </w:t>
      </w:r>
      <w:r w:rsidR="00230D9B" w:rsidRPr="00D00D93">
        <w:t xml:space="preserve">realizadas a </w:t>
      </w:r>
      <w:r w:rsidR="001E2DC3" w:rsidRPr="00D00D93">
        <w:t xml:space="preserve">examinadores, </w:t>
      </w:r>
      <w:r w:rsidR="00230D9B" w:rsidRPr="00D00D93">
        <w:t xml:space="preserve">los registros de mejoras, </w:t>
      </w:r>
      <w:r w:rsidR="001E2DC3" w:rsidRPr="00D00D93">
        <w:t>el uso de diagram</w:t>
      </w:r>
      <w:r w:rsidR="003A1D47" w:rsidRPr="00D00D93">
        <w:t>a</w:t>
      </w:r>
      <w:r w:rsidR="001E2DC3" w:rsidRPr="00D00D93">
        <w:t>s de flujo, el teletrabajo, la experi</w:t>
      </w:r>
      <w:r w:rsidR="003A1D47" w:rsidRPr="00D00D93">
        <w:t>e</w:t>
      </w:r>
      <w:r w:rsidR="001E2DC3" w:rsidRPr="00D00D93">
        <w:t>ncia con la certificaci</w:t>
      </w:r>
      <w:r w:rsidR="00230D9B" w:rsidRPr="00D00D93">
        <w:t xml:space="preserve">ón ISO, la contratación externa de la búsqueda y el examen, y el control de </w:t>
      </w:r>
      <w:r w:rsidR="00D26DC8" w:rsidRPr="00D00D93">
        <w:t xml:space="preserve">la </w:t>
      </w:r>
      <w:r w:rsidR="00230D9B" w:rsidRPr="00D00D93">
        <w:t xml:space="preserve">calidad de los contratistas. </w:t>
      </w:r>
    </w:p>
    <w:p w:rsidR="00692AC0" w:rsidRPr="00D00D93" w:rsidRDefault="000B4C8E" w:rsidP="00740EFC">
      <w:pPr>
        <w:pStyle w:val="ONUMFS"/>
      </w:pPr>
      <w:r w:rsidRPr="00D00D93">
        <w:t xml:space="preserve">Revisar </w:t>
      </w:r>
      <w:r w:rsidR="00230D9B" w:rsidRPr="00D00D93">
        <w:t xml:space="preserve">el informe sobre el sistema de gestión de la calidad de otra Administración </w:t>
      </w:r>
      <w:r w:rsidRPr="00D00D93">
        <w:t xml:space="preserve">permite </w:t>
      </w:r>
      <w:r w:rsidR="00D26DC8" w:rsidRPr="00D00D93">
        <w:t xml:space="preserve">recabar </w:t>
      </w:r>
      <w:r w:rsidR="00230D9B" w:rsidRPr="00D00D93">
        <w:t>una com</w:t>
      </w:r>
      <w:r w:rsidRPr="00D00D93">
        <w:t>p</w:t>
      </w:r>
      <w:r w:rsidR="00230D9B" w:rsidRPr="00D00D93">
        <w:t>rensión más adecuada de la labor que lleva a cabo esa Admi</w:t>
      </w:r>
      <w:r w:rsidR="003A1D47" w:rsidRPr="00D00D93">
        <w:t>ni</w:t>
      </w:r>
      <w:r w:rsidR="00230D9B" w:rsidRPr="00D00D93">
        <w:t>stración.</w:t>
      </w:r>
      <w:r w:rsidR="001B7D70" w:rsidRPr="00D00D93">
        <w:t xml:space="preserve">  </w:t>
      </w:r>
      <w:r w:rsidRPr="00D00D93">
        <w:t xml:space="preserve">Se observó que las </w:t>
      </w:r>
      <w:r w:rsidR="005B1DAD" w:rsidRPr="00D00D93">
        <w:t>Administraciones</w:t>
      </w:r>
      <w:r w:rsidR="001B7D70" w:rsidRPr="00D00D93">
        <w:t xml:space="preserve"> </w:t>
      </w:r>
      <w:r w:rsidRPr="00D00D93">
        <w:t>comparten los mismos objetivos comunes y que los ejercicios de revisión han ayudado a comprender las diferencias, por ejemplo, de terminología.</w:t>
      </w:r>
      <w:r w:rsidR="001B7D70" w:rsidRPr="00D00D93">
        <w:t xml:space="preserve">  </w:t>
      </w:r>
      <w:r w:rsidRPr="00D00D93">
        <w:t xml:space="preserve">Aunque en cada sesión una </w:t>
      </w:r>
      <w:r w:rsidR="00636E19" w:rsidRPr="00D00D93">
        <w:t>Administración</w:t>
      </w:r>
      <w:r w:rsidR="001B7D70" w:rsidRPr="00D00D93">
        <w:t xml:space="preserve"> </w:t>
      </w:r>
      <w:r w:rsidRPr="00D00D93">
        <w:t xml:space="preserve">revisó el informe de otra </w:t>
      </w:r>
      <w:r w:rsidR="00636E19" w:rsidRPr="00D00D93">
        <w:t>Administración</w:t>
      </w:r>
      <w:r w:rsidR="001B7D70" w:rsidRPr="00D00D93">
        <w:t xml:space="preserve">, </w:t>
      </w:r>
      <w:r w:rsidRPr="00D00D93">
        <w:t xml:space="preserve">la experiencia </w:t>
      </w:r>
      <w:r w:rsidR="003D755D" w:rsidRPr="00D00D93">
        <w:t xml:space="preserve">vivida </w:t>
      </w:r>
      <w:r w:rsidRPr="00D00D93">
        <w:t xml:space="preserve">durante la sesión </w:t>
      </w:r>
      <w:r w:rsidR="00436FF7" w:rsidRPr="00D00D93">
        <w:t xml:space="preserve">de observaciones </w:t>
      </w:r>
      <w:r w:rsidR="003D755D" w:rsidRPr="00D00D93">
        <w:t>fue más allá de la de un mero diálogo a dos bandas</w:t>
      </w:r>
      <w:r w:rsidR="001B7D70" w:rsidRPr="00D00D93">
        <w:t xml:space="preserve">.  </w:t>
      </w:r>
      <w:r w:rsidR="00A56EB3" w:rsidRPr="00D00D93">
        <w:t>Aunque algunos partic</w:t>
      </w:r>
      <w:r w:rsidR="003A1D47" w:rsidRPr="00D00D93">
        <w:t>i</w:t>
      </w:r>
      <w:r w:rsidR="00A56EB3" w:rsidRPr="00D00D93">
        <w:t xml:space="preserve">pantes dijeron </w:t>
      </w:r>
      <w:r w:rsidR="009956EA" w:rsidRPr="00D00D93">
        <w:t>haber tenido suficiente con los 60 </w:t>
      </w:r>
      <w:r w:rsidR="00A56EB3" w:rsidRPr="00D00D93">
        <w:t xml:space="preserve">minutos asignados a cada revisión, </w:t>
      </w:r>
      <w:r w:rsidR="009956EA" w:rsidRPr="00D00D93">
        <w:t>en general se consideró que con 90 </w:t>
      </w:r>
      <w:r w:rsidR="00A56EB3" w:rsidRPr="00D00D93">
        <w:t>minutos se habría dispuesto de más margen para intercambiar opiniones.  Las Administraciones celebraron las instalaciones provistas, pues habían hecho posible mantener cada conversación en una sala independiente, si bien señalaron que para ejercicios venideros podría resultar conveniente contar con conexión wifi.  En cua</w:t>
      </w:r>
      <w:r w:rsidR="00B40D1D" w:rsidRPr="00D00D93">
        <w:t>n</w:t>
      </w:r>
      <w:r w:rsidR="00A56EB3" w:rsidRPr="00D00D93">
        <w:t xml:space="preserve">to a la organización, algunas Administraciones habrían preferido disponer de </w:t>
      </w:r>
      <w:r w:rsidR="00B40D1D" w:rsidRPr="00D00D93">
        <w:t xml:space="preserve">alrededor de </w:t>
      </w:r>
      <w:r w:rsidR="00A56EB3" w:rsidRPr="00D00D93">
        <w:t xml:space="preserve">cuatro semanas para revisar el informe de su Oficina y que algunas </w:t>
      </w:r>
      <w:r w:rsidR="00B40D1D" w:rsidRPr="00D00D93">
        <w:t xml:space="preserve">de las preguntas que se les dirigieron se hubieran enviado con antelación suficiente respecto de la reunión a fin de permitirles mantener consultas internas.  Sin embargo, también se señaló que </w:t>
      </w:r>
      <w:r w:rsidR="00D26DC8" w:rsidRPr="00D00D93">
        <w:t xml:space="preserve">tales medidas </w:t>
      </w:r>
      <w:r w:rsidR="00B40D1D" w:rsidRPr="00D00D93">
        <w:t>no debiera</w:t>
      </w:r>
      <w:r w:rsidR="00D26DC8" w:rsidRPr="00D00D93">
        <w:t>n</w:t>
      </w:r>
      <w:r w:rsidR="00B40D1D" w:rsidRPr="00D00D93">
        <w:t xml:space="preserve"> ir </w:t>
      </w:r>
      <w:r w:rsidR="00C60450" w:rsidRPr="00D00D93">
        <w:t xml:space="preserve">en </w:t>
      </w:r>
      <w:r w:rsidR="00B40D1D" w:rsidRPr="00D00D93">
        <w:t>detrimento del car</w:t>
      </w:r>
      <w:r w:rsidR="003A1D47" w:rsidRPr="00D00D93">
        <w:t>á</w:t>
      </w:r>
      <w:r w:rsidR="00B40D1D" w:rsidRPr="00D00D93">
        <w:t xml:space="preserve">cter pretendidamente informal que se quiere </w:t>
      </w:r>
      <w:r w:rsidR="00D26DC8" w:rsidRPr="00D00D93">
        <w:t xml:space="preserve">conferir </w:t>
      </w:r>
      <w:r w:rsidR="00B40D1D" w:rsidRPr="00D00D93">
        <w:t xml:space="preserve">a las sesiones y que un preaviso mayor obligaría a </w:t>
      </w:r>
      <w:r w:rsidR="00C60450" w:rsidRPr="00D00D93">
        <w:t xml:space="preserve">las </w:t>
      </w:r>
      <w:r w:rsidR="00B40D1D" w:rsidRPr="00D00D93">
        <w:t>Administraciones a decidir sobre su participa</w:t>
      </w:r>
      <w:r w:rsidR="003A1D47" w:rsidRPr="00D00D93">
        <w:t>c</w:t>
      </w:r>
      <w:r w:rsidR="00B40D1D" w:rsidRPr="00D00D93">
        <w:t>i</w:t>
      </w:r>
      <w:r w:rsidR="003A1D47" w:rsidRPr="00D00D93">
        <w:t>ó</w:t>
      </w:r>
      <w:r w:rsidR="00B40D1D" w:rsidRPr="00D00D93">
        <w:t xml:space="preserve">n en una fecha más temprana.  </w:t>
      </w:r>
      <w:r w:rsidR="00B40D1D" w:rsidRPr="00D00D93">
        <w:lastRenderedPageBreak/>
        <w:t xml:space="preserve">Una Administración indicó que la revisión </w:t>
      </w:r>
      <w:r w:rsidR="00C60450" w:rsidRPr="00D00D93">
        <w:t xml:space="preserve">posibilitará </w:t>
      </w:r>
      <w:r w:rsidR="00692AC0" w:rsidRPr="00D00D93">
        <w:t xml:space="preserve">un examen más riguroso del informe </w:t>
      </w:r>
      <w:r w:rsidR="003A1D47" w:rsidRPr="00D00D93">
        <w:t xml:space="preserve">del próximo año </w:t>
      </w:r>
      <w:r w:rsidR="00692AC0" w:rsidRPr="00D00D93">
        <w:t xml:space="preserve">sobre su sistema de gestión de la calidad </w:t>
      </w:r>
      <w:r w:rsidR="002559CA" w:rsidRPr="00D00D93">
        <w:t xml:space="preserve">a fin de </w:t>
      </w:r>
      <w:r w:rsidR="00692AC0" w:rsidRPr="00D00D93">
        <w:t>considerar la posibilidad de que cambios más amplios puedan contribuir a mejorar la presentación de la información</w:t>
      </w:r>
      <w:r w:rsidR="003A1D47" w:rsidRPr="00D00D93">
        <w:t>.</w:t>
      </w:r>
      <w:r w:rsidR="00692AC0" w:rsidRPr="00D00D93">
        <w:t xml:space="preserve"> </w:t>
      </w:r>
    </w:p>
    <w:p w:rsidR="00747A0E" w:rsidRPr="00D00D93" w:rsidRDefault="00692AC0" w:rsidP="00740EFC">
      <w:pPr>
        <w:pStyle w:val="ONUMFS"/>
      </w:pPr>
      <w:r w:rsidRPr="00D00D93">
        <w:t>Las A</w:t>
      </w:r>
      <w:r w:rsidR="003A1D47" w:rsidRPr="00D00D93">
        <w:t>d</w:t>
      </w:r>
      <w:r w:rsidRPr="00D00D93">
        <w:t xml:space="preserve">ministraciones participantes </w:t>
      </w:r>
      <w:r w:rsidR="00747A0E" w:rsidRPr="00D00D93">
        <w:t>di</w:t>
      </w:r>
      <w:r w:rsidR="003A1D47" w:rsidRPr="00D00D93">
        <w:t>j</w:t>
      </w:r>
      <w:r w:rsidR="00747A0E" w:rsidRPr="00D00D93">
        <w:t>eron que, en su opinión, la cumplimentación de un formulario de observaciones al término de cada sesión de revisión revist</w:t>
      </w:r>
      <w:r w:rsidR="008D374E" w:rsidRPr="00D00D93">
        <w:t>e</w:t>
      </w:r>
      <w:r w:rsidR="00747A0E" w:rsidRPr="00D00D93">
        <w:t xml:space="preserve"> utilidad tanto para la Administración revis</w:t>
      </w:r>
      <w:r w:rsidR="00D26DC8" w:rsidRPr="00D00D93">
        <w:t>ora como para la Administración que se somete a revisión</w:t>
      </w:r>
      <w:r w:rsidR="001B7D70" w:rsidRPr="00D00D93">
        <w:t xml:space="preserve">.  </w:t>
      </w:r>
      <w:r w:rsidRPr="00D00D93">
        <w:t xml:space="preserve">En respuesta a la solicitud de una </w:t>
      </w:r>
      <w:r w:rsidR="00636E19" w:rsidRPr="00D00D93">
        <w:t>Administración</w:t>
      </w:r>
      <w:r w:rsidRPr="00D00D93">
        <w:t xml:space="preserve"> que no había participado en las sesiones de revisión por homólogos </w:t>
      </w:r>
      <w:r w:rsidR="00D26DC8" w:rsidRPr="00D00D93">
        <w:t xml:space="preserve">de </w:t>
      </w:r>
      <w:r w:rsidRPr="00D00D93">
        <w:t xml:space="preserve">que se </w:t>
      </w:r>
      <w:r w:rsidR="008D374E" w:rsidRPr="00D00D93">
        <w:t>proce</w:t>
      </w:r>
      <w:r w:rsidR="003A1D47" w:rsidRPr="00D00D93">
        <w:t>d</w:t>
      </w:r>
      <w:r w:rsidR="008D374E" w:rsidRPr="00D00D93">
        <w:t xml:space="preserve">a a distribuir ese </w:t>
      </w:r>
      <w:r w:rsidRPr="00D00D93">
        <w:t>formulario de ob</w:t>
      </w:r>
      <w:r w:rsidR="003A1D47" w:rsidRPr="00D00D93">
        <w:t>s</w:t>
      </w:r>
      <w:r w:rsidRPr="00D00D93">
        <w:t>ervaciones,</w:t>
      </w:r>
      <w:r w:rsidR="001B7D70" w:rsidRPr="00D00D93">
        <w:t xml:space="preserve"> </w:t>
      </w:r>
      <w:r w:rsidRPr="00D00D93">
        <w:t xml:space="preserve">las Administraciones participantes convinieron en que la </w:t>
      </w:r>
      <w:r w:rsidR="005B1DAD" w:rsidRPr="00D00D93">
        <w:t>Oficina Internacional</w:t>
      </w:r>
      <w:r w:rsidR="001B7D70" w:rsidRPr="00D00D93">
        <w:t xml:space="preserve"> </w:t>
      </w:r>
      <w:r w:rsidR="00747A0E" w:rsidRPr="00D00D93">
        <w:t>pueda poner a disposición del Subgrupo</w:t>
      </w:r>
      <w:r w:rsidR="008D374E" w:rsidRPr="00D00D93">
        <w:t>,</w:t>
      </w:r>
      <w:r w:rsidR="00747A0E" w:rsidRPr="00D00D93">
        <w:t xml:space="preserve"> a través de la wiki</w:t>
      </w:r>
      <w:r w:rsidR="008D374E" w:rsidRPr="00D00D93">
        <w:t>,</w:t>
      </w:r>
      <w:r w:rsidR="00747A0E" w:rsidRPr="00D00D93">
        <w:t xml:space="preserve"> ejemplos de </w:t>
      </w:r>
      <w:r w:rsidR="00D26DC8" w:rsidRPr="00D00D93">
        <w:t xml:space="preserve">los </w:t>
      </w:r>
      <w:r w:rsidR="00747A0E" w:rsidRPr="00D00D93">
        <w:t xml:space="preserve">formularios de observaciones cumplimentados cuando las Administraciones participantes así lo </w:t>
      </w:r>
      <w:r w:rsidR="008D374E" w:rsidRPr="00D00D93">
        <w:t>decidan</w:t>
      </w:r>
      <w:r w:rsidR="00747A0E" w:rsidRPr="00D00D93">
        <w:t xml:space="preserve">.  </w:t>
      </w:r>
      <w:r w:rsidR="008D374E" w:rsidRPr="00D00D93">
        <w:t xml:space="preserve">Así con todo, </w:t>
      </w:r>
      <w:r w:rsidR="00747A0E" w:rsidRPr="00D00D93">
        <w:t xml:space="preserve">algunos participantes manifestaron que, habida cuenta del carácter general de </w:t>
      </w:r>
      <w:r w:rsidR="00D26DC8" w:rsidRPr="00D00D93">
        <w:t xml:space="preserve">los </w:t>
      </w:r>
      <w:r w:rsidR="00747A0E" w:rsidRPr="00D00D93">
        <w:t>contenido</w:t>
      </w:r>
      <w:r w:rsidR="00D26DC8" w:rsidRPr="00D00D93">
        <w:t>s</w:t>
      </w:r>
      <w:r w:rsidR="00747A0E" w:rsidRPr="00D00D93">
        <w:t xml:space="preserve"> y </w:t>
      </w:r>
      <w:r w:rsidR="008D374E" w:rsidRPr="00D00D93">
        <w:t xml:space="preserve">de </w:t>
      </w:r>
      <w:r w:rsidR="00747A0E" w:rsidRPr="00D00D93">
        <w:t xml:space="preserve">la sencillez del formulario de observaciones, que principalmente </w:t>
      </w:r>
      <w:r w:rsidR="008D374E" w:rsidRPr="00D00D93">
        <w:t xml:space="preserve">se centra </w:t>
      </w:r>
      <w:r w:rsidR="00747A0E" w:rsidRPr="00D00D93">
        <w:t xml:space="preserve">en aspectos logísticos, </w:t>
      </w:r>
      <w:r w:rsidR="00D26DC8" w:rsidRPr="00D00D93">
        <w:t xml:space="preserve">dicho formulario no </w:t>
      </w:r>
      <w:r w:rsidR="00520174" w:rsidRPr="00D00D93">
        <w:t xml:space="preserve">debiera </w:t>
      </w:r>
      <w:r w:rsidR="008D374E" w:rsidRPr="00D00D93">
        <w:t>considerarse de gran interés para el resto de Administraciones</w:t>
      </w:r>
      <w:r w:rsidR="00747A0E" w:rsidRPr="00D00D93">
        <w:t>.</w:t>
      </w:r>
    </w:p>
    <w:p w:rsidR="00A56EB3" w:rsidRPr="00D00D93" w:rsidRDefault="00440080" w:rsidP="00740EFC">
      <w:pPr>
        <w:pStyle w:val="ONUMFS"/>
        <w:tabs>
          <w:tab w:val="clear" w:pos="567"/>
        </w:tabs>
        <w:ind w:left="567"/>
      </w:pPr>
      <w:r w:rsidRPr="00D00D93">
        <w:t>El Subgrupo tomó not</w:t>
      </w:r>
      <w:r w:rsidR="003A1D47" w:rsidRPr="00D00D93">
        <w:t>a</w:t>
      </w:r>
      <w:r w:rsidRPr="00D00D93">
        <w:t xml:space="preserve"> de las observaciones obtenidas de los ejercicios de revisión por homólogos y recomendó que las </w:t>
      </w:r>
      <w:r w:rsidR="005B1DAD" w:rsidRPr="00D00D93">
        <w:t>Administraciones</w:t>
      </w:r>
      <w:r w:rsidR="001B7D70" w:rsidRPr="00D00D93">
        <w:t xml:space="preserve"> </w:t>
      </w:r>
      <w:r w:rsidRPr="00D00D93">
        <w:t>interesadas lleven a cabo un ejercicio de revisión por homólogos de los informes so</w:t>
      </w:r>
      <w:r w:rsidR="00A56EB3" w:rsidRPr="00D00D93">
        <w:t>b</w:t>
      </w:r>
      <w:r w:rsidRPr="00D00D93">
        <w:t>re los sistemas de gestión de la calidad en la próxima reunión</w:t>
      </w:r>
      <w:r w:rsidR="001B7D70" w:rsidRPr="00D00D93">
        <w:t xml:space="preserve">.  </w:t>
      </w:r>
      <w:r w:rsidRPr="00D00D93">
        <w:t xml:space="preserve">La </w:t>
      </w:r>
      <w:r w:rsidR="005B1DAD" w:rsidRPr="00D00D93">
        <w:t>Oficina Internacional</w:t>
      </w:r>
      <w:r w:rsidR="001B7D70" w:rsidRPr="00D00D93">
        <w:t xml:space="preserve"> </w:t>
      </w:r>
      <w:r w:rsidRPr="00D00D93">
        <w:t xml:space="preserve">invitará a las </w:t>
      </w:r>
      <w:r w:rsidR="005B1DAD" w:rsidRPr="00D00D93">
        <w:t>Administraciones</w:t>
      </w:r>
      <w:r w:rsidR="001B7D70" w:rsidRPr="00D00D93">
        <w:t xml:space="preserve"> </w:t>
      </w:r>
      <w:r w:rsidRPr="00D00D93">
        <w:t>a participar por medio de la Circular que se les envia</w:t>
      </w:r>
      <w:r w:rsidR="00A56EB3" w:rsidRPr="00D00D93">
        <w:t>rá</w:t>
      </w:r>
      <w:r w:rsidRPr="00D00D93">
        <w:t xml:space="preserve"> para solicitarles los info</w:t>
      </w:r>
      <w:r w:rsidR="003A1D47" w:rsidRPr="00D00D93">
        <w:t>r</w:t>
      </w:r>
      <w:r w:rsidRPr="00D00D93">
        <w:t>mes sobre los sistemas de gestión de la calidad</w:t>
      </w:r>
      <w:r w:rsidR="00A56EB3" w:rsidRPr="00D00D93">
        <w:t>,</w:t>
      </w:r>
      <w:r w:rsidRPr="00D00D93">
        <w:t xml:space="preserve"> en la </w:t>
      </w:r>
      <w:r w:rsidR="00A56EB3" w:rsidRPr="00D00D93">
        <w:t xml:space="preserve">que </w:t>
      </w:r>
      <w:r w:rsidRPr="00D00D93">
        <w:t xml:space="preserve">se </w:t>
      </w:r>
      <w:r w:rsidR="00A56EB3" w:rsidRPr="00D00D93">
        <w:t xml:space="preserve">consignará el </w:t>
      </w:r>
      <w:r w:rsidRPr="00D00D93">
        <w:t xml:space="preserve">plazo </w:t>
      </w:r>
      <w:r w:rsidR="00A56EB3" w:rsidRPr="00D00D93">
        <w:t>de que dispondr</w:t>
      </w:r>
      <w:r w:rsidR="008D374E" w:rsidRPr="00D00D93">
        <w:t>á</w:t>
      </w:r>
      <w:r w:rsidR="00A56EB3" w:rsidRPr="00D00D93">
        <w:t xml:space="preserve">n </w:t>
      </w:r>
      <w:r w:rsidRPr="00D00D93">
        <w:t>las A</w:t>
      </w:r>
      <w:r w:rsidR="003A1D47" w:rsidRPr="00D00D93">
        <w:t>d</w:t>
      </w:r>
      <w:r w:rsidRPr="00D00D93">
        <w:t xml:space="preserve">ministraciones participantes </w:t>
      </w:r>
      <w:r w:rsidR="00A56EB3" w:rsidRPr="00D00D93">
        <w:t xml:space="preserve">para </w:t>
      </w:r>
      <w:r w:rsidRPr="00D00D93">
        <w:t xml:space="preserve">ponerse en contacto con la Administración cuyo informe </w:t>
      </w:r>
      <w:r w:rsidR="00A56EB3" w:rsidRPr="00D00D93">
        <w:t>vayan a revisar y</w:t>
      </w:r>
      <w:r w:rsidR="00D26DC8" w:rsidRPr="00D00D93">
        <w:t xml:space="preserve">, si así se desea, </w:t>
      </w:r>
      <w:r w:rsidR="00A56EB3" w:rsidRPr="00D00D93">
        <w:t xml:space="preserve">formularse preguntas. </w:t>
      </w:r>
    </w:p>
    <w:p w:rsidR="001B7D70" w:rsidRPr="00D00D93" w:rsidRDefault="001B7D70" w:rsidP="001B7D70">
      <w:pPr>
        <w:pStyle w:val="Heading1"/>
        <w:keepNext w:val="0"/>
      </w:pPr>
      <w:r w:rsidRPr="00D00D93">
        <w:t>2.</w:t>
      </w:r>
      <w:r w:rsidRPr="00D00D93">
        <w:tab/>
      </w:r>
      <w:r w:rsidR="00A61B8B" w:rsidRPr="00D00D93">
        <w:t xml:space="preserve">MEJOR COMPRENSIÓN DEL TRABAJO DESARROLLADO POR OTRAS OFICINAS </w:t>
      </w:r>
    </w:p>
    <w:p w:rsidR="001B7D70" w:rsidRPr="00D00D93" w:rsidRDefault="001B7D70" w:rsidP="001B7D70">
      <w:pPr>
        <w:pStyle w:val="Heading2"/>
        <w:keepNext w:val="0"/>
      </w:pPr>
      <w:r w:rsidRPr="00D00D93">
        <w:t>a)</w:t>
      </w:r>
      <w:r w:rsidRPr="00D00D93">
        <w:tab/>
      </w:r>
      <w:r w:rsidR="008102A9" w:rsidRPr="00D00D93">
        <w:t xml:space="preserve">DIFERENTES ENFOQUES PARA COMPARTIR LAS ESTRATEGIAS DE BÚSQUEDA </w:t>
      </w:r>
    </w:p>
    <w:p w:rsidR="001B7D70" w:rsidRPr="00D00D93" w:rsidRDefault="00636E19" w:rsidP="00740EFC">
      <w:pPr>
        <w:pStyle w:val="ONUMFS"/>
      </w:pPr>
      <w:r w:rsidRPr="00D00D93">
        <w:t>Una Administración</w:t>
      </w:r>
      <w:r w:rsidR="00B71257" w:rsidRPr="00D00D93">
        <w:t>,</w:t>
      </w:r>
      <w:r w:rsidR="001B7D70" w:rsidRPr="00D00D93">
        <w:t xml:space="preserve"> </w:t>
      </w:r>
      <w:r w:rsidR="008D374E" w:rsidRPr="00D00D93">
        <w:t xml:space="preserve">que recientemente </w:t>
      </w:r>
      <w:r w:rsidR="00FD6630" w:rsidRPr="00D00D93">
        <w:t xml:space="preserve">ha empezado </w:t>
      </w:r>
      <w:r w:rsidR="008D374E" w:rsidRPr="00D00D93">
        <w:t xml:space="preserve">a compartir </w:t>
      </w:r>
      <w:r w:rsidR="00FD6630" w:rsidRPr="00D00D93">
        <w:t xml:space="preserve">sus </w:t>
      </w:r>
      <w:r w:rsidR="008D374E" w:rsidRPr="00D00D93">
        <w:t xml:space="preserve">estrategias de búsqueda íntegras con la Oficina Internacional en </w:t>
      </w:r>
      <w:r w:rsidR="001B7D70" w:rsidRPr="00D00D93">
        <w:t>PATENTSCOPE</w:t>
      </w:r>
      <w:r w:rsidR="00B71257" w:rsidRPr="00D00D93">
        <w:t>,</w:t>
      </w:r>
      <w:r w:rsidR="001B7D70" w:rsidRPr="00D00D93">
        <w:t xml:space="preserve"> </w:t>
      </w:r>
      <w:r w:rsidR="00FD6630" w:rsidRPr="00D00D93">
        <w:t xml:space="preserve">dijo que esa petición había sido </w:t>
      </w:r>
      <w:r w:rsidR="00520174" w:rsidRPr="00D00D93">
        <w:t xml:space="preserve">cursada </w:t>
      </w:r>
      <w:r w:rsidR="00FD6630" w:rsidRPr="00D00D93">
        <w:t xml:space="preserve">por sus peticionarios en una reunión de partes interesadas celebrada a comienzos </w:t>
      </w:r>
      <w:r w:rsidR="009956EA" w:rsidRPr="00D00D93">
        <w:t>de 20</w:t>
      </w:r>
      <w:r w:rsidR="00FD6630" w:rsidRPr="00D00D93">
        <w:t>17</w:t>
      </w:r>
      <w:r w:rsidR="001B7D70" w:rsidRPr="00D00D93">
        <w:t xml:space="preserve">. </w:t>
      </w:r>
    </w:p>
    <w:p w:rsidR="00FD6630" w:rsidRPr="00D00D93" w:rsidRDefault="00A56EB3" w:rsidP="00740EFC">
      <w:pPr>
        <w:pStyle w:val="ONUMFS"/>
      </w:pPr>
      <w:r w:rsidRPr="00D00D93">
        <w:t xml:space="preserve">Algunas </w:t>
      </w:r>
      <w:r w:rsidR="005B1DAD" w:rsidRPr="00D00D93">
        <w:t>Administraciones Internacionales</w:t>
      </w:r>
      <w:r w:rsidR="001B7D70" w:rsidRPr="00D00D93">
        <w:t xml:space="preserve"> </w:t>
      </w:r>
      <w:r w:rsidR="00FD6630" w:rsidRPr="00D00D93">
        <w:t>expresaron su apoyo a la propuesta de qu</w:t>
      </w:r>
      <w:r w:rsidR="00B71257" w:rsidRPr="00D00D93">
        <w:t>e</w:t>
      </w:r>
      <w:r w:rsidR="00FD6630" w:rsidRPr="00D00D93">
        <w:t xml:space="preserve"> s</w:t>
      </w:r>
      <w:r w:rsidR="00B71257" w:rsidRPr="00D00D93">
        <w:t>e</w:t>
      </w:r>
      <w:r w:rsidR="00FD6630" w:rsidRPr="00D00D93">
        <w:t xml:space="preserve"> prepare y realice una encuesta entre los usuarios</w:t>
      </w:r>
      <w:r w:rsidR="001B7D70" w:rsidRPr="00D00D93">
        <w:t xml:space="preserve">, </w:t>
      </w:r>
      <w:r w:rsidR="00FD6630" w:rsidRPr="00D00D93">
        <w:t>con el fin de determinar qu</w:t>
      </w:r>
      <w:r w:rsidR="003A1D47" w:rsidRPr="00D00D93">
        <w:t>é</w:t>
      </w:r>
      <w:r w:rsidR="00FD6630" w:rsidRPr="00D00D93">
        <w:t xml:space="preserve"> es lo que se espera </w:t>
      </w:r>
      <w:r w:rsidR="00D26DC8" w:rsidRPr="00D00D93">
        <w:t>obtener d</w:t>
      </w:r>
      <w:r w:rsidR="00FD6630" w:rsidRPr="00D00D93">
        <w:t xml:space="preserve">el estudio de las estrategias de búsqueda.  Una Administración sugirió que </w:t>
      </w:r>
      <w:r w:rsidR="00D26DC8" w:rsidRPr="00D00D93">
        <w:t xml:space="preserve">una </w:t>
      </w:r>
      <w:r w:rsidR="00FD6630" w:rsidRPr="00D00D93">
        <w:t xml:space="preserve">encuesta </w:t>
      </w:r>
      <w:r w:rsidR="00D26DC8" w:rsidRPr="00D00D93">
        <w:t xml:space="preserve">de ese tipo </w:t>
      </w:r>
      <w:r w:rsidR="00FD6630" w:rsidRPr="00D00D93">
        <w:t xml:space="preserve">debería abarcar la utilidad de </w:t>
      </w:r>
      <w:r w:rsidR="001B43B5" w:rsidRPr="00D00D93">
        <w:t>l</w:t>
      </w:r>
      <w:r w:rsidR="00FD6630" w:rsidRPr="00D00D93">
        <w:t>as estrategias de b</w:t>
      </w:r>
      <w:r w:rsidR="001B43B5" w:rsidRPr="00D00D93">
        <w:t>úsqueda</w:t>
      </w:r>
      <w:r w:rsidR="00FD6630" w:rsidRPr="00D00D93">
        <w:t>, su claridad, su contenido y la forma en qu</w:t>
      </w:r>
      <w:r w:rsidR="00B71257" w:rsidRPr="00D00D93">
        <w:t xml:space="preserve">e </w:t>
      </w:r>
      <w:r w:rsidR="00FD6630" w:rsidRPr="00D00D93">
        <w:t>se prese</w:t>
      </w:r>
      <w:r w:rsidR="001B43B5" w:rsidRPr="00D00D93">
        <w:t>n</w:t>
      </w:r>
      <w:r w:rsidR="00FD6630" w:rsidRPr="00D00D93">
        <w:t xml:space="preserve">tan. </w:t>
      </w:r>
      <w:r w:rsidR="001B43B5" w:rsidRPr="00D00D93">
        <w:t xml:space="preserve"> Esa </w:t>
      </w:r>
      <w:r w:rsidR="00FD6630" w:rsidRPr="00D00D93">
        <w:t xml:space="preserve">misma Administración </w:t>
      </w:r>
      <w:r w:rsidR="001B43B5" w:rsidRPr="00D00D93">
        <w:t xml:space="preserve">manifestó </w:t>
      </w:r>
      <w:r w:rsidR="00FD6630" w:rsidRPr="00D00D93">
        <w:t>su intención de llevar a cabo su pr</w:t>
      </w:r>
      <w:r w:rsidR="001B43B5" w:rsidRPr="00D00D93">
        <w:t>o</w:t>
      </w:r>
      <w:r w:rsidR="00FD6630" w:rsidRPr="00D00D93">
        <w:t>pia encuesta sobre estrategias de b</w:t>
      </w:r>
      <w:r w:rsidR="001B43B5" w:rsidRPr="00D00D93">
        <w:t>ús</w:t>
      </w:r>
      <w:r w:rsidR="00FD6630" w:rsidRPr="00D00D93">
        <w:t>queda.</w:t>
      </w:r>
    </w:p>
    <w:p w:rsidR="00B71257" w:rsidRPr="00D00D93" w:rsidRDefault="00636E19" w:rsidP="00740EFC">
      <w:pPr>
        <w:pStyle w:val="ONUMFS"/>
      </w:pPr>
      <w:r w:rsidRPr="00D00D93">
        <w:t>Una Administración</w:t>
      </w:r>
      <w:r w:rsidR="001B7D70" w:rsidRPr="00D00D93">
        <w:t xml:space="preserve"> </w:t>
      </w:r>
      <w:r w:rsidR="00F673CB" w:rsidRPr="00D00D93">
        <w:t xml:space="preserve">hizo un llamamiento a la prudencia, afirmando que existen diferentes </w:t>
      </w:r>
      <w:r w:rsidR="003869F7" w:rsidRPr="00D00D93">
        <w:t xml:space="preserve">interpretaciones de </w:t>
      </w:r>
      <w:r w:rsidR="00F673CB" w:rsidRPr="00D00D93">
        <w:t>lo</w:t>
      </w:r>
      <w:r w:rsidR="003869F7" w:rsidRPr="00D00D93">
        <w:t>s</w:t>
      </w:r>
      <w:r w:rsidR="00F673CB" w:rsidRPr="00D00D93">
        <w:t xml:space="preserve"> </w:t>
      </w:r>
      <w:r w:rsidR="00520174" w:rsidRPr="00D00D93">
        <w:t xml:space="preserve">distintos </w:t>
      </w:r>
      <w:r w:rsidR="003869F7" w:rsidRPr="00D00D93">
        <w:t xml:space="preserve">aspectos que intervienen en la puesta a </w:t>
      </w:r>
      <w:r w:rsidR="00F673CB" w:rsidRPr="00D00D93">
        <w:t>disposic</w:t>
      </w:r>
      <w:r w:rsidR="003869F7" w:rsidRPr="00D00D93">
        <w:t>i</w:t>
      </w:r>
      <w:r w:rsidR="00F673CB" w:rsidRPr="00D00D93">
        <w:t xml:space="preserve">ón </w:t>
      </w:r>
      <w:r w:rsidR="003869F7" w:rsidRPr="00D00D93">
        <w:t xml:space="preserve">de </w:t>
      </w:r>
      <w:r w:rsidR="00F673CB" w:rsidRPr="00D00D93">
        <w:t>una estrategia de búsqueda y, en consecuencia, de sus objetivos y lo que puede es</w:t>
      </w:r>
      <w:r w:rsidR="003869F7" w:rsidRPr="00D00D93">
        <w:t>p</w:t>
      </w:r>
      <w:r w:rsidR="00F673CB" w:rsidRPr="00D00D93">
        <w:t>erarse de ell</w:t>
      </w:r>
      <w:r w:rsidR="003869F7" w:rsidRPr="00D00D93">
        <w:t>o</w:t>
      </w:r>
      <w:r w:rsidR="00F673CB" w:rsidRPr="00D00D93">
        <w:t>.</w:t>
      </w:r>
      <w:r w:rsidR="001B7D70" w:rsidRPr="00D00D93">
        <w:t xml:space="preserve">  </w:t>
      </w:r>
      <w:r w:rsidR="00F673CB" w:rsidRPr="00D00D93">
        <w:t xml:space="preserve">No está claro quiénes deben </w:t>
      </w:r>
      <w:r w:rsidR="003A1D47" w:rsidRPr="00D00D93">
        <w:t>c</w:t>
      </w:r>
      <w:r w:rsidR="003869F7" w:rsidRPr="00D00D93">
        <w:t xml:space="preserve">onsiderarse </w:t>
      </w:r>
      <w:r w:rsidR="00F673CB" w:rsidRPr="00D00D93">
        <w:t>los u</w:t>
      </w:r>
      <w:r w:rsidR="003869F7" w:rsidRPr="00D00D93">
        <w:t xml:space="preserve">suarios </w:t>
      </w:r>
      <w:r w:rsidR="00F673CB" w:rsidRPr="00D00D93">
        <w:t xml:space="preserve">de esas estrategias. </w:t>
      </w:r>
      <w:r w:rsidR="00CF05DB" w:rsidRPr="00D00D93">
        <w:t xml:space="preserve"> </w:t>
      </w:r>
      <w:r w:rsidR="00F673CB" w:rsidRPr="00D00D93">
        <w:t xml:space="preserve">En opinión de esa Administración, los usuarios </w:t>
      </w:r>
      <w:r w:rsidR="003869F7" w:rsidRPr="00D00D93">
        <w:t xml:space="preserve">principales </w:t>
      </w:r>
      <w:r w:rsidR="00F673CB" w:rsidRPr="00D00D93">
        <w:t>son los solicitantes y terc</w:t>
      </w:r>
      <w:r w:rsidR="003869F7" w:rsidRPr="00D00D93">
        <w:t>e</w:t>
      </w:r>
      <w:r w:rsidR="00F673CB" w:rsidRPr="00D00D93">
        <w:t xml:space="preserve">ros, </w:t>
      </w:r>
      <w:r w:rsidR="003869F7" w:rsidRPr="00D00D93">
        <w:t xml:space="preserve">y que </w:t>
      </w:r>
      <w:r w:rsidR="00D26DC8" w:rsidRPr="00D00D93">
        <w:t xml:space="preserve">semejante </w:t>
      </w:r>
      <w:r w:rsidR="003869F7" w:rsidRPr="00D00D93">
        <w:t xml:space="preserve">información </w:t>
      </w:r>
      <w:r w:rsidR="00F673CB" w:rsidRPr="00D00D93">
        <w:t xml:space="preserve">les </w:t>
      </w:r>
      <w:r w:rsidR="003869F7" w:rsidRPr="00D00D93">
        <w:t xml:space="preserve">facilitaría tener una mayor confianza </w:t>
      </w:r>
      <w:r w:rsidR="00F673CB" w:rsidRPr="00D00D93">
        <w:t>en la</w:t>
      </w:r>
      <w:r w:rsidR="00DC4BD5" w:rsidRPr="00D00D93">
        <w:t>s</w:t>
      </w:r>
      <w:r w:rsidR="00F673CB" w:rsidRPr="00D00D93">
        <w:t xml:space="preserve"> b</w:t>
      </w:r>
      <w:r w:rsidR="003869F7" w:rsidRPr="00D00D93">
        <w:t>úsqueda</w:t>
      </w:r>
      <w:r w:rsidR="00DC4BD5" w:rsidRPr="00D00D93">
        <w:t>s</w:t>
      </w:r>
      <w:r w:rsidR="003869F7" w:rsidRPr="00D00D93">
        <w:t xml:space="preserve"> que se </w:t>
      </w:r>
      <w:r w:rsidR="00D26DC8" w:rsidRPr="00D00D93">
        <w:t>efectúan</w:t>
      </w:r>
      <w:r w:rsidR="00F673CB" w:rsidRPr="00D00D93">
        <w:t xml:space="preserve">.  Consultas ya celebradas </w:t>
      </w:r>
      <w:r w:rsidR="00D26DC8" w:rsidRPr="00D00D93">
        <w:t xml:space="preserve">indican </w:t>
      </w:r>
      <w:r w:rsidR="00F673CB" w:rsidRPr="00D00D93">
        <w:t xml:space="preserve">que esos usuarios de la Administración están </w:t>
      </w:r>
      <w:r w:rsidR="00DC4BD5" w:rsidRPr="00D00D93">
        <w:t xml:space="preserve">satisfechos </w:t>
      </w:r>
      <w:r w:rsidR="00F673CB" w:rsidRPr="00D00D93">
        <w:t xml:space="preserve">con las estrategias </w:t>
      </w:r>
      <w:r w:rsidR="00DC4BD5" w:rsidRPr="00D00D93">
        <w:t xml:space="preserve">puestas </w:t>
      </w:r>
      <w:r w:rsidR="00F673CB" w:rsidRPr="00D00D93">
        <w:t xml:space="preserve">a disposición y que los solicitantes desean </w:t>
      </w:r>
      <w:r w:rsidR="00DC4BD5" w:rsidRPr="00D00D93">
        <w:t xml:space="preserve">confiar </w:t>
      </w:r>
      <w:r w:rsidR="00F673CB" w:rsidRPr="00D00D93">
        <w:t>en la dirección de</w:t>
      </w:r>
      <w:r w:rsidR="00DC4BD5" w:rsidRPr="00D00D93">
        <w:t xml:space="preserve"> </w:t>
      </w:r>
      <w:r w:rsidR="00F673CB" w:rsidRPr="00D00D93">
        <w:t>la búsq</w:t>
      </w:r>
      <w:r w:rsidR="00DC4BD5" w:rsidRPr="00D00D93">
        <w:t xml:space="preserve">ueda </w:t>
      </w:r>
      <w:r w:rsidR="00F673CB" w:rsidRPr="00D00D93">
        <w:t xml:space="preserve">o </w:t>
      </w:r>
      <w:r w:rsidR="00520174" w:rsidRPr="00D00D93">
        <w:t xml:space="preserve">el </w:t>
      </w:r>
      <w:r w:rsidR="00F673CB" w:rsidRPr="00D00D93">
        <w:t>material que pueda r</w:t>
      </w:r>
      <w:r w:rsidR="00DC4BD5" w:rsidRPr="00D00D93">
        <w:t>es</w:t>
      </w:r>
      <w:r w:rsidR="00F673CB" w:rsidRPr="00D00D93">
        <w:t xml:space="preserve">ultar pertinente </w:t>
      </w:r>
      <w:r w:rsidR="00B71257" w:rsidRPr="00D00D93">
        <w:t xml:space="preserve">para </w:t>
      </w:r>
      <w:r w:rsidR="00DC4BD5" w:rsidRPr="00D00D93">
        <w:t>la tramitación de oposiciones o recursos</w:t>
      </w:r>
      <w:r w:rsidR="00B71257" w:rsidRPr="00D00D93">
        <w:t xml:space="preserve">.  </w:t>
      </w:r>
      <w:r w:rsidR="003660DA" w:rsidRPr="00D00D93">
        <w:t xml:space="preserve">Toda </w:t>
      </w:r>
      <w:r w:rsidR="00DC4BD5" w:rsidRPr="00D00D93">
        <w:t xml:space="preserve">labor futura requerirá </w:t>
      </w:r>
      <w:r w:rsidR="003660DA" w:rsidRPr="00D00D93">
        <w:t xml:space="preserve">atesorar </w:t>
      </w:r>
      <w:r w:rsidR="00DC4BD5" w:rsidRPr="00D00D93">
        <w:t xml:space="preserve">un entendimiento claro sobre los objetivos </w:t>
      </w:r>
      <w:r w:rsidR="003660DA" w:rsidRPr="00D00D93">
        <w:t>d</w:t>
      </w:r>
      <w:r w:rsidR="00DC4BD5" w:rsidRPr="00D00D93">
        <w:t xml:space="preserve">e cualquier encuesta, </w:t>
      </w:r>
      <w:r w:rsidR="003660DA" w:rsidRPr="00D00D93">
        <w:t>así como conocer qu</w:t>
      </w:r>
      <w:r w:rsidR="00C60450" w:rsidRPr="00D00D93">
        <w:t>é</w:t>
      </w:r>
      <w:r w:rsidR="003660DA" w:rsidRPr="00D00D93">
        <w:t xml:space="preserve"> segmentos de las comunidades de usuarios </w:t>
      </w:r>
      <w:r w:rsidR="00520174" w:rsidRPr="00D00D93">
        <w:t xml:space="preserve">precisarán </w:t>
      </w:r>
      <w:r w:rsidR="003660DA" w:rsidRPr="00D00D93">
        <w:t>ser abordados</w:t>
      </w:r>
      <w:r w:rsidR="00B71257" w:rsidRPr="00D00D93">
        <w:t xml:space="preserve">.  </w:t>
      </w:r>
      <w:r w:rsidR="00C60450" w:rsidRPr="00D00D93">
        <w:t>Es importante que la encuesta no tenga necesariamente por objeto la armonización de estrategias de búsqueda</w:t>
      </w:r>
      <w:r w:rsidR="00B71257" w:rsidRPr="00D00D93">
        <w:t xml:space="preserve">, </w:t>
      </w:r>
      <w:r w:rsidR="00C60450" w:rsidRPr="00D00D93">
        <w:t>y sí en cambio habilitar una comprensión más adecuada de su utilización</w:t>
      </w:r>
      <w:r w:rsidR="00B71257" w:rsidRPr="00D00D93">
        <w:t>.</w:t>
      </w:r>
    </w:p>
    <w:p w:rsidR="00071F82" w:rsidRPr="00D00D93" w:rsidRDefault="00A56EB3" w:rsidP="00740EFC">
      <w:pPr>
        <w:pStyle w:val="ONUMFS"/>
      </w:pPr>
      <w:r w:rsidRPr="00D00D93">
        <w:lastRenderedPageBreak/>
        <w:t xml:space="preserve">Otra </w:t>
      </w:r>
      <w:r w:rsidR="00636E19" w:rsidRPr="00D00D93">
        <w:t>Administración</w:t>
      </w:r>
      <w:r w:rsidRPr="00D00D93">
        <w:t xml:space="preserve"> </w:t>
      </w:r>
      <w:r w:rsidR="00274021" w:rsidRPr="00D00D93">
        <w:t xml:space="preserve">dijo que para ella el enfoque apropiado sería otro y </w:t>
      </w:r>
      <w:r w:rsidR="003660DA" w:rsidRPr="00D00D93">
        <w:t xml:space="preserve">que las estrategias de búsqueda pueden </w:t>
      </w:r>
      <w:r w:rsidR="00274021" w:rsidRPr="00D00D93">
        <w:t xml:space="preserve">servir </w:t>
      </w:r>
      <w:r w:rsidR="003660DA" w:rsidRPr="00D00D93">
        <w:t xml:space="preserve">para </w:t>
      </w:r>
      <w:r w:rsidR="00274021" w:rsidRPr="00D00D93">
        <w:t xml:space="preserve">que </w:t>
      </w:r>
      <w:r w:rsidR="003660DA" w:rsidRPr="00D00D93">
        <w:t xml:space="preserve">los examinadores </w:t>
      </w:r>
      <w:r w:rsidR="00274021" w:rsidRPr="00D00D93">
        <w:t xml:space="preserve">conozcan </w:t>
      </w:r>
      <w:r w:rsidR="003660DA" w:rsidRPr="00D00D93">
        <w:t>técnicas de búsqueda mejoradas.  De esa manera, toda encuesta que se considere realizar deberá dirigirse no solo a los solici</w:t>
      </w:r>
      <w:r w:rsidR="003A1D47" w:rsidRPr="00D00D93">
        <w:t>t</w:t>
      </w:r>
      <w:r w:rsidR="003660DA" w:rsidRPr="00D00D93">
        <w:t>antes y terceros, sino también a los examinadores de las Oficinas des</w:t>
      </w:r>
      <w:r w:rsidR="003A1D47" w:rsidRPr="00D00D93">
        <w:t>i</w:t>
      </w:r>
      <w:r w:rsidR="003660DA" w:rsidRPr="00D00D93">
        <w:t>gnadas, que pued</w:t>
      </w:r>
      <w:r w:rsidR="00520174" w:rsidRPr="00D00D93">
        <w:t>a</w:t>
      </w:r>
      <w:r w:rsidR="003660DA" w:rsidRPr="00D00D93">
        <w:t xml:space="preserve">n estar interesados en conocer los aspectos más avanzados de las estrategias de búsqueda. </w:t>
      </w:r>
      <w:r w:rsidR="00CF05DB" w:rsidRPr="00D00D93">
        <w:t xml:space="preserve"> </w:t>
      </w:r>
      <w:r w:rsidR="003A1D47" w:rsidRPr="00D00D93">
        <w:t xml:space="preserve">Otra </w:t>
      </w:r>
      <w:r w:rsidR="003660DA" w:rsidRPr="00D00D93">
        <w:t xml:space="preserve">Administración dijo </w:t>
      </w:r>
      <w:r w:rsidR="00BD5473" w:rsidRPr="00D00D93">
        <w:t xml:space="preserve">que los resultados </w:t>
      </w:r>
      <w:r w:rsidR="00071F82" w:rsidRPr="00D00D93">
        <w:t xml:space="preserve">de la tramitación internacional son utilizados por solicitantes, Oficinas designadas y otras partes interesadas, y que, por tanto, </w:t>
      </w:r>
      <w:r w:rsidR="00274021" w:rsidRPr="00D00D93">
        <w:t xml:space="preserve">entiende </w:t>
      </w:r>
      <w:r w:rsidR="00071F82" w:rsidRPr="00D00D93">
        <w:t>que el concepto de usuarios debe i</w:t>
      </w:r>
      <w:r w:rsidR="003A1D47" w:rsidRPr="00D00D93">
        <w:t>n</w:t>
      </w:r>
      <w:r w:rsidR="00071F82" w:rsidRPr="00D00D93">
        <w:t>clu</w:t>
      </w:r>
      <w:r w:rsidR="003A1D47" w:rsidRPr="00D00D93">
        <w:t>i</w:t>
      </w:r>
      <w:r w:rsidR="00071F82" w:rsidRPr="00D00D93">
        <w:t xml:space="preserve">r a todos ellos.  Otras Administraciones </w:t>
      </w:r>
      <w:r w:rsidR="00833B39" w:rsidRPr="00D00D93">
        <w:t>se hic</w:t>
      </w:r>
      <w:r w:rsidR="003A1D47" w:rsidRPr="00D00D93">
        <w:t>i</w:t>
      </w:r>
      <w:r w:rsidR="00833B39" w:rsidRPr="00D00D93">
        <w:t xml:space="preserve">eron </w:t>
      </w:r>
      <w:r w:rsidR="00071F82" w:rsidRPr="00D00D93">
        <w:t xml:space="preserve">eco del deseo de que la encuesta </w:t>
      </w:r>
      <w:r w:rsidR="00833B39" w:rsidRPr="00D00D93">
        <w:t xml:space="preserve">llegue a un público amplio. </w:t>
      </w:r>
    </w:p>
    <w:p w:rsidR="0009661A" w:rsidRPr="00D00D93" w:rsidRDefault="00636E19" w:rsidP="00740EFC">
      <w:pPr>
        <w:pStyle w:val="ONUMFS"/>
      </w:pPr>
      <w:r w:rsidRPr="00D00D93">
        <w:t>Una Administración</w:t>
      </w:r>
      <w:r w:rsidR="001B7D70" w:rsidRPr="00D00D93">
        <w:t xml:space="preserve"> </w:t>
      </w:r>
      <w:r w:rsidR="00EA1A56" w:rsidRPr="00D00D93">
        <w:t xml:space="preserve">se refirió a varias cuestiones </w:t>
      </w:r>
      <w:r w:rsidR="00520174" w:rsidRPr="00D00D93">
        <w:t xml:space="preserve">referidas </w:t>
      </w:r>
      <w:r w:rsidR="00EA1A56" w:rsidRPr="00D00D93">
        <w:t xml:space="preserve">a las </w:t>
      </w:r>
      <w:r w:rsidR="00DF1B1D" w:rsidRPr="00D00D93">
        <w:t xml:space="preserve">propias </w:t>
      </w:r>
      <w:r w:rsidR="00EA1A56" w:rsidRPr="00D00D93">
        <w:t xml:space="preserve">estrategias y alusivas a los riesgos de preparar manualmente los resúmenes de las búsquedas efectuadas y a las dificultades que plantea </w:t>
      </w:r>
      <w:r w:rsidR="0009661A" w:rsidRPr="00D00D93">
        <w:t xml:space="preserve">utilizar </w:t>
      </w:r>
      <w:r w:rsidR="00EA1A56" w:rsidRPr="00D00D93">
        <w:t xml:space="preserve">estrategias </w:t>
      </w:r>
      <w:r w:rsidR="0009661A" w:rsidRPr="00D00D93">
        <w:t xml:space="preserve">en el caso de las búsquedas que se llevan a cabo en idiomas con los que otros usuarios pueden no estar familiarizado.  Estas cuestiones aún están siendo examinadas con otras Administraciones.  Sugirió también que, en general, los examinadores </w:t>
      </w:r>
      <w:r w:rsidR="00B11653" w:rsidRPr="00D00D93">
        <w:t xml:space="preserve">aprenderían mejor </w:t>
      </w:r>
      <w:r w:rsidR="0009661A" w:rsidRPr="00D00D93">
        <w:t xml:space="preserve">llevando a cabo sus propias búsquedas y </w:t>
      </w:r>
      <w:r w:rsidR="00B11653" w:rsidRPr="00D00D93">
        <w:t xml:space="preserve">sirviéndose del asesoramiento individualizado de </w:t>
      </w:r>
      <w:r w:rsidR="0009661A" w:rsidRPr="00D00D93">
        <w:t>expertos locales</w:t>
      </w:r>
      <w:r w:rsidR="00B11653" w:rsidRPr="00D00D93">
        <w:t>,</w:t>
      </w:r>
      <w:r w:rsidR="0009661A" w:rsidRPr="00D00D93">
        <w:t xml:space="preserve"> que </w:t>
      </w:r>
      <w:r w:rsidR="00B11653" w:rsidRPr="00D00D93">
        <w:t xml:space="preserve">tratando de </w:t>
      </w:r>
      <w:r w:rsidR="0009661A" w:rsidRPr="00D00D93">
        <w:t>descifrar la</w:t>
      </w:r>
      <w:r w:rsidR="00B11653" w:rsidRPr="00D00D93">
        <w:t>s</w:t>
      </w:r>
      <w:r w:rsidR="0009661A" w:rsidRPr="00D00D93">
        <w:t xml:space="preserve"> estrategias </w:t>
      </w:r>
      <w:r w:rsidR="00B11653" w:rsidRPr="00D00D93">
        <w:t xml:space="preserve">detalladas </w:t>
      </w:r>
      <w:r w:rsidR="0009661A" w:rsidRPr="00D00D93">
        <w:t>de los examinadores de otras Oficinas.</w:t>
      </w:r>
    </w:p>
    <w:p w:rsidR="00EA1A56" w:rsidRPr="00D00D93" w:rsidRDefault="00A56EB3" w:rsidP="00740EFC">
      <w:pPr>
        <w:pStyle w:val="ONUMFS"/>
        <w:tabs>
          <w:tab w:val="clear" w:pos="567"/>
        </w:tabs>
        <w:ind w:left="567"/>
      </w:pPr>
      <w:r w:rsidRPr="00D00D93">
        <w:t xml:space="preserve">El Subgrupo </w:t>
      </w:r>
      <w:r w:rsidR="00071F82" w:rsidRPr="00D00D93">
        <w:t xml:space="preserve">acogió favorablemente el ofrecimiento </w:t>
      </w:r>
      <w:r w:rsidR="00833B39" w:rsidRPr="00D00D93">
        <w:t xml:space="preserve">de la USPTO de formular propuestas para su ulterior examen en la wiki, encaminadas a </w:t>
      </w:r>
      <w:r w:rsidR="00EA1A56" w:rsidRPr="00D00D93">
        <w:t xml:space="preserve">lograr </w:t>
      </w:r>
      <w:r w:rsidR="00833B39" w:rsidRPr="00D00D93">
        <w:t xml:space="preserve">un consenso </w:t>
      </w:r>
      <w:r w:rsidR="00EA1A56" w:rsidRPr="00D00D93">
        <w:t>en torno a los objetivos generales de una encuesta dirigida a difere</w:t>
      </w:r>
      <w:r w:rsidR="003A1D47" w:rsidRPr="00D00D93">
        <w:t>n</w:t>
      </w:r>
      <w:r w:rsidR="00EA1A56" w:rsidRPr="00D00D93">
        <w:t>t</w:t>
      </w:r>
      <w:r w:rsidR="003A1D47" w:rsidRPr="00D00D93">
        <w:t>e</w:t>
      </w:r>
      <w:r w:rsidR="00EA1A56" w:rsidRPr="00D00D93">
        <w:t>s usuarios de las estrategias de búsqueda y los puntos que habrán de abo</w:t>
      </w:r>
      <w:r w:rsidR="003A1D47" w:rsidRPr="00D00D93">
        <w:t>r</w:t>
      </w:r>
      <w:r w:rsidR="00EA1A56" w:rsidRPr="00D00D93">
        <w:t>darse en ella.</w:t>
      </w:r>
    </w:p>
    <w:p w:rsidR="001B7D70" w:rsidRPr="00D00D93" w:rsidRDefault="001B7D70" w:rsidP="001B7D70">
      <w:pPr>
        <w:pStyle w:val="Heading2"/>
        <w:keepNext w:val="0"/>
      </w:pPr>
      <w:r w:rsidRPr="00D00D93">
        <w:t>b)</w:t>
      </w:r>
      <w:r w:rsidRPr="00D00D93">
        <w:tab/>
      </w:r>
      <w:r w:rsidR="008102A9" w:rsidRPr="00D00D93">
        <w:t>CLÁUSULAS NORMALIZADAS</w:t>
      </w:r>
    </w:p>
    <w:p w:rsidR="001B7D70" w:rsidRPr="00D00D93" w:rsidRDefault="00B11653" w:rsidP="00740EFC">
      <w:pPr>
        <w:pStyle w:val="ONUMFS"/>
      </w:pPr>
      <w:r w:rsidRPr="00D00D93">
        <w:t xml:space="preserve">Hubo </w:t>
      </w:r>
      <w:r w:rsidR="005B1DAD" w:rsidRPr="00D00D93">
        <w:t>Administraciones</w:t>
      </w:r>
      <w:r w:rsidR="001B7D70" w:rsidRPr="00D00D93">
        <w:t xml:space="preserve"> </w:t>
      </w:r>
      <w:r w:rsidRPr="00D00D93">
        <w:t>que proporcionaron información actualizada sobre el uso de las cláusulas normalizadas</w:t>
      </w:r>
      <w:r w:rsidR="001B7D70" w:rsidRPr="00D00D93">
        <w:t xml:space="preserve">.  </w:t>
      </w:r>
      <w:r w:rsidRPr="00D00D93">
        <w:t xml:space="preserve">A ese respecto, la </w:t>
      </w:r>
      <w:r w:rsidR="005B1DAD" w:rsidRPr="00D00D93">
        <w:t>Oficina Internacional</w:t>
      </w:r>
      <w:r w:rsidR="001B7D70" w:rsidRPr="00D00D93">
        <w:t xml:space="preserve"> </w:t>
      </w:r>
      <w:r w:rsidRPr="00D00D93">
        <w:t xml:space="preserve">animo a esas </w:t>
      </w:r>
      <w:r w:rsidR="005B1DAD" w:rsidRPr="00D00D93">
        <w:t>Administraciones</w:t>
      </w:r>
      <w:r w:rsidR="001B7D70" w:rsidRPr="00D00D93">
        <w:t xml:space="preserve"> </w:t>
      </w:r>
      <w:r w:rsidRPr="00D00D93">
        <w:t xml:space="preserve">a actualizar el foro electrónico </w:t>
      </w:r>
      <w:r w:rsidR="00C219F1" w:rsidRPr="00D00D93">
        <w:t>para dejar constancia de la manera en que utilizan esas cláusulas</w:t>
      </w:r>
      <w:r w:rsidR="001B7D70" w:rsidRPr="00D00D93">
        <w:t>.</w:t>
      </w:r>
    </w:p>
    <w:p w:rsidR="00C219F1" w:rsidRPr="00D00D93" w:rsidRDefault="00C219F1" w:rsidP="00740EFC">
      <w:pPr>
        <w:pStyle w:val="ONUMFS"/>
      </w:pPr>
      <w:r w:rsidRPr="00D00D93">
        <w:t>En cuanto a las modificacion</w:t>
      </w:r>
      <w:r w:rsidR="003A1D47" w:rsidRPr="00D00D93">
        <w:t>e</w:t>
      </w:r>
      <w:r w:rsidRPr="00D00D93">
        <w:t>s propuestas</w:t>
      </w:r>
      <w:r w:rsidR="001B7D70" w:rsidRPr="00D00D93">
        <w:t xml:space="preserve">, </w:t>
      </w:r>
      <w:r w:rsidRPr="00D00D93">
        <w:t xml:space="preserve">algunas </w:t>
      </w:r>
      <w:r w:rsidR="005B1DAD" w:rsidRPr="00D00D93">
        <w:t>Administraciones</w:t>
      </w:r>
      <w:r w:rsidR="001B7D70" w:rsidRPr="00D00D93">
        <w:t xml:space="preserve"> </w:t>
      </w:r>
      <w:r w:rsidRPr="00D00D93">
        <w:t xml:space="preserve">manifestaron preferir que los cambios se adopten mediante una circular, mientras que otra </w:t>
      </w:r>
      <w:r w:rsidR="00274021" w:rsidRPr="00D00D93">
        <w:t xml:space="preserve">Administración </w:t>
      </w:r>
      <w:r w:rsidRPr="00D00D93">
        <w:t xml:space="preserve">sugirió que las cláusulas podrían incluirse como cláusulas modelo en un Anexo a las Directrices </w:t>
      </w:r>
      <w:r w:rsidRPr="00D00D93">
        <w:rPr>
          <w:rFonts w:eastAsia="Times New Roman"/>
        </w:rPr>
        <w:t>de búsqueda internacional y de exam</w:t>
      </w:r>
      <w:r w:rsidR="009956EA" w:rsidRPr="00D00D93">
        <w:rPr>
          <w:rFonts w:eastAsia="Times New Roman"/>
        </w:rPr>
        <w:t>en preliminar internacional del </w:t>
      </w:r>
      <w:r w:rsidRPr="00D00D93">
        <w:rPr>
          <w:rFonts w:eastAsia="Times New Roman"/>
        </w:rPr>
        <w:t>PCT</w:t>
      </w:r>
      <w:r w:rsidRPr="00D00D93">
        <w:t>.  En todo caso, su uso no debería ser obligatorio.</w:t>
      </w:r>
    </w:p>
    <w:p w:rsidR="001B7D70" w:rsidRPr="00D00D93" w:rsidRDefault="00C219F1" w:rsidP="00740EFC">
      <w:pPr>
        <w:pStyle w:val="ONUMFS"/>
      </w:pPr>
      <w:r w:rsidRPr="00D00D93">
        <w:t xml:space="preserve">Algunas </w:t>
      </w:r>
      <w:r w:rsidR="005B1DAD" w:rsidRPr="00D00D93">
        <w:t>Administraciones</w:t>
      </w:r>
      <w:r w:rsidR="001B7D70" w:rsidRPr="00D00D93">
        <w:t xml:space="preserve"> </w:t>
      </w:r>
      <w:r w:rsidR="00672F02" w:rsidRPr="00D00D93">
        <w:t>reiteraron su postura de que las c</w:t>
      </w:r>
      <w:r w:rsidR="001B7D70" w:rsidRPr="00D00D93">
        <w:t>l</w:t>
      </w:r>
      <w:r w:rsidR="009956EA" w:rsidRPr="00D00D93">
        <w:t>áusulas </w:t>
      </w:r>
      <w:r w:rsidR="001B7D70" w:rsidRPr="00D00D93">
        <w:t xml:space="preserve">VIII.9 </w:t>
      </w:r>
      <w:r w:rsidR="009956EA" w:rsidRPr="00D00D93">
        <w:t>y </w:t>
      </w:r>
      <w:r w:rsidR="001B7D70" w:rsidRPr="00D00D93">
        <w:t xml:space="preserve">VIII.10 </w:t>
      </w:r>
      <w:r w:rsidR="00672F02" w:rsidRPr="00D00D93">
        <w:t>sobre la falta de concisión de</w:t>
      </w:r>
      <w:r w:rsidR="009956EA" w:rsidRPr="00D00D93">
        <w:t>berían incluirse en el Recuadro </w:t>
      </w:r>
      <w:r w:rsidR="001B7D70" w:rsidRPr="00D00D93">
        <w:t xml:space="preserve">VII </w:t>
      </w:r>
      <w:r w:rsidR="00672F02" w:rsidRPr="00D00D93">
        <w:t xml:space="preserve">de la opinión escrita </w:t>
      </w:r>
      <w:r w:rsidR="00520174" w:rsidRPr="00D00D93">
        <w:t xml:space="preserve">sobre la base de </w:t>
      </w:r>
      <w:r w:rsidR="00274021" w:rsidRPr="00D00D93">
        <w:t xml:space="preserve">lo dispuesto en el </w:t>
      </w:r>
      <w:r w:rsidR="00672F02" w:rsidRPr="00D00D93">
        <w:t>párrafo</w:t>
      </w:r>
      <w:r w:rsidR="009956EA" w:rsidRPr="00D00D93">
        <w:t> </w:t>
      </w:r>
      <w:r w:rsidR="001B7D70" w:rsidRPr="00D00D93">
        <w:t xml:space="preserve">17.49 </w:t>
      </w:r>
      <w:r w:rsidR="00672F02" w:rsidRPr="00D00D93">
        <w:t xml:space="preserve">de las Directrices </w:t>
      </w:r>
      <w:r w:rsidR="00672F02" w:rsidRPr="00D00D93">
        <w:rPr>
          <w:rFonts w:eastAsia="Times New Roman"/>
        </w:rPr>
        <w:t>de búsqueda internacional y de exam</w:t>
      </w:r>
      <w:r w:rsidR="009956EA" w:rsidRPr="00D00D93">
        <w:rPr>
          <w:rFonts w:eastAsia="Times New Roman"/>
        </w:rPr>
        <w:t>en preliminar internacional del </w:t>
      </w:r>
      <w:r w:rsidR="00672F02" w:rsidRPr="00D00D93">
        <w:rPr>
          <w:rFonts w:eastAsia="Times New Roman"/>
        </w:rPr>
        <w:t>PCT</w:t>
      </w:r>
      <w:r w:rsidR="001B7D70" w:rsidRPr="00D00D93">
        <w:t xml:space="preserve">.  </w:t>
      </w:r>
      <w:r w:rsidR="00672F02" w:rsidRPr="00D00D93">
        <w:t xml:space="preserve">La </w:t>
      </w:r>
      <w:r w:rsidR="005B1DAD" w:rsidRPr="00D00D93">
        <w:t>Oficina Internacional</w:t>
      </w:r>
      <w:r w:rsidR="001B7D70" w:rsidRPr="00D00D93">
        <w:t xml:space="preserve"> </w:t>
      </w:r>
      <w:r w:rsidR="00672F02" w:rsidRPr="00D00D93">
        <w:t>observ</w:t>
      </w:r>
      <w:r w:rsidR="00FB3997" w:rsidRPr="00D00D93">
        <w:t>ó</w:t>
      </w:r>
      <w:r w:rsidR="00672F02" w:rsidRPr="00D00D93">
        <w:t xml:space="preserve"> que si exist</w:t>
      </w:r>
      <w:r w:rsidR="00C60450" w:rsidRPr="00D00D93">
        <w:t>i</w:t>
      </w:r>
      <w:r w:rsidR="00672F02" w:rsidRPr="00D00D93">
        <w:t>e</w:t>
      </w:r>
      <w:r w:rsidR="00C60450" w:rsidRPr="00D00D93">
        <w:t>ran</w:t>
      </w:r>
      <w:r w:rsidR="00672F02" w:rsidRPr="00D00D93">
        <w:t xml:space="preserve"> dudas en cuanto a </w:t>
      </w:r>
      <w:r w:rsidR="00C60450" w:rsidRPr="00D00D93">
        <w:t xml:space="preserve">la </w:t>
      </w:r>
      <w:r w:rsidR="00672F02" w:rsidRPr="00D00D93">
        <w:t>ma</w:t>
      </w:r>
      <w:r w:rsidR="00DF1B1D" w:rsidRPr="00D00D93">
        <w:t>n</w:t>
      </w:r>
      <w:r w:rsidR="00672F02" w:rsidRPr="00D00D93">
        <w:t>era de</w:t>
      </w:r>
      <w:r w:rsidR="00FB3997" w:rsidRPr="00D00D93">
        <w:t xml:space="preserve"> </w:t>
      </w:r>
      <w:r w:rsidR="00672F02" w:rsidRPr="00D00D93">
        <w:t>utilizar esos recuadros</w:t>
      </w:r>
      <w:r w:rsidR="001B7D70" w:rsidRPr="00D00D93">
        <w:t xml:space="preserve">, </w:t>
      </w:r>
      <w:r w:rsidR="00672F02" w:rsidRPr="00D00D93">
        <w:t xml:space="preserve">el </w:t>
      </w:r>
      <w:r w:rsidR="00DF1B1D" w:rsidRPr="00D00D93">
        <w:t xml:space="preserve">propio </w:t>
      </w:r>
      <w:r w:rsidR="00672F02" w:rsidRPr="00D00D93">
        <w:t>formulario podría ser modificado</w:t>
      </w:r>
      <w:r w:rsidR="001B7D70" w:rsidRPr="00D00D93">
        <w:t xml:space="preserve">, </w:t>
      </w:r>
      <w:r w:rsidR="00672F02" w:rsidRPr="00D00D93">
        <w:t>y que el momento presente</w:t>
      </w:r>
      <w:r w:rsidR="001B7D70" w:rsidRPr="00D00D93">
        <w:t xml:space="preserve">, </w:t>
      </w:r>
      <w:r w:rsidR="00C60450" w:rsidRPr="00D00D93">
        <w:t xml:space="preserve">en la antesala de la puesta en práctica de los estándares XML </w:t>
      </w:r>
      <w:r w:rsidR="00274021" w:rsidRPr="00D00D93">
        <w:t xml:space="preserve">basados en la </w:t>
      </w:r>
      <w:r w:rsidR="00C60450" w:rsidRPr="00D00D93">
        <w:t>Norma</w:t>
      </w:r>
      <w:r w:rsidR="00F175A0" w:rsidRPr="00D00D93">
        <w:t> </w:t>
      </w:r>
      <w:r w:rsidR="001B7D70" w:rsidRPr="00D00D93">
        <w:t>ST.96</w:t>
      </w:r>
      <w:r w:rsidR="00C60450" w:rsidRPr="00D00D93">
        <w:t xml:space="preserve"> de la OMPI</w:t>
      </w:r>
      <w:r w:rsidR="001B7D70" w:rsidRPr="00D00D93">
        <w:t xml:space="preserve">, </w:t>
      </w:r>
      <w:r w:rsidR="00672F02" w:rsidRPr="00D00D93">
        <w:t>podría ser el adecuado para llevar a cabo esa revisión</w:t>
      </w:r>
      <w:r w:rsidR="001B7D70" w:rsidRPr="00D00D93">
        <w:t>.</w:t>
      </w:r>
    </w:p>
    <w:p w:rsidR="004D27CB" w:rsidRPr="00D00D93" w:rsidRDefault="00636E19" w:rsidP="00740EFC">
      <w:pPr>
        <w:pStyle w:val="ONUMFS"/>
      </w:pPr>
      <w:r w:rsidRPr="00D00D93">
        <w:t>Una Administración</w:t>
      </w:r>
      <w:r w:rsidR="001B7D70" w:rsidRPr="00D00D93">
        <w:t xml:space="preserve"> </w:t>
      </w:r>
      <w:r w:rsidR="00672F02" w:rsidRPr="00D00D93">
        <w:t>informó al Subgrupo de que cuenta con sus propias cláusulas</w:t>
      </w:r>
      <w:r w:rsidR="004D27CB" w:rsidRPr="00D00D93">
        <w:t>, pero que podría poner a disposición de sus examinadores las cláusulas normalizadas elaboradas por el Subgrupo para que las utilicen en determinadas situaciones.</w:t>
      </w:r>
      <w:r w:rsidR="001B7D70" w:rsidRPr="00D00D93">
        <w:t xml:space="preserve">  </w:t>
      </w:r>
      <w:r w:rsidR="002355D4" w:rsidRPr="00D00D93">
        <w:t>Añadió que el uso de cláusulas normalizadas no debe ser obligatorio.</w:t>
      </w:r>
      <w:r w:rsidR="001B7D70" w:rsidRPr="00D00D93">
        <w:t xml:space="preserve">  </w:t>
      </w:r>
      <w:r w:rsidR="004D27CB" w:rsidRPr="00D00D93">
        <w:t xml:space="preserve">Si bien </w:t>
      </w:r>
      <w:r w:rsidR="002355D4" w:rsidRPr="00D00D93">
        <w:t>manifestó que no tiene inten</w:t>
      </w:r>
      <w:r w:rsidR="004D27CB" w:rsidRPr="00D00D93">
        <w:t xml:space="preserve">ción de sumarse a proyecto piloto </w:t>
      </w:r>
      <w:r w:rsidR="00B66549" w:rsidRPr="00D00D93">
        <w:t xml:space="preserve">alguno </w:t>
      </w:r>
      <w:r w:rsidR="004D27CB" w:rsidRPr="00D00D93">
        <w:t xml:space="preserve">que </w:t>
      </w:r>
      <w:r w:rsidR="00274021" w:rsidRPr="00D00D93">
        <w:t xml:space="preserve">tenga por objeto </w:t>
      </w:r>
      <w:r w:rsidR="004D27CB" w:rsidRPr="00D00D93">
        <w:t>integrar las clá</w:t>
      </w:r>
      <w:r w:rsidR="00FB3997" w:rsidRPr="00D00D93">
        <w:t>u</w:t>
      </w:r>
      <w:r w:rsidR="004D27CB" w:rsidRPr="00D00D93">
        <w:t xml:space="preserve">sulas en el ePCT </w:t>
      </w:r>
      <w:r w:rsidR="00274021" w:rsidRPr="00D00D93">
        <w:t xml:space="preserve">a los fines de que produzca </w:t>
      </w:r>
      <w:r w:rsidR="004D27CB" w:rsidRPr="00D00D93">
        <w:t xml:space="preserve">informes de búsqueda y opiniones escritas, dijo que sí </w:t>
      </w:r>
      <w:r w:rsidR="00E05292" w:rsidRPr="00D00D93">
        <w:t xml:space="preserve">que </w:t>
      </w:r>
      <w:r w:rsidR="00274021" w:rsidRPr="00D00D93">
        <w:t xml:space="preserve">está dispuesta a </w:t>
      </w:r>
      <w:r w:rsidR="004D27CB" w:rsidRPr="00D00D93">
        <w:t>contribuir a la redacción y desarrollo ulteriores de esas cláusulas.</w:t>
      </w:r>
    </w:p>
    <w:p w:rsidR="00DF1B1D" w:rsidRPr="00D00D93" w:rsidRDefault="00DF1B1D" w:rsidP="00740EFC">
      <w:pPr>
        <w:pStyle w:val="ONUMFS"/>
      </w:pPr>
      <w:r w:rsidRPr="00D00D93">
        <w:t xml:space="preserve">Las </w:t>
      </w:r>
      <w:r w:rsidR="005B1DAD" w:rsidRPr="00D00D93">
        <w:t>Administraciones</w:t>
      </w:r>
      <w:r w:rsidR="001B7D70" w:rsidRPr="00D00D93">
        <w:t xml:space="preserve"> </w:t>
      </w:r>
      <w:r w:rsidRPr="00D00D93">
        <w:t xml:space="preserve">acogieron </w:t>
      </w:r>
      <w:r w:rsidR="00F552D7" w:rsidRPr="00D00D93">
        <w:t xml:space="preserve">con beneplácito </w:t>
      </w:r>
      <w:r w:rsidRPr="00D00D93">
        <w:t>la continuación de los de</w:t>
      </w:r>
      <w:r w:rsidR="00FB3997" w:rsidRPr="00D00D93">
        <w:t>b</w:t>
      </w:r>
      <w:r w:rsidRPr="00D00D93">
        <w:t xml:space="preserve">ates en torno al </w:t>
      </w:r>
      <w:r w:rsidR="00F552D7" w:rsidRPr="00D00D93">
        <w:t xml:space="preserve">establecimiento </w:t>
      </w:r>
      <w:r w:rsidRPr="00D00D93">
        <w:t>de cláusulas normalizadas relativas a la unidad de</w:t>
      </w:r>
      <w:r w:rsidR="00FB3997" w:rsidRPr="00D00D93">
        <w:t xml:space="preserve"> </w:t>
      </w:r>
      <w:r w:rsidRPr="00D00D93">
        <w:t>la in</w:t>
      </w:r>
      <w:r w:rsidR="00FB3997" w:rsidRPr="00D00D93">
        <w:t>v</w:t>
      </w:r>
      <w:r w:rsidRPr="00D00D93">
        <w:t xml:space="preserve">ención en la wiki. </w:t>
      </w:r>
    </w:p>
    <w:p w:rsidR="001B7D70" w:rsidRPr="00D00D93" w:rsidRDefault="00F552D7" w:rsidP="00740EFC">
      <w:pPr>
        <w:pStyle w:val="ONUMFS"/>
      </w:pPr>
      <w:r w:rsidRPr="00D00D93">
        <w:lastRenderedPageBreak/>
        <w:t xml:space="preserve">En relación con las cláusulas normalizadas </w:t>
      </w:r>
      <w:r w:rsidR="001A3488" w:rsidRPr="00D00D93">
        <w:t xml:space="preserve">sobre </w:t>
      </w:r>
      <w:r w:rsidRPr="00D00D93">
        <w:t>resúmenes defectuosos</w:t>
      </w:r>
      <w:r w:rsidR="001B7D70" w:rsidRPr="00D00D93">
        <w:t xml:space="preserve">, </w:t>
      </w:r>
      <w:r w:rsidR="00636E19" w:rsidRPr="00D00D93">
        <w:t>una Administración</w:t>
      </w:r>
      <w:r w:rsidR="001B7D70" w:rsidRPr="00D00D93">
        <w:t xml:space="preserve"> </w:t>
      </w:r>
      <w:r w:rsidRPr="00D00D93">
        <w:t xml:space="preserve">dijo que no ve un lugar claro en el que </w:t>
      </w:r>
      <w:r w:rsidR="001A3488" w:rsidRPr="00D00D93">
        <w:t xml:space="preserve">ubicar </w:t>
      </w:r>
      <w:r w:rsidRPr="00D00D93">
        <w:t>dichas cláusulas en el informe de búsqueda y la opinión escrita.  Otra</w:t>
      </w:r>
      <w:r w:rsidR="001B7D70" w:rsidRPr="00D00D93">
        <w:t xml:space="preserve"> </w:t>
      </w:r>
      <w:r w:rsidR="00636E19" w:rsidRPr="00D00D93">
        <w:t>Administración</w:t>
      </w:r>
      <w:r w:rsidRPr="00D00D93">
        <w:t xml:space="preserve"> manifestó su intención de modificar la </w:t>
      </w:r>
      <w:r w:rsidR="001A3488" w:rsidRPr="00D00D93">
        <w:t>c</w:t>
      </w:r>
      <w:r w:rsidRPr="00D00D93">
        <w:t xml:space="preserve">láusula que </w:t>
      </w:r>
      <w:r w:rsidR="00274021" w:rsidRPr="00D00D93">
        <w:t xml:space="preserve">aplica </w:t>
      </w:r>
      <w:r w:rsidRPr="00D00D93">
        <w:t>por contravenir la Regla</w:t>
      </w:r>
      <w:r w:rsidR="001B7D70" w:rsidRPr="00D00D93">
        <w:t> 8.1</w:t>
      </w:r>
      <w:r w:rsidR="00DB6C95" w:rsidRPr="00D00D93">
        <w:t>.</w:t>
      </w:r>
      <w:r w:rsidR="001B7D70" w:rsidRPr="00D00D93">
        <w:t xml:space="preserve">d) </w:t>
      </w:r>
      <w:r w:rsidRPr="00D00D93">
        <w:t xml:space="preserve">y para que su texto </w:t>
      </w:r>
      <w:r w:rsidR="001A3488" w:rsidRPr="00D00D93">
        <w:t xml:space="preserve">guarde mayor </w:t>
      </w:r>
      <w:r w:rsidR="00274021" w:rsidRPr="00D00D93">
        <w:t xml:space="preserve">correspondencia </w:t>
      </w:r>
      <w:r w:rsidRPr="00D00D93">
        <w:t>con el que otras Administraciones</w:t>
      </w:r>
      <w:r w:rsidR="00B66549" w:rsidRPr="00D00D93">
        <w:t xml:space="preserve"> comparten</w:t>
      </w:r>
      <w:r w:rsidR="001B7D70" w:rsidRPr="00D00D93">
        <w:t xml:space="preserve">.  </w:t>
      </w:r>
      <w:r w:rsidR="001A3488" w:rsidRPr="00D00D93">
        <w:t xml:space="preserve">Otras </w:t>
      </w:r>
      <w:r w:rsidR="005B1DAD" w:rsidRPr="00D00D93">
        <w:t>Administraciones</w:t>
      </w:r>
      <w:r w:rsidR="001B7D70" w:rsidRPr="00D00D93">
        <w:t xml:space="preserve"> </w:t>
      </w:r>
      <w:r w:rsidR="001A3488" w:rsidRPr="00D00D93">
        <w:t>dijeron que no aducen motivos cuando los resúmenes incumplen la Regla</w:t>
      </w:r>
      <w:r w:rsidR="001B7D70" w:rsidRPr="00D00D93">
        <w:t xml:space="preserve"> 8.1. </w:t>
      </w:r>
    </w:p>
    <w:p w:rsidR="001B7D70" w:rsidRPr="00D00D93" w:rsidRDefault="00DF1B1D" w:rsidP="00740EFC">
      <w:pPr>
        <w:pStyle w:val="ONUMFS"/>
      </w:pPr>
      <w:r w:rsidRPr="00D00D93">
        <w:t xml:space="preserve">Un reducido número de </w:t>
      </w:r>
      <w:r w:rsidR="005B1DAD" w:rsidRPr="00D00D93">
        <w:t>Administraciones</w:t>
      </w:r>
      <w:r w:rsidR="001B7D70" w:rsidRPr="00D00D93">
        <w:t xml:space="preserve"> </w:t>
      </w:r>
      <w:r w:rsidRPr="00D00D93">
        <w:t xml:space="preserve">que </w:t>
      </w:r>
      <w:r w:rsidR="00F552D7" w:rsidRPr="00D00D93">
        <w:t xml:space="preserve">utilizan </w:t>
      </w:r>
      <w:r w:rsidRPr="00D00D93">
        <w:t xml:space="preserve">las clausulas normalizadas se manifestaron interesadas en integrar las cláusulas normalizadas en el ePCT y en participar en un proyecto piloto </w:t>
      </w:r>
      <w:r w:rsidR="00F552D7" w:rsidRPr="00D00D93">
        <w:t xml:space="preserve">para </w:t>
      </w:r>
      <w:r w:rsidRPr="00D00D93">
        <w:t xml:space="preserve">desarrollar de manera más pormenorizada </w:t>
      </w:r>
      <w:r w:rsidR="00B66549" w:rsidRPr="00D00D93">
        <w:t xml:space="preserve">ese </w:t>
      </w:r>
      <w:r w:rsidRPr="00D00D93">
        <w:t>concepto</w:t>
      </w:r>
      <w:r w:rsidR="001B7D70" w:rsidRPr="00D00D93">
        <w:t>.</w:t>
      </w:r>
    </w:p>
    <w:p w:rsidR="001B7D70" w:rsidRPr="00D00D93" w:rsidRDefault="00C219F1" w:rsidP="00740EFC">
      <w:pPr>
        <w:pStyle w:val="ONUMFS"/>
      </w:pPr>
      <w:r w:rsidRPr="00D00D93">
        <w:t xml:space="preserve">El Subgrupo formuló las siguientes recomendaciones: </w:t>
      </w:r>
    </w:p>
    <w:p w:rsidR="001B7D70" w:rsidRPr="00D00D93" w:rsidRDefault="00DF1B1D" w:rsidP="00740EFC">
      <w:pPr>
        <w:pStyle w:val="ONUMFS"/>
        <w:numPr>
          <w:ilvl w:val="1"/>
          <w:numId w:val="11"/>
        </w:numPr>
      </w:pPr>
      <w:r w:rsidRPr="00D00D93">
        <w:t xml:space="preserve">que </w:t>
      </w:r>
      <w:r w:rsidR="001A3488" w:rsidRPr="00D00D93">
        <w:t xml:space="preserve">las </w:t>
      </w:r>
      <w:r w:rsidR="005B1DAD" w:rsidRPr="00D00D93">
        <w:t>Administraciones</w:t>
      </w:r>
      <w:r w:rsidR="001B7D70" w:rsidRPr="00D00D93">
        <w:t xml:space="preserve"> </w:t>
      </w:r>
      <w:r w:rsidR="001A3488" w:rsidRPr="00D00D93">
        <w:t>que hacen uso de las cláusulas normalizadas continúen compartiendo información sobre su aplicación en el foro electrónico del Subgrupo</w:t>
      </w:r>
      <w:r w:rsidR="001B7D70" w:rsidRPr="00D00D93">
        <w:t xml:space="preserve">, </w:t>
      </w:r>
      <w:r w:rsidR="001A3488" w:rsidRPr="00D00D93">
        <w:t xml:space="preserve">ya se refiera </w:t>
      </w:r>
      <w:r w:rsidR="00396D43" w:rsidRPr="00D00D93">
        <w:t xml:space="preserve">esa </w:t>
      </w:r>
      <w:r w:rsidR="001A3488" w:rsidRPr="00D00D93">
        <w:t xml:space="preserve">información al grupo </w:t>
      </w:r>
      <w:r w:rsidR="00B66549" w:rsidRPr="00D00D93">
        <w:t xml:space="preserve">principal </w:t>
      </w:r>
      <w:r w:rsidR="001A3488" w:rsidRPr="00D00D93">
        <w:t xml:space="preserve">de cláusulas </w:t>
      </w:r>
      <w:r w:rsidR="001B7D70" w:rsidRPr="00D00D93">
        <w:t xml:space="preserve">o </w:t>
      </w:r>
      <w:r w:rsidR="001A3488" w:rsidRPr="00D00D93">
        <w:t>a cláusulas suplementarias de la propia Administración</w:t>
      </w:r>
      <w:r w:rsidR="001B7D70" w:rsidRPr="00D00D93">
        <w:t>;</w:t>
      </w:r>
    </w:p>
    <w:p w:rsidR="009127CB" w:rsidRPr="00D00D93" w:rsidRDefault="00DF1B1D" w:rsidP="00740EFC">
      <w:pPr>
        <w:pStyle w:val="ONUMFS"/>
        <w:numPr>
          <w:ilvl w:val="1"/>
          <w:numId w:val="11"/>
        </w:numPr>
      </w:pPr>
      <w:r w:rsidRPr="00D00D93">
        <w:t xml:space="preserve">que </w:t>
      </w:r>
      <w:r w:rsidR="001A3488" w:rsidRPr="00D00D93">
        <w:t>la O</w:t>
      </w:r>
      <w:r w:rsidR="00FB3997" w:rsidRPr="00D00D93">
        <w:t>f</w:t>
      </w:r>
      <w:r w:rsidR="001A3488" w:rsidRPr="00D00D93">
        <w:t xml:space="preserve">icina </w:t>
      </w:r>
      <w:r w:rsidR="005B1DAD" w:rsidRPr="00D00D93">
        <w:t>Internacional</w:t>
      </w:r>
      <w:r w:rsidR="001B7D70" w:rsidRPr="00D00D93">
        <w:t xml:space="preserve"> </w:t>
      </w:r>
      <w:r w:rsidR="001A3488" w:rsidRPr="00D00D93">
        <w:t xml:space="preserve">distribuya una Circular </w:t>
      </w:r>
      <w:r w:rsidR="009127CB" w:rsidRPr="00D00D93">
        <w:t xml:space="preserve">para consultar a las Oficinas sobre la adopción de las modificaciones a las cláusulas normalizadas en los diferentes idiomas y proponer la idea de incluirlas en un Anexo </w:t>
      </w:r>
      <w:r w:rsidR="00396D43" w:rsidRPr="00D00D93">
        <w:t xml:space="preserve">de </w:t>
      </w:r>
      <w:r w:rsidR="009127CB" w:rsidRPr="00D00D93">
        <w:t xml:space="preserve">las </w:t>
      </w:r>
      <w:r w:rsidR="009127CB" w:rsidRPr="00D00D93">
        <w:rPr>
          <w:rFonts w:eastAsia="Times New Roman"/>
        </w:rPr>
        <w:t>Directrices de búsqueda internacional y de exam</w:t>
      </w:r>
      <w:r w:rsidR="009956EA" w:rsidRPr="00D00D93">
        <w:rPr>
          <w:rFonts w:eastAsia="Times New Roman"/>
        </w:rPr>
        <w:t>en preliminar internacional del </w:t>
      </w:r>
      <w:r w:rsidR="009127CB" w:rsidRPr="00D00D93">
        <w:rPr>
          <w:rFonts w:eastAsia="Times New Roman"/>
        </w:rPr>
        <w:t>PCT;</w:t>
      </w:r>
      <w:r w:rsidR="009127CB" w:rsidRPr="00D00D93">
        <w:t xml:space="preserve"> </w:t>
      </w:r>
    </w:p>
    <w:p w:rsidR="001B7D70" w:rsidRPr="00D00D93" w:rsidRDefault="00DF1B1D" w:rsidP="00740EFC">
      <w:pPr>
        <w:pStyle w:val="ONUMFS"/>
        <w:numPr>
          <w:ilvl w:val="1"/>
          <w:numId w:val="11"/>
        </w:numPr>
      </w:pPr>
      <w:r w:rsidRPr="00D00D93">
        <w:t xml:space="preserve">que </w:t>
      </w:r>
      <w:r w:rsidR="009127CB" w:rsidRPr="00D00D93">
        <w:t>siga debatiéndose sobre el establecimiento de cláus</w:t>
      </w:r>
      <w:r w:rsidR="00FB3997" w:rsidRPr="00D00D93">
        <w:t>u</w:t>
      </w:r>
      <w:r w:rsidR="009127CB" w:rsidRPr="00D00D93">
        <w:t>las normalizadas sobre la unidad de la invención</w:t>
      </w:r>
      <w:r w:rsidR="001B7D70" w:rsidRPr="00D00D93">
        <w:t xml:space="preserve">;  </w:t>
      </w:r>
      <w:r w:rsidR="009127CB" w:rsidRPr="00D00D93">
        <w:t>y</w:t>
      </w:r>
    </w:p>
    <w:p w:rsidR="001B7D70" w:rsidRPr="00D00D93" w:rsidRDefault="00DF1B1D" w:rsidP="00740EFC">
      <w:pPr>
        <w:pStyle w:val="ONUMFS"/>
        <w:numPr>
          <w:ilvl w:val="1"/>
          <w:numId w:val="11"/>
        </w:numPr>
      </w:pPr>
      <w:r w:rsidRPr="00D00D93">
        <w:t xml:space="preserve">que la </w:t>
      </w:r>
      <w:r w:rsidR="005B1DAD" w:rsidRPr="00D00D93">
        <w:t>Oficina Internacional</w:t>
      </w:r>
      <w:r w:rsidR="001B7D70" w:rsidRPr="00D00D93">
        <w:t xml:space="preserve"> </w:t>
      </w:r>
      <w:r w:rsidR="009127CB" w:rsidRPr="00D00D93">
        <w:t>prosiga la labor relativa a la inclusión de las cláusulas normalizadas en los informes de búsque</w:t>
      </w:r>
      <w:r w:rsidR="00FB3997" w:rsidRPr="00D00D93">
        <w:t>d</w:t>
      </w:r>
      <w:r w:rsidR="009127CB" w:rsidRPr="00D00D93">
        <w:t>a y las opin</w:t>
      </w:r>
      <w:r w:rsidR="00FB3997" w:rsidRPr="00D00D93">
        <w:t>i</w:t>
      </w:r>
      <w:r w:rsidR="009127CB" w:rsidRPr="00D00D93">
        <w:t xml:space="preserve">ones escritas en el marco del </w:t>
      </w:r>
      <w:r w:rsidR="001B7D70" w:rsidRPr="00D00D93">
        <w:t xml:space="preserve">ePCT, </w:t>
      </w:r>
      <w:r w:rsidR="009127CB" w:rsidRPr="00D00D93">
        <w:t xml:space="preserve">y que las </w:t>
      </w:r>
      <w:r w:rsidR="005B1DAD" w:rsidRPr="00D00D93">
        <w:t>Administraciones</w:t>
      </w:r>
      <w:r w:rsidR="001B7D70" w:rsidRPr="00D00D93">
        <w:t xml:space="preserve"> </w:t>
      </w:r>
      <w:r w:rsidR="009127CB" w:rsidRPr="00D00D93">
        <w:t xml:space="preserve">interesadas en participar en un proyecto piloto a ese respecto se pongan en contacto con la </w:t>
      </w:r>
      <w:r w:rsidR="005B1DAD" w:rsidRPr="00D00D93">
        <w:t>Oficina Internacional</w:t>
      </w:r>
      <w:r w:rsidR="001B7D70" w:rsidRPr="00D00D93">
        <w:t xml:space="preserve"> </w:t>
      </w:r>
      <w:r w:rsidR="009127CB" w:rsidRPr="00D00D93">
        <w:t xml:space="preserve">si no lo </w:t>
      </w:r>
      <w:r w:rsidR="00396D43" w:rsidRPr="00D00D93">
        <w:t xml:space="preserve">hubieran </w:t>
      </w:r>
      <w:r w:rsidR="009127CB" w:rsidRPr="00D00D93">
        <w:t>hecho</w:t>
      </w:r>
      <w:r w:rsidR="00396D43" w:rsidRPr="00D00D93">
        <w:t xml:space="preserve"> ya</w:t>
      </w:r>
      <w:r w:rsidR="009127CB" w:rsidRPr="00D00D93">
        <w:t>.</w:t>
      </w:r>
    </w:p>
    <w:p w:rsidR="001B7D70" w:rsidRPr="00D00D93" w:rsidRDefault="001B7D70" w:rsidP="001B7D70">
      <w:pPr>
        <w:pStyle w:val="Heading2"/>
        <w:keepNext w:val="0"/>
      </w:pPr>
      <w:r w:rsidRPr="00D00D93">
        <w:t>c)</w:t>
      </w:r>
      <w:r w:rsidRPr="00D00D93">
        <w:tab/>
      </w:r>
      <w:r w:rsidR="001A3488" w:rsidRPr="00D00D93">
        <w:t xml:space="preserve">POSIBLE FORO DE DEBATE DE PRÁCTICA </w:t>
      </w:r>
    </w:p>
    <w:p w:rsidR="00EC16F0" w:rsidRPr="00D00D93" w:rsidRDefault="00EC16F0" w:rsidP="00740EFC">
      <w:pPr>
        <w:pStyle w:val="ONUMFS"/>
      </w:pPr>
      <w:r w:rsidRPr="00D00D93">
        <w:t xml:space="preserve">Las </w:t>
      </w:r>
      <w:r w:rsidR="005B1DAD" w:rsidRPr="00D00D93">
        <w:t>Administraciones</w:t>
      </w:r>
      <w:r w:rsidR="001B7D70" w:rsidRPr="00D00D93">
        <w:t xml:space="preserve"> </w:t>
      </w:r>
      <w:r w:rsidRPr="00D00D93">
        <w:t>se</w:t>
      </w:r>
      <w:r w:rsidR="007A24AA" w:rsidRPr="00D00D93">
        <w:t xml:space="preserve"> </w:t>
      </w:r>
      <w:r w:rsidRPr="00D00D93">
        <w:t>manifestaro</w:t>
      </w:r>
      <w:r w:rsidR="00FB3997" w:rsidRPr="00D00D93">
        <w:t>n</w:t>
      </w:r>
      <w:r w:rsidRPr="00D00D93">
        <w:t xml:space="preserve"> partidarias del concepto de u</w:t>
      </w:r>
      <w:r w:rsidR="007A24AA" w:rsidRPr="00D00D93">
        <w:t>n</w:t>
      </w:r>
      <w:r w:rsidRPr="00D00D93">
        <w:t xml:space="preserve"> foro de debate de práctica, si bien </w:t>
      </w:r>
      <w:r w:rsidR="004B6281" w:rsidRPr="00D00D93">
        <w:t xml:space="preserve">plantearon algunas dudas de carácter técnico referidas a </w:t>
      </w:r>
      <w:r w:rsidRPr="00D00D93">
        <w:t xml:space="preserve">la confidencialidad de la información no publicada y </w:t>
      </w:r>
      <w:r w:rsidR="002B0B26" w:rsidRPr="00D00D93">
        <w:t xml:space="preserve">a </w:t>
      </w:r>
      <w:r w:rsidRPr="00D00D93">
        <w:t xml:space="preserve">la garantía de que los participantes en el foro </w:t>
      </w:r>
      <w:r w:rsidR="004B6281" w:rsidRPr="00D00D93">
        <w:t xml:space="preserve">podrán </w:t>
      </w:r>
      <w:r w:rsidRPr="00D00D93">
        <w:t>contribu</w:t>
      </w:r>
      <w:r w:rsidR="004B6281" w:rsidRPr="00D00D93">
        <w:t>i</w:t>
      </w:r>
      <w:r w:rsidRPr="00D00D93">
        <w:t xml:space="preserve">r con suficiente </w:t>
      </w:r>
      <w:r w:rsidR="004B6281" w:rsidRPr="00D00D93">
        <w:t xml:space="preserve">rapidez como para ser útiles </w:t>
      </w:r>
      <w:r w:rsidRPr="00D00D93">
        <w:t xml:space="preserve">en </w:t>
      </w:r>
      <w:r w:rsidR="004B6281" w:rsidRPr="00D00D93">
        <w:t xml:space="preserve">asuntos que siguen </w:t>
      </w:r>
      <w:r w:rsidR="002B0B26" w:rsidRPr="00D00D93">
        <w:t>en trámite</w:t>
      </w:r>
      <w:r w:rsidR="004B6281" w:rsidRPr="00D00D93">
        <w:t>, evitando así retrasos indebidos</w:t>
      </w:r>
      <w:r w:rsidRPr="00D00D93">
        <w:t xml:space="preserve">. </w:t>
      </w:r>
      <w:r w:rsidR="00CF05DB" w:rsidRPr="00D00D93">
        <w:t xml:space="preserve"> </w:t>
      </w:r>
      <w:r w:rsidRPr="00D00D93">
        <w:t xml:space="preserve">Se </w:t>
      </w:r>
      <w:r w:rsidR="002B0B26" w:rsidRPr="00D00D93">
        <w:t xml:space="preserve">manifestó </w:t>
      </w:r>
      <w:r w:rsidR="004B6281" w:rsidRPr="00D00D93">
        <w:t xml:space="preserve">también </w:t>
      </w:r>
      <w:r w:rsidRPr="00D00D93">
        <w:t xml:space="preserve">que podría resultar útil establecer un foro similar para </w:t>
      </w:r>
      <w:r w:rsidR="002B0B26" w:rsidRPr="00D00D93">
        <w:t xml:space="preserve">asuntos </w:t>
      </w:r>
      <w:r w:rsidRPr="00D00D93">
        <w:t>relacionad</w:t>
      </w:r>
      <w:r w:rsidR="002B0B26" w:rsidRPr="00D00D93">
        <w:t>o</w:t>
      </w:r>
      <w:r w:rsidRPr="00D00D93">
        <w:t xml:space="preserve">s con las Oficinas receptoras. </w:t>
      </w:r>
    </w:p>
    <w:p w:rsidR="001B7D70" w:rsidRPr="00D00D93" w:rsidRDefault="00EC16F0" w:rsidP="00740EFC">
      <w:pPr>
        <w:pStyle w:val="ONUMFS"/>
        <w:ind w:left="567"/>
      </w:pPr>
      <w:r w:rsidRPr="00D00D93">
        <w:t xml:space="preserve">El Subgrupo recomendó que la </w:t>
      </w:r>
      <w:r w:rsidRPr="00D00D93">
        <w:rPr>
          <w:rFonts w:eastAsia="Times New Roman"/>
        </w:rPr>
        <w:t>Oficina Canadiense de Propiedad Intelectual</w:t>
      </w:r>
      <w:r w:rsidRPr="00D00D93">
        <w:t xml:space="preserve"> </w:t>
      </w:r>
      <w:r w:rsidR="00396D43" w:rsidRPr="00D00D93">
        <w:t xml:space="preserve">(CIPO) </w:t>
      </w:r>
      <w:r w:rsidRPr="00D00D93">
        <w:t xml:space="preserve">cuelgue </w:t>
      </w:r>
      <w:r w:rsidR="002B0B26" w:rsidRPr="00D00D93">
        <w:t xml:space="preserve">en la wiki </w:t>
      </w:r>
      <w:r w:rsidRPr="00D00D93">
        <w:t xml:space="preserve">una propuesta </w:t>
      </w:r>
      <w:r w:rsidR="007A24AA" w:rsidRPr="00D00D93">
        <w:t xml:space="preserve">modelo de temas de debate </w:t>
      </w:r>
      <w:r w:rsidR="002B0B26" w:rsidRPr="00D00D93">
        <w:t xml:space="preserve">para facilitar </w:t>
      </w:r>
      <w:r w:rsidR="007A24AA" w:rsidRPr="00D00D93">
        <w:t>el examen de los conceptos en cuestión</w:t>
      </w:r>
      <w:r w:rsidR="001B7D70" w:rsidRPr="00D00D93">
        <w:t xml:space="preserve">.  </w:t>
      </w:r>
      <w:r w:rsidR="007A24AA" w:rsidRPr="00D00D93">
        <w:t xml:space="preserve">A continuación, la </w:t>
      </w:r>
      <w:r w:rsidR="005B1DAD" w:rsidRPr="00D00D93">
        <w:t>Oficina Internacional</w:t>
      </w:r>
      <w:r w:rsidR="001B7D70" w:rsidRPr="00D00D93">
        <w:t xml:space="preserve"> </w:t>
      </w:r>
      <w:r w:rsidR="007A24AA" w:rsidRPr="00D00D93">
        <w:t>debería estudiar posibles soluciones técnicas a las cuestiones que preocupa</w:t>
      </w:r>
      <w:r w:rsidR="004B6281" w:rsidRPr="00D00D93">
        <w:t>n</w:t>
      </w:r>
      <w:r w:rsidR="001B7D70" w:rsidRPr="00D00D93">
        <w:t xml:space="preserve">, </w:t>
      </w:r>
      <w:r w:rsidR="007A24AA" w:rsidRPr="00D00D93">
        <w:t xml:space="preserve">incluida la de si sería conveniente </w:t>
      </w:r>
      <w:r w:rsidR="004B6281" w:rsidRPr="00D00D93">
        <w:t xml:space="preserve">ofrecer </w:t>
      </w:r>
      <w:r w:rsidR="007A24AA" w:rsidRPr="00D00D93">
        <w:t xml:space="preserve">un servicio equivalente </w:t>
      </w:r>
      <w:r w:rsidR="004B6281" w:rsidRPr="00D00D93">
        <w:t xml:space="preserve">que poner a disposición de </w:t>
      </w:r>
      <w:r w:rsidR="007A24AA" w:rsidRPr="00D00D93">
        <w:t>las Oficinas receptoras</w:t>
      </w:r>
      <w:r w:rsidR="001B7D70" w:rsidRPr="00D00D93">
        <w:t>.</w:t>
      </w:r>
    </w:p>
    <w:p w:rsidR="001B7D70" w:rsidRPr="00D00D93" w:rsidRDefault="00147E73" w:rsidP="001B7D70">
      <w:pPr>
        <w:pStyle w:val="Heading1"/>
        <w:keepNext w:val="0"/>
      </w:pPr>
      <w:r w:rsidRPr="00D00D93">
        <w:t>3.</w:t>
      </w:r>
      <w:r w:rsidRPr="00D00D93">
        <w:tab/>
        <w:t xml:space="preserve">PATRONES DE CALIDAD </w:t>
      </w:r>
    </w:p>
    <w:p w:rsidR="001B7D70" w:rsidRPr="00D00D93" w:rsidRDefault="001B7D70" w:rsidP="001B7D70">
      <w:pPr>
        <w:pStyle w:val="Heading2"/>
        <w:keepNext w:val="0"/>
      </w:pPr>
      <w:r w:rsidRPr="00D00D93">
        <w:t>a)</w:t>
      </w:r>
      <w:r w:rsidRPr="00D00D93">
        <w:tab/>
        <w:t>C</w:t>
      </w:r>
      <w:r w:rsidR="00147E73" w:rsidRPr="00D00D93">
        <w:t xml:space="preserve">aracterísticas de los informes de búsqueda internacional </w:t>
      </w:r>
    </w:p>
    <w:p w:rsidR="001B7D70" w:rsidRPr="00D00D93" w:rsidRDefault="002B0B26" w:rsidP="00740EFC">
      <w:pPr>
        <w:pStyle w:val="ONUMFS"/>
      </w:pPr>
      <w:r w:rsidRPr="00D00D93">
        <w:t xml:space="preserve">Las </w:t>
      </w:r>
      <w:r w:rsidR="005B1DAD" w:rsidRPr="00D00D93">
        <w:t>Administraciones</w:t>
      </w:r>
      <w:r w:rsidR="001B7D70" w:rsidRPr="00D00D93">
        <w:t xml:space="preserve"> </w:t>
      </w:r>
      <w:r w:rsidRPr="00D00D93">
        <w:t xml:space="preserve">confirmaron que siguen considerando </w:t>
      </w:r>
      <w:r w:rsidR="00FD5613" w:rsidRPr="00D00D93">
        <w:t xml:space="preserve">útiles </w:t>
      </w:r>
      <w:r w:rsidRPr="00D00D93">
        <w:t>los informes sobre las características de los informes de búsqueda internacional</w:t>
      </w:r>
      <w:r w:rsidR="001B7D70" w:rsidRPr="00D00D93">
        <w:t xml:space="preserve">.  </w:t>
      </w:r>
      <w:r w:rsidRPr="00D00D93">
        <w:t>Varias Administraciones manifestaron haber acogido con particular satisfacción los informes individualizados preparado</w:t>
      </w:r>
      <w:r w:rsidR="00B945FB" w:rsidRPr="00D00D93">
        <w:t>s</w:t>
      </w:r>
      <w:r w:rsidRPr="00D00D93">
        <w:t xml:space="preserve"> para sus Oficinas</w:t>
      </w:r>
      <w:r w:rsidR="001B7D70" w:rsidRPr="00D00D93">
        <w:t xml:space="preserve">, </w:t>
      </w:r>
      <w:r w:rsidRPr="00D00D93">
        <w:t xml:space="preserve">ya que simplifican el uso de los datos </w:t>
      </w:r>
      <w:r w:rsidR="00396D43" w:rsidRPr="00D00D93">
        <w:t xml:space="preserve">a modo de </w:t>
      </w:r>
      <w:r w:rsidRPr="00D00D93">
        <w:t>instrumento de autorreflexión</w:t>
      </w:r>
      <w:r w:rsidR="001B7D70" w:rsidRPr="00D00D93">
        <w:t xml:space="preserve">.  </w:t>
      </w:r>
      <w:r w:rsidR="00FD5613" w:rsidRPr="00D00D93">
        <w:t xml:space="preserve">Dijeron que confían en que </w:t>
      </w:r>
      <w:r w:rsidR="00B945FB" w:rsidRPr="00D00D93">
        <w:t xml:space="preserve">dichos informes </w:t>
      </w:r>
      <w:r w:rsidR="00FD5613" w:rsidRPr="00D00D93">
        <w:t xml:space="preserve">seguirán </w:t>
      </w:r>
      <w:r w:rsidR="00B945FB" w:rsidRPr="00D00D93">
        <w:t>proporci</w:t>
      </w:r>
      <w:r w:rsidR="009B75BF" w:rsidRPr="00D00D93">
        <w:t>o</w:t>
      </w:r>
      <w:r w:rsidR="00B945FB" w:rsidRPr="00D00D93">
        <w:t xml:space="preserve">nándose </w:t>
      </w:r>
      <w:r w:rsidR="00FD5613" w:rsidRPr="00D00D93">
        <w:t>en el futuro.</w:t>
      </w:r>
      <w:r w:rsidR="001B7D70" w:rsidRPr="00D00D93">
        <w:t xml:space="preserve">  </w:t>
      </w:r>
      <w:r w:rsidR="00FD5613" w:rsidRPr="00D00D93">
        <w:t xml:space="preserve">Sin embargo, varias Administraciones hicieron hincapié en </w:t>
      </w:r>
      <w:r w:rsidR="00396D43" w:rsidRPr="00D00D93">
        <w:t xml:space="preserve">su deseo de </w:t>
      </w:r>
      <w:r w:rsidR="00FD5613" w:rsidRPr="00D00D93">
        <w:t xml:space="preserve">establecer comparaciones </w:t>
      </w:r>
      <w:r w:rsidR="003922FB" w:rsidRPr="00D00D93">
        <w:t xml:space="preserve">entre diferentes Administraciones </w:t>
      </w:r>
      <w:r w:rsidR="00396D43" w:rsidRPr="00D00D93">
        <w:t xml:space="preserve">referidas a </w:t>
      </w:r>
      <w:r w:rsidR="00FD5613" w:rsidRPr="00D00D93">
        <w:t xml:space="preserve">características concretas y que, a </w:t>
      </w:r>
      <w:r w:rsidR="00FD5613" w:rsidRPr="00D00D93">
        <w:lastRenderedPageBreak/>
        <w:t>tal fin, el formato tradicional resulta más eficaz, especialmente cuando las características más rel</w:t>
      </w:r>
      <w:r w:rsidR="00B945FB" w:rsidRPr="00D00D93">
        <w:t>e</w:t>
      </w:r>
      <w:r w:rsidR="00FD5613" w:rsidRPr="00D00D93">
        <w:t xml:space="preserve">vantes de las Administraciones se presentan juntas en un mismo gráfico </w:t>
      </w:r>
      <w:r w:rsidR="001B7D70" w:rsidRPr="00D00D93">
        <w:t>(</w:t>
      </w:r>
      <w:r w:rsidR="00FD5613" w:rsidRPr="00D00D93">
        <w:t>pa</w:t>
      </w:r>
      <w:r w:rsidR="009B75BF" w:rsidRPr="00D00D93">
        <w:t>r</w:t>
      </w:r>
      <w:r w:rsidR="00FD5613" w:rsidRPr="00D00D93">
        <w:t>ticularmente en el caso de las</w:t>
      </w:r>
      <w:r w:rsidR="001B7D70" w:rsidRPr="00D00D93">
        <w:t xml:space="preserve"> </w:t>
      </w:r>
      <w:r w:rsidRPr="00D00D93">
        <w:t>Oficinas de la Cooperación Pentalateral</w:t>
      </w:r>
      <w:r w:rsidR="001B7D70" w:rsidRPr="00D00D93">
        <w:t>).</w:t>
      </w:r>
    </w:p>
    <w:p w:rsidR="001B7D70" w:rsidRPr="00D00D93" w:rsidRDefault="00B945FB" w:rsidP="00740EFC">
      <w:pPr>
        <w:pStyle w:val="ONUMFS"/>
      </w:pPr>
      <w:r w:rsidRPr="00D00D93">
        <w:t>El consenso fue general en cuanto a que la solución ideal pasaría por contar con una herramienta interactiva similar a la de la b</w:t>
      </w:r>
      <w:r w:rsidR="009956EA" w:rsidRPr="00D00D93">
        <w:t>ase de datos estadísticos sobre </w:t>
      </w:r>
      <w:r w:rsidRPr="00D00D93">
        <w:t xml:space="preserve">PI de la OMPI, que ofrece </w:t>
      </w:r>
      <w:r w:rsidR="003922FB" w:rsidRPr="00D00D93">
        <w:t xml:space="preserve">diferentes </w:t>
      </w:r>
      <w:r w:rsidRPr="00D00D93">
        <w:t xml:space="preserve">opciones </w:t>
      </w:r>
      <w:r w:rsidR="004D4B62" w:rsidRPr="00D00D93">
        <w:t xml:space="preserve">entre las que elegir </w:t>
      </w:r>
      <w:r w:rsidRPr="00D00D93">
        <w:t xml:space="preserve">y </w:t>
      </w:r>
      <w:r w:rsidR="004D4B62" w:rsidRPr="00D00D93">
        <w:t>que desplegar</w:t>
      </w:r>
      <w:r w:rsidR="001B7D70" w:rsidRPr="00D00D93">
        <w:t xml:space="preserve">, </w:t>
      </w:r>
      <w:r w:rsidRPr="00D00D93">
        <w:t xml:space="preserve">si bien se admitió que el desarrollo de una herramienta como esa no se </w:t>
      </w:r>
      <w:r w:rsidR="00396D43" w:rsidRPr="00D00D93">
        <w:t>considera</w:t>
      </w:r>
      <w:r w:rsidRPr="00D00D93">
        <w:t>, en general, una prioridad inmediata.</w:t>
      </w:r>
      <w:r w:rsidR="001B7D70" w:rsidRPr="00D00D93">
        <w:t xml:space="preserve">  </w:t>
      </w:r>
      <w:r w:rsidR="004D4B62" w:rsidRPr="00D00D93">
        <w:t xml:space="preserve">Entretanto, podría ser útil mejorar la presentación de los gráficos estáticos, así como </w:t>
      </w:r>
      <w:r w:rsidR="00282C4B" w:rsidRPr="00D00D93">
        <w:t xml:space="preserve">poner a disposición los </w:t>
      </w:r>
      <w:r w:rsidR="004D4B62" w:rsidRPr="00D00D93">
        <w:t>datos subyacentes en formatos más fácil</w:t>
      </w:r>
      <w:r w:rsidR="00282C4B" w:rsidRPr="00D00D93">
        <w:t>es</w:t>
      </w:r>
      <w:r w:rsidR="004D4B62" w:rsidRPr="00D00D93">
        <w:t xml:space="preserve"> </w:t>
      </w:r>
      <w:r w:rsidR="00282C4B" w:rsidRPr="00D00D93">
        <w:t>de utilizar</w:t>
      </w:r>
      <w:r w:rsidR="004D4B62" w:rsidRPr="00D00D93">
        <w:t>.</w:t>
      </w:r>
      <w:r w:rsidR="001B7D70" w:rsidRPr="00D00D93">
        <w:t xml:space="preserve">  </w:t>
      </w:r>
      <w:r w:rsidR="00282C4B" w:rsidRPr="00D00D93">
        <w:t xml:space="preserve">Algunas </w:t>
      </w:r>
      <w:r w:rsidR="005B1DAD" w:rsidRPr="00D00D93">
        <w:t>Administraciones</w:t>
      </w:r>
      <w:r w:rsidR="001B7D70" w:rsidRPr="00D00D93">
        <w:t xml:space="preserve"> </w:t>
      </w:r>
      <w:r w:rsidR="00282C4B" w:rsidRPr="00D00D93">
        <w:t>manifesta</w:t>
      </w:r>
      <w:r w:rsidR="003922FB" w:rsidRPr="00D00D93">
        <w:t>r</w:t>
      </w:r>
      <w:r w:rsidR="00282C4B" w:rsidRPr="00D00D93">
        <w:t>on que la prese</w:t>
      </w:r>
      <w:r w:rsidR="003922FB" w:rsidRPr="00D00D93">
        <w:t>n</w:t>
      </w:r>
      <w:r w:rsidR="00282C4B" w:rsidRPr="00D00D93">
        <w:t xml:space="preserve">tación de múltiples características juntas en un </w:t>
      </w:r>
      <w:r w:rsidR="00396D43" w:rsidRPr="00D00D93">
        <w:t xml:space="preserve">mismo </w:t>
      </w:r>
      <w:r w:rsidR="00282C4B" w:rsidRPr="00D00D93">
        <w:t>gráfico puede r</w:t>
      </w:r>
      <w:r w:rsidR="00576A16" w:rsidRPr="00D00D93">
        <w:t>e</w:t>
      </w:r>
      <w:r w:rsidR="00282C4B" w:rsidRPr="00D00D93">
        <w:t xml:space="preserve">sultar </w:t>
      </w:r>
      <w:r w:rsidR="003922FB" w:rsidRPr="00D00D93">
        <w:t>conven</w:t>
      </w:r>
      <w:r w:rsidR="009B75BF" w:rsidRPr="00D00D93">
        <w:t>i</w:t>
      </w:r>
      <w:r w:rsidR="003922FB" w:rsidRPr="00D00D93">
        <w:t xml:space="preserve">ente </w:t>
      </w:r>
      <w:r w:rsidR="00282C4B" w:rsidRPr="00D00D93">
        <w:t xml:space="preserve">en ocasiones y que </w:t>
      </w:r>
      <w:r w:rsidR="00576A16" w:rsidRPr="00D00D93">
        <w:t xml:space="preserve">merecería la pena seguir </w:t>
      </w:r>
      <w:r w:rsidR="00396D43" w:rsidRPr="00D00D93">
        <w:t xml:space="preserve">abordando </w:t>
      </w:r>
      <w:r w:rsidR="00282C4B" w:rsidRPr="00D00D93">
        <w:t xml:space="preserve">ese </w:t>
      </w:r>
      <w:r w:rsidR="00396D43" w:rsidRPr="00D00D93">
        <w:t>extremo</w:t>
      </w:r>
      <w:r w:rsidR="00282C4B" w:rsidRPr="00D00D93">
        <w:t>.</w:t>
      </w:r>
    </w:p>
    <w:p w:rsidR="001B7D70" w:rsidRPr="00D00D93" w:rsidRDefault="00576A16" w:rsidP="00740EFC">
      <w:pPr>
        <w:pStyle w:val="ONUMFS"/>
      </w:pPr>
      <w:r w:rsidRPr="00D00D93">
        <w:t xml:space="preserve">Las </w:t>
      </w:r>
      <w:r w:rsidR="005B1DAD" w:rsidRPr="00D00D93">
        <w:t>Administraciones</w:t>
      </w:r>
      <w:r w:rsidR="001B7D70" w:rsidRPr="00D00D93">
        <w:t xml:space="preserve"> </w:t>
      </w:r>
      <w:r w:rsidRPr="00D00D93">
        <w:t>señalaron que es esencial comprender lo que los gráficos representan</w:t>
      </w:r>
      <w:r w:rsidR="001B7D70" w:rsidRPr="00D00D93">
        <w:t xml:space="preserve">.  </w:t>
      </w:r>
      <w:r w:rsidRPr="00D00D93">
        <w:t xml:space="preserve">Enumeraron las siguientes </w:t>
      </w:r>
      <w:r w:rsidR="003922FB" w:rsidRPr="00D00D93">
        <w:t xml:space="preserve">cuestiones </w:t>
      </w:r>
      <w:r w:rsidRPr="00D00D93">
        <w:t xml:space="preserve">clave: </w:t>
      </w:r>
    </w:p>
    <w:p w:rsidR="001B7D70" w:rsidRPr="00D00D93" w:rsidRDefault="00576A16" w:rsidP="00740EFC">
      <w:pPr>
        <w:pStyle w:val="ONUMFS"/>
        <w:numPr>
          <w:ilvl w:val="1"/>
          <w:numId w:val="11"/>
        </w:numPr>
      </w:pPr>
      <w:r w:rsidRPr="00D00D93">
        <w:t>Las características no se hacen eco de las solicitudes internacionales respecto de las que no se haya realizado un informe de búsqueda internacional</w:t>
      </w:r>
      <w:r w:rsidR="001B7D70" w:rsidRPr="00D00D93">
        <w:t> –</w:t>
      </w:r>
      <w:r w:rsidRPr="00D00D93">
        <w:t>la informació</w:t>
      </w:r>
      <w:r w:rsidR="009B75BF" w:rsidRPr="00D00D93">
        <w:t>n</w:t>
      </w:r>
      <w:r w:rsidRPr="00D00D93">
        <w:t xml:space="preserve"> sobre el número y el desglose de esos casos podría hacer más pertinente el análisis de algunas cuestiones</w:t>
      </w:r>
      <w:r w:rsidR="001B7D70" w:rsidRPr="00D00D93">
        <w:t>.</w:t>
      </w:r>
    </w:p>
    <w:p w:rsidR="00EE4482" w:rsidRPr="00D00D93" w:rsidRDefault="00576A16" w:rsidP="00740EFC">
      <w:pPr>
        <w:pStyle w:val="ONUMFS"/>
        <w:numPr>
          <w:ilvl w:val="1"/>
          <w:numId w:val="11"/>
        </w:numPr>
      </w:pPr>
      <w:r w:rsidRPr="00D00D93">
        <w:t xml:space="preserve">Los gráficos </w:t>
      </w:r>
      <w:r w:rsidR="00EE4482" w:rsidRPr="00D00D93">
        <w:t xml:space="preserve">en los que figuran </w:t>
      </w:r>
      <w:r w:rsidRPr="00D00D93">
        <w:t>porcentajes</w:t>
      </w:r>
      <w:r w:rsidR="00EE4482" w:rsidRPr="00D00D93">
        <w:t xml:space="preserve"> </w:t>
      </w:r>
      <w:r w:rsidRPr="00D00D93">
        <w:t>de solic</w:t>
      </w:r>
      <w:r w:rsidR="00EE4482" w:rsidRPr="00D00D93">
        <w:t>i</w:t>
      </w:r>
      <w:r w:rsidRPr="00D00D93">
        <w:t xml:space="preserve">tudes o citas </w:t>
      </w:r>
      <w:r w:rsidR="00EE4482" w:rsidRPr="00D00D93">
        <w:t xml:space="preserve">que reúnen ciertas </w:t>
      </w:r>
      <w:r w:rsidRPr="00D00D93">
        <w:t xml:space="preserve">características pueden </w:t>
      </w:r>
      <w:r w:rsidR="00EE4482" w:rsidRPr="00D00D93">
        <w:t xml:space="preserve">inducir a error cuando se </w:t>
      </w:r>
      <w:r w:rsidR="00396D43" w:rsidRPr="00D00D93">
        <w:t xml:space="preserve">registra </w:t>
      </w:r>
      <w:r w:rsidR="00EE4482" w:rsidRPr="00D00D93">
        <w:t xml:space="preserve">un cambio significativo en los volúmenes de informes elaborados o en su </w:t>
      </w:r>
      <w:r w:rsidR="003922FB" w:rsidRPr="00D00D93">
        <w:t>carácter</w:t>
      </w:r>
      <w:r w:rsidR="00EE4482" w:rsidRPr="00D00D93">
        <w:t> –en algunos casos puede r</w:t>
      </w:r>
      <w:r w:rsidR="004772D3" w:rsidRPr="00D00D93">
        <w:t>e</w:t>
      </w:r>
      <w:r w:rsidR="00EE4482" w:rsidRPr="00D00D93">
        <w:t>sultar útil proporcionar información más precisa sobre los informes en números a</w:t>
      </w:r>
      <w:r w:rsidR="009B75BF" w:rsidRPr="00D00D93">
        <w:t>b</w:t>
      </w:r>
      <w:r w:rsidR="00EE4482" w:rsidRPr="00D00D93">
        <w:t>solutos.</w:t>
      </w:r>
    </w:p>
    <w:p w:rsidR="00826E76" w:rsidRPr="00D00D93" w:rsidRDefault="00EE4482" w:rsidP="00740EFC">
      <w:pPr>
        <w:pStyle w:val="ONUMFS"/>
        <w:numPr>
          <w:ilvl w:val="1"/>
          <w:numId w:val="11"/>
        </w:numPr>
      </w:pPr>
      <w:r w:rsidRPr="00D00D93">
        <w:t>Igualmente</w:t>
      </w:r>
      <w:r w:rsidR="001B7D70" w:rsidRPr="00D00D93">
        <w:t xml:space="preserve">, </w:t>
      </w:r>
      <w:r w:rsidR="004772D3" w:rsidRPr="00D00D93">
        <w:t xml:space="preserve">los desgloses de informes o citas por categorías </w:t>
      </w:r>
      <w:r w:rsidR="003922FB" w:rsidRPr="00D00D93">
        <w:t>mu</w:t>
      </w:r>
      <w:r w:rsidR="00826E76" w:rsidRPr="00D00D93">
        <w:t>y</w:t>
      </w:r>
      <w:r w:rsidR="003922FB" w:rsidRPr="00D00D93">
        <w:t xml:space="preserve"> </w:t>
      </w:r>
      <w:r w:rsidR="00F65968" w:rsidRPr="00D00D93">
        <w:t xml:space="preserve">acotadas </w:t>
      </w:r>
      <w:r w:rsidR="004772D3" w:rsidRPr="00D00D93">
        <w:t>mostrarán cifras que podrían no ser estadísticamente relevantes</w:t>
      </w:r>
      <w:r w:rsidR="00396D43" w:rsidRPr="00D00D93">
        <w:t xml:space="preserve">, por lo que </w:t>
      </w:r>
      <w:r w:rsidR="00826E76" w:rsidRPr="00D00D93">
        <w:t>debe tener</w:t>
      </w:r>
      <w:r w:rsidR="00396D43" w:rsidRPr="00D00D93">
        <w:t>se</w:t>
      </w:r>
      <w:r w:rsidR="00826E76" w:rsidRPr="00D00D93">
        <w:t xml:space="preserve"> cuidado a fin de evitar</w:t>
      </w:r>
      <w:r w:rsidR="00F65968" w:rsidRPr="00D00D93">
        <w:t xml:space="preserve"> que se extraigan </w:t>
      </w:r>
      <w:r w:rsidR="00826E76" w:rsidRPr="00D00D93">
        <w:t xml:space="preserve">conclusiones incorrectas o infundadas </w:t>
      </w:r>
      <w:r w:rsidR="00396D43" w:rsidRPr="00D00D93">
        <w:t xml:space="preserve">basadas en </w:t>
      </w:r>
      <w:r w:rsidR="00826E76" w:rsidRPr="00D00D93">
        <w:t xml:space="preserve">muestras pequeñas. </w:t>
      </w:r>
    </w:p>
    <w:p w:rsidR="00044822" w:rsidRPr="00D00D93" w:rsidRDefault="00576A16" w:rsidP="00740EFC">
      <w:pPr>
        <w:pStyle w:val="ONUMFS"/>
      </w:pPr>
      <w:r w:rsidRPr="00D00D93">
        <w:t>A raíz de los comentarios prese</w:t>
      </w:r>
      <w:r w:rsidR="004026CA" w:rsidRPr="00D00D93">
        <w:t>n</w:t>
      </w:r>
      <w:r w:rsidRPr="00D00D93">
        <w:t xml:space="preserve">tados por las </w:t>
      </w:r>
      <w:r w:rsidR="005B1DAD" w:rsidRPr="00D00D93">
        <w:t>Administraciones</w:t>
      </w:r>
      <w:r w:rsidR="001B7D70" w:rsidRPr="00D00D93">
        <w:t xml:space="preserve">, </w:t>
      </w:r>
      <w:r w:rsidRPr="00D00D93">
        <w:t xml:space="preserve">la </w:t>
      </w:r>
      <w:r w:rsidR="005B1DAD" w:rsidRPr="00D00D93">
        <w:t>Oficina Internacional</w:t>
      </w:r>
      <w:r w:rsidR="001B7D70" w:rsidRPr="00D00D93">
        <w:t xml:space="preserve"> </w:t>
      </w:r>
      <w:r w:rsidRPr="00D00D93">
        <w:t xml:space="preserve">acepto considerar </w:t>
      </w:r>
      <w:r w:rsidR="004026CA" w:rsidRPr="00D00D93">
        <w:t xml:space="preserve">introducir </w:t>
      </w:r>
      <w:r w:rsidRPr="00D00D93">
        <w:t xml:space="preserve">los siguientes cambios </w:t>
      </w:r>
      <w:r w:rsidR="00826E76" w:rsidRPr="00D00D93">
        <w:t xml:space="preserve">de </w:t>
      </w:r>
      <w:r w:rsidRPr="00D00D93">
        <w:t xml:space="preserve">características </w:t>
      </w:r>
      <w:r w:rsidR="00826E76" w:rsidRPr="00D00D93">
        <w:t xml:space="preserve">en </w:t>
      </w:r>
      <w:r w:rsidR="004772D3" w:rsidRPr="00D00D93">
        <w:t xml:space="preserve">los </w:t>
      </w:r>
      <w:r w:rsidRPr="00D00D93">
        <w:t xml:space="preserve">futuros informes, </w:t>
      </w:r>
      <w:r w:rsidR="004772D3" w:rsidRPr="00D00D93">
        <w:t xml:space="preserve">o en </w:t>
      </w:r>
      <w:r w:rsidR="00F65968" w:rsidRPr="00D00D93">
        <w:t xml:space="preserve">favorecer </w:t>
      </w:r>
      <w:r w:rsidR="00044822" w:rsidRPr="00D00D93">
        <w:t xml:space="preserve">de otro modo la </w:t>
      </w:r>
      <w:r w:rsidR="004026CA" w:rsidRPr="00D00D93">
        <w:t xml:space="preserve">accesibilidad </w:t>
      </w:r>
      <w:r w:rsidR="00044822" w:rsidRPr="00D00D93">
        <w:t>de los datos</w:t>
      </w:r>
      <w:r w:rsidR="004026CA" w:rsidRPr="00D00D93">
        <w:t xml:space="preserve"> </w:t>
      </w:r>
      <w:r w:rsidR="00826E76" w:rsidRPr="00D00D93">
        <w:t>en cuestión</w:t>
      </w:r>
      <w:r w:rsidR="00044822" w:rsidRPr="00D00D93">
        <w:t>:</w:t>
      </w:r>
    </w:p>
    <w:p w:rsidR="001B7D70" w:rsidRPr="00D00D93" w:rsidRDefault="004026CA" w:rsidP="00740EFC">
      <w:pPr>
        <w:pStyle w:val="ONUMFS"/>
        <w:numPr>
          <w:ilvl w:val="1"/>
          <w:numId w:val="11"/>
        </w:numPr>
      </w:pPr>
      <w:r w:rsidRPr="00D00D93">
        <w:t>Se añadirá una nueva característica que muestre el porcentaje de citas de patentes que no están en el idioma de la solicitud internacional.</w:t>
      </w:r>
    </w:p>
    <w:p w:rsidR="001B7D70" w:rsidRPr="00D00D93" w:rsidRDefault="009956EA" w:rsidP="00740EFC">
      <w:pPr>
        <w:pStyle w:val="ONUMFS"/>
        <w:numPr>
          <w:ilvl w:val="1"/>
          <w:numId w:val="11"/>
        </w:numPr>
      </w:pPr>
      <w:r w:rsidRPr="00D00D93">
        <w:t>La característica </w:t>
      </w:r>
      <w:r w:rsidR="001B7D70" w:rsidRPr="00D00D93">
        <w:t>1.8 (</w:t>
      </w:r>
      <w:r w:rsidR="004026CA" w:rsidRPr="00D00D93">
        <w:t>porcentaje de informes de b</w:t>
      </w:r>
      <w:r w:rsidR="00623F65" w:rsidRPr="00D00D93">
        <w:t xml:space="preserve">úsqueda del </w:t>
      </w:r>
      <w:r w:rsidR="004026CA" w:rsidRPr="00D00D93">
        <w:t xml:space="preserve">PCT </w:t>
      </w:r>
      <w:r w:rsidR="00826E76" w:rsidRPr="00D00D93">
        <w:t xml:space="preserve">que </w:t>
      </w:r>
      <w:r w:rsidR="00BB6CA9" w:rsidRPr="00D00D93">
        <w:t xml:space="preserve">contienen </w:t>
      </w:r>
      <w:r w:rsidRPr="00D00D93">
        <w:t>citas de la categoría O, T o </w:t>
      </w:r>
      <w:r w:rsidR="00623F65" w:rsidRPr="00D00D93">
        <w:t xml:space="preserve">L) deberá eliminarse de futuros informes, a menos que en las próximas semanas haya </w:t>
      </w:r>
      <w:r w:rsidR="00636E19" w:rsidRPr="00D00D93">
        <w:t>Administraci</w:t>
      </w:r>
      <w:r w:rsidR="00623F65" w:rsidRPr="00D00D93">
        <w:t>ones que indiquen que la consideran de utilidad</w:t>
      </w:r>
      <w:r w:rsidR="001B7D70" w:rsidRPr="00D00D93">
        <w:t>.</w:t>
      </w:r>
    </w:p>
    <w:p w:rsidR="001B7D70" w:rsidRPr="00D00D93" w:rsidRDefault="00623F65" w:rsidP="00740EFC">
      <w:pPr>
        <w:pStyle w:val="ONUMFS"/>
        <w:numPr>
          <w:ilvl w:val="1"/>
          <w:numId w:val="11"/>
        </w:numPr>
      </w:pPr>
      <w:r w:rsidRPr="00D00D93">
        <w:t xml:space="preserve">Se </w:t>
      </w:r>
      <w:r w:rsidR="00BB6CA9" w:rsidRPr="00D00D93">
        <w:t xml:space="preserve">proporcionará </w:t>
      </w:r>
      <w:r w:rsidRPr="00D00D93">
        <w:t xml:space="preserve">información </w:t>
      </w:r>
      <w:r w:rsidR="00BB6CA9" w:rsidRPr="00D00D93">
        <w:t xml:space="preserve">ampliada </w:t>
      </w:r>
      <w:r w:rsidRPr="00D00D93">
        <w:t>sobre averías técnicas y niveles trimestrales de producción</w:t>
      </w:r>
      <w:r w:rsidR="001B7D70" w:rsidRPr="00D00D93">
        <w:t>.</w:t>
      </w:r>
    </w:p>
    <w:p w:rsidR="001B7D70" w:rsidRPr="00D00D93" w:rsidRDefault="004772D3" w:rsidP="00740EFC">
      <w:pPr>
        <w:pStyle w:val="ONUMFS"/>
      </w:pPr>
      <w:r w:rsidRPr="00D00D93">
        <w:t xml:space="preserve">La </w:t>
      </w:r>
      <w:r w:rsidR="005B1DAD" w:rsidRPr="00D00D93">
        <w:t>Oficina Internacional</w:t>
      </w:r>
      <w:r w:rsidR="001B7D70" w:rsidRPr="00D00D93">
        <w:t xml:space="preserve"> </w:t>
      </w:r>
      <w:r w:rsidR="00550EC2" w:rsidRPr="00D00D93">
        <w:t>convino también en estudiar posibles informes sobre el uso que s</w:t>
      </w:r>
      <w:r w:rsidR="00BB6CA9" w:rsidRPr="00D00D93">
        <w:t>e</w:t>
      </w:r>
      <w:r w:rsidR="00550EC2" w:rsidRPr="00D00D93">
        <w:t xml:space="preserve"> hace de los </w:t>
      </w:r>
      <w:r w:rsidR="009956EA" w:rsidRPr="00D00D93">
        <w:t>Recuadros </w:t>
      </w:r>
      <w:r w:rsidR="001B7D70" w:rsidRPr="00D00D93">
        <w:t>IV (</w:t>
      </w:r>
      <w:r w:rsidRPr="00D00D93">
        <w:t>unidad de la invención</w:t>
      </w:r>
      <w:r w:rsidR="001B7D70" w:rsidRPr="00D00D93">
        <w:t xml:space="preserve">) </w:t>
      </w:r>
      <w:r w:rsidR="009956EA" w:rsidRPr="00D00D93">
        <w:t>y </w:t>
      </w:r>
      <w:r w:rsidR="001B7D70" w:rsidRPr="00D00D93">
        <w:t>VIII (</w:t>
      </w:r>
      <w:r w:rsidRPr="00D00D93">
        <w:t xml:space="preserve">determinadas observaciones) </w:t>
      </w:r>
      <w:r w:rsidR="00550EC2" w:rsidRPr="00D00D93">
        <w:t>de los formularios de opiniones escritas</w:t>
      </w:r>
      <w:r w:rsidR="001B7D70" w:rsidRPr="00D00D93">
        <w:t xml:space="preserve">.  </w:t>
      </w:r>
      <w:r w:rsidR="00550EC2" w:rsidRPr="00D00D93">
        <w:t xml:space="preserve">Hay datos disponibles sobre la existencia o </w:t>
      </w:r>
      <w:r w:rsidR="00CF3B7D" w:rsidRPr="00D00D93">
        <w:t xml:space="preserve">falta </w:t>
      </w:r>
      <w:r w:rsidR="00550EC2" w:rsidRPr="00D00D93">
        <w:t xml:space="preserve">de los recuadros en cuestión en las opiniones escritas de la </w:t>
      </w:r>
      <w:r w:rsidR="00636E19" w:rsidRPr="00D00D93">
        <w:t>Administración encargada de la búsqueda internacional</w:t>
      </w:r>
      <w:r w:rsidR="001B7D70" w:rsidRPr="00D00D93">
        <w:t xml:space="preserve">, </w:t>
      </w:r>
      <w:r w:rsidR="00550EC2" w:rsidRPr="00D00D93">
        <w:t xml:space="preserve">pero su uso </w:t>
      </w:r>
      <w:r w:rsidR="00A71D99" w:rsidRPr="00D00D93">
        <w:t>deb</w:t>
      </w:r>
      <w:r w:rsidR="00396D43" w:rsidRPr="00D00D93">
        <w:t>iera</w:t>
      </w:r>
      <w:r w:rsidR="00A71D99" w:rsidRPr="00D00D93">
        <w:t xml:space="preserve"> ser estudiado </w:t>
      </w:r>
      <w:r w:rsidR="00550EC2" w:rsidRPr="00D00D93">
        <w:t xml:space="preserve">detenidamente </w:t>
      </w:r>
      <w:r w:rsidR="00A71D99" w:rsidRPr="00D00D93">
        <w:t xml:space="preserve">a fin de evitar </w:t>
      </w:r>
      <w:r w:rsidR="00550EC2" w:rsidRPr="00D00D93">
        <w:t xml:space="preserve">trasladar impresiones </w:t>
      </w:r>
      <w:r w:rsidR="009961FB" w:rsidRPr="00D00D93">
        <w:t xml:space="preserve">erróneas.  </w:t>
      </w:r>
      <w:r w:rsidR="00550EC2" w:rsidRPr="00D00D93">
        <w:t xml:space="preserve">Además, </w:t>
      </w:r>
      <w:r w:rsidR="009961FB" w:rsidRPr="00D00D93">
        <w:t xml:space="preserve">no se dispone de esos datos </w:t>
      </w:r>
      <w:r w:rsidR="00396D43" w:rsidRPr="00D00D93">
        <w:t xml:space="preserve">respecto de </w:t>
      </w:r>
      <w:r w:rsidR="00550EC2" w:rsidRPr="00D00D93">
        <w:t xml:space="preserve">los formularios equivalentes del </w:t>
      </w:r>
      <w:r w:rsidR="009961FB" w:rsidRPr="00D00D93">
        <w:t>p</w:t>
      </w:r>
      <w:r w:rsidR="00550EC2" w:rsidRPr="00D00D93">
        <w:t>rocedimiento del Capítulo II</w:t>
      </w:r>
      <w:r w:rsidR="001B7D70" w:rsidRPr="00D00D93">
        <w:t>.</w:t>
      </w:r>
    </w:p>
    <w:p w:rsidR="001B7D70" w:rsidRPr="00D00D93" w:rsidRDefault="009961FB" w:rsidP="00584DB9">
      <w:pPr>
        <w:pStyle w:val="ONUMFS"/>
        <w:keepLines/>
      </w:pPr>
      <w:r w:rsidRPr="00D00D93">
        <w:lastRenderedPageBreak/>
        <w:t xml:space="preserve">Varias características más </w:t>
      </w:r>
      <w:r w:rsidR="00A71D99" w:rsidRPr="00D00D93">
        <w:t xml:space="preserve">revestirían interés </w:t>
      </w:r>
      <w:r w:rsidRPr="00D00D93">
        <w:t>si se dispusiera de información más detallada y actualizada</w:t>
      </w:r>
      <w:r w:rsidR="001B7D70" w:rsidRPr="00D00D93">
        <w:t xml:space="preserve">.  </w:t>
      </w:r>
      <w:r w:rsidRPr="00D00D93">
        <w:t xml:space="preserve">Además de las </w:t>
      </w:r>
      <w:r w:rsidR="00BB6CA9" w:rsidRPr="00D00D93">
        <w:t xml:space="preserve">ya referidas </w:t>
      </w:r>
      <w:r w:rsidRPr="00D00D93">
        <w:t xml:space="preserve">en </w:t>
      </w:r>
      <w:r w:rsidR="00CF3B7D" w:rsidRPr="00D00D93">
        <w:t xml:space="preserve">reuniones </w:t>
      </w:r>
      <w:r w:rsidRPr="00D00D93">
        <w:t xml:space="preserve">anteriores y en la wiki, se incluirían </w:t>
      </w:r>
      <w:r w:rsidR="00396D43" w:rsidRPr="00D00D93">
        <w:t xml:space="preserve">entre ellas </w:t>
      </w:r>
      <w:r w:rsidRPr="00D00D93">
        <w:t>unos desgloses más pormenorizados de</w:t>
      </w:r>
      <w:r w:rsidR="00EC7620" w:rsidRPr="00D00D93">
        <w:t xml:space="preserve">l carácter de las </w:t>
      </w:r>
      <w:r w:rsidRPr="00D00D93">
        <w:t>citas de literatura distinta de la de patentes</w:t>
      </w:r>
      <w:r w:rsidR="001B7D70" w:rsidRPr="00D00D93">
        <w:t>.</w:t>
      </w:r>
    </w:p>
    <w:p w:rsidR="001509A0" w:rsidRPr="00D00D93" w:rsidRDefault="004772D3" w:rsidP="00740EFC">
      <w:pPr>
        <w:pStyle w:val="ONUMFS"/>
      </w:pPr>
      <w:r w:rsidRPr="00D00D93">
        <w:t xml:space="preserve">Algunas Administraciones </w:t>
      </w:r>
      <w:r w:rsidR="00EC7620" w:rsidRPr="00D00D93">
        <w:t>observaron que en los últimos años han utilizado las características para identificar cue</w:t>
      </w:r>
      <w:r w:rsidR="001509A0" w:rsidRPr="00D00D93">
        <w:t>s</w:t>
      </w:r>
      <w:r w:rsidR="00EC7620" w:rsidRPr="00D00D93">
        <w:t xml:space="preserve">tiones </w:t>
      </w:r>
      <w:r w:rsidR="00396D43" w:rsidRPr="00D00D93">
        <w:t>sobre las que seguir indagando</w:t>
      </w:r>
      <w:r w:rsidR="00EC7620" w:rsidRPr="00D00D93">
        <w:t xml:space="preserve">, </w:t>
      </w:r>
      <w:r w:rsidR="001509A0" w:rsidRPr="00D00D93">
        <w:t xml:space="preserve">dándose así pie </w:t>
      </w:r>
      <w:r w:rsidR="00EC7620" w:rsidRPr="00D00D93">
        <w:t xml:space="preserve">a la introducción de </w:t>
      </w:r>
      <w:r w:rsidR="001509A0" w:rsidRPr="00D00D93">
        <w:t xml:space="preserve">cambios </w:t>
      </w:r>
      <w:r w:rsidR="00EC7620" w:rsidRPr="00D00D93">
        <w:t>en la práctica y a</w:t>
      </w:r>
      <w:r w:rsidR="001509A0" w:rsidRPr="00D00D93">
        <w:t xml:space="preserve"> </w:t>
      </w:r>
      <w:r w:rsidR="00EC7620" w:rsidRPr="00D00D93">
        <w:t xml:space="preserve">la manifestación </w:t>
      </w:r>
      <w:r w:rsidR="001509A0" w:rsidRPr="00D00D93">
        <w:t xml:space="preserve">visible </w:t>
      </w:r>
      <w:r w:rsidR="00EC7620" w:rsidRPr="00D00D93">
        <w:t>de l</w:t>
      </w:r>
      <w:r w:rsidR="00BB6CA9" w:rsidRPr="00D00D93">
        <w:t>a</w:t>
      </w:r>
      <w:r w:rsidR="00EC7620" w:rsidRPr="00D00D93">
        <w:t>s consiguient</w:t>
      </w:r>
      <w:r w:rsidR="001509A0" w:rsidRPr="00D00D93">
        <w:t>e</w:t>
      </w:r>
      <w:r w:rsidR="00EC7620" w:rsidRPr="00D00D93">
        <w:t xml:space="preserve">s </w:t>
      </w:r>
      <w:r w:rsidR="001509A0" w:rsidRPr="00D00D93">
        <w:t xml:space="preserve">modificaciones </w:t>
      </w:r>
      <w:r w:rsidR="00EC7620" w:rsidRPr="00D00D93">
        <w:t xml:space="preserve">en </w:t>
      </w:r>
      <w:r w:rsidR="001509A0" w:rsidRPr="00D00D93">
        <w:t>ellas</w:t>
      </w:r>
      <w:r w:rsidR="001B7D70" w:rsidRPr="00D00D93">
        <w:t xml:space="preserve">.  </w:t>
      </w:r>
      <w:r w:rsidR="001509A0" w:rsidRPr="00D00D93">
        <w:t>Cabe seña</w:t>
      </w:r>
      <w:r w:rsidR="009B75BF" w:rsidRPr="00D00D93">
        <w:t>la</w:t>
      </w:r>
      <w:r w:rsidR="001509A0" w:rsidRPr="00D00D93">
        <w:t xml:space="preserve">r como caso notable a ese respecto </w:t>
      </w:r>
      <w:r w:rsidR="00EC7620" w:rsidRPr="00D00D93">
        <w:t>la característica</w:t>
      </w:r>
      <w:r w:rsidR="001B7D70" w:rsidRPr="00D00D93">
        <w:t> 1.1 (</w:t>
      </w:r>
      <w:r w:rsidR="00EC7620" w:rsidRPr="00D00D93">
        <w:t xml:space="preserve">porcentaje de informes de búsqueda del PCT que </w:t>
      </w:r>
      <w:r w:rsidR="00BB6CA9" w:rsidRPr="00D00D93">
        <w:t>contien</w:t>
      </w:r>
      <w:r w:rsidR="00A71D99" w:rsidRPr="00D00D93">
        <w:t>en</w:t>
      </w:r>
      <w:r w:rsidR="00BB6CA9" w:rsidRPr="00D00D93">
        <w:t xml:space="preserve"> </w:t>
      </w:r>
      <w:r w:rsidR="00EC7620" w:rsidRPr="00D00D93">
        <w:t>al</w:t>
      </w:r>
      <w:r w:rsidR="00CF05DB" w:rsidRPr="00D00D93">
        <w:t xml:space="preserve"> menos una cita de la categoría X, Y o </w:t>
      </w:r>
      <w:r w:rsidR="00EC7620" w:rsidRPr="00D00D93">
        <w:t>E</w:t>
      </w:r>
      <w:r w:rsidR="001B7D70" w:rsidRPr="00D00D93">
        <w:t xml:space="preserve">).  </w:t>
      </w:r>
      <w:r w:rsidR="001509A0" w:rsidRPr="00D00D93">
        <w:t xml:space="preserve">Se observó que tanto valores extremadamente altos como relativamente bajos para esa característica </w:t>
      </w:r>
      <w:r w:rsidR="00AA78D3" w:rsidRPr="00D00D93">
        <w:t xml:space="preserve">pueden </w:t>
      </w:r>
      <w:r w:rsidR="001509A0" w:rsidRPr="00D00D93">
        <w:t xml:space="preserve">sembrar dudas respecto de si </w:t>
      </w:r>
      <w:r w:rsidR="00A71D99" w:rsidRPr="00D00D93">
        <w:t xml:space="preserve">siempre </w:t>
      </w:r>
      <w:r w:rsidR="001509A0" w:rsidRPr="00D00D93">
        <w:t xml:space="preserve">se le ha aplicado </w:t>
      </w:r>
      <w:r w:rsidR="00AA78D3" w:rsidRPr="00D00D93">
        <w:t xml:space="preserve">a un documento citado </w:t>
      </w:r>
      <w:r w:rsidR="001509A0" w:rsidRPr="00D00D93">
        <w:t>la categoría más adecuada.</w:t>
      </w:r>
    </w:p>
    <w:p w:rsidR="004772D3" w:rsidRPr="00D00D93" w:rsidRDefault="004772D3" w:rsidP="00740EFC">
      <w:pPr>
        <w:pStyle w:val="ONUMFS"/>
        <w:ind w:left="567"/>
      </w:pPr>
      <w:r w:rsidRPr="00D00D93">
        <w:t xml:space="preserve">El Subgrupo invitó a la Oficina </w:t>
      </w:r>
      <w:r w:rsidR="005B1DAD" w:rsidRPr="00D00D93">
        <w:t>Internacional</w:t>
      </w:r>
      <w:r w:rsidR="001B7D70" w:rsidRPr="00D00D93">
        <w:t xml:space="preserve"> </w:t>
      </w:r>
      <w:r w:rsidRPr="00D00D93">
        <w:t xml:space="preserve">a continuar desarrollando los informes de características y convino en </w:t>
      </w:r>
      <w:r w:rsidR="00BB6CA9" w:rsidRPr="00D00D93">
        <w:t xml:space="preserve">que se siga debatiendo </w:t>
      </w:r>
      <w:r w:rsidRPr="00D00D93">
        <w:t>sobre l</w:t>
      </w:r>
      <w:r w:rsidR="003A1D47" w:rsidRPr="00D00D93">
        <w:t>a mejora de los formatos a travé</w:t>
      </w:r>
      <w:r w:rsidRPr="00D00D93">
        <w:t>s del foro electrónico.</w:t>
      </w:r>
    </w:p>
    <w:p w:rsidR="001B7D70" w:rsidRPr="00D00D93" w:rsidRDefault="001B7D70" w:rsidP="00FA036D">
      <w:pPr>
        <w:pStyle w:val="Heading2"/>
        <w:keepNext w:val="0"/>
        <w:ind w:left="567" w:hanging="567"/>
      </w:pPr>
      <w:r w:rsidRPr="00D00D93">
        <w:t>b)</w:t>
      </w:r>
      <w:r w:rsidRPr="00D00D93">
        <w:tab/>
      </w:r>
      <w:r w:rsidR="00147E73" w:rsidRPr="00D00D93">
        <w:t xml:space="preserve">PATRONES DEL pct </w:t>
      </w:r>
      <w:r w:rsidRPr="00D00D93">
        <w:t>– Defi</w:t>
      </w:r>
      <w:r w:rsidR="00147E73" w:rsidRPr="00D00D93">
        <w:t xml:space="preserve">NICIÓN DE LAS NECESIDADES Y OBTENCIÓN DE LOS DATOS </w:t>
      </w:r>
    </w:p>
    <w:p w:rsidR="001B7D70" w:rsidRPr="00D00D93" w:rsidRDefault="001509A0" w:rsidP="00740EFC">
      <w:pPr>
        <w:pStyle w:val="ONUMFS"/>
      </w:pPr>
      <w:r w:rsidRPr="00D00D93">
        <w:rPr>
          <w:rFonts w:eastAsia="Times New Roman"/>
        </w:rPr>
        <w:t>El Instituto Nacional de Propiedad Industrial de Chile</w:t>
      </w:r>
      <w:r w:rsidRPr="00D00D93">
        <w:t xml:space="preserve"> (INAPI) </w:t>
      </w:r>
      <w:r w:rsidR="00233A8A" w:rsidRPr="00D00D93">
        <w:t xml:space="preserve">dijo que, en su opinión, los parámetros que ofrece la Oficina Internacional </w:t>
      </w:r>
      <w:r w:rsidR="00A71D99" w:rsidRPr="00D00D93">
        <w:t xml:space="preserve">revisten importancia </w:t>
      </w:r>
      <w:r w:rsidR="00233A8A" w:rsidRPr="00D00D93">
        <w:t>para la gestión y el funcionamiento de sus servicios.</w:t>
      </w:r>
      <w:r w:rsidR="001B7D70" w:rsidRPr="00D00D93">
        <w:t xml:space="preserve">  </w:t>
      </w:r>
      <w:r w:rsidR="00233A8A" w:rsidRPr="00D00D93">
        <w:t xml:space="preserve">Dijo que confía en que siga mejorándose la información disponible sobre la transmisión de las copias para la búsqueda </w:t>
      </w:r>
      <w:r w:rsidR="00A71D99" w:rsidRPr="00D00D93">
        <w:t xml:space="preserve">desde </w:t>
      </w:r>
      <w:r w:rsidR="00233A8A" w:rsidRPr="00D00D93">
        <w:t>las Oficinas receptoras</w:t>
      </w:r>
      <w:r w:rsidR="005A76BE" w:rsidRPr="00D00D93">
        <w:t xml:space="preserve">, así como </w:t>
      </w:r>
      <w:r w:rsidR="00233A8A" w:rsidRPr="00D00D93">
        <w:t>la relativa a las solicitudes prese</w:t>
      </w:r>
      <w:r w:rsidR="00A71D99" w:rsidRPr="00D00D93">
        <w:t>n</w:t>
      </w:r>
      <w:r w:rsidR="00233A8A" w:rsidRPr="00D00D93">
        <w:t xml:space="preserve">tadas en papel, que </w:t>
      </w:r>
      <w:r w:rsidR="005A76BE" w:rsidRPr="00D00D93">
        <w:t xml:space="preserve">tan </w:t>
      </w:r>
      <w:r w:rsidR="00233A8A" w:rsidRPr="00D00D93">
        <w:t xml:space="preserve">relativamente habituales </w:t>
      </w:r>
      <w:r w:rsidR="005A76BE" w:rsidRPr="00D00D93">
        <w:t xml:space="preserve">son en </w:t>
      </w:r>
      <w:r w:rsidR="00233A8A" w:rsidRPr="00D00D93">
        <w:t>su regi</w:t>
      </w:r>
      <w:r w:rsidR="00CF05DB" w:rsidRPr="00D00D93">
        <w:t>ó</w:t>
      </w:r>
      <w:r w:rsidR="00233A8A" w:rsidRPr="00D00D93">
        <w:t>n geográfica.</w:t>
      </w:r>
    </w:p>
    <w:p w:rsidR="001B7D70" w:rsidRPr="00D00D93" w:rsidRDefault="001B7D70" w:rsidP="001B7D70">
      <w:pPr>
        <w:pStyle w:val="Heading2"/>
        <w:keepNext w:val="0"/>
      </w:pPr>
      <w:r w:rsidRPr="00D00D93">
        <w:t>c)</w:t>
      </w:r>
      <w:r w:rsidRPr="00D00D93">
        <w:tab/>
      </w:r>
      <w:r w:rsidR="00D85F4B" w:rsidRPr="00D00D93">
        <w:t xml:space="preserve">OBSERVACIONES FORMULADAS POR TERCEROS </w:t>
      </w:r>
    </w:p>
    <w:p w:rsidR="008A3D75" w:rsidRPr="00D00D93" w:rsidRDefault="00A85BC4" w:rsidP="00740EFC">
      <w:pPr>
        <w:pStyle w:val="ONUMFS"/>
      </w:pPr>
      <w:r w:rsidRPr="00D00D93">
        <w:t>Las A</w:t>
      </w:r>
      <w:r w:rsidR="005B1DAD" w:rsidRPr="00D00D93">
        <w:t>dministraciones</w:t>
      </w:r>
      <w:r w:rsidR="001B7D70" w:rsidRPr="00D00D93">
        <w:t xml:space="preserve"> </w:t>
      </w:r>
      <w:r w:rsidRPr="00D00D93">
        <w:t xml:space="preserve">tomaron nota del momento </w:t>
      </w:r>
      <w:r w:rsidR="00AA78D3" w:rsidRPr="00D00D93">
        <w:t xml:space="preserve">en que usualmente se realizan </w:t>
      </w:r>
      <w:r w:rsidRPr="00D00D93">
        <w:t>las ob</w:t>
      </w:r>
      <w:r w:rsidR="009B75BF" w:rsidRPr="00D00D93">
        <w:t>s</w:t>
      </w:r>
      <w:r w:rsidRPr="00D00D93">
        <w:t xml:space="preserve">ervaciones y concluyeron que es </w:t>
      </w:r>
      <w:r w:rsidR="00B54130" w:rsidRPr="00D00D93">
        <w:t xml:space="preserve">poco </w:t>
      </w:r>
      <w:r w:rsidRPr="00D00D93">
        <w:t>probable que las observaciones vayan a tener siem</w:t>
      </w:r>
      <w:r w:rsidR="00B54130" w:rsidRPr="00D00D93">
        <w:t>p</w:t>
      </w:r>
      <w:r w:rsidRPr="00D00D93">
        <w:t xml:space="preserve">re un papel </w:t>
      </w:r>
      <w:r w:rsidR="00AA78D3" w:rsidRPr="00D00D93">
        <w:t xml:space="preserve">significativo </w:t>
      </w:r>
      <w:r w:rsidRPr="00D00D93">
        <w:t xml:space="preserve">que </w:t>
      </w:r>
      <w:r w:rsidR="009858DA" w:rsidRPr="00D00D93">
        <w:t xml:space="preserve">desempeñar </w:t>
      </w:r>
      <w:r w:rsidRPr="00D00D93">
        <w:t>en la fase inte</w:t>
      </w:r>
      <w:r w:rsidR="00B54130" w:rsidRPr="00D00D93">
        <w:t>r</w:t>
      </w:r>
      <w:r w:rsidRPr="00D00D93">
        <w:t>nacional.</w:t>
      </w:r>
      <w:r w:rsidR="001B7D70" w:rsidRPr="00D00D93">
        <w:t xml:space="preserve">  </w:t>
      </w:r>
      <w:r w:rsidR="008A7CE8" w:rsidRPr="00D00D93">
        <w:t xml:space="preserve">A ese respecto, se consideró que los debates </w:t>
      </w:r>
      <w:r w:rsidR="009858DA" w:rsidRPr="00D00D93">
        <w:t xml:space="preserve">deberían </w:t>
      </w:r>
      <w:r w:rsidR="008A7CE8" w:rsidRPr="00D00D93">
        <w:t>centrarse en garantizar su eficacia dentro de la fase nacional</w:t>
      </w:r>
      <w:r w:rsidR="001B7D70" w:rsidRPr="00D00D93">
        <w:t xml:space="preserve">.  </w:t>
      </w:r>
      <w:r w:rsidR="002C5E55" w:rsidRPr="00D00D93">
        <w:t>Se dijo que l</w:t>
      </w:r>
      <w:r w:rsidR="008A7CE8" w:rsidRPr="00D00D93">
        <w:t>a impresi</w:t>
      </w:r>
      <w:r w:rsidR="00AA78D3" w:rsidRPr="00D00D93">
        <w:t xml:space="preserve">ón </w:t>
      </w:r>
      <w:r w:rsidR="008A7CE8" w:rsidRPr="00D00D93">
        <w:t xml:space="preserve">inicial </w:t>
      </w:r>
      <w:r w:rsidR="002C5E55" w:rsidRPr="00D00D93">
        <w:t xml:space="preserve">sobre el papel de las observaciones a nivel internacional </w:t>
      </w:r>
      <w:r w:rsidR="00AA78D3" w:rsidRPr="00D00D93">
        <w:t xml:space="preserve">es </w:t>
      </w:r>
      <w:r w:rsidR="002C5E55" w:rsidRPr="00D00D93">
        <w:t>positiva, si bien el reducido número de ellas que ha sido objeto de la tramitación en la fase nacional hacen que la experiencia con la utilización de las observacione</w:t>
      </w:r>
      <w:r w:rsidR="009B75BF" w:rsidRPr="00D00D93">
        <w:t>s</w:t>
      </w:r>
      <w:r w:rsidR="002C5E55" w:rsidRPr="00D00D93">
        <w:t xml:space="preserve"> formuladas por te</w:t>
      </w:r>
      <w:r w:rsidR="009B75BF" w:rsidRPr="00D00D93">
        <w:t>r</w:t>
      </w:r>
      <w:r w:rsidR="002C5E55" w:rsidRPr="00D00D93">
        <w:t>ceros en la fase internacion</w:t>
      </w:r>
      <w:r w:rsidR="009B75BF" w:rsidRPr="00D00D93">
        <w:t>al</w:t>
      </w:r>
      <w:r w:rsidR="002C5E55" w:rsidRPr="00D00D93">
        <w:t xml:space="preserve"> sea limitada.  La calidad de las observaciones también es variable y su utilidad debe analizarse caso por caso.  Una Administración afirmó que, en su opinión, las observaciones más útiles </w:t>
      </w:r>
      <w:r w:rsidR="00BA796A" w:rsidRPr="00D00D93">
        <w:t xml:space="preserve">son las que presentan nuevos elementos del estado de la técnica que no hayan estado a </w:t>
      </w:r>
      <w:r w:rsidR="009B75BF" w:rsidRPr="00D00D93">
        <w:t>d</w:t>
      </w:r>
      <w:r w:rsidR="00BA796A" w:rsidRPr="00D00D93">
        <w:t xml:space="preserve">isposición de la </w:t>
      </w:r>
      <w:r w:rsidR="002C5E55" w:rsidRPr="00D00D93">
        <w:t>Administración encargada de la búsqueda internacional –</w:t>
      </w:r>
      <w:r w:rsidR="00BA796A" w:rsidRPr="00D00D93">
        <w:t>especialmente publicaciones muy recientes o literatura distinta de la de patentes</w:t>
      </w:r>
      <w:r w:rsidR="002C5E55" w:rsidRPr="00D00D93">
        <w:t xml:space="preserve">.  </w:t>
      </w:r>
      <w:r w:rsidR="00BA796A" w:rsidRPr="00D00D93">
        <w:t xml:space="preserve">Esa misma Administración sugirió que la </w:t>
      </w:r>
      <w:r w:rsidR="002C5E55" w:rsidRPr="00D00D93">
        <w:t xml:space="preserve">Oficina Internacional </w:t>
      </w:r>
      <w:r w:rsidR="00BA796A" w:rsidRPr="00D00D93">
        <w:t>podría proporcionar estadísticas sobre citas relacionadas con observaciones formuladas por terceros, tales como la</w:t>
      </w:r>
      <w:r w:rsidR="009858DA" w:rsidRPr="00D00D93">
        <w:t>s</w:t>
      </w:r>
      <w:r w:rsidR="00BA796A" w:rsidRPr="00D00D93">
        <w:t xml:space="preserve"> </w:t>
      </w:r>
      <w:r w:rsidR="005A76BE" w:rsidRPr="00D00D93">
        <w:t xml:space="preserve">referidas </w:t>
      </w:r>
      <w:r w:rsidR="00AA78D3" w:rsidRPr="00D00D93">
        <w:t xml:space="preserve">a </w:t>
      </w:r>
      <w:r w:rsidR="009858DA" w:rsidRPr="00D00D93">
        <w:t xml:space="preserve">la </w:t>
      </w:r>
      <w:r w:rsidR="00BA796A" w:rsidRPr="00D00D93">
        <w:t xml:space="preserve">naturaleza de la cita </w:t>
      </w:r>
      <w:r w:rsidR="002C5E55" w:rsidRPr="00D00D93">
        <w:t>(</w:t>
      </w:r>
      <w:r w:rsidR="00BA796A" w:rsidRPr="00D00D93">
        <w:t>por ejemplo,</w:t>
      </w:r>
      <w:r w:rsidR="002C5E55" w:rsidRPr="00D00D93">
        <w:t xml:space="preserve"> v</w:t>
      </w:r>
      <w:r w:rsidR="00BA796A" w:rsidRPr="00D00D93">
        <w:t>í</w:t>
      </w:r>
      <w:r w:rsidR="002C5E55" w:rsidRPr="00D00D93">
        <w:t xml:space="preserve">deo, </w:t>
      </w:r>
      <w:r w:rsidR="00BA796A" w:rsidRPr="00D00D93">
        <w:t>folleto, catálogo, us</w:t>
      </w:r>
      <w:r w:rsidR="009B75BF" w:rsidRPr="00D00D93">
        <w:t>o</w:t>
      </w:r>
      <w:r w:rsidR="00BA796A" w:rsidRPr="00D00D93">
        <w:t xml:space="preserve"> anterior</w:t>
      </w:r>
      <w:r w:rsidR="002C5E55" w:rsidRPr="00D00D93">
        <w:t xml:space="preserve">, etc.) </w:t>
      </w:r>
      <w:r w:rsidR="008A3D75" w:rsidRPr="00D00D93">
        <w:t>y la antig</w:t>
      </w:r>
      <w:r w:rsidR="009B75BF" w:rsidRPr="00D00D93">
        <w:t>ü</w:t>
      </w:r>
      <w:r w:rsidR="008A3D75" w:rsidRPr="00D00D93">
        <w:t>edad y fecha de publicación de las citas incluidas en las observaciones formuladas por terceros</w:t>
      </w:r>
      <w:r w:rsidR="002C5E55" w:rsidRPr="00D00D93">
        <w:t xml:space="preserve">.  </w:t>
      </w:r>
      <w:r w:rsidR="008A3D75" w:rsidRPr="00D00D93">
        <w:t>Asimismo, dijo que, en su opinión, la utilidad de abrir las observaciones a un rango más amplio de materias sería limitada</w:t>
      </w:r>
      <w:r w:rsidR="00BA796A" w:rsidRPr="00D00D93">
        <w:t xml:space="preserve">.  </w:t>
      </w:r>
      <w:r w:rsidR="008A3D75" w:rsidRPr="00D00D93">
        <w:t xml:space="preserve">Se sugirió </w:t>
      </w:r>
      <w:r w:rsidR="009858DA" w:rsidRPr="00D00D93">
        <w:t xml:space="preserve">también </w:t>
      </w:r>
      <w:r w:rsidR="008A3D75" w:rsidRPr="00D00D93">
        <w:t xml:space="preserve">que </w:t>
      </w:r>
      <w:r w:rsidR="00DD7F35" w:rsidRPr="00D00D93">
        <w:t xml:space="preserve">se invite a </w:t>
      </w:r>
      <w:r w:rsidR="008A3D75" w:rsidRPr="00D00D93">
        <w:t>las personas que formul</w:t>
      </w:r>
      <w:r w:rsidR="009858DA" w:rsidRPr="00D00D93">
        <w:t>a</w:t>
      </w:r>
      <w:r w:rsidR="008A3D75" w:rsidRPr="00D00D93">
        <w:t xml:space="preserve">n las observaciones </w:t>
      </w:r>
      <w:r w:rsidR="00DD7F35" w:rsidRPr="00D00D93">
        <w:t xml:space="preserve">a proporcionar su </w:t>
      </w:r>
      <w:r w:rsidR="008A3D75" w:rsidRPr="00D00D93">
        <w:t>traducción al inglés cuando la publicación de que se</w:t>
      </w:r>
      <w:r w:rsidR="00DD7F35" w:rsidRPr="00D00D93">
        <w:t xml:space="preserve"> </w:t>
      </w:r>
      <w:r w:rsidR="008A3D75" w:rsidRPr="00D00D93">
        <w:t xml:space="preserve">trate no </w:t>
      </w:r>
      <w:r w:rsidR="00DD7F35" w:rsidRPr="00D00D93">
        <w:t xml:space="preserve">figure </w:t>
      </w:r>
      <w:r w:rsidR="008A3D75" w:rsidRPr="00D00D93">
        <w:t xml:space="preserve">en ese idioma. </w:t>
      </w:r>
    </w:p>
    <w:p w:rsidR="00584DB9" w:rsidRDefault="00DD7F35" w:rsidP="00740EFC">
      <w:pPr>
        <w:pStyle w:val="ONUMFS"/>
      </w:pPr>
      <w:r w:rsidRPr="00D00D93">
        <w:t xml:space="preserve">En respuesta a la consulta realizada por una </w:t>
      </w:r>
      <w:r w:rsidR="00636E19" w:rsidRPr="00D00D93">
        <w:t>Administración Internacional</w:t>
      </w:r>
      <w:r w:rsidR="001B7D70" w:rsidRPr="00D00D93">
        <w:t xml:space="preserve">, </w:t>
      </w:r>
      <w:r w:rsidRPr="00D00D93">
        <w:t xml:space="preserve">la </w:t>
      </w:r>
      <w:r w:rsidR="005B1DAD" w:rsidRPr="00D00D93">
        <w:t>Oficina Internacional</w:t>
      </w:r>
      <w:r w:rsidR="001B7D70" w:rsidRPr="00D00D93">
        <w:t xml:space="preserve"> </w:t>
      </w:r>
      <w:r w:rsidRPr="00D00D93">
        <w:t xml:space="preserve">explicó que se ha </w:t>
      </w:r>
      <w:r w:rsidR="00AA78D3" w:rsidRPr="00D00D93">
        <w:t xml:space="preserve">previsto </w:t>
      </w:r>
      <w:r w:rsidRPr="00D00D93">
        <w:t xml:space="preserve">un </w:t>
      </w:r>
      <w:r w:rsidR="00F132B9" w:rsidRPr="00D00D93">
        <w:t xml:space="preserve">mecanismo </w:t>
      </w:r>
      <w:r w:rsidR="00672112" w:rsidRPr="00D00D93">
        <w:t xml:space="preserve">de </w:t>
      </w:r>
      <w:r w:rsidRPr="00D00D93">
        <w:t xml:space="preserve">observaciones </w:t>
      </w:r>
      <w:r w:rsidR="00672112" w:rsidRPr="00D00D93">
        <w:t xml:space="preserve">por los solicitantes </w:t>
      </w:r>
      <w:r w:rsidRPr="00D00D93">
        <w:t xml:space="preserve">con </w:t>
      </w:r>
      <w:r w:rsidR="00672112" w:rsidRPr="00D00D93">
        <w:t xml:space="preserve">el propósito de </w:t>
      </w:r>
      <w:r w:rsidR="00F132B9" w:rsidRPr="00D00D93">
        <w:t xml:space="preserve">que </w:t>
      </w:r>
      <w:r w:rsidRPr="00D00D93">
        <w:t xml:space="preserve">las divulgaciones del estado de la técnica del solicitante </w:t>
      </w:r>
      <w:r w:rsidR="005A76BE" w:rsidRPr="00D00D93">
        <w:t xml:space="preserve">puedan combinarse </w:t>
      </w:r>
      <w:r w:rsidRPr="00D00D93">
        <w:t xml:space="preserve">con las citas del informe de búsqueda y </w:t>
      </w:r>
      <w:r w:rsidR="00672112" w:rsidRPr="00D00D93">
        <w:t xml:space="preserve">las </w:t>
      </w:r>
      <w:r w:rsidRPr="00D00D93">
        <w:t>observaci</w:t>
      </w:r>
      <w:r w:rsidR="00672112" w:rsidRPr="00D00D93">
        <w:t>ones</w:t>
      </w:r>
      <w:r w:rsidRPr="00D00D93">
        <w:t xml:space="preserve"> formulada</w:t>
      </w:r>
      <w:r w:rsidR="00672112" w:rsidRPr="00D00D93">
        <w:t>s</w:t>
      </w:r>
      <w:r w:rsidRPr="00D00D93">
        <w:t xml:space="preserve"> p</w:t>
      </w:r>
      <w:r w:rsidR="00672112" w:rsidRPr="00D00D93">
        <w:t>o</w:t>
      </w:r>
      <w:r w:rsidRPr="00D00D93">
        <w:t>r tercero</w:t>
      </w:r>
      <w:r w:rsidR="00672112" w:rsidRPr="00D00D93">
        <w:t>s</w:t>
      </w:r>
      <w:r w:rsidR="00584DB9">
        <w:t xml:space="preserve"> </w:t>
      </w:r>
    </w:p>
    <w:p w:rsidR="00672112" w:rsidRPr="00D00D93" w:rsidRDefault="00F132B9" w:rsidP="00584DB9">
      <w:pPr>
        <w:pStyle w:val="ONUMFS"/>
        <w:numPr>
          <w:ilvl w:val="0"/>
          <w:numId w:val="0"/>
        </w:numPr>
      </w:pPr>
      <w:proofErr w:type="gramStart"/>
      <w:r w:rsidRPr="00D00D93">
        <w:lastRenderedPageBreak/>
        <w:t>para</w:t>
      </w:r>
      <w:proofErr w:type="gramEnd"/>
      <w:r w:rsidRPr="00D00D93">
        <w:t xml:space="preserve"> </w:t>
      </w:r>
      <w:r w:rsidR="00CC53D6" w:rsidRPr="00D00D93">
        <w:t xml:space="preserve">favorecer </w:t>
      </w:r>
      <w:r w:rsidR="00672112" w:rsidRPr="00D00D93">
        <w:t xml:space="preserve">así el cumplimiento de los requisitos del proceso de divulgación </w:t>
      </w:r>
      <w:r w:rsidRPr="00D00D93">
        <w:t xml:space="preserve">dentro de la </w:t>
      </w:r>
      <w:r w:rsidR="00672112" w:rsidRPr="00D00D93">
        <w:t>fase nacional.</w:t>
      </w:r>
      <w:r w:rsidR="00CC53D6" w:rsidRPr="00D00D93">
        <w:t xml:space="preserve">  Dado que los informes de búsqueda se reciben y tramitan actualmente en formato XML, se espera que es</w:t>
      </w:r>
      <w:r w:rsidR="009858DA" w:rsidRPr="00D00D93">
        <w:t>a</w:t>
      </w:r>
      <w:r w:rsidR="00CC53D6" w:rsidRPr="00D00D93">
        <w:t xml:space="preserve"> </w:t>
      </w:r>
      <w:r w:rsidR="009858DA" w:rsidRPr="00D00D93">
        <w:t xml:space="preserve">idea </w:t>
      </w:r>
      <w:r w:rsidRPr="00D00D93">
        <w:t>pueda hacerse realidad en un futuro próximo</w:t>
      </w:r>
      <w:r w:rsidR="00CC53D6" w:rsidRPr="00D00D93">
        <w:t>.</w:t>
      </w:r>
    </w:p>
    <w:p w:rsidR="001B7D70" w:rsidRPr="00D00D93" w:rsidRDefault="001B7D70" w:rsidP="00740EFC">
      <w:pPr>
        <w:pStyle w:val="Heading1"/>
      </w:pPr>
      <w:r w:rsidRPr="00D00D93">
        <w:t>4.</w:t>
      </w:r>
      <w:r w:rsidRPr="00D00D93">
        <w:tab/>
      </w:r>
      <w:r w:rsidR="00147E73" w:rsidRPr="00D00D93">
        <w:t xml:space="preserve">UNIDAD DE LA INVENCIÓN </w:t>
      </w:r>
    </w:p>
    <w:p w:rsidR="001B7D70" w:rsidRPr="00D00D93" w:rsidRDefault="001B7D70" w:rsidP="009B71E4">
      <w:pPr>
        <w:pStyle w:val="Heading2"/>
        <w:keepNext w:val="0"/>
        <w:ind w:left="567" w:hanging="567"/>
      </w:pPr>
      <w:r w:rsidRPr="00D00D93">
        <w:t>a)</w:t>
      </w:r>
      <w:r w:rsidRPr="00D00D93">
        <w:tab/>
      </w:r>
      <w:r w:rsidR="00D85F4B" w:rsidRPr="00D00D93">
        <w:t>PROPUESTAS DE MODIFICACIÓN DEL CAPÍTULO 10 DE LAS DIRECTRICES DE BÚSQUEDA INTERNACIONAL Y DE EXAMEN PRELIMINAR INTERNACIONAL DEL PCT</w:t>
      </w:r>
    </w:p>
    <w:p w:rsidR="0097067C" w:rsidRPr="00D00D93" w:rsidRDefault="001B7D70" w:rsidP="00740EFC">
      <w:pPr>
        <w:pStyle w:val="ONUMFS"/>
      </w:pPr>
      <w:r w:rsidRPr="00D00D93">
        <w:t xml:space="preserve">IP Australia </w:t>
      </w:r>
      <w:r w:rsidR="00F132B9" w:rsidRPr="00D00D93">
        <w:t xml:space="preserve">explicó que el resultado </w:t>
      </w:r>
      <w:r w:rsidR="005A76BE" w:rsidRPr="00D00D93">
        <w:t xml:space="preserve">obtenido </w:t>
      </w:r>
      <w:r w:rsidR="00F132B9" w:rsidRPr="00D00D93">
        <w:t>de un ejemplo específico relacionado con la unidad de la invenció</w:t>
      </w:r>
      <w:r w:rsidR="009B75BF" w:rsidRPr="00D00D93">
        <w:t>n</w:t>
      </w:r>
      <w:r w:rsidR="00F132B9" w:rsidRPr="00D00D93">
        <w:t xml:space="preserve"> depende</w:t>
      </w:r>
      <w:r w:rsidR="00AA78D3" w:rsidRPr="00D00D93">
        <w:t>rá</w:t>
      </w:r>
      <w:r w:rsidR="00F132B9" w:rsidRPr="00D00D93">
        <w:t xml:space="preserve"> de </w:t>
      </w:r>
      <w:r w:rsidR="0046280D" w:rsidRPr="00D00D93">
        <w:t xml:space="preserve">la manera </w:t>
      </w:r>
      <w:r w:rsidR="00F132B9" w:rsidRPr="00D00D93">
        <w:t xml:space="preserve">en que una Administración </w:t>
      </w:r>
      <w:r w:rsidR="0046280D" w:rsidRPr="00D00D93">
        <w:t xml:space="preserve">determine los elementos técnicos particulares </w:t>
      </w:r>
      <w:r w:rsidR="00F132B9" w:rsidRPr="00D00D93">
        <w:t>de la invención reivindicada.</w:t>
      </w:r>
      <w:r w:rsidR="007812D7" w:rsidRPr="00D00D93">
        <w:t xml:space="preserve"> </w:t>
      </w:r>
      <w:r w:rsidR="00F132B9" w:rsidRPr="00D00D93">
        <w:t xml:space="preserve"> En consecuencia, IP Austra</w:t>
      </w:r>
      <w:r w:rsidR="0097067C" w:rsidRPr="00D00D93">
        <w:t>l</w:t>
      </w:r>
      <w:r w:rsidR="00F132B9" w:rsidRPr="00D00D93">
        <w:t xml:space="preserve">ia propuso anteceder </w:t>
      </w:r>
      <w:r w:rsidR="0046280D" w:rsidRPr="00D00D93">
        <w:t xml:space="preserve">los ejemplos que </w:t>
      </w:r>
      <w:r w:rsidR="009858DA" w:rsidRPr="00D00D93">
        <w:t xml:space="preserve">figuran </w:t>
      </w:r>
      <w:r w:rsidR="0046280D" w:rsidRPr="00D00D93">
        <w:t xml:space="preserve">en las </w:t>
      </w:r>
      <w:r w:rsidR="0046280D" w:rsidRPr="00D00D93">
        <w:rPr>
          <w:rFonts w:eastAsia="Times New Roman"/>
        </w:rPr>
        <w:t>Directrices de búsqueda internacional y de examen preliminar internacional del PCT</w:t>
      </w:r>
      <w:r w:rsidR="0046280D" w:rsidRPr="00D00D93">
        <w:t xml:space="preserve"> con el párrafo, que </w:t>
      </w:r>
      <w:r w:rsidR="0097067C" w:rsidRPr="00D00D93">
        <w:t xml:space="preserve">tan </w:t>
      </w:r>
      <w:r w:rsidR="0046280D" w:rsidRPr="00D00D93">
        <w:t xml:space="preserve">amplio respaldo </w:t>
      </w:r>
      <w:r w:rsidR="0097067C" w:rsidRPr="00D00D93">
        <w:t xml:space="preserve">concitara </w:t>
      </w:r>
      <w:r w:rsidR="0046280D" w:rsidRPr="00D00D93">
        <w:t xml:space="preserve">en el foro electrónico </w:t>
      </w:r>
      <w:r w:rsidR="009858DA" w:rsidRPr="00D00D93">
        <w:t xml:space="preserve">durante </w:t>
      </w:r>
      <w:r w:rsidR="0046280D" w:rsidRPr="00D00D93">
        <w:t>2016, en el que se explica</w:t>
      </w:r>
      <w:r w:rsidR="0097067C" w:rsidRPr="00D00D93">
        <w:t>n</w:t>
      </w:r>
      <w:r w:rsidR="0046280D" w:rsidRPr="00D00D93">
        <w:t xml:space="preserve"> </w:t>
      </w:r>
      <w:r w:rsidR="006C02DE" w:rsidRPr="00D00D93">
        <w:t xml:space="preserve">las diferentes maneras de determinar los </w:t>
      </w:r>
      <w:r w:rsidR="0046280D" w:rsidRPr="00D00D93">
        <w:t xml:space="preserve">elementos técnicos particulares. </w:t>
      </w:r>
      <w:r w:rsidR="007812D7" w:rsidRPr="00D00D93">
        <w:t xml:space="preserve"> </w:t>
      </w:r>
      <w:r w:rsidR="0097067C" w:rsidRPr="00D00D93">
        <w:t>De es</w:t>
      </w:r>
      <w:r w:rsidR="00AA78D3" w:rsidRPr="00D00D93">
        <w:t>a</w:t>
      </w:r>
      <w:r w:rsidR="0097067C" w:rsidRPr="00D00D93">
        <w:t xml:space="preserve"> </w:t>
      </w:r>
      <w:r w:rsidR="00AA78D3" w:rsidRPr="00D00D93">
        <w:t xml:space="preserve">manera </w:t>
      </w:r>
      <w:r w:rsidR="0097067C" w:rsidRPr="00D00D93">
        <w:t>se evita</w:t>
      </w:r>
      <w:r w:rsidR="00AA78D3" w:rsidRPr="00D00D93">
        <w:t>rá</w:t>
      </w:r>
      <w:r w:rsidR="0097067C" w:rsidRPr="00D00D93">
        <w:t xml:space="preserve"> </w:t>
      </w:r>
      <w:r w:rsidR="006C02DE" w:rsidRPr="00D00D93">
        <w:t xml:space="preserve">la necesidad de </w:t>
      </w:r>
      <w:r w:rsidR="00FD3713" w:rsidRPr="00D00D93">
        <w:t xml:space="preserve">hacer </w:t>
      </w:r>
      <w:r w:rsidR="00AA78D3" w:rsidRPr="00D00D93">
        <w:t xml:space="preserve">las </w:t>
      </w:r>
      <w:r w:rsidR="0097067C" w:rsidRPr="00D00D93">
        <w:t xml:space="preserve">salvedades </w:t>
      </w:r>
      <w:r w:rsidR="00FD3713" w:rsidRPr="00D00D93">
        <w:t xml:space="preserve">respecto de </w:t>
      </w:r>
      <w:r w:rsidR="0097067C" w:rsidRPr="00D00D93">
        <w:t xml:space="preserve">muchos de los ejemplos propuestos que </w:t>
      </w:r>
      <w:r w:rsidR="00FD3713" w:rsidRPr="00D00D93">
        <w:t xml:space="preserve">han venido </w:t>
      </w:r>
      <w:r w:rsidR="0097067C" w:rsidRPr="00D00D93">
        <w:t>debatiéndose en el foro electrónico desde 2</w:t>
      </w:r>
      <w:r w:rsidR="006C02DE" w:rsidRPr="00D00D93">
        <w:t>0</w:t>
      </w:r>
      <w:r w:rsidR="0097067C" w:rsidRPr="00D00D93">
        <w:t xml:space="preserve">15. </w:t>
      </w:r>
    </w:p>
    <w:p w:rsidR="001B7D70" w:rsidRPr="00D00D93" w:rsidRDefault="00CC53D6" w:rsidP="00740EFC">
      <w:pPr>
        <w:pStyle w:val="ONUMFS"/>
      </w:pPr>
      <w:r w:rsidRPr="00D00D93">
        <w:t xml:space="preserve">Algunas </w:t>
      </w:r>
      <w:r w:rsidR="005B1DAD" w:rsidRPr="00D00D93">
        <w:t>Administraciones</w:t>
      </w:r>
      <w:r w:rsidR="001B7D70" w:rsidRPr="00D00D93">
        <w:t xml:space="preserve"> </w:t>
      </w:r>
      <w:r w:rsidR="00FD3713" w:rsidRPr="00D00D93">
        <w:t>que tomaron la palabra expresaron su apoyo al párrafo prop</w:t>
      </w:r>
      <w:r w:rsidR="009B75BF" w:rsidRPr="00D00D93">
        <w:t>u</w:t>
      </w:r>
      <w:r w:rsidR="00FD3713" w:rsidRPr="00D00D93">
        <w:t>esto</w:t>
      </w:r>
      <w:r w:rsidR="001B7D70" w:rsidRPr="00D00D93">
        <w:t xml:space="preserve">, </w:t>
      </w:r>
      <w:r w:rsidR="00FD3713" w:rsidRPr="00D00D93">
        <w:t>mientras que algunas otras manifestaron tener problemas con él.</w:t>
      </w:r>
      <w:r w:rsidR="001B7D70" w:rsidRPr="00D00D93">
        <w:t xml:space="preserve"> </w:t>
      </w:r>
      <w:r w:rsidR="00CF05DB" w:rsidRPr="00D00D93">
        <w:t xml:space="preserve"> </w:t>
      </w:r>
      <w:r w:rsidR="00FD3713" w:rsidRPr="00D00D93">
        <w:t>Una de las Administraciones adscritas a</w:t>
      </w:r>
      <w:r w:rsidR="009858DA" w:rsidRPr="00D00D93">
        <w:t>l</w:t>
      </w:r>
      <w:r w:rsidR="00FD3713" w:rsidRPr="00D00D93">
        <w:t xml:space="preserve"> segundo grupo manifestó que, en su op</w:t>
      </w:r>
      <w:r w:rsidR="009B75BF" w:rsidRPr="00D00D93">
        <w:t>i</w:t>
      </w:r>
      <w:r w:rsidR="00FD3713" w:rsidRPr="00D00D93">
        <w:t>nión, es necesario crear una práctica coherente entre Administraciones</w:t>
      </w:r>
      <w:r w:rsidR="001B7D70" w:rsidRPr="00D00D93">
        <w:t xml:space="preserve"> </w:t>
      </w:r>
      <w:r w:rsidR="00FD3713" w:rsidRPr="00D00D93">
        <w:t xml:space="preserve">y que una interpretación estricta de la unidad de la invención por </w:t>
      </w:r>
      <w:r w:rsidR="009858DA" w:rsidRPr="00D00D93">
        <w:t xml:space="preserve">parte de </w:t>
      </w:r>
      <w:r w:rsidR="00FD3713" w:rsidRPr="00D00D93">
        <w:t xml:space="preserve">las </w:t>
      </w:r>
      <w:r w:rsidR="005B1DAD" w:rsidRPr="00D00D93">
        <w:t>Administraciones Internacionales</w:t>
      </w:r>
      <w:r w:rsidR="001B7D70" w:rsidRPr="00D00D93">
        <w:t xml:space="preserve"> </w:t>
      </w:r>
      <w:r w:rsidR="00FD3713" w:rsidRPr="00D00D93">
        <w:t xml:space="preserve">podría </w:t>
      </w:r>
      <w:r w:rsidR="00AA78D3" w:rsidRPr="00D00D93">
        <w:t xml:space="preserve">restar atractivo </w:t>
      </w:r>
      <w:r w:rsidR="00FD3713" w:rsidRPr="00D00D93">
        <w:t xml:space="preserve">al PCT </w:t>
      </w:r>
      <w:r w:rsidR="00AA78D3" w:rsidRPr="00D00D93">
        <w:t xml:space="preserve">a ojos de los </w:t>
      </w:r>
      <w:r w:rsidR="00FD3713" w:rsidRPr="00D00D93">
        <w:t>usuarios</w:t>
      </w:r>
      <w:r w:rsidR="001B7D70" w:rsidRPr="00D00D93">
        <w:t xml:space="preserve">.  </w:t>
      </w:r>
      <w:r w:rsidR="00EC7E66" w:rsidRPr="00D00D93">
        <w:t xml:space="preserve">Otra </w:t>
      </w:r>
      <w:r w:rsidR="00636E19" w:rsidRPr="00D00D93">
        <w:t>Administración</w:t>
      </w:r>
      <w:r w:rsidR="00EC7E66" w:rsidRPr="00D00D93">
        <w:t xml:space="preserve"> que manifestó tener problemas con el párrafo propuesto se refirió a las dificultades que plantea la frase final de la propuesta </w:t>
      </w:r>
      <w:r w:rsidR="005A76BE" w:rsidRPr="00D00D93">
        <w:t xml:space="preserve">a causa </w:t>
      </w:r>
      <w:r w:rsidR="00EC7E66" w:rsidRPr="00D00D93">
        <w:t xml:space="preserve">del principio de unidad </w:t>
      </w:r>
      <w:r w:rsidR="001B7D70" w:rsidRPr="00D00D93">
        <w:rPr>
          <w:i/>
        </w:rPr>
        <w:t>a posteriori</w:t>
      </w:r>
      <w:r w:rsidR="001B7D70" w:rsidRPr="00D00D93">
        <w:t xml:space="preserve">.  </w:t>
      </w:r>
      <w:r w:rsidR="00EC7E66" w:rsidRPr="00D00D93">
        <w:t>Dijo qu</w:t>
      </w:r>
      <w:r w:rsidR="00A33159" w:rsidRPr="00D00D93">
        <w:t>e</w:t>
      </w:r>
      <w:r w:rsidR="00EC7E66" w:rsidRPr="00D00D93">
        <w:t xml:space="preserve"> acepta la divergencia de prácticas entre Administraciones a propósito de la unidad de la invención</w:t>
      </w:r>
      <w:r w:rsidR="001B7D70" w:rsidRPr="00D00D93">
        <w:t xml:space="preserve">, </w:t>
      </w:r>
      <w:r w:rsidR="00EC7E66" w:rsidRPr="00D00D93">
        <w:t xml:space="preserve">y observó que el Capítulo 5 </w:t>
      </w:r>
      <w:r w:rsidR="009858DA" w:rsidRPr="00D00D93">
        <w:t xml:space="preserve">de las </w:t>
      </w:r>
      <w:r w:rsidR="00EC7E66" w:rsidRPr="00D00D93">
        <w:rPr>
          <w:rFonts w:eastAsia="Times New Roman"/>
        </w:rPr>
        <w:t>Directrices de búsqueda internacional y de examen preliminar internacional del PCT</w:t>
      </w:r>
      <w:r w:rsidR="00EC7E66" w:rsidRPr="00D00D93">
        <w:t xml:space="preserve"> </w:t>
      </w:r>
      <w:r w:rsidR="00A33159" w:rsidRPr="00D00D93">
        <w:t xml:space="preserve">también </w:t>
      </w:r>
      <w:r w:rsidR="00AA78D3" w:rsidRPr="00D00D93">
        <w:t xml:space="preserve">prevé </w:t>
      </w:r>
      <w:r w:rsidR="00EC7E66" w:rsidRPr="00D00D93">
        <w:t xml:space="preserve">divergencias </w:t>
      </w:r>
      <w:r w:rsidR="00A33159" w:rsidRPr="00D00D93">
        <w:t xml:space="preserve">respecto de </w:t>
      </w:r>
      <w:r w:rsidR="00EC7E66" w:rsidRPr="00D00D93">
        <w:t>la consideración de algunos tipos de reivindicaciones de patente</w:t>
      </w:r>
      <w:r w:rsidR="001B7D70" w:rsidRPr="00D00D93">
        <w:t xml:space="preserve">.  </w:t>
      </w:r>
    </w:p>
    <w:p w:rsidR="00DA657B" w:rsidRPr="00D00D93" w:rsidRDefault="00636E19" w:rsidP="00740EFC">
      <w:pPr>
        <w:pStyle w:val="ONUMFS"/>
      </w:pPr>
      <w:r w:rsidRPr="00D00D93">
        <w:t>Una Administración</w:t>
      </w:r>
      <w:r w:rsidR="001B7D70" w:rsidRPr="00D00D93">
        <w:t xml:space="preserve"> </w:t>
      </w:r>
      <w:r w:rsidR="00A33159" w:rsidRPr="00D00D93">
        <w:t xml:space="preserve">dijo que considera necesario revisar los ejemplos del Capítulo </w:t>
      </w:r>
      <w:r w:rsidR="001B7D70" w:rsidRPr="00D00D93">
        <w:t xml:space="preserve">10 </w:t>
      </w:r>
      <w:r w:rsidR="00A33159" w:rsidRPr="00D00D93">
        <w:t xml:space="preserve">y propuso </w:t>
      </w:r>
      <w:r w:rsidR="00DA657B" w:rsidRPr="00D00D93">
        <w:t xml:space="preserve">que se cree </w:t>
      </w:r>
      <w:r w:rsidR="00A33159" w:rsidRPr="00D00D93">
        <w:t>un Equi</w:t>
      </w:r>
      <w:r w:rsidR="00DA657B" w:rsidRPr="00D00D93">
        <w:t>p</w:t>
      </w:r>
      <w:r w:rsidR="00A33159" w:rsidRPr="00D00D93">
        <w:t xml:space="preserve">o Técnico </w:t>
      </w:r>
      <w:r w:rsidR="00DA657B" w:rsidRPr="00D00D93">
        <w:t>que, bajo la dirección de IP Australia, lleve a cabo esa revisión y formule una propuesta de modificación de las Directrices.</w:t>
      </w:r>
    </w:p>
    <w:p w:rsidR="00F5391D" w:rsidRPr="00D00D93" w:rsidRDefault="001B7D70" w:rsidP="00740EFC">
      <w:pPr>
        <w:pStyle w:val="ONUMFS"/>
      </w:pPr>
      <w:r w:rsidRPr="00D00D93">
        <w:t xml:space="preserve">IP Australia </w:t>
      </w:r>
      <w:r w:rsidR="00F5391D" w:rsidRPr="00D00D93">
        <w:t xml:space="preserve">expresó su disposición a hacerse cargo de la dirección de un Equipo Técnico que se ocupe de revisar los ejemplos </w:t>
      </w:r>
      <w:r w:rsidR="00437657" w:rsidRPr="00D00D93">
        <w:t xml:space="preserve">de </w:t>
      </w:r>
      <w:r w:rsidR="00F5391D" w:rsidRPr="00D00D93">
        <w:t xml:space="preserve">unidad de la invención e invitó a las Administraciones interesadas </w:t>
      </w:r>
      <w:r w:rsidR="00437657" w:rsidRPr="00D00D93">
        <w:t xml:space="preserve">a </w:t>
      </w:r>
      <w:r w:rsidR="00F5391D" w:rsidRPr="00D00D93">
        <w:t xml:space="preserve">sumarse a </w:t>
      </w:r>
      <w:r w:rsidR="009858DA" w:rsidRPr="00D00D93">
        <w:t xml:space="preserve">ese </w:t>
      </w:r>
      <w:r w:rsidR="00F5391D" w:rsidRPr="00D00D93">
        <w:t xml:space="preserve">Equipo Técnico y a participar en los debates.  </w:t>
      </w:r>
      <w:r w:rsidR="00437657" w:rsidRPr="00D00D93">
        <w:t xml:space="preserve">La labor del Equipo Técnico </w:t>
      </w:r>
      <w:r w:rsidR="00AA78D3" w:rsidRPr="00D00D93">
        <w:t xml:space="preserve">tendrá lugar </w:t>
      </w:r>
      <w:r w:rsidR="00437657" w:rsidRPr="00D00D93">
        <w:t xml:space="preserve">en el foro electrónico del Subgrupo a fin de que todas las </w:t>
      </w:r>
      <w:r w:rsidR="00F5391D" w:rsidRPr="00D00D93">
        <w:t xml:space="preserve">Administraciones </w:t>
      </w:r>
      <w:r w:rsidR="00437657" w:rsidRPr="00D00D93">
        <w:t>puedan seguir los debates.</w:t>
      </w:r>
    </w:p>
    <w:p w:rsidR="001B7D70" w:rsidRPr="00D00D93" w:rsidRDefault="00CC53D6" w:rsidP="00740EFC">
      <w:pPr>
        <w:pStyle w:val="ONUMFS"/>
        <w:tabs>
          <w:tab w:val="clear" w:pos="567"/>
        </w:tabs>
        <w:ind w:left="567"/>
      </w:pPr>
      <w:r w:rsidRPr="00D00D93">
        <w:t xml:space="preserve">El Subgrupo aceptó el ofrecimiento de </w:t>
      </w:r>
      <w:r w:rsidR="001B7D70" w:rsidRPr="00D00D93">
        <w:t xml:space="preserve">IP Australia </w:t>
      </w:r>
      <w:r w:rsidRPr="00D00D93">
        <w:t>de dirig</w:t>
      </w:r>
      <w:r w:rsidR="00437657" w:rsidRPr="00D00D93">
        <w:t>i</w:t>
      </w:r>
      <w:r w:rsidRPr="00D00D93">
        <w:t xml:space="preserve">r un Equipo Técnico </w:t>
      </w:r>
      <w:r w:rsidR="00437657" w:rsidRPr="00D00D93">
        <w:t xml:space="preserve">que se ocupe de revisar </w:t>
      </w:r>
      <w:r w:rsidRPr="00D00D93">
        <w:t xml:space="preserve">los ejemplos del Capítulo </w:t>
      </w:r>
      <w:r w:rsidR="00F31507">
        <w:t>10</w:t>
      </w:r>
      <w:r w:rsidRPr="00D00D93">
        <w:t xml:space="preserve"> </w:t>
      </w:r>
      <w:r w:rsidR="00437657" w:rsidRPr="00D00D93">
        <w:t xml:space="preserve">de las </w:t>
      </w:r>
      <w:r w:rsidR="00437657" w:rsidRPr="00D00D93">
        <w:rPr>
          <w:rFonts w:eastAsia="Times New Roman"/>
        </w:rPr>
        <w:t>Directrices de búsqueda internacional y de examen preliminar internacional</w:t>
      </w:r>
      <w:r w:rsidR="00437657" w:rsidRPr="00D00D93">
        <w:t xml:space="preserve"> </w:t>
      </w:r>
      <w:r w:rsidR="00C1103B" w:rsidRPr="00D00D93">
        <w:t xml:space="preserve">del PCT referidos a </w:t>
      </w:r>
      <w:r w:rsidR="00B8043D" w:rsidRPr="00D00D93">
        <w:t>la unidad de la invención</w:t>
      </w:r>
      <w:r w:rsidR="001B7D70" w:rsidRPr="00D00D93">
        <w:t>.</w:t>
      </w:r>
    </w:p>
    <w:p w:rsidR="001B7D70" w:rsidRPr="00D00D93" w:rsidRDefault="001B7D70" w:rsidP="00FA036D">
      <w:pPr>
        <w:pStyle w:val="Heading2"/>
        <w:keepNext w:val="0"/>
        <w:ind w:left="567" w:hanging="567"/>
      </w:pPr>
      <w:r w:rsidRPr="00D00D93">
        <w:t>b)</w:t>
      </w:r>
      <w:r w:rsidRPr="00D00D93">
        <w:tab/>
      </w:r>
      <w:r w:rsidR="00D85F4B" w:rsidRPr="00D00D93">
        <w:t>panel de expertos en armonizació</w:t>
      </w:r>
      <w:r w:rsidR="009B75BF" w:rsidRPr="00D00D93">
        <w:t>N</w:t>
      </w:r>
      <w:r w:rsidR="00D85F4B" w:rsidRPr="00D00D93">
        <w:t xml:space="preserve"> de patentes (PHEP) de las oficinas de la cooperación pentalateral</w:t>
      </w:r>
    </w:p>
    <w:p w:rsidR="00FB3997" w:rsidRPr="00D00D93" w:rsidRDefault="009B75BF" w:rsidP="00740EFC">
      <w:pPr>
        <w:pStyle w:val="ONUMFS"/>
      </w:pPr>
      <w:r w:rsidRPr="00D00D93">
        <w:t xml:space="preserve">La </w:t>
      </w:r>
      <w:r w:rsidR="00EE188E" w:rsidRPr="00D00D93">
        <w:t xml:space="preserve">OEP </w:t>
      </w:r>
      <w:r w:rsidRPr="00D00D93">
        <w:t xml:space="preserve">presentó información actualizada sobre los avances realizados en el proyecto sobre la determinación y aplicación de los criterios </w:t>
      </w:r>
      <w:r w:rsidR="00E248FE" w:rsidRPr="00D00D93">
        <w:t xml:space="preserve">sobre la </w:t>
      </w:r>
      <w:r w:rsidRPr="00D00D93">
        <w:t xml:space="preserve">unidad de la invención, </w:t>
      </w:r>
      <w:proofErr w:type="gramStart"/>
      <w:r w:rsidRPr="00D00D93">
        <w:t>emprendido</w:t>
      </w:r>
      <w:proofErr w:type="gramEnd"/>
      <w:r w:rsidRPr="00D00D93">
        <w:t xml:space="preserve"> </w:t>
      </w:r>
      <w:r w:rsidR="006D22B8" w:rsidRPr="00D00D93">
        <w:t>junt</w:t>
      </w:r>
      <w:r w:rsidR="00A30FF0" w:rsidRPr="00D00D93">
        <w:t xml:space="preserve">o </w:t>
      </w:r>
      <w:r w:rsidRPr="00D00D93">
        <w:t xml:space="preserve">con la SIPO en el marco del </w:t>
      </w:r>
      <w:r w:rsidR="001B7D70" w:rsidRPr="00D00D93">
        <w:t>PHEP</w:t>
      </w:r>
      <w:r w:rsidRPr="00D00D93">
        <w:t xml:space="preserve"> </w:t>
      </w:r>
      <w:r w:rsidR="00E248FE" w:rsidRPr="00D00D93">
        <w:t xml:space="preserve">y </w:t>
      </w:r>
      <w:r w:rsidRPr="00D00D93">
        <w:t xml:space="preserve">que debería </w:t>
      </w:r>
      <w:r w:rsidR="00A30FF0" w:rsidRPr="00D00D93">
        <w:t xml:space="preserve">estar </w:t>
      </w:r>
      <w:r w:rsidRPr="00D00D93">
        <w:t xml:space="preserve">completado a nivel de las Oficinas de la Cooperación Pentalateral a </w:t>
      </w:r>
      <w:r w:rsidR="00E248FE" w:rsidRPr="00D00D93">
        <w:t>fin</w:t>
      </w:r>
      <w:r w:rsidR="00A30FF0" w:rsidRPr="00D00D93">
        <w:t xml:space="preserve">ales </w:t>
      </w:r>
      <w:r w:rsidRPr="00D00D93">
        <w:t>de 2018.</w:t>
      </w:r>
      <w:r w:rsidR="001B7D70" w:rsidRPr="00D00D93">
        <w:t xml:space="preserve">  </w:t>
      </w:r>
      <w:r w:rsidR="00752A1B" w:rsidRPr="00D00D93">
        <w:t xml:space="preserve">Con motivo del </w:t>
      </w:r>
      <w:r w:rsidR="00E248FE" w:rsidRPr="00D00D93">
        <w:t xml:space="preserve">examen intermedio </w:t>
      </w:r>
      <w:r w:rsidR="00A30FF0" w:rsidRPr="00D00D93">
        <w:t xml:space="preserve">ejecutado </w:t>
      </w:r>
      <w:r w:rsidR="00E248FE" w:rsidRPr="00D00D93">
        <w:t xml:space="preserve">en el marco del proyecto </w:t>
      </w:r>
      <w:r w:rsidR="00752A1B" w:rsidRPr="00D00D93">
        <w:t xml:space="preserve">se </w:t>
      </w:r>
      <w:r w:rsidR="00A30FF0" w:rsidRPr="00D00D93">
        <w:t xml:space="preserve">realizó </w:t>
      </w:r>
      <w:r w:rsidR="00752A1B" w:rsidRPr="00D00D93">
        <w:t xml:space="preserve">un análisis de las prácticas </w:t>
      </w:r>
      <w:r w:rsidR="00B514C7" w:rsidRPr="00D00D93">
        <w:t xml:space="preserve">a la luz de </w:t>
      </w:r>
      <w:r w:rsidR="00752A1B" w:rsidRPr="00D00D93">
        <w:t>las disposiciones del Capítulo</w:t>
      </w:r>
      <w:r w:rsidR="00CF05DB" w:rsidRPr="00D00D93">
        <w:t> </w:t>
      </w:r>
      <w:r w:rsidR="001B7D70" w:rsidRPr="00D00D93">
        <w:t xml:space="preserve">10 </w:t>
      </w:r>
      <w:r w:rsidR="00752A1B" w:rsidRPr="00D00D93">
        <w:t xml:space="preserve">de las </w:t>
      </w:r>
      <w:r w:rsidR="00752A1B" w:rsidRPr="00D00D93">
        <w:rPr>
          <w:rFonts w:eastAsia="Times New Roman"/>
        </w:rPr>
        <w:t>Directrices de búsqueda internacional y de examen preliminar internacional</w:t>
      </w:r>
      <w:r w:rsidR="00752A1B" w:rsidRPr="00D00D93">
        <w:t xml:space="preserve"> del PCT</w:t>
      </w:r>
      <w:r w:rsidR="001B7D70" w:rsidRPr="00D00D93">
        <w:t xml:space="preserve">.  </w:t>
      </w:r>
      <w:r w:rsidR="00A30FF0" w:rsidRPr="00D00D93">
        <w:t xml:space="preserve">Se concluyó que el </w:t>
      </w:r>
      <w:r w:rsidR="00752A1B" w:rsidRPr="00D00D93">
        <w:t xml:space="preserve">alineamiento de prácticas </w:t>
      </w:r>
      <w:r w:rsidR="00350C06" w:rsidRPr="00D00D93">
        <w:t xml:space="preserve">es </w:t>
      </w:r>
      <w:r w:rsidR="00350C06" w:rsidRPr="00D00D93">
        <w:lastRenderedPageBreak/>
        <w:t xml:space="preserve">comparativamente mayor </w:t>
      </w:r>
      <w:r w:rsidR="00FB3997" w:rsidRPr="00D00D93">
        <w:t xml:space="preserve">en el caso de </w:t>
      </w:r>
      <w:r w:rsidR="00350C06" w:rsidRPr="00D00D93">
        <w:t xml:space="preserve">las materias </w:t>
      </w:r>
      <w:r w:rsidR="00752A1B" w:rsidRPr="00D00D93">
        <w:t>mecánic</w:t>
      </w:r>
      <w:r w:rsidR="00350C06" w:rsidRPr="00D00D93">
        <w:t>a</w:t>
      </w:r>
      <w:r w:rsidR="00752A1B" w:rsidRPr="00D00D93">
        <w:t xml:space="preserve"> y elé</w:t>
      </w:r>
      <w:r w:rsidR="00350C06" w:rsidRPr="00D00D93">
        <w:t>c</w:t>
      </w:r>
      <w:r w:rsidR="00752A1B" w:rsidRPr="00D00D93">
        <w:t>tric</w:t>
      </w:r>
      <w:r w:rsidR="00350C06" w:rsidRPr="00D00D93">
        <w:t>a</w:t>
      </w:r>
      <w:r w:rsidR="00752A1B" w:rsidRPr="00D00D93">
        <w:t xml:space="preserve"> que </w:t>
      </w:r>
      <w:r w:rsidR="00F66E6F" w:rsidRPr="00D00D93">
        <w:t xml:space="preserve">en el de la </w:t>
      </w:r>
      <w:r w:rsidR="00B514C7" w:rsidRPr="00D00D93">
        <w:t xml:space="preserve">materia </w:t>
      </w:r>
      <w:r w:rsidR="00752A1B" w:rsidRPr="00D00D93">
        <w:t xml:space="preserve">química, </w:t>
      </w:r>
      <w:r w:rsidR="00F66E6F" w:rsidRPr="00D00D93">
        <w:t xml:space="preserve">ámbito este </w:t>
      </w:r>
      <w:r w:rsidR="006D3D62" w:rsidRPr="00D00D93">
        <w:t xml:space="preserve">en </w:t>
      </w:r>
      <w:r w:rsidR="00F66E6F" w:rsidRPr="00D00D93">
        <w:t xml:space="preserve">el </w:t>
      </w:r>
      <w:r w:rsidR="00350C06" w:rsidRPr="00D00D93">
        <w:t>que la</w:t>
      </w:r>
      <w:r w:rsidR="006D3D62" w:rsidRPr="00D00D93">
        <w:t>s</w:t>
      </w:r>
      <w:r w:rsidR="00350C06" w:rsidRPr="00D00D93">
        <w:t xml:space="preserve"> </w:t>
      </w:r>
      <w:r w:rsidR="006D3D62" w:rsidRPr="00D00D93">
        <w:t xml:space="preserve">legislaciones </w:t>
      </w:r>
      <w:r w:rsidR="00350C06" w:rsidRPr="00D00D93">
        <w:t>sustantiva</w:t>
      </w:r>
      <w:r w:rsidR="006D3D62" w:rsidRPr="00D00D93">
        <w:t>s</w:t>
      </w:r>
      <w:r w:rsidR="00350C06" w:rsidRPr="00D00D93">
        <w:t xml:space="preserve"> de patentes </w:t>
      </w:r>
      <w:r w:rsidR="006D3D62" w:rsidRPr="00D00D93">
        <w:t>propician resultados</w:t>
      </w:r>
      <w:r w:rsidR="00FB3997" w:rsidRPr="00D00D93">
        <w:t xml:space="preserve"> </w:t>
      </w:r>
      <w:r w:rsidR="00A30FF0" w:rsidRPr="00D00D93">
        <w:t>distintos</w:t>
      </w:r>
      <w:r w:rsidR="001B7D70" w:rsidRPr="00D00D93">
        <w:t xml:space="preserve">.  </w:t>
      </w:r>
      <w:r w:rsidR="006D3D62" w:rsidRPr="00D00D93">
        <w:t xml:space="preserve">Sin embargo, el proyecto </w:t>
      </w:r>
      <w:r w:rsidR="009858DA" w:rsidRPr="00D00D93">
        <w:t xml:space="preserve">tiene por </w:t>
      </w:r>
      <w:r w:rsidR="00A30FF0" w:rsidRPr="00D00D93">
        <w:t xml:space="preserve">objeto </w:t>
      </w:r>
      <w:r w:rsidR="00B92D33" w:rsidRPr="00D00D93">
        <w:t xml:space="preserve">estudiar mejoras </w:t>
      </w:r>
      <w:r w:rsidR="002C2D35" w:rsidRPr="00D00D93">
        <w:t>de l</w:t>
      </w:r>
      <w:r w:rsidR="009858DA" w:rsidRPr="00D00D93">
        <w:t xml:space="preserve">os argumentos en los que </w:t>
      </w:r>
      <w:r w:rsidR="002C2D35" w:rsidRPr="00D00D93">
        <w:t xml:space="preserve">se fundamenta la </w:t>
      </w:r>
      <w:r w:rsidR="002504E9" w:rsidRPr="00D00D93">
        <w:t>falta de unidad</w:t>
      </w:r>
      <w:r w:rsidR="001B7D70" w:rsidRPr="00D00D93">
        <w:t xml:space="preserve">, </w:t>
      </w:r>
      <w:r w:rsidR="002C2D35" w:rsidRPr="00D00D93">
        <w:t xml:space="preserve">establecer </w:t>
      </w:r>
      <w:r w:rsidR="00FB3997" w:rsidRPr="00D00D93">
        <w:t>una manera com</w:t>
      </w:r>
      <w:r w:rsidR="002504E9" w:rsidRPr="00D00D93">
        <w:t>ún</w:t>
      </w:r>
      <w:r w:rsidR="00FB3997" w:rsidRPr="00D00D93">
        <w:t xml:space="preserve"> de plantear objeciones y a</w:t>
      </w:r>
      <w:r w:rsidR="002C2D35" w:rsidRPr="00D00D93">
        <w:t>s</w:t>
      </w:r>
      <w:r w:rsidR="00FB3997" w:rsidRPr="00D00D93">
        <w:t>egurar la coherencia y transparencia</w:t>
      </w:r>
      <w:r w:rsidR="002C2D35" w:rsidRPr="00D00D93">
        <w:t>,</w:t>
      </w:r>
      <w:r w:rsidR="00FB3997" w:rsidRPr="00D00D93">
        <w:t xml:space="preserve"> </w:t>
      </w:r>
      <w:r w:rsidR="002C2D35" w:rsidRPr="00D00D93">
        <w:t xml:space="preserve">y no así lograr </w:t>
      </w:r>
      <w:r w:rsidR="00FB3997" w:rsidRPr="00D00D93">
        <w:t>un alineamiento de prácticas.</w:t>
      </w:r>
    </w:p>
    <w:p w:rsidR="001B7D70" w:rsidRPr="00D00D93" w:rsidRDefault="001B7D70" w:rsidP="009B71E4">
      <w:pPr>
        <w:pStyle w:val="Heading2"/>
        <w:keepNext w:val="0"/>
        <w:ind w:left="567" w:hanging="567"/>
      </w:pPr>
      <w:r w:rsidRPr="00D00D93">
        <w:t>c)</w:t>
      </w:r>
      <w:r w:rsidRPr="00D00D93">
        <w:tab/>
      </w:r>
      <w:r w:rsidR="00147E73" w:rsidRPr="00D00D93">
        <w:t xml:space="preserve">PROCEDIMIENTOS ADMINISTRATIVOS Y UTILIZACIÓN DEL RECUADRO iv POR LAS ADMINISTRACIONES ENCARGADAS DE LA BÚSQUEDA INTERNACIONAL </w:t>
      </w:r>
    </w:p>
    <w:p w:rsidR="002C2D35" w:rsidRPr="00D00D93" w:rsidRDefault="00EE188E" w:rsidP="00740EFC">
      <w:pPr>
        <w:pStyle w:val="ONUMFS"/>
      </w:pPr>
      <w:r w:rsidRPr="00D00D93">
        <w:t xml:space="preserve">La OEP </w:t>
      </w:r>
      <w:r w:rsidR="002C2D35" w:rsidRPr="00D00D93">
        <w:t xml:space="preserve">explicó que cualquier objeción por falta de unidad de la invención no siempre </w:t>
      </w:r>
      <w:r w:rsidR="007E11DC" w:rsidRPr="00D00D93">
        <w:t xml:space="preserve">guarda </w:t>
      </w:r>
      <w:r w:rsidR="00C35573" w:rsidRPr="00D00D93">
        <w:t xml:space="preserve">correspondencia con </w:t>
      </w:r>
      <w:r w:rsidR="00A30FF0" w:rsidRPr="00D00D93">
        <w:t xml:space="preserve">la anotación </w:t>
      </w:r>
      <w:r w:rsidR="00E06544" w:rsidRPr="00D00D93">
        <w:t xml:space="preserve">practicada </w:t>
      </w:r>
      <w:r w:rsidR="00A30FF0" w:rsidRPr="00D00D93">
        <w:t xml:space="preserve">en el </w:t>
      </w:r>
      <w:r w:rsidR="002C2D35" w:rsidRPr="00D00D93">
        <w:t>Recuadro I</w:t>
      </w:r>
      <w:r w:rsidR="00E06544" w:rsidRPr="00D00D93">
        <w:t>V</w:t>
      </w:r>
      <w:r w:rsidR="002C2D35" w:rsidRPr="00D00D93">
        <w:t xml:space="preserve"> de la opinión escrita de la Administración encargada de la búsqueda internacional y que, en determinados casos, </w:t>
      </w:r>
      <w:r w:rsidR="00A92142" w:rsidRPr="00D00D93">
        <w:t>una objeción por falta de unidad de la invención no</w:t>
      </w:r>
      <w:r w:rsidR="007E11DC" w:rsidRPr="00D00D93">
        <w:t xml:space="preserve"> </w:t>
      </w:r>
      <w:r w:rsidR="00E06544" w:rsidRPr="00D00D93">
        <w:t xml:space="preserve">siempre </w:t>
      </w:r>
      <w:r w:rsidR="007E11DC" w:rsidRPr="00D00D93">
        <w:t xml:space="preserve">va </w:t>
      </w:r>
      <w:r w:rsidR="00B92D33" w:rsidRPr="00D00D93">
        <w:t xml:space="preserve">acompañada </w:t>
      </w:r>
      <w:r w:rsidR="00A92142" w:rsidRPr="00D00D93">
        <w:t xml:space="preserve">de un </w:t>
      </w:r>
      <w:r w:rsidR="007E11DC" w:rsidRPr="00D00D93">
        <w:t xml:space="preserve">requerimiento </w:t>
      </w:r>
      <w:r w:rsidR="00A30FF0" w:rsidRPr="00D00D93">
        <w:t xml:space="preserve">de pago de </w:t>
      </w:r>
      <w:r w:rsidR="00A92142" w:rsidRPr="00D00D93">
        <w:t>tasas de búsqueda adicionales.</w:t>
      </w:r>
      <w:r w:rsidR="002C2D35" w:rsidRPr="00D00D93">
        <w:t xml:space="preserve">  La OEP </w:t>
      </w:r>
      <w:r w:rsidR="00A92142" w:rsidRPr="00D00D93">
        <w:t>solicitó que se facilite más información sobre esas diferencias</w:t>
      </w:r>
      <w:r w:rsidR="002C2D35" w:rsidRPr="00D00D93">
        <w:t xml:space="preserve">, </w:t>
      </w:r>
      <w:r w:rsidR="00A92142" w:rsidRPr="00D00D93">
        <w:t xml:space="preserve">lo que podría hacerse, según dijo, en el </w:t>
      </w:r>
      <w:r w:rsidR="00A30FF0" w:rsidRPr="00D00D93">
        <w:t xml:space="preserve">marco </w:t>
      </w:r>
      <w:r w:rsidR="00A92142" w:rsidRPr="00D00D93">
        <w:t xml:space="preserve">de un debate </w:t>
      </w:r>
      <w:r w:rsidR="00E06544" w:rsidRPr="00D00D93">
        <w:t xml:space="preserve">en </w:t>
      </w:r>
      <w:r w:rsidR="00A92142" w:rsidRPr="00D00D93">
        <w:t>la wiki del Subgrupo</w:t>
      </w:r>
      <w:r w:rsidR="002C2D35" w:rsidRPr="00D00D93">
        <w:t xml:space="preserve">, </w:t>
      </w:r>
      <w:r w:rsidR="00A92142" w:rsidRPr="00D00D93">
        <w:t xml:space="preserve">y se ofreció a preparar un cuestionario que posibilite una comprensión más adecuada </w:t>
      </w:r>
      <w:r w:rsidR="007E11DC" w:rsidRPr="00D00D93">
        <w:t>de la</w:t>
      </w:r>
      <w:r w:rsidR="00A30FF0" w:rsidRPr="00D00D93">
        <w:t>s</w:t>
      </w:r>
      <w:r w:rsidR="007E11DC" w:rsidRPr="00D00D93">
        <w:t xml:space="preserve"> </w:t>
      </w:r>
      <w:r w:rsidR="00A30FF0" w:rsidRPr="00D00D93">
        <w:t xml:space="preserve">prácticas </w:t>
      </w:r>
      <w:r w:rsidR="00E06544" w:rsidRPr="00D00D93">
        <w:t xml:space="preserve">en materia de </w:t>
      </w:r>
      <w:r w:rsidR="00A30FF0" w:rsidRPr="00D00D93">
        <w:t xml:space="preserve">falta </w:t>
      </w:r>
      <w:r w:rsidR="007E11DC" w:rsidRPr="00D00D93">
        <w:t>de unidad de la invención</w:t>
      </w:r>
      <w:r w:rsidR="002C2D35" w:rsidRPr="00D00D93">
        <w:t xml:space="preserve">.  </w:t>
      </w:r>
    </w:p>
    <w:p w:rsidR="001B7D70" w:rsidRPr="00D00D93" w:rsidRDefault="00636E19" w:rsidP="00740EFC">
      <w:pPr>
        <w:pStyle w:val="ONUMFS"/>
      </w:pPr>
      <w:r w:rsidRPr="00D00D93">
        <w:t>Una Administración</w:t>
      </w:r>
      <w:r w:rsidR="001B7D70" w:rsidRPr="00D00D93">
        <w:t xml:space="preserve"> </w:t>
      </w:r>
      <w:r w:rsidR="00C35573" w:rsidRPr="00D00D93">
        <w:t>dijo que sus examinadores s</w:t>
      </w:r>
      <w:r w:rsidR="007E11DC" w:rsidRPr="00D00D93">
        <w:t xml:space="preserve">iempre </w:t>
      </w:r>
      <w:r w:rsidR="00A26BAA" w:rsidRPr="00D00D93">
        <w:t xml:space="preserve">anotarán </w:t>
      </w:r>
      <w:r w:rsidR="00C35573" w:rsidRPr="00D00D93">
        <w:t>el Recuadro IV en caso de falta de unidad de la i</w:t>
      </w:r>
      <w:r w:rsidR="007E11DC" w:rsidRPr="00D00D93">
        <w:t>nvención</w:t>
      </w:r>
      <w:r w:rsidR="00C35573" w:rsidRPr="00D00D93">
        <w:t>, pero que en algun</w:t>
      </w:r>
      <w:r w:rsidR="005B1855" w:rsidRPr="00D00D93">
        <w:t>a</w:t>
      </w:r>
      <w:r w:rsidR="00C35573" w:rsidRPr="00D00D93">
        <w:t xml:space="preserve">s ocasiones no se </w:t>
      </w:r>
      <w:r w:rsidR="005B1855" w:rsidRPr="00D00D93">
        <w:t xml:space="preserve">requiere el pago de tasas adicionales </w:t>
      </w:r>
      <w:r w:rsidR="00C35573" w:rsidRPr="00D00D93">
        <w:t>al solicitante</w:t>
      </w:r>
      <w:r w:rsidR="007E11DC" w:rsidRPr="00D00D93">
        <w:t xml:space="preserve">.  </w:t>
      </w:r>
      <w:r w:rsidR="00C35573" w:rsidRPr="00D00D93">
        <w:t>Otra Administración indicó</w:t>
      </w:r>
      <w:r w:rsidR="001B7D70" w:rsidRPr="00D00D93">
        <w:t xml:space="preserve"> </w:t>
      </w:r>
      <w:r w:rsidR="007E11DC" w:rsidRPr="00D00D93">
        <w:t>que el requerimiento del pago de tasas adicionales siempre supondrá que existe una falta de unidad de la invención</w:t>
      </w:r>
      <w:r w:rsidR="001B7D70" w:rsidRPr="00D00D93">
        <w:t xml:space="preserve">. </w:t>
      </w:r>
    </w:p>
    <w:p w:rsidR="001B7D70" w:rsidRPr="00D00D93" w:rsidRDefault="007E11DC" w:rsidP="00740EFC">
      <w:pPr>
        <w:pStyle w:val="ONUMFS"/>
      </w:pPr>
      <w:r w:rsidRPr="00D00D93">
        <w:t xml:space="preserve">En respuesta al comentario de </w:t>
      </w:r>
      <w:r w:rsidR="00636E19" w:rsidRPr="00D00D93">
        <w:t>una Administración</w:t>
      </w:r>
      <w:r w:rsidR="001B7D70" w:rsidRPr="00D00D93">
        <w:t xml:space="preserve">, </w:t>
      </w:r>
      <w:r w:rsidRPr="00D00D93">
        <w:t xml:space="preserve">la </w:t>
      </w:r>
      <w:r w:rsidR="005B1DAD" w:rsidRPr="00D00D93">
        <w:t>Oficina Internacional</w:t>
      </w:r>
      <w:r w:rsidR="001B7D70" w:rsidRPr="00D00D93">
        <w:t xml:space="preserve"> </w:t>
      </w:r>
      <w:r w:rsidRPr="00D00D93">
        <w:t xml:space="preserve">convino en que cargar el Formulario </w:t>
      </w:r>
      <w:r w:rsidR="001B7D70" w:rsidRPr="00D00D93">
        <w:t>PCT/ISA/206 (</w:t>
      </w:r>
      <w:r w:rsidRPr="00D00D93">
        <w:t xml:space="preserve">por ejemplo, a través del </w:t>
      </w:r>
      <w:r w:rsidR="001B7D70" w:rsidRPr="00D00D93">
        <w:t xml:space="preserve">ePCT </w:t>
      </w:r>
      <w:r w:rsidR="005B1855" w:rsidRPr="00D00D93">
        <w:t>para Oficinas</w:t>
      </w:r>
      <w:r w:rsidR="001B7D70" w:rsidRPr="00D00D93">
        <w:t xml:space="preserve">) </w:t>
      </w:r>
      <w:r w:rsidR="005B1855" w:rsidRPr="00D00D93">
        <w:t>contribuiría a proporcionar información relevante para evaluar el alcance del concepto de unidad de la invención</w:t>
      </w:r>
      <w:r w:rsidR="001B7D70" w:rsidRPr="00D00D93">
        <w:t>.</w:t>
      </w:r>
    </w:p>
    <w:p w:rsidR="001B7D70" w:rsidRPr="00D00D93" w:rsidRDefault="005B1855" w:rsidP="00740EFC">
      <w:pPr>
        <w:pStyle w:val="ONUMFS"/>
        <w:ind w:left="567"/>
      </w:pPr>
      <w:r w:rsidRPr="00D00D93">
        <w:t xml:space="preserve">El Subgrupo aceptó el ofrecimiento de la OEP de proporcionar un cuestionario </w:t>
      </w:r>
      <w:r w:rsidR="006D22B8" w:rsidRPr="00D00D93">
        <w:t xml:space="preserve">a cumplimentar por </w:t>
      </w:r>
      <w:r w:rsidRPr="00D00D93">
        <w:t xml:space="preserve">las </w:t>
      </w:r>
      <w:r w:rsidR="005B1DAD" w:rsidRPr="00D00D93">
        <w:t>Administraciones</w:t>
      </w:r>
      <w:r w:rsidR="001B7D70" w:rsidRPr="00D00D93">
        <w:t xml:space="preserve"> </w:t>
      </w:r>
      <w:r w:rsidRPr="00D00D93">
        <w:t>sobre los aspectos formales de la falta de unidad de la invención en su</w:t>
      </w:r>
      <w:r w:rsidR="00E57716" w:rsidRPr="00D00D93">
        <w:t>s</w:t>
      </w:r>
      <w:r w:rsidRPr="00D00D93">
        <w:t xml:space="preserve"> Oficinas</w:t>
      </w:r>
      <w:r w:rsidR="001B7D70" w:rsidRPr="00D00D93">
        <w:t>.</w:t>
      </w:r>
    </w:p>
    <w:p w:rsidR="001B7D70" w:rsidRPr="00D00D93" w:rsidRDefault="001B7D70" w:rsidP="00013004">
      <w:pPr>
        <w:pStyle w:val="Heading1"/>
        <w:keepNext w:val="0"/>
      </w:pPr>
      <w:r w:rsidRPr="00D00D93">
        <w:t>5.</w:t>
      </w:r>
      <w:r w:rsidRPr="00D00D93">
        <w:tab/>
      </w:r>
      <w:r w:rsidR="00147E73" w:rsidRPr="00D00D93">
        <w:t xml:space="preserve">DESIGNACIÓN DE ADMINISTRACIONES INTERNACIONALES – FORMULARIO DE SOLICITUD PARA LA DESIGNACIÓN </w:t>
      </w:r>
      <w:r w:rsidR="00B67E4C" w:rsidRPr="00D00D93">
        <w:t xml:space="preserve">COMO </w:t>
      </w:r>
      <w:r w:rsidR="0038019C">
        <w:t xml:space="preserve">ADMINISTRACIÓN ENCARGADA DE LA BÚSQUEDA Y DEL EXAMEN PRELIMINAR INTERNACIONALES </w:t>
      </w:r>
      <w:r w:rsidR="00B67E4C" w:rsidRPr="00D00D93">
        <w:t xml:space="preserve">CON ARREGLO AL pct </w:t>
      </w:r>
    </w:p>
    <w:p w:rsidR="00E53A12" w:rsidRPr="00D00D93" w:rsidRDefault="00E57716" w:rsidP="00740EFC">
      <w:pPr>
        <w:pStyle w:val="ONUMFS"/>
      </w:pPr>
      <w:r w:rsidRPr="00D00D93">
        <w:t xml:space="preserve">Varias </w:t>
      </w:r>
      <w:r w:rsidR="005B1DAD" w:rsidRPr="00D00D93">
        <w:t>Administraciones</w:t>
      </w:r>
      <w:r w:rsidR="001B7D70" w:rsidRPr="00D00D93">
        <w:t xml:space="preserve"> </w:t>
      </w:r>
      <w:r w:rsidRPr="00D00D93">
        <w:t xml:space="preserve">reiteraron su punto de vista de que las únicas partes obligatorias de un formulario de solicitud de designación deberían ser las </w:t>
      </w:r>
      <w:r w:rsidR="00E53A12" w:rsidRPr="00D00D93">
        <w:t xml:space="preserve">atinentes </w:t>
      </w:r>
      <w:r w:rsidRPr="00D00D93">
        <w:t>a los requisitos mínimos establecidos en las Reglas</w:t>
      </w:r>
      <w:r w:rsidR="00CF05DB" w:rsidRPr="00D00D93">
        <w:t xml:space="preserve"> 36 </w:t>
      </w:r>
      <w:r w:rsidRPr="00D00D93">
        <w:t xml:space="preserve">y </w:t>
      </w:r>
      <w:r w:rsidR="00CF05DB" w:rsidRPr="00D00D93">
        <w:t> </w:t>
      </w:r>
      <w:r w:rsidR="001B7D70" w:rsidRPr="00D00D93">
        <w:t>63</w:t>
      </w:r>
      <w:r w:rsidRPr="00D00D93">
        <w:t xml:space="preserve"> del PCT</w:t>
      </w:r>
      <w:r w:rsidR="001B7D70" w:rsidRPr="00D00D93">
        <w:t xml:space="preserve">.  </w:t>
      </w:r>
      <w:r w:rsidR="00E53A12" w:rsidRPr="00D00D93">
        <w:t xml:space="preserve">Otras Administraciones se manifestaron </w:t>
      </w:r>
      <w:r w:rsidR="00A26BAA" w:rsidRPr="00D00D93">
        <w:t xml:space="preserve">partidarias </w:t>
      </w:r>
      <w:r w:rsidR="00E53A12" w:rsidRPr="00D00D93">
        <w:t xml:space="preserve">de que se </w:t>
      </w:r>
      <w:r w:rsidR="00A26BAA" w:rsidRPr="00D00D93">
        <w:t>proceda a la adopción formal d</w:t>
      </w:r>
      <w:r w:rsidR="00E53A12" w:rsidRPr="00D00D93">
        <w:t xml:space="preserve">el formulario en su versión actual como </w:t>
      </w:r>
      <w:r w:rsidR="00A26BAA" w:rsidRPr="00D00D93">
        <w:t xml:space="preserve">parte </w:t>
      </w:r>
      <w:r w:rsidR="00E53A12" w:rsidRPr="00D00D93">
        <w:t>obligad</w:t>
      </w:r>
      <w:r w:rsidR="00A26BAA" w:rsidRPr="00D00D93">
        <w:t>a</w:t>
      </w:r>
      <w:r w:rsidR="00E53A12" w:rsidRPr="00D00D93">
        <w:t xml:space="preserve"> del procedimiento de solicitud de designación, con miras a proporcionar al Comité de Cooperación Técnica del PCT un relato </w:t>
      </w:r>
      <w:r w:rsidR="00A26BAA" w:rsidRPr="00D00D93">
        <w:t xml:space="preserve">íntegro </w:t>
      </w:r>
      <w:r w:rsidR="00E53A12" w:rsidRPr="00D00D93">
        <w:t xml:space="preserve">de la Oficina candidata a partir del cual poder llevar a cabo un examen completo de su capacidad de cumplir las obligaciones </w:t>
      </w:r>
      <w:r w:rsidR="006D22B8" w:rsidRPr="00D00D93">
        <w:t xml:space="preserve">propias </w:t>
      </w:r>
      <w:r w:rsidR="00E53A12" w:rsidRPr="00D00D93">
        <w:t xml:space="preserve">de una Administración Internacional.  En una fecha posterior podría </w:t>
      </w:r>
      <w:r w:rsidR="00A26BAA" w:rsidRPr="00D00D93">
        <w:t xml:space="preserve">abordarse </w:t>
      </w:r>
      <w:r w:rsidR="00E53A12" w:rsidRPr="00D00D93">
        <w:t xml:space="preserve">la cuestión de </w:t>
      </w:r>
      <w:r w:rsidR="006D22B8" w:rsidRPr="00D00D93">
        <w:t xml:space="preserve">en qué medida </w:t>
      </w:r>
      <w:r w:rsidR="004720B9" w:rsidRPr="00D00D93">
        <w:t xml:space="preserve">esas Reglas </w:t>
      </w:r>
      <w:r w:rsidR="00E53A12" w:rsidRPr="00D00D93">
        <w:t>sería</w:t>
      </w:r>
      <w:r w:rsidR="004720B9" w:rsidRPr="00D00D93">
        <w:t>n</w:t>
      </w:r>
      <w:r w:rsidR="00E53A12" w:rsidRPr="00D00D93">
        <w:t xml:space="preserve"> aplicable</w:t>
      </w:r>
      <w:r w:rsidR="004720B9" w:rsidRPr="00D00D93">
        <w:t>s</w:t>
      </w:r>
      <w:r w:rsidR="00E53A12" w:rsidRPr="00D00D93">
        <w:t xml:space="preserve"> a la</w:t>
      </w:r>
      <w:r w:rsidR="004720B9" w:rsidRPr="00D00D93">
        <w:t>s</w:t>
      </w:r>
      <w:r w:rsidR="00E53A12" w:rsidRPr="00D00D93">
        <w:t xml:space="preserve"> prórroga</w:t>
      </w:r>
      <w:r w:rsidR="004720B9" w:rsidRPr="00D00D93">
        <w:t>s</w:t>
      </w:r>
      <w:r w:rsidR="00E53A12" w:rsidRPr="00D00D93">
        <w:t xml:space="preserve"> de designaci</w:t>
      </w:r>
      <w:r w:rsidR="004720B9" w:rsidRPr="00D00D93">
        <w:t>ón</w:t>
      </w:r>
      <w:r w:rsidR="00E53A12" w:rsidRPr="00D00D93">
        <w:t xml:space="preserve">. </w:t>
      </w:r>
      <w:r w:rsidR="004720B9" w:rsidRPr="00D00D93">
        <w:t xml:space="preserve"> </w:t>
      </w:r>
      <w:r w:rsidR="006D22B8" w:rsidRPr="00D00D93">
        <w:t xml:space="preserve">Las </w:t>
      </w:r>
      <w:r w:rsidR="004720B9" w:rsidRPr="00D00D93">
        <w:t xml:space="preserve">Administraciones manifestaron su disposición a contemplar la posibilidad de ampliar el alcance de los informes sobre la calidad a fin de que </w:t>
      </w:r>
      <w:r w:rsidR="00C57667" w:rsidRPr="00D00D93">
        <w:t>prevean e</w:t>
      </w:r>
      <w:r w:rsidR="004720B9" w:rsidRPr="00D00D93">
        <w:t xml:space="preserve">l cumplimiento continuado de los requisitos mínimos, y expresaron la </w:t>
      </w:r>
      <w:r w:rsidR="00A26BAA" w:rsidRPr="00D00D93">
        <w:t xml:space="preserve">preocupación </w:t>
      </w:r>
      <w:r w:rsidR="004720B9" w:rsidRPr="00D00D93">
        <w:t xml:space="preserve">de que ello no </w:t>
      </w:r>
      <w:r w:rsidR="00A26BAA" w:rsidRPr="00D00D93">
        <w:t xml:space="preserve">dé </w:t>
      </w:r>
      <w:r w:rsidR="004720B9" w:rsidRPr="00D00D93">
        <w:t xml:space="preserve">pie a un nuevo requisito de presentación de información independiente y </w:t>
      </w:r>
      <w:r w:rsidR="00E06544" w:rsidRPr="00D00D93">
        <w:t>pesado</w:t>
      </w:r>
      <w:r w:rsidR="004720B9" w:rsidRPr="00D00D93">
        <w:t>.</w:t>
      </w:r>
    </w:p>
    <w:p w:rsidR="001B7D70" w:rsidRPr="00D00D93" w:rsidRDefault="001A3488" w:rsidP="00740EFC">
      <w:pPr>
        <w:pStyle w:val="ONUMFS"/>
        <w:ind w:left="567"/>
      </w:pPr>
      <w:r w:rsidRPr="00D00D93">
        <w:t>El Subgrupo formuló las siguientes recomendaciones</w:t>
      </w:r>
      <w:r w:rsidR="001B7D70" w:rsidRPr="00D00D93">
        <w:t>:</w:t>
      </w:r>
    </w:p>
    <w:p w:rsidR="002E0079" w:rsidRPr="00D00D93" w:rsidRDefault="001A3488" w:rsidP="00740EFC">
      <w:pPr>
        <w:pStyle w:val="ONUMFS"/>
        <w:numPr>
          <w:ilvl w:val="1"/>
          <w:numId w:val="11"/>
        </w:numPr>
        <w:tabs>
          <w:tab w:val="clear" w:pos="1134"/>
        </w:tabs>
        <w:ind w:left="1134"/>
      </w:pPr>
      <w:r w:rsidRPr="00D00D93">
        <w:t xml:space="preserve">que </w:t>
      </w:r>
      <w:r w:rsidR="004720B9" w:rsidRPr="00D00D93">
        <w:t xml:space="preserve">la </w:t>
      </w:r>
      <w:r w:rsidR="005B1DAD" w:rsidRPr="00D00D93">
        <w:t>Oficina Internacional</w:t>
      </w:r>
      <w:r w:rsidR="001B7D70" w:rsidRPr="00D00D93">
        <w:t xml:space="preserve"> </w:t>
      </w:r>
      <w:r w:rsidR="004720B9" w:rsidRPr="00D00D93">
        <w:t xml:space="preserve">prepare un proyecto de formulario </w:t>
      </w:r>
      <w:r w:rsidR="002E0079" w:rsidRPr="00D00D93">
        <w:t xml:space="preserve">mejorado para </w:t>
      </w:r>
      <w:r w:rsidR="004720B9" w:rsidRPr="00D00D93">
        <w:t>presentar</w:t>
      </w:r>
      <w:r w:rsidR="002E0079" w:rsidRPr="00D00D93">
        <w:t>lo</w:t>
      </w:r>
      <w:r w:rsidR="004720B9" w:rsidRPr="00D00D93">
        <w:t xml:space="preserve"> </w:t>
      </w:r>
      <w:r w:rsidR="002E0079" w:rsidRPr="00D00D93">
        <w:t xml:space="preserve">al </w:t>
      </w:r>
      <w:r w:rsidR="004720B9" w:rsidRPr="00D00D93">
        <w:t>Grupo de Trabajo del PCT</w:t>
      </w:r>
      <w:r w:rsidR="001B7D70" w:rsidRPr="00D00D93">
        <w:t xml:space="preserve">, </w:t>
      </w:r>
      <w:r w:rsidR="002E0079" w:rsidRPr="00D00D93">
        <w:t xml:space="preserve">que tenga en cuenta los comentarios presentados en respuesta a la Circular </w:t>
      </w:r>
      <w:r w:rsidR="001B7D70" w:rsidRPr="00D00D93">
        <w:t xml:space="preserve">C. PCT 1519, </w:t>
      </w:r>
      <w:r w:rsidR="002E0079" w:rsidRPr="00D00D93">
        <w:t xml:space="preserve">a los fines de recomendar la adopción por la Asamblea del PCT de un formulario definitivo como parte del procedimiento para solicitar la designación como Administración Internacional; y </w:t>
      </w:r>
    </w:p>
    <w:p w:rsidR="001B7D70" w:rsidRPr="00D00D93" w:rsidRDefault="001A3488" w:rsidP="00740EFC">
      <w:pPr>
        <w:pStyle w:val="ONUMFS"/>
        <w:numPr>
          <w:ilvl w:val="1"/>
          <w:numId w:val="11"/>
        </w:numPr>
        <w:tabs>
          <w:tab w:val="clear" w:pos="1134"/>
        </w:tabs>
        <w:ind w:left="1134"/>
      </w:pPr>
      <w:r w:rsidRPr="00D00D93">
        <w:lastRenderedPageBreak/>
        <w:t xml:space="preserve">que </w:t>
      </w:r>
      <w:r w:rsidR="002E0079" w:rsidRPr="00D00D93">
        <w:t xml:space="preserve">se estudie la posibilidad de desarrollar los requisitos </w:t>
      </w:r>
      <w:r w:rsidR="00C57667" w:rsidRPr="00D00D93">
        <w:t>aplicables a los informes sobre la calidad a fin de que incluyan cuestiones relacionadas con el cumplimento continuado de los requisitos mínimos establecidos en las Reglas 36 y 63 del PCT</w:t>
      </w:r>
      <w:r w:rsidR="001B7D70" w:rsidRPr="00D00D93">
        <w:t>.</w:t>
      </w:r>
    </w:p>
    <w:p w:rsidR="001B7D70" w:rsidRPr="00D00D93" w:rsidRDefault="001B7D70" w:rsidP="001B7D70">
      <w:pPr>
        <w:pStyle w:val="Heading1"/>
      </w:pPr>
      <w:r w:rsidRPr="00D00D93">
        <w:t>6.</w:t>
      </w:r>
      <w:r w:rsidRPr="00D00D93">
        <w:tab/>
      </w:r>
      <w:r w:rsidR="00B67E4C" w:rsidRPr="00D00D93">
        <w:t xml:space="preserve">OTRAS IDEAS PARA LA MEJORA DE LA CALIDAD </w:t>
      </w:r>
    </w:p>
    <w:p w:rsidR="001B7D70" w:rsidRPr="00D00D93" w:rsidRDefault="00A33159" w:rsidP="00740EFC">
      <w:pPr>
        <w:pStyle w:val="ONUMFS"/>
      </w:pPr>
      <w:r w:rsidRPr="00D00D93">
        <w:t xml:space="preserve">No se formularon otras recomendaciones sobre </w:t>
      </w:r>
      <w:r w:rsidR="00DA657B" w:rsidRPr="00D00D93">
        <w:t xml:space="preserve">ninguna otra </w:t>
      </w:r>
      <w:r w:rsidRPr="00D00D93">
        <w:t>esfera de trabajo</w:t>
      </w:r>
      <w:r w:rsidR="001B7D70" w:rsidRPr="00D00D93">
        <w:t>.</w:t>
      </w:r>
    </w:p>
    <w:p w:rsidR="001B7D70" w:rsidRPr="00D00D93" w:rsidRDefault="001B7D70" w:rsidP="00740EFC">
      <w:pPr>
        <w:pStyle w:val="ONUMFS"/>
        <w:numPr>
          <w:ilvl w:val="0"/>
          <w:numId w:val="0"/>
        </w:numPr>
      </w:pPr>
    </w:p>
    <w:p w:rsidR="00B66549" w:rsidRPr="00D00D93" w:rsidRDefault="001B7D70" w:rsidP="00740EFC">
      <w:pPr>
        <w:pStyle w:val="Endofdocument-Annex"/>
        <w:rPr>
          <w:lang w:val="es-ES"/>
        </w:rPr>
      </w:pPr>
      <w:r w:rsidRPr="00D00D93">
        <w:rPr>
          <w:lang w:val="es-ES"/>
        </w:rPr>
        <w:t>[</w:t>
      </w:r>
      <w:r w:rsidR="00A33159" w:rsidRPr="00D00D93">
        <w:rPr>
          <w:lang w:val="es-ES"/>
        </w:rPr>
        <w:t>Fin del Anexo y del documento</w:t>
      </w:r>
      <w:r w:rsidRPr="00D00D93">
        <w:rPr>
          <w:lang w:val="es-ES"/>
        </w:rPr>
        <w:t>]</w:t>
      </w:r>
    </w:p>
    <w:sectPr w:rsidR="00B66549" w:rsidRPr="00D00D93" w:rsidSect="00D3409E">
      <w:headerReference w:type="default" r:id="rId13"/>
      <w:head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ED6" w:rsidRDefault="00725ED6">
      <w:r>
        <w:separator/>
      </w:r>
    </w:p>
  </w:endnote>
  <w:endnote w:type="continuationSeparator" w:id="0">
    <w:p w:rsidR="00725ED6" w:rsidRPr="009D30E6" w:rsidRDefault="00725ED6" w:rsidP="007E663E">
      <w:pPr>
        <w:rPr>
          <w:sz w:val="17"/>
          <w:szCs w:val="17"/>
        </w:rPr>
      </w:pPr>
      <w:r w:rsidRPr="009D30E6">
        <w:rPr>
          <w:sz w:val="17"/>
          <w:szCs w:val="17"/>
        </w:rPr>
        <w:separator/>
      </w:r>
    </w:p>
    <w:p w:rsidR="00725ED6" w:rsidRPr="007E663E" w:rsidRDefault="00725ED6" w:rsidP="007E663E">
      <w:pPr>
        <w:spacing w:after="60"/>
        <w:rPr>
          <w:sz w:val="17"/>
          <w:szCs w:val="17"/>
        </w:rPr>
      </w:pPr>
      <w:r>
        <w:rPr>
          <w:sz w:val="17"/>
        </w:rPr>
        <w:t>[Continuación de la nota de la página anterior]</w:t>
      </w:r>
    </w:p>
  </w:endnote>
  <w:endnote w:type="continuationNotice" w:id="1">
    <w:p w:rsidR="00725ED6" w:rsidRPr="007E663E" w:rsidRDefault="00725ED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ED6" w:rsidRDefault="00725ED6">
      <w:r>
        <w:separator/>
      </w:r>
    </w:p>
  </w:footnote>
  <w:footnote w:type="continuationSeparator" w:id="0">
    <w:p w:rsidR="00725ED6" w:rsidRPr="009D30E6" w:rsidRDefault="00725ED6" w:rsidP="007E663E">
      <w:pPr>
        <w:rPr>
          <w:sz w:val="17"/>
          <w:szCs w:val="17"/>
        </w:rPr>
      </w:pPr>
      <w:r w:rsidRPr="009D30E6">
        <w:rPr>
          <w:sz w:val="17"/>
          <w:szCs w:val="17"/>
        </w:rPr>
        <w:separator/>
      </w:r>
    </w:p>
    <w:p w:rsidR="00725ED6" w:rsidRPr="007E663E" w:rsidRDefault="00725ED6" w:rsidP="007E663E">
      <w:pPr>
        <w:spacing w:after="60"/>
        <w:rPr>
          <w:sz w:val="17"/>
          <w:szCs w:val="17"/>
        </w:rPr>
      </w:pPr>
      <w:r>
        <w:rPr>
          <w:sz w:val="17"/>
        </w:rPr>
        <w:t>[Continuación de la nota de la página anterior]</w:t>
      </w:r>
    </w:p>
  </w:footnote>
  <w:footnote w:type="continuationNotice" w:id="1">
    <w:p w:rsidR="00725ED6" w:rsidRPr="007E663E" w:rsidRDefault="00725ED6" w:rsidP="007E663E">
      <w:pPr>
        <w:spacing w:before="60"/>
        <w:jc w:val="right"/>
        <w:rPr>
          <w:sz w:val="17"/>
          <w:szCs w:val="17"/>
        </w:rPr>
      </w:pPr>
      <w:r w:rsidRPr="007E663E">
        <w:rPr>
          <w:sz w:val="17"/>
          <w:szCs w:val="17"/>
        </w:rPr>
        <w:t>[Sigue la nota en la página siguiente]</w:t>
      </w:r>
    </w:p>
  </w:footnote>
  <w:footnote w:id="2">
    <w:p w:rsidR="00725ED6" w:rsidRPr="00DB212D" w:rsidRDefault="00725ED6" w:rsidP="001B7D70">
      <w:pPr>
        <w:pStyle w:val="FootnoteText"/>
        <w:rPr>
          <w:lang w:val="es-ES_tradnl"/>
        </w:rPr>
      </w:pPr>
      <w:r>
        <w:rPr>
          <w:rStyle w:val="FootnoteReference"/>
        </w:rPr>
        <w:footnoteRef/>
      </w:r>
      <w:r w:rsidRPr="00C6264D">
        <w:rPr>
          <w:lang w:val="es-ES_tradnl"/>
        </w:rPr>
        <w:tab/>
      </w:r>
      <w:r w:rsidRPr="00DB212D">
        <w:rPr>
          <w:lang w:val="es-ES_tradnl"/>
        </w:rPr>
        <w:t xml:space="preserve">Puede encontrarse una copia de la presentación en la siguiente dirección del sitio web de la OMPI: </w:t>
      </w:r>
      <w:hyperlink r:id="rId1" w:history="1">
        <w:r w:rsidRPr="00DB212D">
          <w:rPr>
            <w:rStyle w:val="Hyperlink"/>
            <w:color w:val="auto"/>
            <w:u w:val="none"/>
            <w:lang w:val="es-ES_tradnl"/>
          </w:rPr>
          <w:t>http://www.wipo.int/meetings/en/doc_details.jsp?meeting_code=pct/mia/25_statistics</w:t>
        </w:r>
      </w:hyperlink>
      <w:r w:rsidRPr="00DB212D">
        <w:rPr>
          <w:lang w:val="es-ES_tradnl"/>
        </w:rPr>
        <w:t xml:space="preserve"> </w:t>
      </w:r>
    </w:p>
  </w:footnote>
  <w:footnote w:id="3">
    <w:p w:rsidR="00725ED6" w:rsidRPr="00271382" w:rsidRDefault="00725ED6" w:rsidP="001B7D70">
      <w:pPr>
        <w:pStyle w:val="FootnoteText"/>
        <w:rPr>
          <w:lang w:val="es-ES_tradnl"/>
        </w:rPr>
      </w:pPr>
      <w:r>
        <w:rPr>
          <w:rStyle w:val="FootnoteReference"/>
        </w:rPr>
        <w:footnoteRef/>
      </w:r>
      <w:r w:rsidRPr="00C6264D">
        <w:rPr>
          <w:lang w:val="es-ES_tradnl"/>
        </w:rPr>
        <w:tab/>
      </w:r>
      <w:r w:rsidRPr="00271382">
        <w:rPr>
          <w:lang w:val="es-ES_tradnl"/>
        </w:rPr>
        <w:t xml:space="preserve">Puede encontrarse una copia de la presentación en la siguiente dirección del sitio web de la OMPI: </w:t>
      </w:r>
      <w:hyperlink r:id="rId2" w:history="1">
        <w:r w:rsidRPr="00271382">
          <w:rPr>
            <w:rStyle w:val="Hyperlink"/>
            <w:color w:val="auto"/>
            <w:u w:val="none"/>
            <w:lang w:val="es-ES_tradnl"/>
          </w:rPr>
          <w:t>http://www.wipo.int/meetings/en/doc_details.jsp?meeting_code=pct/mia/25_minimum_documentation</w:t>
        </w:r>
      </w:hyperlink>
      <w:r w:rsidRPr="00271382">
        <w:rPr>
          <w:lang w:val="es-ES_tradnl"/>
        </w:rPr>
        <w:t xml:space="preserve"> </w:t>
      </w:r>
    </w:p>
  </w:footnote>
  <w:footnote w:id="4">
    <w:p w:rsidR="00725ED6" w:rsidRPr="00271382" w:rsidRDefault="00725ED6" w:rsidP="001B7D70">
      <w:pPr>
        <w:pStyle w:val="FootnoteText"/>
        <w:rPr>
          <w:lang w:val="es-ES_tradnl"/>
        </w:rPr>
      </w:pPr>
      <w:r>
        <w:rPr>
          <w:rStyle w:val="FootnoteReference"/>
        </w:rPr>
        <w:footnoteRef/>
      </w:r>
      <w:r w:rsidRPr="00C6264D">
        <w:rPr>
          <w:lang w:val="es-ES_tradnl"/>
        </w:rPr>
        <w:t xml:space="preserve"> </w:t>
      </w:r>
      <w:r w:rsidRPr="00C6264D">
        <w:rPr>
          <w:lang w:val="es-ES_tradnl"/>
        </w:rPr>
        <w:tab/>
      </w:r>
      <w:r w:rsidRPr="00271382">
        <w:rPr>
          <w:lang w:val="es-ES_tradnl"/>
        </w:rPr>
        <w:t xml:space="preserve">Puede encontrarse una copia de la presentación en la siguiente dirección del sitio web de la OMPI: </w:t>
      </w:r>
      <w:hyperlink r:id="rId3" w:history="1">
        <w:r w:rsidRPr="00271382">
          <w:rPr>
            <w:rStyle w:val="Hyperlink"/>
            <w:color w:val="auto"/>
            <w:u w:val="none"/>
            <w:lang w:val="es-ES_tradnl"/>
          </w:rPr>
          <w:t>http://www.wipo.int/meetings/en/doc_details.jsp?meeting_code=pct/mia/25_Indian_TKDL</w:t>
        </w:r>
      </w:hyperlink>
    </w:p>
  </w:footnote>
  <w:footnote w:id="5">
    <w:p w:rsidR="00725ED6" w:rsidRPr="00C6264D" w:rsidRDefault="00725ED6" w:rsidP="00470DB6">
      <w:pPr>
        <w:pStyle w:val="FootnoteText"/>
        <w:rPr>
          <w:lang w:val="es-ES_tradnl"/>
        </w:rPr>
      </w:pPr>
      <w:r>
        <w:rPr>
          <w:rStyle w:val="FootnoteReference"/>
        </w:rPr>
        <w:footnoteRef/>
      </w:r>
      <w:r w:rsidRPr="00C6264D">
        <w:rPr>
          <w:lang w:val="es-ES_tradnl"/>
        </w:rPr>
        <w:tab/>
      </w:r>
      <w:hyperlink r:id="rId4" w:history="1">
        <w:r w:rsidRPr="00C6264D">
          <w:rPr>
            <w:rStyle w:val="Hyperlink"/>
            <w:color w:val="auto"/>
            <w:u w:val="none"/>
            <w:lang w:val="es-ES_tradnl"/>
          </w:rPr>
          <w:t>http://www.wipo.int/meetings/en/doc_details.jsp?meeting_code=pct/mia/25_qsg_spto</w:t>
        </w:r>
      </w:hyperlink>
    </w:p>
  </w:footnote>
  <w:footnote w:id="6">
    <w:p w:rsidR="00725ED6" w:rsidRPr="00CC1069" w:rsidRDefault="00725ED6" w:rsidP="00CC1069">
      <w:pPr>
        <w:pStyle w:val="FootnoteText"/>
      </w:pPr>
      <w:r>
        <w:rPr>
          <w:rStyle w:val="FootnoteReference"/>
        </w:rPr>
        <w:footnoteRef/>
      </w:r>
      <w:r w:rsidRPr="00CC1069">
        <w:t xml:space="preserve"> </w:t>
      </w:r>
      <w:r w:rsidRPr="00CC1069">
        <w:tab/>
      </w:r>
      <w:hyperlink r:id="rId5" w:history="1">
        <w:r w:rsidRPr="00CC1069">
          <w:rPr>
            <w:rStyle w:val="Hyperlink"/>
            <w:color w:val="auto"/>
            <w:u w:val="none"/>
          </w:rPr>
          <w:t>http://www.wipo.int/meetings/en/doc_details.jsp?meeting_code=pct/mia/25_qsg_epo</w:t>
        </w:r>
      </w:hyperlink>
      <w:r w:rsidRPr="00CC1069">
        <w:t xml:space="preserve"> </w:t>
      </w:r>
      <w:r w:rsidR="00CC1069" w:rsidRPr="00CC1069">
        <w:t>y</w:t>
      </w:r>
      <w:r w:rsidRPr="00CC1069">
        <w:t xml:space="preserve"> </w:t>
      </w:r>
      <w:hyperlink r:id="rId6" w:history="1">
        <w:r w:rsidRPr="00CC1069">
          <w:rPr>
            <w:rStyle w:val="Hyperlink"/>
            <w:color w:val="auto"/>
            <w:u w:val="none"/>
          </w:rPr>
          <w:t>http://www.wipo.int/meetings/en/doc_details.jsp?meeting_code=pct/mia/25_qsg_ipos</w:t>
        </w:r>
      </w:hyperlink>
      <w:r w:rsidRPr="00CC1069">
        <w:t xml:space="preserve"> </w:t>
      </w:r>
    </w:p>
  </w:footnote>
  <w:footnote w:id="7">
    <w:p w:rsidR="00725ED6" w:rsidRPr="003372A5" w:rsidRDefault="00725ED6" w:rsidP="001B7D70">
      <w:pPr>
        <w:pStyle w:val="FootnoteText"/>
      </w:pPr>
      <w:r>
        <w:rPr>
          <w:rStyle w:val="FootnoteReference"/>
        </w:rPr>
        <w:footnoteRef/>
      </w:r>
      <w:r w:rsidRPr="003372A5">
        <w:t xml:space="preserve"> </w:t>
      </w:r>
      <w:r w:rsidRPr="003372A5">
        <w:tab/>
      </w:r>
      <w:hyperlink r:id="rId7" w:history="1">
        <w:r w:rsidRPr="003372A5">
          <w:rPr>
            <w:rStyle w:val="Hyperlink"/>
            <w:color w:val="auto"/>
            <w:u w:val="none"/>
          </w:rPr>
          <w:t>http://www.wipo.int/meetings/en/doc_details.jsp?meeting_code=pct/mia/25_qsg_IP Australia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D6" w:rsidRDefault="00725ED6" w:rsidP="00477D6B">
    <w:pPr>
      <w:jc w:val="right"/>
    </w:pPr>
    <w:r>
      <w:t>PCT/WG/11/2</w:t>
    </w:r>
  </w:p>
  <w:p w:rsidR="00725ED6" w:rsidRDefault="00725ED6" w:rsidP="00477D6B">
    <w:pPr>
      <w:jc w:val="right"/>
    </w:pPr>
    <w:proofErr w:type="gramStart"/>
    <w:r>
      <w:t>p</w:t>
    </w:r>
    <w:r w:rsidR="00740EFC">
      <w:t>ágina</w:t>
    </w:r>
    <w:proofErr w:type="gramEnd"/>
    <w:r>
      <w:t xml:space="preserve"> </w:t>
    </w:r>
    <w:r>
      <w:fldChar w:fldCharType="begin"/>
    </w:r>
    <w:r>
      <w:instrText xml:space="preserve"> PAGE  \* MERGEFORMAT </w:instrText>
    </w:r>
    <w:r>
      <w:fldChar w:fldCharType="separate"/>
    </w:r>
    <w:r w:rsidR="00740EFC">
      <w:rPr>
        <w:noProof/>
      </w:rPr>
      <w:t>1</w:t>
    </w:r>
    <w:r>
      <w:fldChar w:fldCharType="end"/>
    </w:r>
  </w:p>
  <w:p w:rsidR="00725ED6" w:rsidRDefault="00725ED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D6" w:rsidRDefault="00725ED6" w:rsidP="00477D6B">
    <w:pPr>
      <w:jc w:val="right"/>
    </w:pPr>
    <w:r>
      <w:t>PCT/WG/11/2</w:t>
    </w:r>
  </w:p>
  <w:p w:rsidR="00725ED6" w:rsidRDefault="00725ED6" w:rsidP="00477D6B">
    <w:pPr>
      <w:jc w:val="right"/>
    </w:pPr>
    <w:r>
      <w:t xml:space="preserve">Anexo, página </w:t>
    </w:r>
    <w:r>
      <w:fldChar w:fldCharType="begin"/>
    </w:r>
    <w:r>
      <w:instrText xml:space="preserve"> PAGE  \* MERGEFORMAT </w:instrText>
    </w:r>
    <w:r>
      <w:fldChar w:fldCharType="separate"/>
    </w:r>
    <w:r w:rsidR="00FA0F86">
      <w:rPr>
        <w:noProof/>
      </w:rPr>
      <w:t>11</w:t>
    </w:r>
    <w:r>
      <w:fldChar w:fldCharType="end"/>
    </w:r>
  </w:p>
  <w:p w:rsidR="00725ED6" w:rsidRDefault="00725ED6"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D6" w:rsidRDefault="00725ED6" w:rsidP="00515056">
    <w:pPr>
      <w:jc w:val="right"/>
    </w:pPr>
    <w:r>
      <w:t>PCT/WG/11/2</w:t>
    </w:r>
  </w:p>
  <w:p w:rsidR="00725ED6" w:rsidRDefault="00740EFC" w:rsidP="001B7D70">
    <w:pPr>
      <w:jc w:val="right"/>
    </w:pPr>
    <w:r>
      <w:t>ANEXO</w:t>
    </w:r>
  </w:p>
  <w:p w:rsidR="00725ED6" w:rsidRDefault="00725ED6" w:rsidP="00515056">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D6" w:rsidRDefault="00725ED6" w:rsidP="00477D6B">
    <w:pPr>
      <w:jc w:val="right"/>
    </w:pPr>
    <w:bookmarkStart w:id="8" w:name="Code2"/>
    <w:bookmarkEnd w:id="8"/>
    <w:r>
      <w:t>PCT/WG/11/2</w:t>
    </w:r>
  </w:p>
  <w:p w:rsidR="00725ED6" w:rsidRDefault="00725ED6" w:rsidP="001B7D70">
    <w:pPr>
      <w:jc w:val="right"/>
    </w:pPr>
    <w:r>
      <w:t xml:space="preserve">Anexo, página </w:t>
    </w:r>
    <w:r>
      <w:fldChar w:fldCharType="begin"/>
    </w:r>
    <w:r>
      <w:instrText xml:space="preserve"> PAGE  \* MERGEFORMAT </w:instrText>
    </w:r>
    <w:r>
      <w:fldChar w:fldCharType="separate"/>
    </w:r>
    <w:r w:rsidR="00FA0F86">
      <w:rPr>
        <w:noProof/>
      </w:rPr>
      <w:t>13</w:t>
    </w:r>
    <w:r>
      <w:fldChar w:fldCharType="end"/>
    </w:r>
  </w:p>
  <w:p w:rsidR="00725ED6" w:rsidRDefault="00725ED6"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004" w:rsidRDefault="00013004" w:rsidP="00515056">
    <w:pPr>
      <w:jc w:val="right"/>
    </w:pPr>
    <w:r>
      <w:t>PCT/WG/11/2</w:t>
    </w:r>
  </w:p>
  <w:p w:rsidR="00013004" w:rsidRDefault="00013004" w:rsidP="001B7D70">
    <w:pPr>
      <w:jc w:val="right"/>
    </w:pPr>
    <w:r>
      <w:t xml:space="preserve">Anexo, página </w:t>
    </w:r>
    <w:r>
      <w:fldChar w:fldCharType="begin"/>
    </w:r>
    <w:r>
      <w:instrText xml:space="preserve"> PAGE   \* MERGEFORMAT </w:instrText>
    </w:r>
    <w:r>
      <w:fldChar w:fldCharType="separate"/>
    </w:r>
    <w:r w:rsidR="00FA0F86">
      <w:rPr>
        <w:noProof/>
      </w:rPr>
      <w:t>12</w:t>
    </w:r>
    <w:r>
      <w:rPr>
        <w:noProof/>
      </w:rPr>
      <w:fldChar w:fldCharType="end"/>
    </w:r>
  </w:p>
  <w:p w:rsidR="00013004" w:rsidRDefault="00013004" w:rsidP="00515056">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F75AE18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6CF5C32"/>
    <w:multiLevelType w:val="multilevel"/>
    <w:tmpl w:val="D7346BEC"/>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A66093A"/>
    <w:multiLevelType w:val="multilevel"/>
    <w:tmpl w:val="74BE232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3CD8BC2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09E"/>
    <w:rsid w:val="00003D65"/>
    <w:rsid w:val="00004C70"/>
    <w:rsid w:val="00004D87"/>
    <w:rsid w:val="00010686"/>
    <w:rsid w:val="00013004"/>
    <w:rsid w:val="0003412B"/>
    <w:rsid w:val="00041E45"/>
    <w:rsid w:val="00044822"/>
    <w:rsid w:val="0004499A"/>
    <w:rsid w:val="00046CCB"/>
    <w:rsid w:val="00052915"/>
    <w:rsid w:val="00070D60"/>
    <w:rsid w:val="00071F82"/>
    <w:rsid w:val="000939F9"/>
    <w:rsid w:val="00094EE8"/>
    <w:rsid w:val="0009661A"/>
    <w:rsid w:val="000979B1"/>
    <w:rsid w:val="000B3734"/>
    <w:rsid w:val="000B4C8E"/>
    <w:rsid w:val="000D0F9C"/>
    <w:rsid w:val="000D685D"/>
    <w:rsid w:val="000E3BB3"/>
    <w:rsid w:val="000E4A24"/>
    <w:rsid w:val="000F5E56"/>
    <w:rsid w:val="000F6AA7"/>
    <w:rsid w:val="001023D2"/>
    <w:rsid w:val="001130C3"/>
    <w:rsid w:val="00113C79"/>
    <w:rsid w:val="00122038"/>
    <w:rsid w:val="001362EE"/>
    <w:rsid w:val="0014587B"/>
    <w:rsid w:val="00147E73"/>
    <w:rsid w:val="001509A0"/>
    <w:rsid w:val="00152CEA"/>
    <w:rsid w:val="00157ED8"/>
    <w:rsid w:val="00161C94"/>
    <w:rsid w:val="00165CC6"/>
    <w:rsid w:val="0017394F"/>
    <w:rsid w:val="00181C31"/>
    <w:rsid w:val="001832A6"/>
    <w:rsid w:val="00192B49"/>
    <w:rsid w:val="00195663"/>
    <w:rsid w:val="001965C2"/>
    <w:rsid w:val="001A2CB4"/>
    <w:rsid w:val="001A3488"/>
    <w:rsid w:val="001B43B5"/>
    <w:rsid w:val="001B7D70"/>
    <w:rsid w:val="001D4C83"/>
    <w:rsid w:val="001E2DC3"/>
    <w:rsid w:val="001E4283"/>
    <w:rsid w:val="00201462"/>
    <w:rsid w:val="00201D30"/>
    <w:rsid w:val="00205283"/>
    <w:rsid w:val="00213B97"/>
    <w:rsid w:val="002236DA"/>
    <w:rsid w:val="00230D9B"/>
    <w:rsid w:val="00233A8A"/>
    <w:rsid w:val="002355D4"/>
    <w:rsid w:val="00237D8C"/>
    <w:rsid w:val="00245AAC"/>
    <w:rsid w:val="002504E9"/>
    <w:rsid w:val="002528C9"/>
    <w:rsid w:val="002559CA"/>
    <w:rsid w:val="002634C4"/>
    <w:rsid w:val="00271382"/>
    <w:rsid w:val="00274021"/>
    <w:rsid w:val="00282C4B"/>
    <w:rsid w:val="002A6AC0"/>
    <w:rsid w:val="002B0B26"/>
    <w:rsid w:val="002C2968"/>
    <w:rsid w:val="002C2D35"/>
    <w:rsid w:val="002C2E2F"/>
    <w:rsid w:val="002C5E55"/>
    <w:rsid w:val="002E0079"/>
    <w:rsid w:val="002E0F47"/>
    <w:rsid w:val="002E6C39"/>
    <w:rsid w:val="002F4C35"/>
    <w:rsid w:val="002F4E68"/>
    <w:rsid w:val="00310826"/>
    <w:rsid w:val="00313CFE"/>
    <w:rsid w:val="00335518"/>
    <w:rsid w:val="0033789F"/>
    <w:rsid w:val="00350C06"/>
    <w:rsid w:val="00354647"/>
    <w:rsid w:val="00355D8F"/>
    <w:rsid w:val="00357396"/>
    <w:rsid w:val="003660DA"/>
    <w:rsid w:val="003707C5"/>
    <w:rsid w:val="00371907"/>
    <w:rsid w:val="00373463"/>
    <w:rsid w:val="00375CA6"/>
    <w:rsid w:val="00377273"/>
    <w:rsid w:val="0038019C"/>
    <w:rsid w:val="00381DFA"/>
    <w:rsid w:val="003845C1"/>
    <w:rsid w:val="003869F7"/>
    <w:rsid w:val="00387287"/>
    <w:rsid w:val="003922FB"/>
    <w:rsid w:val="00396D43"/>
    <w:rsid w:val="003A1D47"/>
    <w:rsid w:val="003A43D9"/>
    <w:rsid w:val="003B739A"/>
    <w:rsid w:val="003C6675"/>
    <w:rsid w:val="003D755D"/>
    <w:rsid w:val="003E18B4"/>
    <w:rsid w:val="003E3F23"/>
    <w:rsid w:val="003E48F1"/>
    <w:rsid w:val="003E5B93"/>
    <w:rsid w:val="003F347A"/>
    <w:rsid w:val="004026CA"/>
    <w:rsid w:val="004032E4"/>
    <w:rsid w:val="00406887"/>
    <w:rsid w:val="00407E25"/>
    <w:rsid w:val="004154DA"/>
    <w:rsid w:val="00423E3E"/>
    <w:rsid w:val="00427AF4"/>
    <w:rsid w:val="00436FF7"/>
    <w:rsid w:val="00437657"/>
    <w:rsid w:val="00440080"/>
    <w:rsid w:val="00450197"/>
    <w:rsid w:val="0045231F"/>
    <w:rsid w:val="00461E08"/>
    <w:rsid w:val="0046280D"/>
    <w:rsid w:val="00462E8C"/>
    <w:rsid w:val="004647DA"/>
    <w:rsid w:val="0046793F"/>
    <w:rsid w:val="00470DB6"/>
    <w:rsid w:val="004720B9"/>
    <w:rsid w:val="004772D3"/>
    <w:rsid w:val="00477808"/>
    <w:rsid w:val="00477D6B"/>
    <w:rsid w:val="00481831"/>
    <w:rsid w:val="00491622"/>
    <w:rsid w:val="00491F05"/>
    <w:rsid w:val="004A150B"/>
    <w:rsid w:val="004A2888"/>
    <w:rsid w:val="004A3F02"/>
    <w:rsid w:val="004A6C37"/>
    <w:rsid w:val="004B6281"/>
    <w:rsid w:val="004B7699"/>
    <w:rsid w:val="004D233D"/>
    <w:rsid w:val="004D27CB"/>
    <w:rsid w:val="004D44BC"/>
    <w:rsid w:val="004D4B62"/>
    <w:rsid w:val="004E297D"/>
    <w:rsid w:val="004E2F59"/>
    <w:rsid w:val="00500852"/>
    <w:rsid w:val="00505785"/>
    <w:rsid w:val="005127CD"/>
    <w:rsid w:val="00515056"/>
    <w:rsid w:val="00520174"/>
    <w:rsid w:val="005259A3"/>
    <w:rsid w:val="00531B02"/>
    <w:rsid w:val="005332F0"/>
    <w:rsid w:val="00537B6C"/>
    <w:rsid w:val="00537D5F"/>
    <w:rsid w:val="0055013B"/>
    <w:rsid w:val="005508E3"/>
    <w:rsid w:val="00550EC2"/>
    <w:rsid w:val="005667FC"/>
    <w:rsid w:val="00571B99"/>
    <w:rsid w:val="00576A16"/>
    <w:rsid w:val="0058139F"/>
    <w:rsid w:val="00584DB9"/>
    <w:rsid w:val="00595566"/>
    <w:rsid w:val="005A76BE"/>
    <w:rsid w:val="005A7A01"/>
    <w:rsid w:val="005B0C37"/>
    <w:rsid w:val="005B1855"/>
    <w:rsid w:val="005B1DAD"/>
    <w:rsid w:val="005B3921"/>
    <w:rsid w:val="005B4AAC"/>
    <w:rsid w:val="005C2D83"/>
    <w:rsid w:val="005C4183"/>
    <w:rsid w:val="005E3C1B"/>
    <w:rsid w:val="005F0986"/>
    <w:rsid w:val="005F5AF1"/>
    <w:rsid w:val="00605827"/>
    <w:rsid w:val="00607FE5"/>
    <w:rsid w:val="00622ACC"/>
    <w:rsid w:val="00623F65"/>
    <w:rsid w:val="00625FF6"/>
    <w:rsid w:val="00626BA1"/>
    <w:rsid w:val="0062775A"/>
    <w:rsid w:val="00636E19"/>
    <w:rsid w:val="00641D26"/>
    <w:rsid w:val="00642A32"/>
    <w:rsid w:val="00646150"/>
    <w:rsid w:val="00657FFA"/>
    <w:rsid w:val="006624A7"/>
    <w:rsid w:val="006639DB"/>
    <w:rsid w:val="00672112"/>
    <w:rsid w:val="00672F02"/>
    <w:rsid w:val="0067486D"/>
    <w:rsid w:val="00675021"/>
    <w:rsid w:val="00677C28"/>
    <w:rsid w:val="00692AC0"/>
    <w:rsid w:val="006966D9"/>
    <w:rsid w:val="006A06C6"/>
    <w:rsid w:val="006A29A5"/>
    <w:rsid w:val="006A54B3"/>
    <w:rsid w:val="006A59CF"/>
    <w:rsid w:val="006C02DE"/>
    <w:rsid w:val="006C2471"/>
    <w:rsid w:val="006C65D4"/>
    <w:rsid w:val="006C75E6"/>
    <w:rsid w:val="006D22B8"/>
    <w:rsid w:val="006D3D62"/>
    <w:rsid w:val="006E3258"/>
    <w:rsid w:val="0070349F"/>
    <w:rsid w:val="00706ED8"/>
    <w:rsid w:val="00710ABC"/>
    <w:rsid w:val="0071243C"/>
    <w:rsid w:val="00717584"/>
    <w:rsid w:val="007224C8"/>
    <w:rsid w:val="0072391B"/>
    <w:rsid w:val="0072587C"/>
    <w:rsid w:val="00725ED6"/>
    <w:rsid w:val="00740EFC"/>
    <w:rsid w:val="00747A0E"/>
    <w:rsid w:val="00752A1B"/>
    <w:rsid w:val="00752F22"/>
    <w:rsid w:val="00755D34"/>
    <w:rsid w:val="00760062"/>
    <w:rsid w:val="00760065"/>
    <w:rsid w:val="00760AF3"/>
    <w:rsid w:val="0077788A"/>
    <w:rsid w:val="007812D7"/>
    <w:rsid w:val="00793FC4"/>
    <w:rsid w:val="00794BE2"/>
    <w:rsid w:val="007A24AA"/>
    <w:rsid w:val="007A5581"/>
    <w:rsid w:val="007B3612"/>
    <w:rsid w:val="007B3F41"/>
    <w:rsid w:val="007B71FE"/>
    <w:rsid w:val="007D16E2"/>
    <w:rsid w:val="007D2D5B"/>
    <w:rsid w:val="007D781E"/>
    <w:rsid w:val="007E11DC"/>
    <w:rsid w:val="007E663E"/>
    <w:rsid w:val="007E797A"/>
    <w:rsid w:val="008052E3"/>
    <w:rsid w:val="008102A9"/>
    <w:rsid w:val="00815082"/>
    <w:rsid w:val="00817004"/>
    <w:rsid w:val="008173C8"/>
    <w:rsid w:val="0082604B"/>
    <w:rsid w:val="008267D1"/>
    <w:rsid w:val="00826E76"/>
    <w:rsid w:val="00831890"/>
    <w:rsid w:val="00833B39"/>
    <w:rsid w:val="0084153D"/>
    <w:rsid w:val="00862759"/>
    <w:rsid w:val="008644BA"/>
    <w:rsid w:val="00864F6D"/>
    <w:rsid w:val="00872109"/>
    <w:rsid w:val="00874B50"/>
    <w:rsid w:val="0088395E"/>
    <w:rsid w:val="00884603"/>
    <w:rsid w:val="00887AD7"/>
    <w:rsid w:val="00887C1E"/>
    <w:rsid w:val="00894A84"/>
    <w:rsid w:val="008A1911"/>
    <w:rsid w:val="008A3D75"/>
    <w:rsid w:val="008A745F"/>
    <w:rsid w:val="008A7CE8"/>
    <w:rsid w:val="008B2CC1"/>
    <w:rsid w:val="008C0097"/>
    <w:rsid w:val="008C3651"/>
    <w:rsid w:val="008C4747"/>
    <w:rsid w:val="008C4929"/>
    <w:rsid w:val="008D374E"/>
    <w:rsid w:val="008D5603"/>
    <w:rsid w:val="008D5B43"/>
    <w:rsid w:val="008E5F4B"/>
    <w:rsid w:val="008E6BD6"/>
    <w:rsid w:val="008F4FE8"/>
    <w:rsid w:val="0090731E"/>
    <w:rsid w:val="009127CB"/>
    <w:rsid w:val="009219C8"/>
    <w:rsid w:val="00922506"/>
    <w:rsid w:val="00923711"/>
    <w:rsid w:val="00925254"/>
    <w:rsid w:val="00943D0C"/>
    <w:rsid w:val="0095325B"/>
    <w:rsid w:val="00953DA4"/>
    <w:rsid w:val="0096205A"/>
    <w:rsid w:val="00965DBA"/>
    <w:rsid w:val="00966A22"/>
    <w:rsid w:val="0097067C"/>
    <w:rsid w:val="00972F03"/>
    <w:rsid w:val="009753D8"/>
    <w:rsid w:val="009829AD"/>
    <w:rsid w:val="009831DE"/>
    <w:rsid w:val="009858DA"/>
    <w:rsid w:val="009956EA"/>
    <w:rsid w:val="009961FB"/>
    <w:rsid w:val="009A0C8B"/>
    <w:rsid w:val="009A20CD"/>
    <w:rsid w:val="009B6241"/>
    <w:rsid w:val="009B71E4"/>
    <w:rsid w:val="009B75BF"/>
    <w:rsid w:val="009C3759"/>
    <w:rsid w:val="009C3AA8"/>
    <w:rsid w:val="009C4CB5"/>
    <w:rsid w:val="009D076F"/>
    <w:rsid w:val="009D457F"/>
    <w:rsid w:val="009D4D22"/>
    <w:rsid w:val="009F5286"/>
    <w:rsid w:val="009F5ACC"/>
    <w:rsid w:val="009F6125"/>
    <w:rsid w:val="00A02AB4"/>
    <w:rsid w:val="00A03869"/>
    <w:rsid w:val="00A11EE7"/>
    <w:rsid w:val="00A13989"/>
    <w:rsid w:val="00A16FC0"/>
    <w:rsid w:val="00A17283"/>
    <w:rsid w:val="00A26BAA"/>
    <w:rsid w:val="00A30FF0"/>
    <w:rsid w:val="00A32C9E"/>
    <w:rsid w:val="00A33159"/>
    <w:rsid w:val="00A47EB2"/>
    <w:rsid w:val="00A5563C"/>
    <w:rsid w:val="00A56EB3"/>
    <w:rsid w:val="00A61B8B"/>
    <w:rsid w:val="00A647E3"/>
    <w:rsid w:val="00A71D99"/>
    <w:rsid w:val="00A77CCB"/>
    <w:rsid w:val="00A85BC4"/>
    <w:rsid w:val="00A92142"/>
    <w:rsid w:val="00AA78D3"/>
    <w:rsid w:val="00AB59C5"/>
    <w:rsid w:val="00AB613D"/>
    <w:rsid w:val="00AB61A9"/>
    <w:rsid w:val="00AC5A89"/>
    <w:rsid w:val="00AC600A"/>
    <w:rsid w:val="00AE7F20"/>
    <w:rsid w:val="00AF5C30"/>
    <w:rsid w:val="00B03335"/>
    <w:rsid w:val="00B11653"/>
    <w:rsid w:val="00B13D4E"/>
    <w:rsid w:val="00B23083"/>
    <w:rsid w:val="00B278AE"/>
    <w:rsid w:val="00B30C1B"/>
    <w:rsid w:val="00B40D1D"/>
    <w:rsid w:val="00B44479"/>
    <w:rsid w:val="00B514C7"/>
    <w:rsid w:val="00B534D5"/>
    <w:rsid w:val="00B54130"/>
    <w:rsid w:val="00B55D4D"/>
    <w:rsid w:val="00B65A0A"/>
    <w:rsid w:val="00B66549"/>
    <w:rsid w:val="00B67CDC"/>
    <w:rsid w:val="00B67E4C"/>
    <w:rsid w:val="00B71257"/>
    <w:rsid w:val="00B72D36"/>
    <w:rsid w:val="00B8043D"/>
    <w:rsid w:val="00B829C4"/>
    <w:rsid w:val="00B83500"/>
    <w:rsid w:val="00B92D33"/>
    <w:rsid w:val="00B93CAD"/>
    <w:rsid w:val="00B945FB"/>
    <w:rsid w:val="00BA1016"/>
    <w:rsid w:val="00BA2C0A"/>
    <w:rsid w:val="00BA796A"/>
    <w:rsid w:val="00BB2F28"/>
    <w:rsid w:val="00BB5229"/>
    <w:rsid w:val="00BB6CA9"/>
    <w:rsid w:val="00BC03B3"/>
    <w:rsid w:val="00BC4164"/>
    <w:rsid w:val="00BD15CA"/>
    <w:rsid w:val="00BD2442"/>
    <w:rsid w:val="00BD2DCC"/>
    <w:rsid w:val="00BD5473"/>
    <w:rsid w:val="00BE1796"/>
    <w:rsid w:val="00BF517E"/>
    <w:rsid w:val="00C01581"/>
    <w:rsid w:val="00C0395E"/>
    <w:rsid w:val="00C1103B"/>
    <w:rsid w:val="00C219F1"/>
    <w:rsid w:val="00C269F3"/>
    <w:rsid w:val="00C27826"/>
    <w:rsid w:val="00C30FB2"/>
    <w:rsid w:val="00C35573"/>
    <w:rsid w:val="00C37376"/>
    <w:rsid w:val="00C540F3"/>
    <w:rsid w:val="00C553BE"/>
    <w:rsid w:val="00C57667"/>
    <w:rsid w:val="00C60450"/>
    <w:rsid w:val="00C6264D"/>
    <w:rsid w:val="00C90559"/>
    <w:rsid w:val="00CA2251"/>
    <w:rsid w:val="00CC1069"/>
    <w:rsid w:val="00CC2291"/>
    <w:rsid w:val="00CC53D6"/>
    <w:rsid w:val="00CD2256"/>
    <w:rsid w:val="00CE4E2C"/>
    <w:rsid w:val="00CE50D6"/>
    <w:rsid w:val="00CE672F"/>
    <w:rsid w:val="00CF05DB"/>
    <w:rsid w:val="00CF3B7D"/>
    <w:rsid w:val="00CF4B4E"/>
    <w:rsid w:val="00CF5D3D"/>
    <w:rsid w:val="00D00D93"/>
    <w:rsid w:val="00D20554"/>
    <w:rsid w:val="00D2452B"/>
    <w:rsid w:val="00D26DC8"/>
    <w:rsid w:val="00D3409E"/>
    <w:rsid w:val="00D56C7C"/>
    <w:rsid w:val="00D622E6"/>
    <w:rsid w:val="00D70F1F"/>
    <w:rsid w:val="00D71B4D"/>
    <w:rsid w:val="00D85F4B"/>
    <w:rsid w:val="00D90289"/>
    <w:rsid w:val="00D9362D"/>
    <w:rsid w:val="00D93D55"/>
    <w:rsid w:val="00DA1636"/>
    <w:rsid w:val="00DA3CE5"/>
    <w:rsid w:val="00DA657B"/>
    <w:rsid w:val="00DB1D8C"/>
    <w:rsid w:val="00DB212D"/>
    <w:rsid w:val="00DB6C95"/>
    <w:rsid w:val="00DC167E"/>
    <w:rsid w:val="00DC2BEC"/>
    <w:rsid w:val="00DC4BD5"/>
    <w:rsid w:val="00DC4C60"/>
    <w:rsid w:val="00DD7F35"/>
    <w:rsid w:val="00DE43FF"/>
    <w:rsid w:val="00DF1B1D"/>
    <w:rsid w:val="00DF643A"/>
    <w:rsid w:val="00E0079A"/>
    <w:rsid w:val="00E00D8F"/>
    <w:rsid w:val="00E02F4C"/>
    <w:rsid w:val="00E05292"/>
    <w:rsid w:val="00E06544"/>
    <w:rsid w:val="00E248FE"/>
    <w:rsid w:val="00E40D53"/>
    <w:rsid w:val="00E444DA"/>
    <w:rsid w:val="00E450DB"/>
    <w:rsid w:val="00E45C84"/>
    <w:rsid w:val="00E504E5"/>
    <w:rsid w:val="00E51ECC"/>
    <w:rsid w:val="00E53A12"/>
    <w:rsid w:val="00E57716"/>
    <w:rsid w:val="00E75C49"/>
    <w:rsid w:val="00E84F97"/>
    <w:rsid w:val="00EA1A56"/>
    <w:rsid w:val="00EB426A"/>
    <w:rsid w:val="00EB4C4F"/>
    <w:rsid w:val="00EB7A3E"/>
    <w:rsid w:val="00EC16F0"/>
    <w:rsid w:val="00EC1AA7"/>
    <w:rsid w:val="00EC401A"/>
    <w:rsid w:val="00EC7620"/>
    <w:rsid w:val="00EC7E66"/>
    <w:rsid w:val="00ED0299"/>
    <w:rsid w:val="00ED42A4"/>
    <w:rsid w:val="00ED534E"/>
    <w:rsid w:val="00EE0128"/>
    <w:rsid w:val="00EE188E"/>
    <w:rsid w:val="00EE4482"/>
    <w:rsid w:val="00EF3F98"/>
    <w:rsid w:val="00EF530A"/>
    <w:rsid w:val="00EF6622"/>
    <w:rsid w:val="00EF78A9"/>
    <w:rsid w:val="00F0106F"/>
    <w:rsid w:val="00F10987"/>
    <w:rsid w:val="00F132B9"/>
    <w:rsid w:val="00F175A0"/>
    <w:rsid w:val="00F305DD"/>
    <w:rsid w:val="00F31507"/>
    <w:rsid w:val="00F34792"/>
    <w:rsid w:val="00F4075E"/>
    <w:rsid w:val="00F40DF4"/>
    <w:rsid w:val="00F5391D"/>
    <w:rsid w:val="00F552D7"/>
    <w:rsid w:val="00F55408"/>
    <w:rsid w:val="00F65968"/>
    <w:rsid w:val="00F66152"/>
    <w:rsid w:val="00F66E6F"/>
    <w:rsid w:val="00F673CB"/>
    <w:rsid w:val="00F77312"/>
    <w:rsid w:val="00F80845"/>
    <w:rsid w:val="00F83933"/>
    <w:rsid w:val="00F84474"/>
    <w:rsid w:val="00F84A0F"/>
    <w:rsid w:val="00F85469"/>
    <w:rsid w:val="00F92024"/>
    <w:rsid w:val="00F93585"/>
    <w:rsid w:val="00F94081"/>
    <w:rsid w:val="00F947DA"/>
    <w:rsid w:val="00FA036D"/>
    <w:rsid w:val="00FA0F0D"/>
    <w:rsid w:val="00FA0F86"/>
    <w:rsid w:val="00FB3997"/>
    <w:rsid w:val="00FB7F02"/>
    <w:rsid w:val="00FC0E11"/>
    <w:rsid w:val="00FC0EED"/>
    <w:rsid w:val="00FC49CC"/>
    <w:rsid w:val="00FD3713"/>
    <w:rsid w:val="00FD5613"/>
    <w:rsid w:val="00FD59D1"/>
    <w:rsid w:val="00FD6630"/>
    <w:rsid w:val="00FE18C0"/>
    <w:rsid w:val="00FE7D7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11"/>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ONUMEChar">
    <w:name w:val="ONUM E Char"/>
    <w:link w:val="ONUME"/>
    <w:locked/>
    <w:rsid w:val="001B7D70"/>
    <w:rPr>
      <w:rFonts w:ascii="Arial" w:eastAsia="SimSun" w:hAnsi="Arial" w:cs="Arial"/>
      <w:sz w:val="22"/>
      <w:lang w:val="es-ES" w:eastAsia="zh-CN"/>
    </w:rPr>
  </w:style>
  <w:style w:type="character" w:styleId="FootnoteReference">
    <w:name w:val="footnote reference"/>
    <w:basedOn w:val="DefaultParagraphFont"/>
    <w:rsid w:val="001B7D70"/>
    <w:rPr>
      <w:vertAlign w:val="superscript"/>
    </w:rPr>
  </w:style>
  <w:style w:type="character" w:styleId="Hyperlink">
    <w:name w:val="Hyperlink"/>
    <w:basedOn w:val="DefaultParagraphFont"/>
    <w:rsid w:val="001B7D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11"/>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ONUMEChar">
    <w:name w:val="ONUM E Char"/>
    <w:link w:val="ONUME"/>
    <w:locked/>
    <w:rsid w:val="001B7D70"/>
    <w:rPr>
      <w:rFonts w:ascii="Arial" w:eastAsia="SimSun" w:hAnsi="Arial" w:cs="Arial"/>
      <w:sz w:val="22"/>
      <w:lang w:val="es-ES" w:eastAsia="zh-CN"/>
    </w:rPr>
  </w:style>
  <w:style w:type="character" w:styleId="FootnoteReference">
    <w:name w:val="footnote reference"/>
    <w:basedOn w:val="DefaultParagraphFont"/>
    <w:rsid w:val="001B7D70"/>
    <w:rPr>
      <w:vertAlign w:val="superscript"/>
    </w:rPr>
  </w:style>
  <w:style w:type="character" w:styleId="Hyperlink">
    <w:name w:val="Hyperlink"/>
    <w:basedOn w:val="DefaultParagraphFont"/>
    <w:rsid w:val="001B7D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oc_details.jsp?meeting_code=pct/mia/25_Indian_TKDL" TargetMode="External"/><Relationship Id="rId7" Type="http://schemas.openxmlformats.org/officeDocument/2006/relationships/hyperlink" Target="http://www.wipo.int/meetings/en/doc_details.jsp?doc_id=400061" TargetMode="External"/><Relationship Id="rId2" Type="http://schemas.openxmlformats.org/officeDocument/2006/relationships/hyperlink" Target="http://www.wipo.int/meetings/en/doc_details.jsp?doc_id=400020" TargetMode="External"/><Relationship Id="rId1" Type="http://schemas.openxmlformats.org/officeDocument/2006/relationships/hyperlink" Target="http://www.wipo.int/meetings/en/doc_details.jsp?doc_id=400019" TargetMode="External"/><Relationship Id="rId6" Type="http://schemas.openxmlformats.org/officeDocument/2006/relationships/hyperlink" Target="http://www.wipo.int/meetings/en/doc_details.jsp?doc_id=400060" TargetMode="External"/><Relationship Id="rId5" Type="http://schemas.openxmlformats.org/officeDocument/2006/relationships/hyperlink" Target="http://www.wipo.int/meetings/en/doc_details.jsp?doc_id=400024" TargetMode="External"/><Relationship Id="rId4" Type="http://schemas.openxmlformats.org/officeDocument/2006/relationships/hyperlink" Target="http://www.wipo.int/meetings/en/doc_details.jsp?doc_id=400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6A073-B1EB-45D3-8156-E2109136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14500</Words>
  <Characters>77606</Characters>
  <Application>Microsoft Office Word</Application>
  <DocSecurity>0</DocSecurity>
  <Lines>646</Lines>
  <Paragraphs>183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PCT/WG/11/2</vt:lpstr>
      <vt:lpstr>PCT/WG/11/</vt:lpstr>
    </vt:vector>
  </TitlesOfParts>
  <Company>WIPO</Company>
  <LinksUpToDate>false</LinksUpToDate>
  <CharactersWithSpaces>91923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dc:title>
  <dc:subject>	Meeting of International Authorities Under the PCT: Report on the Twenty-Fifth Session</dc:subject>
  <dc:creator>BOU LLORET Amparo</dc:creator>
  <cp:lastModifiedBy>MARLOW Thomas</cp:lastModifiedBy>
  <cp:revision>4</cp:revision>
  <cp:lastPrinted>2018-04-01T20:01:00Z</cp:lastPrinted>
  <dcterms:created xsi:type="dcterms:W3CDTF">2018-04-13T17:20:00Z</dcterms:created>
  <dcterms:modified xsi:type="dcterms:W3CDTF">2018-04-13T17:22:00Z</dcterms:modified>
</cp:coreProperties>
</file>