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B00F07" w:rsidTr="0088395E">
        <w:tc>
          <w:tcPr>
            <w:tcW w:w="4513" w:type="dxa"/>
            <w:tcBorders>
              <w:bottom w:val="single" w:sz="4" w:space="0" w:color="auto"/>
            </w:tcBorders>
            <w:tcMar>
              <w:bottom w:w="170" w:type="dxa"/>
            </w:tcMar>
          </w:tcPr>
          <w:p w:rsidR="00E504E5" w:rsidRPr="00B00F07" w:rsidRDefault="00E504E5" w:rsidP="00AB613D">
            <w:pPr>
              <w:rPr>
                <w:lang w:val="es-ES_tradnl"/>
              </w:rPr>
            </w:pPr>
          </w:p>
        </w:tc>
        <w:tc>
          <w:tcPr>
            <w:tcW w:w="4337" w:type="dxa"/>
            <w:tcBorders>
              <w:bottom w:val="single" w:sz="4" w:space="0" w:color="auto"/>
            </w:tcBorders>
            <w:tcMar>
              <w:left w:w="0" w:type="dxa"/>
              <w:right w:w="0" w:type="dxa"/>
            </w:tcMar>
          </w:tcPr>
          <w:p w:rsidR="00E504E5" w:rsidRPr="00B00F07" w:rsidRDefault="002C2E2F" w:rsidP="00AB613D">
            <w:pPr>
              <w:rPr>
                <w:lang w:val="es-ES_tradnl"/>
              </w:rPr>
            </w:pPr>
            <w:r w:rsidRPr="00B00F07">
              <w:rPr>
                <w:noProof/>
                <w:lang w:val="en-US" w:eastAsia="en-US"/>
              </w:rPr>
              <w:drawing>
                <wp:inline distT="0" distB="0" distL="0" distR="0" wp14:anchorId="5840B0E3" wp14:editId="44CEC84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00F07" w:rsidRDefault="00E504E5" w:rsidP="00AB613D">
            <w:pPr>
              <w:jc w:val="right"/>
              <w:rPr>
                <w:lang w:val="es-ES_tradnl"/>
              </w:rPr>
            </w:pPr>
            <w:r w:rsidRPr="00B00F07">
              <w:rPr>
                <w:b/>
                <w:sz w:val="40"/>
                <w:szCs w:val="40"/>
                <w:lang w:val="es-ES_tradnl"/>
              </w:rPr>
              <w:t>S</w:t>
            </w:r>
          </w:p>
        </w:tc>
      </w:tr>
      <w:tr w:rsidR="008B2CC1" w:rsidRPr="00B00F07"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B00F07" w:rsidRDefault="00F94081" w:rsidP="00AB613D">
            <w:pPr>
              <w:jc w:val="right"/>
              <w:rPr>
                <w:rFonts w:ascii="Arial Black" w:hAnsi="Arial Black"/>
                <w:caps/>
                <w:sz w:val="15"/>
                <w:lang w:val="es-ES_tradnl"/>
              </w:rPr>
            </w:pPr>
            <w:r w:rsidRPr="00B00F07">
              <w:rPr>
                <w:rFonts w:ascii="Arial Black" w:hAnsi="Arial Black"/>
                <w:caps/>
                <w:sz w:val="15"/>
                <w:lang w:val="es-ES_tradnl"/>
              </w:rPr>
              <w:t>PCT/WG/11/</w:t>
            </w:r>
            <w:bookmarkStart w:id="0" w:name="Code"/>
            <w:bookmarkEnd w:id="0"/>
            <w:r w:rsidR="004B16B0" w:rsidRPr="00B00F07">
              <w:rPr>
                <w:rFonts w:ascii="Arial Black" w:hAnsi="Arial Black"/>
                <w:caps/>
                <w:sz w:val="15"/>
                <w:lang w:val="es-ES_tradnl"/>
              </w:rPr>
              <w:t>19</w:t>
            </w:r>
          </w:p>
        </w:tc>
      </w:tr>
      <w:tr w:rsidR="008B2CC1" w:rsidRPr="00B00F07" w:rsidTr="00AB613D">
        <w:trPr>
          <w:trHeight w:hRule="exact" w:val="170"/>
        </w:trPr>
        <w:tc>
          <w:tcPr>
            <w:tcW w:w="9356" w:type="dxa"/>
            <w:gridSpan w:val="3"/>
            <w:noWrap/>
            <w:tcMar>
              <w:left w:w="0" w:type="dxa"/>
              <w:right w:w="0" w:type="dxa"/>
            </w:tcMar>
            <w:vAlign w:val="bottom"/>
          </w:tcPr>
          <w:p w:rsidR="008B2CC1" w:rsidRPr="00B00F07" w:rsidRDefault="008B2CC1" w:rsidP="0046793F">
            <w:pPr>
              <w:jc w:val="right"/>
              <w:rPr>
                <w:rFonts w:ascii="Arial Black" w:hAnsi="Arial Black"/>
                <w:caps/>
                <w:sz w:val="15"/>
                <w:lang w:val="es-ES_tradnl"/>
              </w:rPr>
            </w:pPr>
            <w:r w:rsidRPr="00B00F07">
              <w:rPr>
                <w:rFonts w:ascii="Arial Black" w:hAnsi="Arial Black"/>
                <w:caps/>
                <w:sz w:val="15"/>
                <w:lang w:val="es-ES_tradnl"/>
              </w:rPr>
              <w:t>ORIGINAL:</w:t>
            </w:r>
            <w:r w:rsidR="00B87739">
              <w:rPr>
                <w:rFonts w:ascii="Arial Black" w:hAnsi="Arial Black"/>
                <w:caps/>
                <w:sz w:val="15"/>
                <w:lang w:val="es-ES_tradnl"/>
              </w:rPr>
              <w:t xml:space="preserve"> </w:t>
            </w:r>
            <w:bookmarkStart w:id="1" w:name="Original"/>
            <w:bookmarkEnd w:id="1"/>
            <w:r w:rsidR="004B16B0" w:rsidRPr="00B00F07">
              <w:rPr>
                <w:rFonts w:ascii="Arial Black" w:hAnsi="Arial Black"/>
                <w:caps/>
                <w:sz w:val="15"/>
                <w:lang w:val="es-ES_tradnl"/>
              </w:rPr>
              <w:t>INGLÉS</w:t>
            </w:r>
            <w:r w:rsidRPr="00B00F07">
              <w:rPr>
                <w:rFonts w:ascii="Arial Black" w:hAnsi="Arial Black"/>
                <w:caps/>
                <w:sz w:val="15"/>
                <w:lang w:val="es-ES_tradnl"/>
              </w:rPr>
              <w:t xml:space="preserve"> </w:t>
            </w:r>
          </w:p>
        </w:tc>
      </w:tr>
      <w:tr w:rsidR="008B2CC1" w:rsidRPr="00B00F07" w:rsidTr="00AB613D">
        <w:trPr>
          <w:trHeight w:hRule="exact" w:val="198"/>
        </w:trPr>
        <w:tc>
          <w:tcPr>
            <w:tcW w:w="9356" w:type="dxa"/>
            <w:gridSpan w:val="3"/>
            <w:tcMar>
              <w:left w:w="0" w:type="dxa"/>
              <w:right w:w="0" w:type="dxa"/>
            </w:tcMar>
            <w:vAlign w:val="bottom"/>
          </w:tcPr>
          <w:p w:rsidR="008B2CC1" w:rsidRPr="00B00F07" w:rsidRDefault="00675021" w:rsidP="00B00F07">
            <w:pPr>
              <w:jc w:val="right"/>
              <w:rPr>
                <w:rFonts w:ascii="Arial Black" w:hAnsi="Arial Black"/>
                <w:caps/>
                <w:sz w:val="15"/>
                <w:lang w:val="es-ES_tradnl"/>
              </w:rPr>
            </w:pPr>
            <w:r w:rsidRPr="00B00F07">
              <w:rPr>
                <w:rFonts w:ascii="Arial Black" w:hAnsi="Arial Black"/>
                <w:caps/>
                <w:sz w:val="15"/>
                <w:lang w:val="es-ES_tradnl"/>
              </w:rPr>
              <w:t>fecha</w:t>
            </w:r>
            <w:r w:rsidR="008B2CC1" w:rsidRPr="00B00F07">
              <w:rPr>
                <w:rFonts w:ascii="Arial Black" w:hAnsi="Arial Black"/>
                <w:caps/>
                <w:sz w:val="15"/>
                <w:lang w:val="es-ES_tradnl"/>
              </w:rPr>
              <w:t>:</w:t>
            </w:r>
            <w:r w:rsidR="00B87739">
              <w:rPr>
                <w:rFonts w:ascii="Arial Black" w:hAnsi="Arial Black"/>
                <w:caps/>
                <w:sz w:val="15"/>
                <w:lang w:val="es-ES_tradnl"/>
              </w:rPr>
              <w:t xml:space="preserve"> </w:t>
            </w:r>
            <w:bookmarkStart w:id="2" w:name="Date"/>
            <w:bookmarkEnd w:id="2"/>
            <w:r w:rsidR="00B00F07" w:rsidRPr="00B00F07">
              <w:rPr>
                <w:rFonts w:ascii="Arial Black" w:hAnsi="Arial Black"/>
                <w:caps/>
                <w:sz w:val="15"/>
                <w:lang w:val="es-ES_tradnl"/>
              </w:rPr>
              <w:t>15 de MAYO de 2018</w:t>
            </w:r>
            <w:r w:rsidR="00B87739">
              <w:rPr>
                <w:rFonts w:ascii="Arial Black" w:hAnsi="Arial Black"/>
                <w:caps/>
                <w:sz w:val="15"/>
                <w:lang w:val="es-ES_tradnl"/>
              </w:rPr>
              <w:t xml:space="preserve"> </w:t>
            </w:r>
          </w:p>
        </w:tc>
      </w:tr>
    </w:tbl>
    <w:p w:rsidR="008B2CC1" w:rsidRPr="00B00F07" w:rsidRDefault="008B2CC1" w:rsidP="008B2CC1">
      <w:pPr>
        <w:rPr>
          <w:lang w:val="es-ES_tradnl"/>
        </w:rPr>
      </w:pPr>
    </w:p>
    <w:p w:rsidR="008B2CC1" w:rsidRPr="00B00F07" w:rsidRDefault="008B2CC1" w:rsidP="008B2CC1">
      <w:pPr>
        <w:rPr>
          <w:lang w:val="es-ES_tradnl"/>
        </w:rPr>
      </w:pPr>
    </w:p>
    <w:p w:rsidR="008B2CC1" w:rsidRPr="00B00F07" w:rsidRDefault="008B2CC1" w:rsidP="008B2CC1">
      <w:pPr>
        <w:rPr>
          <w:lang w:val="es-ES_tradnl"/>
        </w:rPr>
      </w:pPr>
    </w:p>
    <w:p w:rsidR="008B2CC1" w:rsidRPr="00B00F07" w:rsidRDefault="008B2CC1" w:rsidP="008B2CC1">
      <w:pPr>
        <w:rPr>
          <w:lang w:val="es-ES_tradnl"/>
        </w:rPr>
      </w:pPr>
    </w:p>
    <w:p w:rsidR="008B2CC1" w:rsidRPr="00B00F07" w:rsidRDefault="008B2CC1" w:rsidP="008B2CC1">
      <w:pPr>
        <w:rPr>
          <w:lang w:val="es-ES_tradnl"/>
        </w:rPr>
      </w:pPr>
    </w:p>
    <w:p w:rsidR="002820DB" w:rsidRDefault="00F94081" w:rsidP="00B67CDC">
      <w:pPr>
        <w:rPr>
          <w:b/>
          <w:sz w:val="28"/>
          <w:szCs w:val="28"/>
          <w:lang w:val="es-ES_tradnl"/>
        </w:rPr>
      </w:pPr>
      <w:r w:rsidRPr="00B00F07">
        <w:rPr>
          <w:b/>
          <w:sz w:val="28"/>
          <w:szCs w:val="28"/>
          <w:lang w:val="es-ES_tradnl"/>
        </w:rPr>
        <w:t>Grupo de Trabajo</w:t>
      </w:r>
    </w:p>
    <w:p w:rsidR="00B67CDC" w:rsidRPr="00B00F07" w:rsidRDefault="00F94081" w:rsidP="00B67CDC">
      <w:pPr>
        <w:rPr>
          <w:b/>
          <w:sz w:val="28"/>
          <w:szCs w:val="28"/>
          <w:lang w:val="es-ES_tradnl"/>
        </w:rPr>
      </w:pPr>
      <w:r w:rsidRPr="00B00F07">
        <w:rPr>
          <w:b/>
          <w:sz w:val="28"/>
          <w:szCs w:val="28"/>
          <w:lang w:val="es-ES_tradnl"/>
        </w:rPr>
        <w:t>del Tratado de Cooperación en materia de Patentes (PCT)</w:t>
      </w:r>
    </w:p>
    <w:p w:rsidR="003845C1" w:rsidRPr="00B00F07" w:rsidRDefault="003845C1" w:rsidP="003845C1">
      <w:pPr>
        <w:rPr>
          <w:lang w:val="es-ES_tradnl"/>
        </w:rPr>
      </w:pPr>
    </w:p>
    <w:p w:rsidR="003845C1" w:rsidRPr="00B00F07" w:rsidRDefault="003845C1" w:rsidP="003845C1">
      <w:pPr>
        <w:rPr>
          <w:lang w:val="es-ES_tradnl"/>
        </w:rPr>
      </w:pPr>
      <w:bookmarkStart w:id="3" w:name="_GoBack"/>
      <w:bookmarkEnd w:id="3"/>
    </w:p>
    <w:p w:rsidR="00F94081" w:rsidRPr="00B00F07" w:rsidRDefault="00F94081" w:rsidP="00F94081">
      <w:pPr>
        <w:rPr>
          <w:b/>
          <w:sz w:val="24"/>
          <w:szCs w:val="24"/>
          <w:lang w:val="es-ES_tradnl"/>
        </w:rPr>
      </w:pPr>
      <w:r w:rsidRPr="00B00F07">
        <w:rPr>
          <w:b/>
          <w:sz w:val="24"/>
          <w:szCs w:val="24"/>
          <w:lang w:val="es-ES_tradnl"/>
        </w:rPr>
        <w:t>Undécima reunión</w:t>
      </w:r>
    </w:p>
    <w:p w:rsidR="00B67CDC" w:rsidRPr="00B00F07" w:rsidRDefault="00F94081" w:rsidP="00F94081">
      <w:pPr>
        <w:rPr>
          <w:b/>
          <w:sz w:val="24"/>
          <w:szCs w:val="24"/>
          <w:lang w:val="es-ES_tradnl"/>
        </w:rPr>
      </w:pPr>
      <w:r w:rsidRPr="00B00F07">
        <w:rPr>
          <w:b/>
          <w:sz w:val="24"/>
          <w:szCs w:val="24"/>
          <w:lang w:val="es-ES_tradnl"/>
        </w:rPr>
        <w:t>Ginebra, 18 a 22 de junio de 2018</w:t>
      </w:r>
    </w:p>
    <w:p w:rsidR="008B2CC1" w:rsidRPr="00B00F07" w:rsidRDefault="008B2CC1" w:rsidP="008B2CC1">
      <w:pPr>
        <w:rPr>
          <w:lang w:val="es-ES_tradnl"/>
        </w:rPr>
      </w:pPr>
    </w:p>
    <w:p w:rsidR="008B2CC1" w:rsidRPr="00B00F07" w:rsidRDefault="008B2CC1" w:rsidP="008B2CC1">
      <w:pPr>
        <w:rPr>
          <w:lang w:val="es-ES_tradnl"/>
        </w:rPr>
      </w:pPr>
    </w:p>
    <w:p w:rsidR="008B2CC1" w:rsidRPr="00B00F07" w:rsidRDefault="008B2CC1" w:rsidP="008B2CC1">
      <w:pPr>
        <w:rPr>
          <w:lang w:val="es-ES_tradnl"/>
        </w:rPr>
      </w:pPr>
    </w:p>
    <w:p w:rsidR="008B2CC1" w:rsidRPr="00B00F07" w:rsidRDefault="004B16B0" w:rsidP="008B2CC1">
      <w:pPr>
        <w:rPr>
          <w:caps/>
          <w:sz w:val="24"/>
          <w:lang w:val="es-ES_tradnl"/>
        </w:rPr>
      </w:pPr>
      <w:bookmarkStart w:id="4" w:name="TitleOfDoc"/>
      <w:bookmarkEnd w:id="4"/>
      <w:r w:rsidRPr="00B00F07">
        <w:rPr>
          <w:caps/>
          <w:sz w:val="24"/>
          <w:lang w:val="es-ES_tradnl"/>
        </w:rPr>
        <w:t xml:space="preserve">SALVAGUARDIAS </w:t>
      </w:r>
      <w:r w:rsidR="00B319DE" w:rsidRPr="00B00F07">
        <w:rPr>
          <w:caps/>
          <w:sz w:val="24"/>
          <w:lang w:val="es-ES_tradnl"/>
        </w:rPr>
        <w:t>en caso de</w:t>
      </w:r>
      <w:r w:rsidRPr="00B00F07">
        <w:rPr>
          <w:caps/>
          <w:sz w:val="24"/>
          <w:lang w:val="es-ES_tradnl"/>
        </w:rPr>
        <w:t xml:space="preserve"> INTERRUPCIONES QUE AFECTEN A LAS OFICINAS</w:t>
      </w:r>
    </w:p>
    <w:p w:rsidR="008B2CC1" w:rsidRPr="00B00F07" w:rsidRDefault="008B2CC1" w:rsidP="008B2CC1">
      <w:pPr>
        <w:rPr>
          <w:lang w:val="es-ES_tradnl"/>
        </w:rPr>
      </w:pPr>
    </w:p>
    <w:p w:rsidR="008B2CC1" w:rsidRPr="00B00F07" w:rsidRDefault="004B16B0" w:rsidP="008B2CC1">
      <w:pPr>
        <w:rPr>
          <w:i/>
          <w:lang w:val="es-ES_tradnl"/>
        </w:rPr>
      </w:pPr>
      <w:bookmarkStart w:id="5" w:name="Prepared"/>
      <w:bookmarkEnd w:id="5"/>
      <w:r w:rsidRPr="00B00F07">
        <w:rPr>
          <w:i/>
          <w:lang w:val="es-ES_tradnl"/>
        </w:rPr>
        <w:t>Documento preparado por la Oficina Europea de Patentes</w:t>
      </w:r>
    </w:p>
    <w:p w:rsidR="008B2CC1" w:rsidRPr="00B00F07" w:rsidRDefault="008B2CC1" w:rsidP="003845C1">
      <w:pPr>
        <w:rPr>
          <w:lang w:val="es-ES_tradnl"/>
        </w:rPr>
      </w:pPr>
    </w:p>
    <w:p w:rsidR="000F5E56" w:rsidRPr="00B00F07" w:rsidRDefault="000F5E56">
      <w:pPr>
        <w:rPr>
          <w:lang w:val="es-ES_tradnl"/>
        </w:rPr>
      </w:pPr>
    </w:p>
    <w:p w:rsidR="00F84474" w:rsidRPr="00B00F07" w:rsidRDefault="00F84474">
      <w:pPr>
        <w:rPr>
          <w:lang w:val="es-ES_tradnl"/>
        </w:rPr>
      </w:pPr>
    </w:p>
    <w:p w:rsidR="00F84474" w:rsidRPr="00B00F07" w:rsidRDefault="00F84474">
      <w:pPr>
        <w:rPr>
          <w:lang w:val="es-ES_tradnl"/>
        </w:rPr>
      </w:pPr>
    </w:p>
    <w:p w:rsidR="004B16B0" w:rsidRPr="00B00F07" w:rsidRDefault="004B16B0" w:rsidP="004B16B0">
      <w:pPr>
        <w:pStyle w:val="Heading1"/>
        <w:rPr>
          <w:lang w:val="es-ES_tradnl"/>
        </w:rPr>
      </w:pPr>
      <w:r w:rsidRPr="00B00F07">
        <w:rPr>
          <w:lang w:val="es-ES_tradnl"/>
        </w:rPr>
        <w:t>RESUMEN</w:t>
      </w:r>
    </w:p>
    <w:p w:rsidR="004B16B0" w:rsidRPr="00B00F07" w:rsidRDefault="004B16B0" w:rsidP="00B87739">
      <w:pPr>
        <w:pStyle w:val="ONUMFS"/>
        <w:rPr>
          <w:lang w:val="es-ES_tradnl"/>
        </w:rPr>
      </w:pPr>
      <w:r w:rsidRPr="00B00F07">
        <w:rPr>
          <w:lang w:val="es-ES_tradnl"/>
        </w:rPr>
        <w:t>En el presente documento</w:t>
      </w:r>
      <w:r w:rsidR="00BA23A7" w:rsidRPr="00B00F07">
        <w:rPr>
          <w:lang w:val="es-ES_tradnl"/>
        </w:rPr>
        <w:t xml:space="preserve"> se propone modificar el Reglamento del PCT mediante la adición de un inciso </w:t>
      </w:r>
      <w:r w:rsidR="0010176B" w:rsidRPr="00B00F07">
        <w:rPr>
          <w:lang w:val="es-ES_tradnl"/>
        </w:rPr>
        <w:t>en</w:t>
      </w:r>
      <w:r w:rsidR="00BA23A7" w:rsidRPr="00B00F07">
        <w:rPr>
          <w:lang w:val="es-ES_tradnl"/>
        </w:rPr>
        <w:t xml:space="preserve"> la Regla </w:t>
      </w:r>
      <w:r w:rsidRPr="00B00F07">
        <w:rPr>
          <w:lang w:val="es-ES_tradnl"/>
        </w:rPr>
        <w:t xml:space="preserve">80.5 </w:t>
      </w:r>
      <w:r w:rsidR="00BA23A7" w:rsidRPr="00B00F07">
        <w:rPr>
          <w:lang w:val="es-ES_tradnl"/>
        </w:rPr>
        <w:t xml:space="preserve">a fin de prorrogar </w:t>
      </w:r>
      <w:r w:rsidR="00591D33" w:rsidRPr="00B00F07">
        <w:rPr>
          <w:lang w:val="es-ES_tradnl"/>
        </w:rPr>
        <w:t>un</w:t>
      </w:r>
      <w:r w:rsidR="00BA23A7" w:rsidRPr="00B00F07">
        <w:rPr>
          <w:lang w:val="es-ES_tradnl"/>
        </w:rPr>
        <w:t xml:space="preserve"> plazo </w:t>
      </w:r>
      <w:r w:rsidR="002820DB">
        <w:rPr>
          <w:lang w:val="es-ES_tradnl"/>
        </w:rPr>
        <w:t xml:space="preserve">establecido </w:t>
      </w:r>
      <w:r w:rsidR="00AB7071" w:rsidRPr="00B00F07">
        <w:rPr>
          <w:lang w:val="es-ES_tradnl"/>
        </w:rPr>
        <w:t>en una Oficina que venza un día</w:t>
      </w:r>
      <w:r w:rsidR="001259A0" w:rsidRPr="00B00F07">
        <w:rPr>
          <w:lang w:val="es-ES_tradnl"/>
        </w:rPr>
        <w:t xml:space="preserve">, determinado por esa Oficina, </w:t>
      </w:r>
      <w:r w:rsidR="00AB7071" w:rsidRPr="00B00F07">
        <w:rPr>
          <w:lang w:val="es-ES_tradnl"/>
        </w:rPr>
        <w:t xml:space="preserve">en que </w:t>
      </w:r>
      <w:r w:rsidR="00916511" w:rsidRPr="00B00F07">
        <w:rPr>
          <w:lang w:val="es-ES_tradnl"/>
        </w:rPr>
        <w:t xml:space="preserve">no puedan recibirse </w:t>
      </w:r>
      <w:r w:rsidR="00AB7071" w:rsidRPr="00B00F07">
        <w:rPr>
          <w:lang w:val="es-ES_tradnl"/>
        </w:rPr>
        <w:t>los documentos presentados por uno de los medios de comunicación electrónica permitidos</w:t>
      </w:r>
      <w:r w:rsidRPr="00B00F07">
        <w:rPr>
          <w:lang w:val="es-ES_tradnl"/>
        </w:rPr>
        <w:t>.</w:t>
      </w:r>
    </w:p>
    <w:p w:rsidR="004B16B0" w:rsidRPr="00B00F07" w:rsidRDefault="004B16B0" w:rsidP="004B16B0">
      <w:pPr>
        <w:pStyle w:val="Heading1"/>
        <w:rPr>
          <w:lang w:val="es-ES_tradnl"/>
        </w:rPr>
      </w:pPr>
      <w:r w:rsidRPr="00B00F07">
        <w:rPr>
          <w:lang w:val="es-ES_tradnl"/>
        </w:rPr>
        <w:t>ANTECEDENTES</w:t>
      </w:r>
    </w:p>
    <w:p w:rsidR="004B16B0" w:rsidRPr="00B00F07" w:rsidRDefault="00180027" w:rsidP="00B87739">
      <w:pPr>
        <w:pStyle w:val="ONUMFS"/>
        <w:rPr>
          <w:lang w:val="es-ES_tradnl"/>
        </w:rPr>
      </w:pPr>
      <w:r w:rsidRPr="00B00F07">
        <w:rPr>
          <w:lang w:val="es-ES_tradnl"/>
        </w:rPr>
        <w:t>Durante el último decenio, la Oficina Europea de Patentes (OEP) ha aumentado el número de opciones disponibles para la presentación de solicitudes en formato electrónico en virtud de la Regla 89</w:t>
      </w:r>
      <w:r w:rsidRPr="00B00F07">
        <w:rPr>
          <w:i/>
          <w:lang w:val="es-ES_tradnl"/>
        </w:rPr>
        <w:t>bis</w:t>
      </w:r>
      <w:r w:rsidR="002820DB">
        <w:rPr>
          <w:i/>
          <w:lang w:val="es-ES_tradnl"/>
        </w:rPr>
        <w:t xml:space="preserve"> </w:t>
      </w:r>
      <w:r w:rsidR="002820DB">
        <w:rPr>
          <w:lang w:val="es-ES_tradnl"/>
        </w:rPr>
        <w:t>del PCT</w:t>
      </w:r>
      <w:r w:rsidR="00916511">
        <w:rPr>
          <w:lang w:val="es-ES_tradnl"/>
        </w:rPr>
        <w:t>, es decir que, actualmente, se ofrecen las siguientes</w:t>
      </w:r>
      <w:r w:rsidR="001C6117" w:rsidRPr="00B00F07">
        <w:rPr>
          <w:lang w:val="es-ES_tradnl"/>
        </w:rPr>
        <w:t xml:space="preserve">: </w:t>
      </w:r>
      <w:r w:rsidR="002820DB">
        <w:rPr>
          <w:lang w:val="es-ES_tradnl"/>
        </w:rPr>
        <w:t>presentación mediante formulario</w:t>
      </w:r>
      <w:r w:rsidRPr="00B00F07">
        <w:rPr>
          <w:lang w:val="es-ES_tradnl"/>
        </w:rPr>
        <w:t xml:space="preserve"> web, presentación en línea, nueva presentación en línea (CMS), ePCT y PCT-SAFE.</w:t>
      </w:r>
    </w:p>
    <w:p w:rsidR="004B16B0" w:rsidRPr="00BC06BC" w:rsidRDefault="00C60158" w:rsidP="00B87739">
      <w:pPr>
        <w:pStyle w:val="ONUMFS"/>
        <w:rPr>
          <w:lang w:val="es-ES_tradnl"/>
        </w:rPr>
      </w:pPr>
      <w:r w:rsidRPr="00B00F07">
        <w:rPr>
          <w:lang w:val="es-ES_tradnl"/>
        </w:rPr>
        <w:t xml:space="preserve">Los medios de comunicación electrónica </w:t>
      </w:r>
      <w:r w:rsidR="00BC06BC">
        <w:rPr>
          <w:lang w:val="es-ES_tradnl"/>
        </w:rPr>
        <w:t>están adquiriendo cada vez más importancia</w:t>
      </w:r>
      <w:r w:rsidRPr="00B00F07">
        <w:rPr>
          <w:lang w:val="es-ES_tradnl"/>
        </w:rPr>
        <w:t xml:space="preserve"> </w:t>
      </w:r>
      <w:r w:rsidR="00BC06BC">
        <w:rPr>
          <w:lang w:val="es-ES_tradnl"/>
        </w:rPr>
        <w:t>en</w:t>
      </w:r>
      <w:r w:rsidRPr="00B00F07">
        <w:rPr>
          <w:lang w:val="es-ES_tradnl"/>
        </w:rPr>
        <w:t xml:space="preserve"> la </w:t>
      </w:r>
      <w:r w:rsidR="00BC06BC">
        <w:rPr>
          <w:lang w:val="es-ES_tradnl"/>
        </w:rPr>
        <w:t>interacción</w:t>
      </w:r>
      <w:r w:rsidRPr="00B00F07">
        <w:rPr>
          <w:lang w:val="es-ES_tradnl"/>
        </w:rPr>
        <w:t xml:space="preserve"> de</w:t>
      </w:r>
      <w:r w:rsidR="001C6117" w:rsidRPr="00B00F07">
        <w:rPr>
          <w:lang w:val="es-ES_tradnl"/>
        </w:rPr>
        <w:t xml:space="preserve"> las Oficinas con los </w:t>
      </w:r>
      <w:r w:rsidR="001C6117" w:rsidRPr="00BC06BC">
        <w:rPr>
          <w:lang w:val="es-ES_tradnl"/>
        </w:rPr>
        <w:t>usuarios.</w:t>
      </w:r>
      <w:r w:rsidRPr="00BC06BC">
        <w:rPr>
          <w:lang w:val="es-ES_tradnl"/>
        </w:rPr>
        <w:t xml:space="preserve"> </w:t>
      </w:r>
      <w:r w:rsidR="00BC06BC" w:rsidRPr="00BC06BC">
        <w:rPr>
          <w:lang w:val="es-ES_tradnl"/>
        </w:rPr>
        <w:t>Pero puede ocurrir que</w:t>
      </w:r>
      <w:r w:rsidRPr="00BC06BC">
        <w:rPr>
          <w:lang w:val="es-ES_tradnl"/>
        </w:rPr>
        <w:t xml:space="preserve"> dichos medios de comunicación </w:t>
      </w:r>
      <w:r w:rsidR="00BC06BC" w:rsidRPr="00BC06BC">
        <w:rPr>
          <w:lang w:val="es-ES_tradnl"/>
        </w:rPr>
        <w:t>dejen</w:t>
      </w:r>
      <w:r w:rsidRPr="00BC06BC">
        <w:rPr>
          <w:lang w:val="es-ES_tradnl"/>
        </w:rPr>
        <w:t xml:space="preserve"> de estar disponibles </w:t>
      </w:r>
      <w:r w:rsidR="00FA6650">
        <w:rPr>
          <w:lang w:val="es-ES_tradnl"/>
        </w:rPr>
        <w:t>en</w:t>
      </w:r>
      <w:r w:rsidRPr="00BC06BC">
        <w:rPr>
          <w:lang w:val="es-ES_tradnl"/>
        </w:rPr>
        <w:t xml:space="preserve"> </w:t>
      </w:r>
      <w:r w:rsidR="00BC06BC" w:rsidRPr="00BC06BC">
        <w:rPr>
          <w:lang w:val="es-ES_tradnl"/>
        </w:rPr>
        <w:t>las</w:t>
      </w:r>
      <w:r w:rsidRPr="00BC06BC">
        <w:rPr>
          <w:lang w:val="es-ES_tradnl"/>
        </w:rPr>
        <w:t xml:space="preserve"> Oficinas</w:t>
      </w:r>
      <w:r w:rsidR="00BC06BC" w:rsidRPr="00BC06BC">
        <w:rPr>
          <w:lang w:val="es-ES_tradnl"/>
        </w:rPr>
        <w:t xml:space="preserve"> debido a interrupciones del servicio</w:t>
      </w:r>
      <w:r w:rsidR="004B16B0" w:rsidRPr="00BC06BC">
        <w:rPr>
          <w:lang w:val="es-ES_tradnl"/>
        </w:rPr>
        <w:t>.</w:t>
      </w:r>
      <w:r w:rsidR="00B87739">
        <w:rPr>
          <w:lang w:val="es-ES_tradnl"/>
        </w:rPr>
        <w:t xml:space="preserve"> </w:t>
      </w:r>
    </w:p>
    <w:p w:rsidR="001C6117" w:rsidRPr="00B00F07" w:rsidRDefault="001C6117" w:rsidP="00B87739">
      <w:pPr>
        <w:pStyle w:val="ONUMFS"/>
        <w:rPr>
          <w:lang w:val="es-ES_tradnl"/>
        </w:rPr>
      </w:pPr>
      <w:r w:rsidRPr="00B00F07">
        <w:rPr>
          <w:lang w:val="es-ES_tradnl"/>
        </w:rPr>
        <w:t>En la Regla 82</w:t>
      </w:r>
      <w:r w:rsidRPr="00B00F07">
        <w:rPr>
          <w:i/>
          <w:lang w:val="es-ES_tradnl"/>
        </w:rPr>
        <w:t>quater</w:t>
      </w:r>
      <w:r w:rsidRPr="00B00F07">
        <w:rPr>
          <w:lang w:val="es-ES_tradnl"/>
        </w:rPr>
        <w:t xml:space="preserve">.1 se establecen las salvaguardias aplicables en caso de indisponibilidad de los </w:t>
      </w:r>
      <w:r w:rsidR="001259A0" w:rsidRPr="00B00F07">
        <w:rPr>
          <w:lang w:val="es-ES_tradnl"/>
        </w:rPr>
        <w:t>medios</w:t>
      </w:r>
      <w:r w:rsidRPr="00B00F07">
        <w:rPr>
          <w:lang w:val="es-ES_tradnl"/>
        </w:rPr>
        <w:t xml:space="preserve"> de comunicación electrónica en la </w:t>
      </w:r>
      <w:r w:rsidR="00FA6650">
        <w:rPr>
          <w:lang w:val="es-ES_tradnl"/>
        </w:rPr>
        <w:t>ubicación</w:t>
      </w:r>
      <w:r w:rsidRPr="00B00F07">
        <w:rPr>
          <w:lang w:val="es-ES_tradnl"/>
        </w:rPr>
        <w:t xml:space="preserve"> del solicitante, en circunstancias</w:t>
      </w:r>
      <w:r w:rsidR="004252C0">
        <w:rPr>
          <w:lang w:val="es-ES_tradnl"/>
        </w:rPr>
        <w:t xml:space="preserve"> específicas. </w:t>
      </w:r>
      <w:r w:rsidRPr="00B00F07">
        <w:rPr>
          <w:lang w:val="es-ES_tradnl"/>
        </w:rPr>
        <w:t>No obstante, en el PCT no se contemplan</w:t>
      </w:r>
      <w:r w:rsidR="00967DDF">
        <w:rPr>
          <w:lang w:val="es-ES_tradnl"/>
        </w:rPr>
        <w:t xml:space="preserve"> expresamente los</w:t>
      </w:r>
      <w:r w:rsidRPr="00B00F07">
        <w:rPr>
          <w:lang w:val="es-ES_tradnl"/>
        </w:rPr>
        <w:t xml:space="preserve"> casos de interrupci</w:t>
      </w:r>
      <w:r w:rsidR="00967DDF">
        <w:rPr>
          <w:lang w:val="es-ES_tradnl"/>
        </w:rPr>
        <w:t>ón</w:t>
      </w:r>
      <w:r w:rsidRPr="00B00F07">
        <w:rPr>
          <w:lang w:val="es-ES_tradnl"/>
        </w:rPr>
        <w:t xml:space="preserve"> de los servicios de comunicación electrónica por motivos atribuibles a las Oficinas de patentes.</w:t>
      </w:r>
      <w:r w:rsidR="00B87739">
        <w:rPr>
          <w:lang w:val="es-ES_tradnl"/>
        </w:rPr>
        <w:t xml:space="preserve"> </w:t>
      </w:r>
      <w:r w:rsidRPr="00B00F07">
        <w:rPr>
          <w:lang w:val="es-ES_tradnl"/>
        </w:rPr>
        <w:t xml:space="preserve">Por ello, la OEP propone que se modifique la Regla 80.5 para que se </w:t>
      </w:r>
      <w:r w:rsidRPr="00B00F07">
        <w:rPr>
          <w:lang w:val="es-ES_tradnl"/>
        </w:rPr>
        <w:lastRenderedPageBreak/>
        <w:t xml:space="preserve">tenga en cuenta esa situación particular brindando a los usuarios la posibilidad de </w:t>
      </w:r>
      <w:r w:rsidR="00967DDF">
        <w:rPr>
          <w:lang w:val="es-ES_tradnl"/>
        </w:rPr>
        <w:t>obtener una prórroga de</w:t>
      </w:r>
      <w:r w:rsidRPr="00B00F07">
        <w:rPr>
          <w:lang w:val="es-ES_tradnl"/>
        </w:rPr>
        <w:t xml:space="preserve"> los plazos en caso de interrupción de los sistemas de presentaci</w:t>
      </w:r>
      <w:r w:rsidR="004252C0">
        <w:rPr>
          <w:lang w:val="es-ES_tradnl"/>
        </w:rPr>
        <w:t xml:space="preserve">ón electrónica. </w:t>
      </w:r>
      <w:r w:rsidRPr="00B00F07">
        <w:rPr>
          <w:lang w:val="es-ES_tradnl"/>
        </w:rPr>
        <w:t xml:space="preserve">La presente propuesta fue presentada a los fines de la formulación de comentarios en la vigesimoquinta sesión de la Reunión de Administraciones Internacionales, celebrada en Madrid en febrero de 2018 (véase el documento </w:t>
      </w:r>
      <w:r w:rsidR="000A2F22" w:rsidRPr="00B00F07">
        <w:rPr>
          <w:lang w:val="es-ES_tradnl"/>
        </w:rPr>
        <w:t xml:space="preserve">PCT/MIA/25/12); los comentarios de las Administraciones Internacionales sobre la propuesta se recogen en los párrafos 29 a 34 del resumen de la presidencia de esa sesión, </w:t>
      </w:r>
      <w:r w:rsidR="00967DDF">
        <w:rPr>
          <w:lang w:val="es-ES_tradnl"/>
        </w:rPr>
        <w:t>que se reproduce</w:t>
      </w:r>
      <w:r w:rsidR="000A2F22" w:rsidRPr="00B00F07">
        <w:rPr>
          <w:lang w:val="es-ES_tradnl"/>
        </w:rPr>
        <w:t xml:space="preserve"> en el Anexo del documento </w:t>
      </w:r>
      <w:r w:rsidRPr="00B00F07">
        <w:rPr>
          <w:lang w:val="es-ES_tradnl"/>
        </w:rPr>
        <w:t>PCT/WG/11/2.</w:t>
      </w:r>
    </w:p>
    <w:p w:rsidR="004B16B0" w:rsidRPr="00B00F07" w:rsidRDefault="00C253E8" w:rsidP="00B87739">
      <w:pPr>
        <w:pStyle w:val="ONUMFS"/>
        <w:rPr>
          <w:lang w:val="es-ES_tradnl"/>
        </w:rPr>
      </w:pPr>
      <w:r w:rsidRPr="00B00F07">
        <w:rPr>
          <w:lang w:val="es-ES_tradnl"/>
        </w:rPr>
        <w:t xml:space="preserve">La indisponibilidad de los </w:t>
      </w:r>
      <w:r w:rsidR="001259A0" w:rsidRPr="00B00F07">
        <w:rPr>
          <w:lang w:val="es-ES_tradnl"/>
        </w:rPr>
        <w:t>medios</w:t>
      </w:r>
      <w:r w:rsidRPr="00B00F07">
        <w:rPr>
          <w:lang w:val="es-ES_tradnl"/>
        </w:rPr>
        <w:t xml:space="preserve"> de comunicación electrónica puede deberse a causas diversas. Por ejemplo, las Oficinas pueden ser objeto de ciberataques, </w:t>
      </w:r>
      <w:r w:rsidR="00D06769">
        <w:rPr>
          <w:lang w:val="es-ES_tradnl"/>
        </w:rPr>
        <w:t>habida cuenta de</w:t>
      </w:r>
      <w:r w:rsidRPr="00B00F07">
        <w:rPr>
          <w:lang w:val="es-ES_tradnl"/>
        </w:rPr>
        <w:t xml:space="preserve"> que la piratería informática mundial es cada vez más común. Por otra parte, a menudo es necesario </w:t>
      </w:r>
      <w:r w:rsidR="00E058F2">
        <w:rPr>
          <w:lang w:val="es-ES_tradnl"/>
        </w:rPr>
        <w:t>llevar a cabo el mantenimiento periódico</w:t>
      </w:r>
      <w:r w:rsidRPr="00B00F07">
        <w:rPr>
          <w:lang w:val="es-ES_tradnl"/>
        </w:rPr>
        <w:t xml:space="preserve"> de los sistemas electrónicos para mejorar la calidad de los servicios en línea que se ofrecen a los usuarios.</w:t>
      </w:r>
      <w:r w:rsidR="00653C24" w:rsidRPr="00B00F07">
        <w:rPr>
          <w:lang w:val="es-ES_tradnl"/>
        </w:rPr>
        <w:t xml:space="preserve"> En determinadas circunstancias excepcionales, </w:t>
      </w:r>
      <w:r w:rsidR="00E058F2">
        <w:rPr>
          <w:lang w:val="es-ES_tradnl"/>
        </w:rPr>
        <w:t xml:space="preserve">la ejecución </w:t>
      </w:r>
      <w:r w:rsidR="00341908">
        <w:rPr>
          <w:lang w:val="es-ES_tradnl"/>
        </w:rPr>
        <w:t>de las tareas de</w:t>
      </w:r>
      <w:r w:rsidR="00653C24" w:rsidRPr="00B00F07">
        <w:rPr>
          <w:lang w:val="es-ES_tradnl"/>
        </w:rPr>
        <w:t xml:space="preserve"> mantenimiento </w:t>
      </w:r>
      <w:r w:rsidR="00E058F2">
        <w:rPr>
          <w:lang w:val="es-ES_tradnl"/>
        </w:rPr>
        <w:t>puede</w:t>
      </w:r>
      <w:r w:rsidR="00653C24" w:rsidRPr="00B00F07">
        <w:rPr>
          <w:lang w:val="es-ES_tradnl"/>
        </w:rPr>
        <w:t xml:space="preserve"> </w:t>
      </w:r>
      <w:r w:rsidR="00E058F2">
        <w:rPr>
          <w:lang w:val="es-ES_tradnl"/>
        </w:rPr>
        <w:t>afectar a la capacidad de</w:t>
      </w:r>
      <w:r w:rsidR="00653C24" w:rsidRPr="00B00F07">
        <w:rPr>
          <w:lang w:val="es-ES_tradnl"/>
        </w:rPr>
        <w:t xml:space="preserve"> los usuarios </w:t>
      </w:r>
      <w:r w:rsidR="00E058F2">
        <w:rPr>
          <w:lang w:val="es-ES_tradnl"/>
        </w:rPr>
        <w:t xml:space="preserve">para </w:t>
      </w:r>
      <w:r w:rsidR="00653C24" w:rsidRPr="00B00F07">
        <w:rPr>
          <w:lang w:val="es-ES_tradnl"/>
        </w:rPr>
        <w:t>utilizar plenamente las herramientas de presentación electrónica. Las tareas de mantenimiento se suelen llevar a cabo durante el fin de semana para evitar las posibles inconveniencias a los usuarios. Por regla general, la OEP publica avisos con antelación</w:t>
      </w:r>
      <w:r w:rsidR="00E058F2">
        <w:rPr>
          <w:lang w:val="es-ES_tradnl"/>
        </w:rPr>
        <w:t>,</w:t>
      </w:r>
      <w:r w:rsidR="00653C24" w:rsidRPr="00B00F07">
        <w:rPr>
          <w:lang w:val="es-ES_tradnl"/>
        </w:rPr>
        <w:t xml:space="preserve"> en una página </w:t>
      </w:r>
      <w:r w:rsidR="00E058F2" w:rsidRPr="00B00F07">
        <w:rPr>
          <w:lang w:val="es-ES_tradnl"/>
        </w:rPr>
        <w:t>de su sitio web</w:t>
      </w:r>
      <w:r w:rsidR="00E058F2">
        <w:rPr>
          <w:lang w:val="es-ES_tradnl"/>
        </w:rPr>
        <w:t xml:space="preserve"> destinada </w:t>
      </w:r>
      <w:r w:rsidR="00653C24" w:rsidRPr="00B00F07">
        <w:rPr>
          <w:lang w:val="es-ES_tradnl"/>
        </w:rPr>
        <w:t>a tal efecto, varios días antes de los períodos en que el servicio estará indisponible debido a tareas de mantenimiento, de conformidad con la Instrucción 709.c) de las Instrucciones Administrativas del PCT. La OEP recomienda que las partes consulten regularmente el sitio web para</w:t>
      </w:r>
      <w:r w:rsidR="00E058F2">
        <w:rPr>
          <w:lang w:val="es-ES_tradnl"/>
        </w:rPr>
        <w:t xml:space="preserve"> evitar</w:t>
      </w:r>
      <w:r w:rsidR="00653C24" w:rsidRPr="00B00F07">
        <w:rPr>
          <w:lang w:val="es-ES_tradnl"/>
        </w:rPr>
        <w:t xml:space="preserve"> </w:t>
      </w:r>
      <w:r w:rsidR="00935673" w:rsidRPr="00B00F07">
        <w:rPr>
          <w:lang w:val="es-ES_tradnl"/>
        </w:rPr>
        <w:t>verse sorprendidas ante períodos de inactividad del servicio</w:t>
      </w:r>
      <w:r w:rsidR="00653C24" w:rsidRPr="00B00F07">
        <w:rPr>
          <w:lang w:val="es-ES_tradnl"/>
        </w:rPr>
        <w:t xml:space="preserve"> </w:t>
      </w:r>
      <w:r w:rsidR="00935673" w:rsidRPr="00B00F07">
        <w:rPr>
          <w:lang w:val="es-ES_tradnl"/>
        </w:rPr>
        <w:t>debido a tareas de mantenimiento que hayan sido anunciadas con antelación. La publicación de tales períodos de inactividad permite asimismo establecer</w:t>
      </w:r>
      <w:r w:rsidR="000C6ED7" w:rsidRPr="00B00F07">
        <w:rPr>
          <w:lang w:val="es-ES_tradnl"/>
        </w:rPr>
        <w:t xml:space="preserve"> </w:t>
      </w:r>
      <w:r w:rsidR="000C6ED7" w:rsidRPr="00E058F2">
        <w:rPr>
          <w:lang w:val="es-ES_tradnl"/>
        </w:rPr>
        <w:t>retroactiva</w:t>
      </w:r>
      <w:r w:rsidR="00E058F2" w:rsidRPr="00E058F2">
        <w:rPr>
          <w:lang w:val="es-ES_tradnl"/>
        </w:rPr>
        <w:t>mente</w:t>
      </w:r>
      <w:r w:rsidR="000C6ED7" w:rsidRPr="00E058F2">
        <w:rPr>
          <w:lang w:val="es-ES_tradnl"/>
        </w:rPr>
        <w:t xml:space="preserve"> el día en particular en que determinados </w:t>
      </w:r>
      <w:r w:rsidR="001259A0" w:rsidRPr="00E058F2">
        <w:rPr>
          <w:lang w:val="es-ES_tradnl"/>
        </w:rPr>
        <w:t>medios</w:t>
      </w:r>
      <w:r w:rsidR="000C6ED7" w:rsidRPr="00B00F07">
        <w:rPr>
          <w:lang w:val="es-ES_tradnl"/>
        </w:rPr>
        <w:t xml:space="preserve"> de comunicación electrónica estuvieron indisponibles en la OEP</w:t>
      </w:r>
      <w:r w:rsidR="004B16B0" w:rsidRPr="00B00F07">
        <w:rPr>
          <w:lang w:val="es-ES_tradnl"/>
        </w:rPr>
        <w:t xml:space="preserve">. </w:t>
      </w:r>
    </w:p>
    <w:p w:rsidR="004B16B0" w:rsidRPr="00B00F07" w:rsidRDefault="000D67D2" w:rsidP="00B87739">
      <w:pPr>
        <w:pStyle w:val="ONUMFS"/>
        <w:rPr>
          <w:lang w:val="es-ES_tradnl"/>
        </w:rPr>
      </w:pPr>
      <w:r w:rsidRPr="00B00F07">
        <w:rPr>
          <w:lang w:val="es-ES_tradnl"/>
        </w:rPr>
        <w:t xml:space="preserve">La Regla 134.1) del Convenio sobre la Patente Europea (CPE) protege a los usuarios en caso de </w:t>
      </w:r>
      <w:r w:rsidR="00E058F2">
        <w:rPr>
          <w:lang w:val="es-ES_tradnl"/>
        </w:rPr>
        <w:t>que</w:t>
      </w:r>
      <w:r w:rsidRPr="00B00F07">
        <w:rPr>
          <w:lang w:val="es-ES_tradnl"/>
        </w:rPr>
        <w:t xml:space="preserve"> uno de los </w:t>
      </w:r>
      <w:r w:rsidR="001259A0" w:rsidRPr="00B00F07">
        <w:rPr>
          <w:lang w:val="es-ES_tradnl"/>
        </w:rPr>
        <w:t>medios</w:t>
      </w:r>
      <w:r w:rsidRPr="00B00F07">
        <w:rPr>
          <w:lang w:val="es-ES_tradnl"/>
        </w:rPr>
        <w:t xml:space="preserve"> de comunicación electrónica </w:t>
      </w:r>
      <w:r w:rsidR="00E058F2">
        <w:rPr>
          <w:lang w:val="es-ES_tradnl"/>
        </w:rPr>
        <w:t xml:space="preserve">esté indisponible </w:t>
      </w:r>
      <w:r w:rsidRPr="00B00F07">
        <w:rPr>
          <w:lang w:val="es-ES_tradnl"/>
        </w:rPr>
        <w:t xml:space="preserve">el último día de un plazo </w:t>
      </w:r>
      <w:r w:rsidR="00E058F2">
        <w:rPr>
          <w:lang w:val="es-ES_tradnl"/>
        </w:rPr>
        <w:t xml:space="preserve">establecido </w:t>
      </w:r>
      <w:r w:rsidRPr="00B00F07">
        <w:rPr>
          <w:lang w:val="es-ES_tradnl"/>
        </w:rPr>
        <w:t>para efect</w:t>
      </w:r>
      <w:r w:rsidR="004252C0">
        <w:rPr>
          <w:lang w:val="es-ES_tradnl"/>
        </w:rPr>
        <w:t xml:space="preserve">uar trámites de procedimiento. </w:t>
      </w:r>
      <w:r w:rsidRPr="00B00F07">
        <w:rPr>
          <w:lang w:val="es-ES_tradnl"/>
        </w:rPr>
        <w:t xml:space="preserve">La protección consiste en prorrogar el plazo hasta el primer día laborable en que estén disponibles todos los </w:t>
      </w:r>
      <w:r w:rsidR="001259A0" w:rsidRPr="00B00F07">
        <w:rPr>
          <w:lang w:val="es-ES_tradnl"/>
        </w:rPr>
        <w:t>medios</w:t>
      </w:r>
      <w:r w:rsidR="004252C0">
        <w:rPr>
          <w:lang w:val="es-ES_tradnl"/>
        </w:rPr>
        <w:t xml:space="preserve"> de comunicación electrónica.</w:t>
      </w:r>
      <w:r w:rsidRPr="00B00F07">
        <w:rPr>
          <w:lang w:val="es-ES_tradnl"/>
        </w:rPr>
        <w:t xml:space="preserve"> Dichas prórrogas se conceden únicamente cuando la indisponibilidad sea atribuible a la OEP.</w:t>
      </w:r>
      <w:r w:rsidR="000E25FB" w:rsidRPr="00B00F07">
        <w:rPr>
          <w:lang w:val="es-ES_tradnl"/>
        </w:rPr>
        <w:t xml:space="preserve"> Al no existir ninguna disposición equiparable en el PCT, </w:t>
      </w:r>
      <w:r w:rsidR="00E407F6" w:rsidRPr="00B00F07">
        <w:rPr>
          <w:lang w:val="es-ES_tradnl"/>
        </w:rPr>
        <w:t>actualmente</w:t>
      </w:r>
      <w:r w:rsidR="00E407F6">
        <w:rPr>
          <w:lang w:val="es-ES_tradnl"/>
        </w:rPr>
        <w:t>,</w:t>
      </w:r>
      <w:r w:rsidR="00E407F6" w:rsidRPr="00B00F07">
        <w:rPr>
          <w:lang w:val="es-ES_tradnl"/>
        </w:rPr>
        <w:t xml:space="preserve"> </w:t>
      </w:r>
      <w:r w:rsidR="00E407F6">
        <w:rPr>
          <w:lang w:val="es-ES_tradnl"/>
        </w:rPr>
        <w:t>en</w:t>
      </w:r>
      <w:r w:rsidR="000E25FB" w:rsidRPr="00B00F07">
        <w:rPr>
          <w:lang w:val="es-ES_tradnl"/>
        </w:rPr>
        <w:t xml:space="preserve"> los procedimientos del PCT la OEP aplica la Regla 134.1) del CPE de forma complementa</w:t>
      </w:r>
      <w:r w:rsidR="004252C0">
        <w:rPr>
          <w:lang w:val="es-ES_tradnl"/>
        </w:rPr>
        <w:t xml:space="preserve">ria (Artículo 150.2) del CPE). </w:t>
      </w:r>
      <w:r w:rsidR="000E25FB" w:rsidRPr="00B00F07">
        <w:rPr>
          <w:lang w:val="es-ES_tradnl"/>
        </w:rPr>
        <w:t>Esa misma situación podrá ser aplicable a otras Oficinas</w:t>
      </w:r>
      <w:r w:rsidR="004B16B0" w:rsidRPr="00B00F07">
        <w:rPr>
          <w:lang w:val="es-ES_tradnl"/>
        </w:rPr>
        <w:t>.</w:t>
      </w:r>
    </w:p>
    <w:p w:rsidR="004B16B0" w:rsidRPr="00B00F07" w:rsidRDefault="004B16B0" w:rsidP="004B16B0">
      <w:pPr>
        <w:pStyle w:val="Heading1"/>
        <w:rPr>
          <w:lang w:val="es-ES_tradnl"/>
        </w:rPr>
      </w:pPr>
      <w:r w:rsidRPr="00B00F07">
        <w:rPr>
          <w:lang w:val="es-ES_tradnl"/>
        </w:rPr>
        <w:t>PROPUESTA</w:t>
      </w:r>
    </w:p>
    <w:p w:rsidR="004B16B0" w:rsidRPr="00B00F07" w:rsidRDefault="00F046EE" w:rsidP="00B87739">
      <w:pPr>
        <w:pStyle w:val="ONUMFS"/>
        <w:rPr>
          <w:lang w:val="es-ES_tradnl"/>
        </w:rPr>
      </w:pPr>
      <w:r w:rsidRPr="00B00F07">
        <w:rPr>
          <w:lang w:val="es-ES_tradnl"/>
        </w:rPr>
        <w:t>A fin de establecer una base jurídica adecuada e</w:t>
      </w:r>
      <w:r w:rsidR="00E058F2">
        <w:rPr>
          <w:lang w:val="es-ES_tradnl"/>
        </w:rPr>
        <w:t xml:space="preserve">n el marco del PCT para excusar los </w:t>
      </w:r>
      <w:r w:rsidRPr="00B00F07">
        <w:rPr>
          <w:lang w:val="es-ES_tradnl"/>
        </w:rPr>
        <w:t xml:space="preserve">retrasos en el cumplimiento de un plazo debido a interrupciones atribuibles a una Oficina, se propone añadir un nuevo inciso iii) a la Regla 80.5, </w:t>
      </w:r>
      <w:r w:rsidR="00E058F2">
        <w:rPr>
          <w:lang w:val="es-ES_tradnl"/>
        </w:rPr>
        <w:t>en la forma en que se</w:t>
      </w:r>
      <w:r w:rsidRPr="00B00F07">
        <w:rPr>
          <w:lang w:val="es-ES_tradnl"/>
        </w:rPr>
        <w:t xml:space="preserve"> expone en el Anexo del presente documento. En caso de que la Oficina Internacional lo considere necesario, en las Directrices para la Oficinas receptoras del PCT podría ofrecerse más información sobre el modo de aplicar dicha disposición</w:t>
      </w:r>
      <w:r w:rsidR="00E648DD" w:rsidRPr="00E648DD">
        <w:rPr>
          <w:lang w:val="es-ES_tradnl"/>
        </w:rPr>
        <w:t xml:space="preserve"> </w:t>
      </w:r>
      <w:r w:rsidR="00E648DD" w:rsidRPr="00B00F07">
        <w:rPr>
          <w:lang w:val="es-ES_tradnl"/>
        </w:rPr>
        <w:t>en las Oficinas</w:t>
      </w:r>
      <w:r w:rsidRPr="00B00F07">
        <w:rPr>
          <w:lang w:val="es-ES_tradnl"/>
        </w:rPr>
        <w:t xml:space="preserve">, en particular, </w:t>
      </w:r>
      <w:r w:rsidR="00990FB0" w:rsidRPr="00B00F07">
        <w:rPr>
          <w:lang w:val="es-ES_tradnl"/>
        </w:rPr>
        <w:t>el modo en que las Oficinas pueden decidir si prorrogar un plazo en función de cada caso</w:t>
      </w:r>
      <w:r w:rsidR="004B16B0" w:rsidRPr="00B00F07">
        <w:rPr>
          <w:lang w:val="es-ES_tradnl"/>
        </w:rPr>
        <w:t>.</w:t>
      </w:r>
    </w:p>
    <w:p w:rsidR="004B16B0" w:rsidRPr="00B87739" w:rsidRDefault="000E25FB" w:rsidP="00B87739">
      <w:pPr>
        <w:pStyle w:val="ONUMFS"/>
        <w:tabs>
          <w:tab w:val="clear" w:pos="567"/>
        </w:tabs>
        <w:ind w:left="5529"/>
        <w:rPr>
          <w:i/>
          <w:lang w:val="es-ES_tradnl"/>
        </w:rPr>
      </w:pPr>
      <w:r w:rsidRPr="00B87739">
        <w:rPr>
          <w:i/>
          <w:lang w:val="es-ES_tradnl"/>
        </w:rPr>
        <w:t>Se invita al Grupo de Trabajo a considerar la propuesta de modificación del Reglamento que se expone en el Anexo del presente documento</w:t>
      </w:r>
      <w:r w:rsidR="004B16B0" w:rsidRPr="00B87739">
        <w:rPr>
          <w:i/>
          <w:lang w:val="es-ES_tradnl"/>
        </w:rPr>
        <w:t>.</w:t>
      </w:r>
    </w:p>
    <w:p w:rsidR="004B16B0" w:rsidRDefault="004B16B0" w:rsidP="004B16B0">
      <w:pPr>
        <w:ind w:left="4966" w:firstLine="567"/>
        <w:rPr>
          <w:lang w:val="es-ES_tradnl"/>
        </w:rPr>
      </w:pPr>
      <w:r w:rsidRPr="00B00F07">
        <w:rPr>
          <w:lang w:val="es-ES_tradnl"/>
        </w:rPr>
        <w:t>[Sigue el Anexo]</w:t>
      </w:r>
    </w:p>
    <w:p w:rsidR="009043C6" w:rsidRDefault="009043C6" w:rsidP="004B16B0">
      <w:pPr>
        <w:ind w:left="4966" w:firstLine="567"/>
        <w:rPr>
          <w:lang w:val="es-ES_tradnl"/>
        </w:rPr>
        <w:sectPr w:rsidR="009043C6" w:rsidSect="004B16B0">
          <w:headerReference w:type="default" r:id="rId10"/>
          <w:pgSz w:w="11907" w:h="16840" w:code="9"/>
          <w:pgMar w:top="567" w:right="1134" w:bottom="1418" w:left="1418" w:header="510" w:footer="1021" w:gutter="0"/>
          <w:cols w:space="720"/>
          <w:titlePg/>
          <w:docGrid w:linePitch="299"/>
        </w:sectPr>
      </w:pPr>
    </w:p>
    <w:p w:rsidR="004B16B0" w:rsidRPr="00B00F07" w:rsidRDefault="00990FB0" w:rsidP="004B16B0">
      <w:pPr>
        <w:pStyle w:val="ONUME"/>
        <w:numPr>
          <w:ilvl w:val="0"/>
          <w:numId w:val="0"/>
        </w:numPr>
        <w:spacing w:after="0"/>
        <w:jc w:val="center"/>
        <w:rPr>
          <w:caps/>
          <w:lang w:val="es-ES_tradnl"/>
        </w:rPr>
      </w:pPr>
      <w:r w:rsidRPr="00B00F07">
        <w:rPr>
          <w:caps/>
          <w:lang w:val="es-ES_tradnl"/>
        </w:rPr>
        <w:lastRenderedPageBreak/>
        <w:t>PROPUESTAS DE MODIFICACIÓN DEL REGLAMENTO DEL PCT</w:t>
      </w:r>
      <w:r w:rsidR="004B16B0" w:rsidRPr="00B00F07">
        <w:rPr>
          <w:rStyle w:val="FootnoteReference"/>
          <w:lang w:val="es-ES_tradnl"/>
        </w:rPr>
        <w:footnoteReference w:id="2"/>
      </w:r>
    </w:p>
    <w:p w:rsidR="004B16B0" w:rsidRPr="00B00F07" w:rsidRDefault="00990FB0" w:rsidP="004272A8">
      <w:pPr>
        <w:pStyle w:val="ONUME"/>
        <w:numPr>
          <w:ilvl w:val="0"/>
          <w:numId w:val="0"/>
        </w:numPr>
        <w:spacing w:before="600" w:after="0"/>
        <w:jc w:val="center"/>
        <w:rPr>
          <w:caps/>
          <w:lang w:val="es-ES_tradnl"/>
        </w:rPr>
      </w:pPr>
      <w:r w:rsidRPr="00B00F07">
        <w:rPr>
          <w:caps/>
          <w:lang w:val="es-ES_tradnl"/>
        </w:rPr>
        <w:t>ÍNDICE</w:t>
      </w:r>
    </w:p>
    <w:p w:rsidR="004B16B0" w:rsidRPr="00B00F07" w:rsidRDefault="004B16B0" w:rsidP="004272A8">
      <w:pPr>
        <w:pStyle w:val="TOC1"/>
        <w:rPr>
          <w:rFonts w:asciiTheme="minorHAnsi" w:eastAsiaTheme="minorEastAsia" w:hAnsiTheme="minorHAnsi" w:cstheme="minorBidi"/>
          <w:noProof/>
          <w:szCs w:val="22"/>
          <w:lang w:eastAsia="en-US"/>
        </w:rPr>
      </w:pPr>
      <w:r w:rsidRPr="00B00F07">
        <w:rPr>
          <w:caps/>
        </w:rPr>
        <w:fldChar w:fldCharType="begin"/>
      </w:r>
      <w:r w:rsidRPr="00B00F07">
        <w:rPr>
          <w:caps/>
        </w:rPr>
        <w:instrText xml:space="preserve"> TOC \h \z \t "Leg # Title,1,Leg SubRule #,2" </w:instrText>
      </w:r>
      <w:r w:rsidRPr="00B00F07">
        <w:rPr>
          <w:caps/>
        </w:rPr>
        <w:fldChar w:fldCharType="separate"/>
      </w:r>
      <w:hyperlink w:anchor="_Toc513631742" w:history="1">
        <w:r w:rsidR="00990FB0" w:rsidRPr="00B00F07">
          <w:rPr>
            <w:rStyle w:val="Hyperlink"/>
            <w:noProof/>
            <w:lang w:val="es-ES_tradnl"/>
          </w:rPr>
          <w:t>Regla</w:t>
        </w:r>
        <w:r w:rsidRPr="00B00F07">
          <w:rPr>
            <w:rStyle w:val="Hyperlink"/>
            <w:noProof/>
            <w:lang w:val="es-ES_tradnl"/>
          </w:rPr>
          <w:t xml:space="preserve"> 80 </w:t>
        </w:r>
        <w:r w:rsidR="00990FB0" w:rsidRPr="00B00F07">
          <w:rPr>
            <w:rStyle w:val="Hyperlink"/>
            <w:noProof/>
            <w:lang w:val="es-ES_tradnl"/>
          </w:rPr>
          <w:t>Cómputo de los plazos</w:t>
        </w:r>
        <w:r w:rsidRPr="00B00F07">
          <w:rPr>
            <w:noProof/>
            <w:webHidden/>
          </w:rPr>
          <w:tab/>
        </w:r>
        <w:r w:rsidRPr="00B00F07">
          <w:rPr>
            <w:noProof/>
            <w:webHidden/>
          </w:rPr>
          <w:fldChar w:fldCharType="begin"/>
        </w:r>
        <w:r w:rsidRPr="00B00F07">
          <w:rPr>
            <w:noProof/>
            <w:webHidden/>
          </w:rPr>
          <w:instrText xml:space="preserve"> PAGEREF _Toc513631742 \h </w:instrText>
        </w:r>
        <w:r w:rsidRPr="00B00F07">
          <w:rPr>
            <w:noProof/>
            <w:webHidden/>
          </w:rPr>
        </w:r>
        <w:r w:rsidRPr="00B00F07">
          <w:rPr>
            <w:noProof/>
            <w:webHidden/>
          </w:rPr>
          <w:fldChar w:fldCharType="separate"/>
        </w:r>
        <w:r w:rsidR="004A55EB">
          <w:rPr>
            <w:noProof/>
            <w:webHidden/>
          </w:rPr>
          <w:t>2</w:t>
        </w:r>
        <w:r w:rsidRPr="00B00F07">
          <w:rPr>
            <w:noProof/>
            <w:webHidden/>
          </w:rPr>
          <w:fldChar w:fldCharType="end"/>
        </w:r>
      </w:hyperlink>
    </w:p>
    <w:p w:rsidR="004B16B0" w:rsidRPr="00B00F07" w:rsidRDefault="006C2A1C" w:rsidP="004B16B0">
      <w:pPr>
        <w:pStyle w:val="TOC2"/>
        <w:rPr>
          <w:rFonts w:asciiTheme="minorHAnsi" w:eastAsiaTheme="minorEastAsia" w:hAnsiTheme="minorHAnsi" w:cstheme="minorBidi"/>
          <w:noProof/>
          <w:szCs w:val="22"/>
          <w:lang w:val="es-ES_tradnl" w:eastAsia="en-US"/>
        </w:rPr>
      </w:pPr>
      <w:hyperlink w:anchor="_Toc513631743" w:history="1">
        <w:r w:rsidR="004B16B0" w:rsidRPr="00B00F07">
          <w:rPr>
            <w:rStyle w:val="Hyperlink"/>
            <w:noProof/>
            <w:lang w:val="es-ES_tradnl"/>
          </w:rPr>
          <w:t xml:space="preserve">80.1 </w:t>
        </w:r>
        <w:r w:rsidR="00990FB0" w:rsidRPr="00B00F07">
          <w:rPr>
            <w:rStyle w:val="Hyperlink"/>
            <w:noProof/>
            <w:lang w:val="es-ES_tradnl"/>
          </w:rPr>
          <w:t>a</w:t>
        </w:r>
        <w:r w:rsidR="004B16B0" w:rsidRPr="00B00F07">
          <w:rPr>
            <w:rStyle w:val="Hyperlink"/>
            <w:noProof/>
            <w:lang w:val="es-ES_tradnl"/>
          </w:rPr>
          <w:t xml:space="preserve"> 80.4</w:t>
        </w:r>
        <w:r w:rsidR="00B87739">
          <w:rPr>
            <w:rStyle w:val="Hyperlink"/>
            <w:noProof/>
            <w:lang w:val="es-ES_tradnl"/>
          </w:rPr>
          <w:t xml:space="preserve"> </w:t>
        </w:r>
        <w:r w:rsidR="004B16B0" w:rsidRPr="00B00F07">
          <w:rPr>
            <w:rStyle w:val="Hyperlink"/>
            <w:i/>
            <w:noProof/>
            <w:lang w:val="es-ES_tradnl"/>
          </w:rPr>
          <w:t>[</w:t>
        </w:r>
        <w:r w:rsidR="00990FB0" w:rsidRPr="00B00F07">
          <w:rPr>
            <w:rStyle w:val="Hyperlink"/>
            <w:i/>
            <w:noProof/>
            <w:lang w:val="es-ES_tradnl"/>
          </w:rPr>
          <w:t>Sin cambios</w:t>
        </w:r>
        <w:r w:rsidR="004B16B0" w:rsidRPr="00B00F07">
          <w:rPr>
            <w:rStyle w:val="Hyperlink"/>
            <w:i/>
            <w:noProof/>
            <w:lang w:val="es-ES_tradnl"/>
          </w:rPr>
          <w:t>]</w:t>
        </w:r>
        <w:r w:rsidR="004B16B0" w:rsidRPr="00B00F07">
          <w:rPr>
            <w:noProof/>
            <w:webHidden/>
            <w:lang w:val="es-ES_tradnl"/>
          </w:rPr>
          <w:tab/>
        </w:r>
        <w:r w:rsidR="004B16B0" w:rsidRPr="00B00F07">
          <w:rPr>
            <w:noProof/>
            <w:webHidden/>
            <w:lang w:val="es-ES_tradnl"/>
          </w:rPr>
          <w:fldChar w:fldCharType="begin"/>
        </w:r>
        <w:r w:rsidR="004B16B0" w:rsidRPr="00B00F07">
          <w:rPr>
            <w:noProof/>
            <w:webHidden/>
            <w:lang w:val="es-ES_tradnl"/>
          </w:rPr>
          <w:instrText xml:space="preserve"> PAGEREF _Toc513631743 \h </w:instrText>
        </w:r>
        <w:r w:rsidR="004B16B0" w:rsidRPr="00B00F07">
          <w:rPr>
            <w:noProof/>
            <w:webHidden/>
            <w:lang w:val="es-ES_tradnl"/>
          </w:rPr>
        </w:r>
        <w:r w:rsidR="004B16B0" w:rsidRPr="00B00F07">
          <w:rPr>
            <w:noProof/>
            <w:webHidden/>
            <w:lang w:val="es-ES_tradnl"/>
          </w:rPr>
          <w:fldChar w:fldCharType="separate"/>
        </w:r>
        <w:r w:rsidR="004A55EB">
          <w:rPr>
            <w:noProof/>
            <w:webHidden/>
            <w:lang w:val="es-ES_tradnl"/>
          </w:rPr>
          <w:t>2</w:t>
        </w:r>
        <w:r w:rsidR="004B16B0" w:rsidRPr="00B00F07">
          <w:rPr>
            <w:noProof/>
            <w:webHidden/>
            <w:lang w:val="es-ES_tradnl"/>
          </w:rPr>
          <w:fldChar w:fldCharType="end"/>
        </w:r>
      </w:hyperlink>
    </w:p>
    <w:p w:rsidR="004B16B0" w:rsidRPr="00B00F07" w:rsidRDefault="006C2A1C" w:rsidP="004B16B0">
      <w:pPr>
        <w:pStyle w:val="TOC2"/>
        <w:rPr>
          <w:rFonts w:asciiTheme="minorHAnsi" w:eastAsiaTheme="minorEastAsia" w:hAnsiTheme="minorHAnsi" w:cstheme="minorBidi"/>
          <w:noProof/>
          <w:szCs w:val="22"/>
          <w:lang w:val="es-ES_tradnl" w:eastAsia="en-US"/>
        </w:rPr>
      </w:pPr>
      <w:hyperlink w:anchor="_Toc513631744" w:history="1">
        <w:r w:rsidR="004B16B0" w:rsidRPr="00B00F07">
          <w:rPr>
            <w:rStyle w:val="Hyperlink"/>
            <w:noProof/>
            <w:lang w:val="es-ES_tradnl"/>
          </w:rPr>
          <w:t>80.5</w:t>
        </w:r>
        <w:r w:rsidR="00B87739">
          <w:rPr>
            <w:rStyle w:val="Hyperlink"/>
            <w:noProof/>
            <w:lang w:val="es-ES_tradnl"/>
          </w:rPr>
          <w:t xml:space="preserve"> </w:t>
        </w:r>
        <w:r w:rsidR="00990FB0" w:rsidRPr="00B00F07">
          <w:rPr>
            <w:rStyle w:val="Hyperlink"/>
            <w:i/>
            <w:noProof/>
            <w:lang w:val="es-ES_tradnl"/>
          </w:rPr>
          <w:t>Vencimiento en un día no laborable o en fiesta oficial</w:t>
        </w:r>
        <w:r w:rsidR="004B16B0" w:rsidRPr="00B00F07">
          <w:rPr>
            <w:noProof/>
            <w:webHidden/>
            <w:lang w:val="es-ES_tradnl"/>
          </w:rPr>
          <w:tab/>
        </w:r>
        <w:r w:rsidR="004B16B0" w:rsidRPr="00B00F07">
          <w:rPr>
            <w:noProof/>
            <w:webHidden/>
            <w:lang w:val="es-ES_tradnl"/>
          </w:rPr>
          <w:fldChar w:fldCharType="begin"/>
        </w:r>
        <w:r w:rsidR="004B16B0" w:rsidRPr="00B00F07">
          <w:rPr>
            <w:noProof/>
            <w:webHidden/>
            <w:lang w:val="es-ES_tradnl"/>
          </w:rPr>
          <w:instrText xml:space="preserve"> PAGEREF _Toc513631744 \h </w:instrText>
        </w:r>
        <w:r w:rsidR="004B16B0" w:rsidRPr="00B00F07">
          <w:rPr>
            <w:noProof/>
            <w:webHidden/>
            <w:lang w:val="es-ES_tradnl"/>
          </w:rPr>
        </w:r>
        <w:r w:rsidR="004B16B0" w:rsidRPr="00B00F07">
          <w:rPr>
            <w:noProof/>
            <w:webHidden/>
            <w:lang w:val="es-ES_tradnl"/>
          </w:rPr>
          <w:fldChar w:fldCharType="separate"/>
        </w:r>
        <w:r w:rsidR="004A55EB">
          <w:rPr>
            <w:noProof/>
            <w:webHidden/>
            <w:lang w:val="es-ES_tradnl"/>
          </w:rPr>
          <w:t>2</w:t>
        </w:r>
        <w:r w:rsidR="004B16B0" w:rsidRPr="00B00F07">
          <w:rPr>
            <w:noProof/>
            <w:webHidden/>
            <w:lang w:val="es-ES_tradnl"/>
          </w:rPr>
          <w:fldChar w:fldCharType="end"/>
        </w:r>
      </w:hyperlink>
    </w:p>
    <w:p w:rsidR="004B16B0" w:rsidRPr="00B00F07" w:rsidRDefault="006C2A1C" w:rsidP="004B16B0">
      <w:pPr>
        <w:pStyle w:val="TOC2"/>
        <w:rPr>
          <w:rFonts w:asciiTheme="minorHAnsi" w:eastAsiaTheme="minorEastAsia" w:hAnsiTheme="minorHAnsi" w:cstheme="minorBidi"/>
          <w:noProof/>
          <w:szCs w:val="22"/>
          <w:lang w:val="es-ES_tradnl" w:eastAsia="en-US"/>
        </w:rPr>
      </w:pPr>
      <w:hyperlink w:anchor="_Toc513631745" w:history="1">
        <w:r w:rsidR="004B16B0" w:rsidRPr="00B00F07">
          <w:rPr>
            <w:rStyle w:val="Hyperlink"/>
            <w:noProof/>
            <w:lang w:val="es-ES_tradnl"/>
          </w:rPr>
          <w:t xml:space="preserve">80.6 </w:t>
        </w:r>
        <w:r w:rsidR="00990FB0" w:rsidRPr="00B00F07">
          <w:rPr>
            <w:rStyle w:val="Hyperlink"/>
            <w:noProof/>
            <w:lang w:val="es-ES_tradnl"/>
          </w:rPr>
          <w:t>y</w:t>
        </w:r>
        <w:r w:rsidR="004B16B0" w:rsidRPr="00B00F07">
          <w:rPr>
            <w:rStyle w:val="Hyperlink"/>
            <w:noProof/>
            <w:lang w:val="es-ES_tradnl"/>
          </w:rPr>
          <w:t xml:space="preserve"> 80.7</w:t>
        </w:r>
        <w:r w:rsidR="00B87739">
          <w:rPr>
            <w:rStyle w:val="Hyperlink"/>
            <w:noProof/>
            <w:lang w:val="es-ES_tradnl"/>
          </w:rPr>
          <w:t xml:space="preserve"> </w:t>
        </w:r>
        <w:r w:rsidR="004B16B0" w:rsidRPr="00B00F07">
          <w:rPr>
            <w:rStyle w:val="Hyperlink"/>
            <w:i/>
            <w:noProof/>
            <w:lang w:val="es-ES_tradnl"/>
          </w:rPr>
          <w:t>[</w:t>
        </w:r>
        <w:r w:rsidR="00990FB0" w:rsidRPr="00B00F07">
          <w:rPr>
            <w:rStyle w:val="Hyperlink"/>
            <w:i/>
            <w:noProof/>
            <w:lang w:val="es-ES_tradnl"/>
          </w:rPr>
          <w:t>Sin cambios</w:t>
        </w:r>
        <w:r w:rsidR="004B16B0" w:rsidRPr="00B00F07">
          <w:rPr>
            <w:rStyle w:val="Hyperlink"/>
            <w:i/>
            <w:noProof/>
            <w:lang w:val="es-ES_tradnl"/>
          </w:rPr>
          <w:t>]</w:t>
        </w:r>
        <w:r w:rsidR="004B16B0" w:rsidRPr="00B00F07">
          <w:rPr>
            <w:noProof/>
            <w:webHidden/>
            <w:lang w:val="es-ES_tradnl"/>
          </w:rPr>
          <w:tab/>
        </w:r>
        <w:r w:rsidR="004B16B0" w:rsidRPr="00B00F07">
          <w:rPr>
            <w:noProof/>
            <w:webHidden/>
            <w:lang w:val="es-ES_tradnl"/>
          </w:rPr>
          <w:fldChar w:fldCharType="begin"/>
        </w:r>
        <w:r w:rsidR="004B16B0" w:rsidRPr="00B00F07">
          <w:rPr>
            <w:noProof/>
            <w:webHidden/>
            <w:lang w:val="es-ES_tradnl"/>
          </w:rPr>
          <w:instrText xml:space="preserve"> PAGEREF _Toc513631745 \h </w:instrText>
        </w:r>
        <w:r w:rsidR="004B16B0" w:rsidRPr="00B00F07">
          <w:rPr>
            <w:noProof/>
            <w:webHidden/>
            <w:lang w:val="es-ES_tradnl"/>
          </w:rPr>
        </w:r>
        <w:r w:rsidR="004B16B0" w:rsidRPr="00B00F07">
          <w:rPr>
            <w:noProof/>
            <w:webHidden/>
            <w:lang w:val="es-ES_tradnl"/>
          </w:rPr>
          <w:fldChar w:fldCharType="separate"/>
        </w:r>
        <w:r w:rsidR="004A55EB">
          <w:rPr>
            <w:noProof/>
            <w:webHidden/>
            <w:lang w:val="es-ES_tradnl"/>
          </w:rPr>
          <w:t>2</w:t>
        </w:r>
        <w:r w:rsidR="004B16B0" w:rsidRPr="00B00F07">
          <w:rPr>
            <w:noProof/>
            <w:webHidden/>
            <w:lang w:val="es-ES_tradnl"/>
          </w:rPr>
          <w:fldChar w:fldCharType="end"/>
        </w:r>
      </w:hyperlink>
    </w:p>
    <w:p w:rsidR="00B87739" w:rsidRDefault="004B16B0" w:rsidP="004272A8">
      <w:pPr>
        <w:pStyle w:val="ONUME"/>
        <w:numPr>
          <w:ilvl w:val="0"/>
          <w:numId w:val="0"/>
        </w:numPr>
        <w:spacing w:after="0"/>
        <w:jc w:val="center"/>
        <w:rPr>
          <w:caps/>
          <w:lang w:val="es-ES_tradnl"/>
        </w:rPr>
      </w:pPr>
      <w:r w:rsidRPr="00B00F07">
        <w:rPr>
          <w:caps/>
          <w:lang w:val="es-ES_tradnl"/>
        </w:rPr>
        <w:fldChar w:fldCharType="end"/>
      </w:r>
      <w:r w:rsidR="00B87739">
        <w:rPr>
          <w:caps/>
          <w:lang w:val="es-ES_tradnl"/>
        </w:rPr>
        <w:br w:type="page"/>
      </w:r>
    </w:p>
    <w:p w:rsidR="004B16B0" w:rsidRPr="00B00F07" w:rsidRDefault="004B16B0" w:rsidP="004B16B0">
      <w:pPr>
        <w:pStyle w:val="LegTitle"/>
        <w:rPr>
          <w:rStyle w:val="LegInsertedText"/>
          <w:color w:val="auto"/>
          <w:u w:val="none"/>
          <w:lang w:val="es-ES_tradnl"/>
        </w:rPr>
      </w:pPr>
      <w:bookmarkStart w:id="7" w:name="_Toc511121974"/>
      <w:bookmarkStart w:id="8" w:name="_Toc513631742"/>
      <w:r w:rsidRPr="00B00F07">
        <w:rPr>
          <w:rStyle w:val="LegInsertedText"/>
          <w:color w:val="auto"/>
          <w:u w:val="none"/>
          <w:lang w:val="es-ES_tradnl"/>
        </w:rPr>
        <w:lastRenderedPageBreak/>
        <w:t>R</w:t>
      </w:r>
      <w:r w:rsidR="00990FB0" w:rsidRPr="00B00F07">
        <w:rPr>
          <w:rStyle w:val="LegInsertedText"/>
          <w:color w:val="auto"/>
          <w:u w:val="none"/>
          <w:lang w:val="es-ES_tradnl"/>
        </w:rPr>
        <w:t>egla</w:t>
      </w:r>
      <w:r w:rsidRPr="00B00F07">
        <w:rPr>
          <w:rStyle w:val="LegInsertedText"/>
          <w:color w:val="auto"/>
          <w:u w:val="none"/>
          <w:lang w:val="es-ES_tradnl"/>
        </w:rPr>
        <w:t xml:space="preserve"> 80</w:t>
      </w:r>
      <w:r w:rsidRPr="00B00F07">
        <w:rPr>
          <w:rStyle w:val="LegInsertedText"/>
          <w:color w:val="auto"/>
          <w:u w:val="none"/>
          <w:lang w:val="es-ES_tradnl"/>
        </w:rPr>
        <w:br/>
      </w:r>
      <w:bookmarkEnd w:id="7"/>
      <w:r w:rsidR="00990FB0" w:rsidRPr="00B00F07">
        <w:rPr>
          <w:rStyle w:val="LegInsertedText"/>
          <w:color w:val="auto"/>
          <w:u w:val="none"/>
          <w:lang w:val="es-ES_tradnl"/>
        </w:rPr>
        <w:t>Cómputo de los plazos</w:t>
      </w:r>
      <w:bookmarkEnd w:id="8"/>
    </w:p>
    <w:p w:rsidR="004B16B0" w:rsidRPr="00B00F07" w:rsidRDefault="004B16B0" w:rsidP="00B87739">
      <w:pPr>
        <w:pStyle w:val="LegSubRule"/>
        <w:tabs>
          <w:tab w:val="left" w:pos="1134"/>
        </w:tabs>
        <w:spacing w:line="360" w:lineRule="auto"/>
        <w:rPr>
          <w:rStyle w:val="LegInsertedText"/>
          <w:color w:val="auto"/>
          <w:u w:val="none"/>
          <w:lang w:val="es-ES_tradnl"/>
        </w:rPr>
      </w:pPr>
      <w:bookmarkStart w:id="9" w:name="_Toc511121975"/>
      <w:bookmarkStart w:id="10" w:name="_Toc513631743"/>
      <w:r w:rsidRPr="00B00F07">
        <w:rPr>
          <w:rStyle w:val="LegInsertedText"/>
          <w:color w:val="auto"/>
          <w:u w:val="none"/>
          <w:lang w:val="es-ES_tradnl"/>
        </w:rPr>
        <w:t xml:space="preserve">80.1 </w:t>
      </w:r>
      <w:r w:rsidR="00990FB0" w:rsidRPr="00B00F07">
        <w:rPr>
          <w:rStyle w:val="LegInsertedText"/>
          <w:color w:val="auto"/>
          <w:u w:val="none"/>
          <w:lang w:val="es-ES_tradnl"/>
        </w:rPr>
        <w:t>a</w:t>
      </w:r>
      <w:r w:rsidRPr="00B00F07">
        <w:rPr>
          <w:rStyle w:val="LegInsertedText"/>
          <w:color w:val="auto"/>
          <w:u w:val="none"/>
          <w:lang w:val="es-ES_tradnl"/>
        </w:rPr>
        <w:t xml:space="preserve"> 80.4</w:t>
      </w:r>
      <w:r w:rsidR="00B87739">
        <w:rPr>
          <w:rStyle w:val="LegInsertedText"/>
          <w:color w:val="auto"/>
          <w:u w:val="none"/>
          <w:lang w:val="es-ES_tradnl"/>
        </w:rPr>
        <w:t xml:space="preserve"> </w:t>
      </w:r>
      <w:r w:rsidRPr="00B00F07">
        <w:rPr>
          <w:rStyle w:val="LegInsertedText"/>
          <w:i/>
          <w:color w:val="auto"/>
          <w:u w:val="none"/>
          <w:lang w:val="es-ES_tradnl"/>
        </w:rPr>
        <w:t>[</w:t>
      </w:r>
      <w:r w:rsidR="00990FB0" w:rsidRPr="00B00F07">
        <w:rPr>
          <w:rStyle w:val="LegInsertedText"/>
          <w:i/>
          <w:color w:val="auto"/>
          <w:u w:val="none"/>
          <w:lang w:val="es-ES_tradnl"/>
        </w:rPr>
        <w:t>Sin cambios</w:t>
      </w:r>
      <w:r w:rsidRPr="00B00F07">
        <w:rPr>
          <w:rStyle w:val="LegInsertedText"/>
          <w:i/>
          <w:color w:val="auto"/>
          <w:u w:val="none"/>
          <w:lang w:val="es-ES_tradnl"/>
        </w:rPr>
        <w:t>]</w:t>
      </w:r>
      <w:bookmarkEnd w:id="9"/>
      <w:bookmarkEnd w:id="10"/>
    </w:p>
    <w:p w:rsidR="004B16B0" w:rsidRPr="00B00F07" w:rsidRDefault="004B16B0" w:rsidP="00B87739">
      <w:pPr>
        <w:pStyle w:val="LegSubRule"/>
        <w:spacing w:line="360" w:lineRule="auto"/>
        <w:rPr>
          <w:rStyle w:val="LegInsertedText"/>
          <w:color w:val="auto"/>
          <w:u w:val="none"/>
          <w:lang w:val="es-ES_tradnl"/>
        </w:rPr>
      </w:pPr>
      <w:bookmarkStart w:id="11" w:name="_Toc513631744"/>
      <w:r w:rsidRPr="00B00F07">
        <w:rPr>
          <w:rStyle w:val="LegInsertedText"/>
          <w:color w:val="auto"/>
          <w:u w:val="none"/>
          <w:lang w:val="es-ES_tradnl"/>
        </w:rPr>
        <w:t>80.5</w:t>
      </w:r>
      <w:r w:rsidR="00B87739">
        <w:rPr>
          <w:rStyle w:val="LegInsertedText"/>
          <w:color w:val="auto"/>
          <w:u w:val="none"/>
          <w:lang w:val="es-ES_tradnl"/>
        </w:rPr>
        <w:t xml:space="preserve"> </w:t>
      </w:r>
      <w:r w:rsidR="00990FB0" w:rsidRPr="00B00F07">
        <w:rPr>
          <w:rStyle w:val="LegInsertedText"/>
          <w:i/>
          <w:color w:val="auto"/>
          <w:u w:val="none"/>
          <w:lang w:val="es-ES_tradnl"/>
        </w:rPr>
        <w:t>Vencimiento en un día no laborable o en fiesta oficial</w:t>
      </w:r>
      <w:bookmarkEnd w:id="11"/>
    </w:p>
    <w:p w:rsidR="004B16B0" w:rsidRPr="00B00F07" w:rsidRDefault="004B16B0" w:rsidP="00B87739">
      <w:pPr>
        <w:pStyle w:val="Lega"/>
        <w:spacing w:line="360" w:lineRule="auto"/>
        <w:rPr>
          <w:lang w:val="es-ES_tradnl"/>
        </w:rPr>
      </w:pPr>
      <w:r w:rsidRPr="00B00F07">
        <w:rPr>
          <w:lang w:val="es-ES_tradnl"/>
        </w:rPr>
        <w:tab/>
      </w:r>
      <w:r w:rsidR="00990FB0" w:rsidRPr="00B00F07">
        <w:rPr>
          <w:lang w:val="es-ES_tradnl"/>
        </w:rPr>
        <w:t xml:space="preserve">Si un plazo durante el que un documento o una tasa </w:t>
      </w:r>
      <w:r w:rsidR="00B00F07" w:rsidRPr="00B00F07">
        <w:rPr>
          <w:lang w:val="es-ES_tradnl"/>
        </w:rPr>
        <w:t>deben</w:t>
      </w:r>
      <w:r w:rsidR="00990FB0" w:rsidRPr="00B00F07">
        <w:rPr>
          <w:lang w:val="es-ES_tradnl"/>
        </w:rPr>
        <w:t xml:space="preserve"> llegar a una Oficina nacional o a una organización intergubernamental venciese</w:t>
      </w:r>
      <w:r w:rsidRPr="00B00F07">
        <w:rPr>
          <w:lang w:val="es-ES_tradnl"/>
        </w:rPr>
        <w:t>:</w:t>
      </w:r>
      <w:r w:rsidR="00B87739">
        <w:rPr>
          <w:lang w:val="es-ES_tradnl"/>
        </w:rPr>
        <w:t xml:space="preserve"> </w:t>
      </w:r>
    </w:p>
    <w:p w:rsidR="004B16B0" w:rsidRPr="00B00F07" w:rsidRDefault="004B16B0" w:rsidP="00B87739">
      <w:pPr>
        <w:pStyle w:val="Legali"/>
        <w:tabs>
          <w:tab w:val="clear" w:pos="454"/>
          <w:tab w:val="left" w:pos="709"/>
        </w:tabs>
        <w:spacing w:line="360" w:lineRule="auto"/>
        <w:ind w:left="1276" w:hanging="1134"/>
        <w:rPr>
          <w:lang w:val="es-ES_tradnl"/>
        </w:rPr>
      </w:pPr>
      <w:r w:rsidRPr="00B00F07">
        <w:rPr>
          <w:lang w:val="es-ES_tradnl"/>
        </w:rPr>
        <w:tab/>
        <w:t>i)</w:t>
      </w:r>
      <w:r w:rsidRPr="00B00F07">
        <w:rPr>
          <w:lang w:val="es-ES_tradnl"/>
        </w:rPr>
        <w:tab/>
      </w:r>
      <w:r w:rsidRPr="00B00F07">
        <w:rPr>
          <w:i/>
          <w:lang w:val="es-ES_tradnl"/>
        </w:rPr>
        <w:t>[</w:t>
      </w:r>
      <w:r w:rsidR="00990FB0" w:rsidRPr="00B00F07">
        <w:rPr>
          <w:i/>
          <w:lang w:val="es-ES_tradnl"/>
        </w:rPr>
        <w:t>Sin cambios</w:t>
      </w:r>
      <w:r w:rsidRPr="00B00F07">
        <w:rPr>
          <w:i/>
          <w:lang w:val="es-ES_tradnl"/>
        </w:rPr>
        <w:t>]</w:t>
      </w:r>
      <w:r w:rsidRPr="00B00F07">
        <w:rPr>
          <w:lang w:val="es-ES_tradnl"/>
        </w:rPr>
        <w:t xml:space="preserve"> </w:t>
      </w:r>
      <w:r w:rsidR="00990FB0" w:rsidRPr="00B00F07">
        <w:rPr>
          <w:lang w:val="es-ES_tradnl"/>
        </w:rPr>
        <w:t>un día en que la Oficina o la organización no estuviera abierta a efectos oficiales</w:t>
      </w:r>
      <w:r w:rsidRPr="00B00F07">
        <w:rPr>
          <w:lang w:val="es-ES_tradnl"/>
        </w:rPr>
        <w:t>;</w:t>
      </w:r>
    </w:p>
    <w:p w:rsidR="004B16B0" w:rsidRPr="00B00F07" w:rsidRDefault="004B16B0" w:rsidP="00B87739">
      <w:pPr>
        <w:pStyle w:val="Legali"/>
        <w:tabs>
          <w:tab w:val="clear" w:pos="454"/>
          <w:tab w:val="left" w:pos="709"/>
        </w:tabs>
        <w:spacing w:line="360" w:lineRule="auto"/>
        <w:ind w:left="1276" w:hanging="1134"/>
        <w:rPr>
          <w:lang w:val="es-ES_tradnl"/>
        </w:rPr>
      </w:pPr>
      <w:r w:rsidRPr="00B00F07">
        <w:rPr>
          <w:lang w:val="es-ES_tradnl"/>
        </w:rPr>
        <w:tab/>
        <w:t>ii)</w:t>
      </w:r>
      <w:r w:rsidRPr="00B00F07">
        <w:rPr>
          <w:lang w:val="es-ES_tradnl"/>
        </w:rPr>
        <w:tab/>
      </w:r>
      <w:r w:rsidRPr="00B00F07">
        <w:rPr>
          <w:i/>
          <w:lang w:val="es-ES_tradnl"/>
        </w:rPr>
        <w:t>[</w:t>
      </w:r>
      <w:r w:rsidR="00990FB0" w:rsidRPr="00B00F07">
        <w:rPr>
          <w:i/>
          <w:lang w:val="es-ES_tradnl"/>
        </w:rPr>
        <w:t>Sin cambios</w:t>
      </w:r>
      <w:r w:rsidRPr="00B00F07">
        <w:rPr>
          <w:i/>
          <w:lang w:val="es-ES_tradnl"/>
        </w:rPr>
        <w:t>]</w:t>
      </w:r>
      <w:r w:rsidRPr="00B00F07">
        <w:rPr>
          <w:lang w:val="es-ES_tradnl"/>
        </w:rPr>
        <w:t xml:space="preserve"> </w:t>
      </w:r>
      <w:r w:rsidR="0010176B" w:rsidRPr="00B00F07">
        <w:rPr>
          <w:lang w:val="es-ES_tradnl"/>
        </w:rPr>
        <w:t>o un día en que el correo ordinario no se reparta en la localidad donde la Oficina u organización esté situada</w:t>
      </w:r>
      <w:r w:rsidRPr="00B00F07">
        <w:rPr>
          <w:lang w:val="es-ES_tradnl"/>
        </w:rPr>
        <w:t>;</w:t>
      </w:r>
    </w:p>
    <w:p w:rsidR="004B16B0" w:rsidRPr="00B00F07" w:rsidRDefault="004B16B0" w:rsidP="00B87739">
      <w:pPr>
        <w:pStyle w:val="Lega"/>
        <w:tabs>
          <w:tab w:val="clear" w:pos="454"/>
          <w:tab w:val="left" w:pos="709"/>
        </w:tabs>
        <w:spacing w:line="360" w:lineRule="auto"/>
        <w:ind w:left="1276" w:hanging="1134"/>
        <w:rPr>
          <w:lang w:val="es-ES_tradnl"/>
        </w:rPr>
      </w:pPr>
      <w:r w:rsidRPr="00B00F07">
        <w:rPr>
          <w:lang w:val="es-ES_tradnl"/>
        </w:rPr>
        <w:tab/>
      </w:r>
      <w:r w:rsidRPr="00B00F07">
        <w:rPr>
          <w:rStyle w:val="RDeletedText"/>
          <w:strike w:val="0"/>
          <w:color w:val="auto"/>
          <w:lang w:val="es-ES_tradnl"/>
        </w:rPr>
        <w:t>iii</w:t>
      </w:r>
      <w:r w:rsidRPr="00B00F07">
        <w:rPr>
          <w:lang w:val="es-ES_tradnl"/>
        </w:rPr>
        <w:t>)</w:t>
      </w:r>
      <w:r w:rsidRPr="00B00F07">
        <w:rPr>
          <w:lang w:val="es-ES_tradnl"/>
        </w:rPr>
        <w:tab/>
      </w:r>
      <w:r w:rsidRPr="00B00F07">
        <w:rPr>
          <w:rStyle w:val="LegInsertedText"/>
          <w:lang w:val="es-ES_tradnl"/>
        </w:rPr>
        <w:t>o</w:t>
      </w:r>
      <w:r w:rsidR="0010176B" w:rsidRPr="00B00F07">
        <w:rPr>
          <w:rStyle w:val="LegInsertedText"/>
          <w:lang w:val="es-ES_tradnl"/>
        </w:rPr>
        <w:t xml:space="preserve"> un día, determinado por la Oficina o la organización, en que </w:t>
      </w:r>
      <w:r w:rsidR="00B25722" w:rsidRPr="00B00F07">
        <w:rPr>
          <w:rStyle w:val="LegInsertedText"/>
          <w:lang w:val="es-ES_tradnl"/>
        </w:rPr>
        <w:t xml:space="preserve">no puedan recibirse </w:t>
      </w:r>
      <w:r w:rsidR="0010176B" w:rsidRPr="00B00F07">
        <w:rPr>
          <w:rStyle w:val="LegInsertedText"/>
          <w:lang w:val="es-ES_tradnl"/>
        </w:rPr>
        <w:t>los documentos presentados por uno de los medios de comunicación electrónica permitidos</w:t>
      </w:r>
      <w:r w:rsidRPr="00B00F07">
        <w:rPr>
          <w:rStyle w:val="LegInsertedText"/>
          <w:lang w:val="es-ES_tradnl"/>
        </w:rPr>
        <w:t>;</w:t>
      </w:r>
    </w:p>
    <w:p w:rsidR="004B16B0" w:rsidRPr="00B00F07" w:rsidRDefault="004B16B0" w:rsidP="00B87739">
      <w:pPr>
        <w:pStyle w:val="Legali"/>
        <w:tabs>
          <w:tab w:val="clear" w:pos="454"/>
          <w:tab w:val="left" w:pos="709"/>
          <w:tab w:val="left" w:pos="1276"/>
        </w:tabs>
        <w:spacing w:line="360" w:lineRule="auto"/>
        <w:ind w:left="1276" w:hanging="1134"/>
        <w:rPr>
          <w:lang w:val="es-ES_tradnl"/>
        </w:rPr>
      </w:pPr>
      <w:r w:rsidRPr="00B00F07">
        <w:rPr>
          <w:lang w:val="es-ES_tradnl"/>
        </w:rPr>
        <w:tab/>
      </w:r>
      <w:r w:rsidRPr="00B00F07">
        <w:rPr>
          <w:rStyle w:val="RDeletedText"/>
          <w:lang w:val="es-ES_tradnl"/>
        </w:rPr>
        <w:t>iii</w:t>
      </w:r>
      <w:r w:rsidRPr="00B00F07">
        <w:rPr>
          <w:rStyle w:val="LegInsertedText"/>
          <w:lang w:val="es-ES_tradnl"/>
        </w:rPr>
        <w:t>iv</w:t>
      </w:r>
      <w:r w:rsidRPr="00B00F07">
        <w:rPr>
          <w:lang w:val="es-ES_tradnl"/>
        </w:rPr>
        <w:t>)</w:t>
      </w:r>
      <w:r w:rsidRPr="00B00F07">
        <w:rPr>
          <w:lang w:val="es-ES_tradnl"/>
        </w:rPr>
        <w:tab/>
      </w:r>
      <w:r w:rsidR="0010176B" w:rsidRPr="00B00F07">
        <w:rPr>
          <w:lang w:val="es-ES_tradnl"/>
        </w:rPr>
        <w:t>o en un día, cuando la Oficina o la organización esté situada en una o más de una localidad, que sea festivo en por lo menos una de las localidades en la cual la Oficina o la organización está situada, y si la ley nacional aplicada por aquella Oficina u organización prevé respecto de las solicitudes nacionales, que en tales casos el plazo venza en un día posterior</w:t>
      </w:r>
      <w:r w:rsidR="00D709B8">
        <w:rPr>
          <w:lang w:val="es-ES_tradnl"/>
        </w:rPr>
        <w:t>;</w:t>
      </w:r>
      <w:r w:rsidRPr="00B00F07">
        <w:rPr>
          <w:lang w:val="es-ES_tradnl"/>
        </w:rPr>
        <w:t xml:space="preserve"> o</w:t>
      </w:r>
    </w:p>
    <w:p w:rsidR="004B16B0" w:rsidRPr="00B00F07" w:rsidRDefault="004B16B0" w:rsidP="00B87739">
      <w:pPr>
        <w:pStyle w:val="Legali"/>
        <w:tabs>
          <w:tab w:val="clear" w:pos="454"/>
          <w:tab w:val="left" w:pos="709"/>
        </w:tabs>
        <w:spacing w:line="360" w:lineRule="auto"/>
        <w:ind w:left="1276" w:hanging="1134"/>
        <w:rPr>
          <w:lang w:val="es-ES_tradnl"/>
        </w:rPr>
      </w:pPr>
      <w:r w:rsidRPr="00B00F07">
        <w:rPr>
          <w:lang w:val="es-ES_tradnl"/>
        </w:rPr>
        <w:tab/>
      </w:r>
      <w:r w:rsidRPr="00B00F07">
        <w:rPr>
          <w:rStyle w:val="RDeletedText"/>
          <w:lang w:val="es-ES_tradnl"/>
        </w:rPr>
        <w:t>i</w:t>
      </w:r>
      <w:r w:rsidRPr="00B00F07">
        <w:rPr>
          <w:lang w:val="es-ES_tradnl"/>
        </w:rPr>
        <w:t>v)</w:t>
      </w:r>
      <w:r w:rsidRPr="00B00F07">
        <w:rPr>
          <w:lang w:val="es-ES_tradnl"/>
        </w:rPr>
        <w:tab/>
      </w:r>
      <w:r w:rsidR="0010176B" w:rsidRPr="00B00F07">
        <w:rPr>
          <w:lang w:val="es-ES_tradnl"/>
        </w:rPr>
        <w:t xml:space="preserve">o en un día, cuando la Oficina sea la Administración de un Estado Contratante encargada de la concesión de patentes, que sea festivo en parte de ese Estado y si la ley nacional aplicable por aquella Oficina prevé </w:t>
      </w:r>
      <w:r w:rsidR="00B00F07" w:rsidRPr="00B00F07">
        <w:rPr>
          <w:lang w:val="es-ES_tradnl"/>
        </w:rPr>
        <w:t>respecto</w:t>
      </w:r>
      <w:r w:rsidR="0010176B" w:rsidRPr="00B00F07">
        <w:rPr>
          <w:lang w:val="es-ES_tradnl"/>
        </w:rPr>
        <w:t xml:space="preserve"> a solicitudes nacionales que, en tales casos, el plazo venza en un día posterior</w:t>
      </w:r>
      <w:r w:rsidRPr="00B00F07">
        <w:rPr>
          <w:lang w:val="es-ES_tradnl"/>
        </w:rPr>
        <w:t>;</w:t>
      </w:r>
    </w:p>
    <w:p w:rsidR="004B16B0" w:rsidRPr="00B00F07" w:rsidRDefault="0010176B" w:rsidP="00B87739">
      <w:pPr>
        <w:pStyle w:val="Lega"/>
        <w:spacing w:line="360" w:lineRule="auto"/>
        <w:rPr>
          <w:lang w:val="es-ES_tradnl"/>
        </w:rPr>
      </w:pPr>
      <w:r w:rsidRPr="00B00F07">
        <w:rPr>
          <w:lang w:val="es-ES_tradnl"/>
        </w:rPr>
        <w:t xml:space="preserve">el plazo vencerá el primer día posterior en que no concurra ninguna de las </w:t>
      </w:r>
      <w:r w:rsidRPr="00B00F07">
        <w:rPr>
          <w:rStyle w:val="RDeletedText"/>
          <w:lang w:val="es-ES_tradnl"/>
        </w:rPr>
        <w:t>cuatro</w:t>
      </w:r>
      <w:r w:rsidR="004B16B0" w:rsidRPr="00B00F07">
        <w:rPr>
          <w:lang w:val="es-ES_tradnl"/>
        </w:rPr>
        <w:t xml:space="preserve"> </w:t>
      </w:r>
      <w:r w:rsidRPr="00B00F07">
        <w:rPr>
          <w:rStyle w:val="LegInsertedText"/>
          <w:lang w:val="es-ES_tradnl"/>
        </w:rPr>
        <w:t>cinco</w:t>
      </w:r>
      <w:r w:rsidR="004B16B0" w:rsidRPr="00B00F07">
        <w:rPr>
          <w:lang w:val="es-ES_tradnl"/>
        </w:rPr>
        <w:t xml:space="preserve"> circu</w:t>
      </w:r>
      <w:r w:rsidRPr="00B00F07">
        <w:rPr>
          <w:lang w:val="es-ES_tradnl"/>
        </w:rPr>
        <w:t>nstancias mencionadas arriba</w:t>
      </w:r>
      <w:r w:rsidR="004B16B0" w:rsidRPr="00B00F07">
        <w:rPr>
          <w:lang w:val="es-ES_tradnl"/>
        </w:rPr>
        <w:t>.</w:t>
      </w:r>
    </w:p>
    <w:p w:rsidR="004B16B0" w:rsidRPr="00B00F07" w:rsidRDefault="004B16B0" w:rsidP="00B87739">
      <w:pPr>
        <w:pStyle w:val="LegSubRule"/>
        <w:spacing w:line="360" w:lineRule="auto"/>
        <w:rPr>
          <w:rStyle w:val="LegInsertedText"/>
          <w:i/>
          <w:color w:val="auto"/>
          <w:u w:val="none"/>
          <w:lang w:val="es-ES_tradnl"/>
        </w:rPr>
      </w:pPr>
      <w:bookmarkStart w:id="12" w:name="_Toc513631745"/>
      <w:r w:rsidRPr="00B00F07">
        <w:rPr>
          <w:rStyle w:val="LegInsertedText"/>
          <w:color w:val="auto"/>
          <w:u w:val="none"/>
          <w:lang w:val="es-ES_tradnl"/>
        </w:rPr>
        <w:t xml:space="preserve">80.6 </w:t>
      </w:r>
      <w:r w:rsidR="0010176B" w:rsidRPr="00B00F07">
        <w:rPr>
          <w:rStyle w:val="LegInsertedText"/>
          <w:color w:val="auto"/>
          <w:u w:val="none"/>
          <w:lang w:val="es-ES_tradnl"/>
        </w:rPr>
        <w:t>y</w:t>
      </w:r>
      <w:r w:rsidRPr="00B00F07">
        <w:rPr>
          <w:rStyle w:val="LegInsertedText"/>
          <w:color w:val="auto"/>
          <w:u w:val="none"/>
          <w:lang w:val="es-ES_tradnl"/>
        </w:rPr>
        <w:t xml:space="preserve"> 80.7</w:t>
      </w:r>
      <w:r w:rsidR="00B87739">
        <w:rPr>
          <w:rStyle w:val="LegInsertedText"/>
          <w:color w:val="auto"/>
          <w:u w:val="none"/>
          <w:lang w:val="es-ES_tradnl"/>
        </w:rPr>
        <w:t xml:space="preserve"> </w:t>
      </w:r>
      <w:r w:rsidRPr="00B00F07">
        <w:rPr>
          <w:rStyle w:val="LegInsertedText"/>
          <w:i/>
          <w:color w:val="auto"/>
          <w:u w:val="none"/>
          <w:lang w:val="es-ES_tradnl"/>
        </w:rPr>
        <w:t>[</w:t>
      </w:r>
      <w:r w:rsidR="0010176B" w:rsidRPr="00B00F07">
        <w:rPr>
          <w:rStyle w:val="LegInsertedText"/>
          <w:i/>
          <w:color w:val="auto"/>
          <w:u w:val="none"/>
          <w:lang w:val="es-ES_tradnl"/>
        </w:rPr>
        <w:t>Sin cambios</w:t>
      </w:r>
      <w:r w:rsidRPr="00B00F07">
        <w:rPr>
          <w:rStyle w:val="LegInsertedText"/>
          <w:i/>
          <w:color w:val="auto"/>
          <w:u w:val="none"/>
          <w:lang w:val="es-ES_tradnl"/>
        </w:rPr>
        <w:t>]</w:t>
      </w:r>
      <w:bookmarkEnd w:id="12"/>
    </w:p>
    <w:p w:rsidR="00152CEA" w:rsidRPr="00B00F07" w:rsidRDefault="004B16B0" w:rsidP="00B87739">
      <w:pPr>
        <w:spacing w:before="600"/>
        <w:ind w:left="4536" w:firstLine="567"/>
        <w:rPr>
          <w:lang w:val="es-ES_tradnl"/>
        </w:rPr>
      </w:pPr>
      <w:r w:rsidRPr="00B00F07">
        <w:rPr>
          <w:rStyle w:val="LegInsertedText"/>
          <w:color w:val="auto"/>
          <w:u w:val="none"/>
          <w:lang w:val="es-ES_tradnl"/>
        </w:rPr>
        <w:t>[</w:t>
      </w:r>
      <w:r w:rsidR="0010176B" w:rsidRPr="00B00F07">
        <w:rPr>
          <w:rStyle w:val="LegInsertedText"/>
          <w:color w:val="auto"/>
          <w:u w:val="none"/>
          <w:lang w:val="es-ES_tradnl"/>
        </w:rPr>
        <w:t xml:space="preserve">Fin del </w:t>
      </w:r>
      <w:r w:rsidR="00B87739">
        <w:rPr>
          <w:rStyle w:val="LegInsertedText"/>
          <w:color w:val="auto"/>
          <w:u w:val="none"/>
          <w:lang w:val="es-ES_tradnl"/>
        </w:rPr>
        <w:t xml:space="preserve">Anexo y del </w:t>
      </w:r>
      <w:r w:rsidR="0010176B" w:rsidRPr="00B00F07">
        <w:rPr>
          <w:rStyle w:val="LegInsertedText"/>
          <w:color w:val="auto"/>
          <w:u w:val="none"/>
          <w:lang w:val="es-ES_tradnl"/>
        </w:rPr>
        <w:t>documento</w:t>
      </w:r>
      <w:r w:rsidRPr="00B00F07">
        <w:rPr>
          <w:rStyle w:val="LegInsertedText"/>
          <w:color w:val="auto"/>
          <w:u w:val="none"/>
          <w:lang w:val="es-ES_tradnl"/>
        </w:rPr>
        <w:t>]</w:t>
      </w:r>
    </w:p>
    <w:sectPr w:rsidR="00152CEA" w:rsidRPr="00B00F07" w:rsidSect="009043C6">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B0" w:rsidRDefault="004B16B0">
      <w:r>
        <w:separator/>
      </w:r>
    </w:p>
  </w:endnote>
  <w:endnote w:type="continuationSeparator" w:id="0">
    <w:p w:rsidR="004B16B0" w:rsidRPr="009D30E6" w:rsidRDefault="004B16B0" w:rsidP="007E663E">
      <w:pPr>
        <w:rPr>
          <w:sz w:val="17"/>
          <w:szCs w:val="17"/>
        </w:rPr>
      </w:pPr>
      <w:r w:rsidRPr="009D30E6">
        <w:rPr>
          <w:sz w:val="17"/>
          <w:szCs w:val="17"/>
        </w:rPr>
        <w:separator/>
      </w:r>
    </w:p>
    <w:p w:rsidR="004B16B0" w:rsidRPr="007E663E" w:rsidRDefault="004B16B0" w:rsidP="007E663E">
      <w:pPr>
        <w:spacing w:after="60"/>
        <w:rPr>
          <w:sz w:val="17"/>
          <w:szCs w:val="17"/>
        </w:rPr>
      </w:pPr>
      <w:r>
        <w:rPr>
          <w:sz w:val="17"/>
        </w:rPr>
        <w:t>[Continuación de la nota de la página anterior]</w:t>
      </w:r>
    </w:p>
  </w:endnote>
  <w:endnote w:type="continuationNotice" w:id="1">
    <w:p w:rsidR="004B16B0" w:rsidRPr="007E663E" w:rsidRDefault="004B16B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B0" w:rsidRDefault="004B16B0">
      <w:r>
        <w:separator/>
      </w:r>
    </w:p>
  </w:footnote>
  <w:footnote w:type="continuationSeparator" w:id="0">
    <w:p w:rsidR="004B16B0" w:rsidRPr="009D30E6" w:rsidRDefault="004B16B0" w:rsidP="007E663E">
      <w:pPr>
        <w:rPr>
          <w:sz w:val="17"/>
          <w:szCs w:val="17"/>
        </w:rPr>
      </w:pPr>
      <w:r w:rsidRPr="009D30E6">
        <w:rPr>
          <w:sz w:val="17"/>
          <w:szCs w:val="17"/>
        </w:rPr>
        <w:separator/>
      </w:r>
    </w:p>
    <w:p w:rsidR="004B16B0" w:rsidRPr="007E663E" w:rsidRDefault="004B16B0" w:rsidP="007E663E">
      <w:pPr>
        <w:spacing w:after="60"/>
        <w:rPr>
          <w:sz w:val="17"/>
          <w:szCs w:val="17"/>
        </w:rPr>
      </w:pPr>
      <w:r>
        <w:rPr>
          <w:sz w:val="17"/>
        </w:rPr>
        <w:t>[Continuación de la nota de la página anterior]</w:t>
      </w:r>
    </w:p>
  </w:footnote>
  <w:footnote w:type="continuationNotice" w:id="1">
    <w:p w:rsidR="004B16B0" w:rsidRPr="007E663E" w:rsidRDefault="004B16B0" w:rsidP="007E663E">
      <w:pPr>
        <w:spacing w:before="60"/>
        <w:jc w:val="right"/>
        <w:rPr>
          <w:sz w:val="17"/>
          <w:szCs w:val="17"/>
        </w:rPr>
      </w:pPr>
      <w:r w:rsidRPr="007E663E">
        <w:rPr>
          <w:sz w:val="17"/>
          <w:szCs w:val="17"/>
        </w:rPr>
        <w:t>[Sigue la nota en la página siguiente]</w:t>
      </w:r>
    </w:p>
  </w:footnote>
  <w:footnote w:id="2">
    <w:p w:rsidR="004B16B0" w:rsidRDefault="004B16B0" w:rsidP="004B16B0">
      <w:pPr>
        <w:pStyle w:val="FootnoteText"/>
        <w:tabs>
          <w:tab w:val="left" w:pos="567"/>
        </w:tabs>
      </w:pPr>
      <w:r>
        <w:rPr>
          <w:rStyle w:val="FootnoteReference"/>
        </w:rPr>
        <w:footnoteRef/>
      </w:r>
      <w:r>
        <w:t xml:space="preserve"> </w:t>
      </w:r>
      <w:r>
        <w:tab/>
      </w:r>
      <w:r w:rsidR="00990FB0" w:rsidRPr="00990FB0">
        <w:t>El texto que se propone añadir aparece subrayado</w:t>
      </w:r>
      <w:r w:rsidR="00B25722">
        <w:t>,</w:t>
      </w:r>
      <w:r w:rsidR="00990FB0" w:rsidRPr="00990FB0">
        <w:t xml:space="preserve"> mientras que el que se propone suprimir aparece tachado</w:t>
      </w:r>
      <w:r>
        <w:t>.</w:t>
      </w:r>
      <w:r w:rsidR="00B8773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4B16B0" w:rsidP="00477D6B">
    <w:pPr>
      <w:jc w:val="right"/>
    </w:pPr>
    <w:bookmarkStart w:id="6" w:name="Code2"/>
    <w:bookmarkEnd w:id="6"/>
    <w:r>
      <w:t>PCT/WG/11/19</w:t>
    </w:r>
  </w:p>
  <w:p w:rsidR="00AE7F20" w:rsidRDefault="009043C6" w:rsidP="00477D6B">
    <w:pPr>
      <w:jc w:val="right"/>
    </w:pPr>
    <w:r>
      <w:t xml:space="preserve">página </w:t>
    </w:r>
    <w:r>
      <w:fldChar w:fldCharType="begin"/>
    </w:r>
    <w:r>
      <w:instrText xml:space="preserve"> PAGE   \* MERGEFORMAT </w:instrText>
    </w:r>
    <w:r>
      <w:fldChar w:fldCharType="separate"/>
    </w:r>
    <w:r w:rsidR="006C2A1C">
      <w:rPr>
        <w:noProof/>
      </w:rPr>
      <w:t>2</w:t>
    </w:r>
    <w:r>
      <w:rPr>
        <w:noProof/>
      </w:rPr>
      <w:fldChar w:fldCharType="end"/>
    </w:r>
  </w:p>
  <w:p w:rsidR="00EC1AA7" w:rsidRDefault="00EC1AA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C6" w:rsidRDefault="009043C6" w:rsidP="00477D6B">
    <w:pPr>
      <w:jc w:val="right"/>
    </w:pPr>
    <w:r>
      <w:t>PCT/WG/11/19</w:t>
    </w:r>
  </w:p>
  <w:p w:rsidR="009043C6" w:rsidRDefault="009043C6" w:rsidP="00477D6B">
    <w:pPr>
      <w:jc w:val="right"/>
    </w:pPr>
    <w:r>
      <w:t xml:space="preserve">Anexo, página </w:t>
    </w:r>
    <w:r>
      <w:fldChar w:fldCharType="begin"/>
    </w:r>
    <w:r>
      <w:instrText xml:space="preserve"> PAGE   \* MERGEFORMAT </w:instrText>
    </w:r>
    <w:r>
      <w:fldChar w:fldCharType="separate"/>
    </w:r>
    <w:r w:rsidR="006C2A1C">
      <w:rPr>
        <w:noProof/>
      </w:rPr>
      <w:t>2</w:t>
    </w:r>
    <w:r>
      <w:rPr>
        <w:noProof/>
      </w:rPr>
      <w:fldChar w:fldCharType="end"/>
    </w:r>
  </w:p>
  <w:p w:rsidR="009043C6" w:rsidRDefault="009043C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C6" w:rsidRDefault="009043C6" w:rsidP="009043C6">
    <w:pPr>
      <w:pStyle w:val="Header"/>
      <w:jc w:val="right"/>
    </w:pPr>
    <w:r>
      <w:t>PCT/WG/11/19</w:t>
    </w:r>
  </w:p>
  <w:p w:rsidR="009043C6" w:rsidRDefault="009043C6" w:rsidP="009043C6">
    <w:pPr>
      <w:pStyle w:val="Header"/>
      <w:jc w:val="right"/>
    </w:pPr>
    <w:r>
      <w:t>ANEXO</w:t>
    </w:r>
  </w:p>
  <w:p w:rsidR="009043C6" w:rsidRDefault="009043C6" w:rsidP="009043C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B0"/>
    <w:rsid w:val="00010686"/>
    <w:rsid w:val="00052915"/>
    <w:rsid w:val="000A2F22"/>
    <w:rsid w:val="000C6ED7"/>
    <w:rsid w:val="000D67D2"/>
    <w:rsid w:val="000E25FB"/>
    <w:rsid w:val="000E3BB3"/>
    <w:rsid w:val="000F5E56"/>
    <w:rsid w:val="0010176B"/>
    <w:rsid w:val="001259A0"/>
    <w:rsid w:val="001362EE"/>
    <w:rsid w:val="00152CEA"/>
    <w:rsid w:val="001637C7"/>
    <w:rsid w:val="00180027"/>
    <w:rsid w:val="001832A6"/>
    <w:rsid w:val="001C6117"/>
    <w:rsid w:val="00215F3A"/>
    <w:rsid w:val="002634C4"/>
    <w:rsid w:val="002820DB"/>
    <w:rsid w:val="002A6FE0"/>
    <w:rsid w:val="002C2E2F"/>
    <w:rsid w:val="002E0F47"/>
    <w:rsid w:val="002F4E68"/>
    <w:rsid w:val="00310826"/>
    <w:rsid w:val="00341908"/>
    <w:rsid w:val="00354647"/>
    <w:rsid w:val="00377273"/>
    <w:rsid w:val="003845C1"/>
    <w:rsid w:val="00387287"/>
    <w:rsid w:val="003B739A"/>
    <w:rsid w:val="003E48F1"/>
    <w:rsid w:val="003F347A"/>
    <w:rsid w:val="00405774"/>
    <w:rsid w:val="00423E3E"/>
    <w:rsid w:val="004252C0"/>
    <w:rsid w:val="004272A8"/>
    <w:rsid w:val="00427AF4"/>
    <w:rsid w:val="0045231F"/>
    <w:rsid w:val="004647DA"/>
    <w:rsid w:val="0046793F"/>
    <w:rsid w:val="00477808"/>
    <w:rsid w:val="00477D6B"/>
    <w:rsid w:val="004A55EB"/>
    <w:rsid w:val="004A6C37"/>
    <w:rsid w:val="004B16B0"/>
    <w:rsid w:val="004E297D"/>
    <w:rsid w:val="00531B02"/>
    <w:rsid w:val="005332F0"/>
    <w:rsid w:val="0055013B"/>
    <w:rsid w:val="00571B99"/>
    <w:rsid w:val="00591D33"/>
    <w:rsid w:val="005B48C3"/>
    <w:rsid w:val="00605827"/>
    <w:rsid w:val="006215B9"/>
    <w:rsid w:val="00653C24"/>
    <w:rsid w:val="00675021"/>
    <w:rsid w:val="006A06C6"/>
    <w:rsid w:val="006C2A1C"/>
    <w:rsid w:val="007224C8"/>
    <w:rsid w:val="00794BE2"/>
    <w:rsid w:val="007A5581"/>
    <w:rsid w:val="007B71FE"/>
    <w:rsid w:val="007D781E"/>
    <w:rsid w:val="007E663E"/>
    <w:rsid w:val="00815082"/>
    <w:rsid w:val="0088395E"/>
    <w:rsid w:val="008B2CC1"/>
    <w:rsid w:val="008E6BD6"/>
    <w:rsid w:val="009043C6"/>
    <w:rsid w:val="0090731E"/>
    <w:rsid w:val="00916511"/>
    <w:rsid w:val="00935673"/>
    <w:rsid w:val="0094418B"/>
    <w:rsid w:val="00966A22"/>
    <w:rsid w:val="00967DDF"/>
    <w:rsid w:val="00972F03"/>
    <w:rsid w:val="00990FB0"/>
    <w:rsid w:val="009A0C8B"/>
    <w:rsid w:val="009A20CD"/>
    <w:rsid w:val="009B6241"/>
    <w:rsid w:val="00A16FC0"/>
    <w:rsid w:val="00A32C9E"/>
    <w:rsid w:val="00AB613D"/>
    <w:rsid w:val="00AB7071"/>
    <w:rsid w:val="00AE7F20"/>
    <w:rsid w:val="00B00F07"/>
    <w:rsid w:val="00B25722"/>
    <w:rsid w:val="00B319DE"/>
    <w:rsid w:val="00B534D5"/>
    <w:rsid w:val="00B65A0A"/>
    <w:rsid w:val="00B67CDC"/>
    <w:rsid w:val="00B72D36"/>
    <w:rsid w:val="00B87739"/>
    <w:rsid w:val="00BA23A7"/>
    <w:rsid w:val="00BC06BC"/>
    <w:rsid w:val="00BC4164"/>
    <w:rsid w:val="00BD2DCC"/>
    <w:rsid w:val="00C253E8"/>
    <w:rsid w:val="00C60158"/>
    <w:rsid w:val="00C90559"/>
    <w:rsid w:val="00CA2251"/>
    <w:rsid w:val="00D06769"/>
    <w:rsid w:val="00D56C7C"/>
    <w:rsid w:val="00D709B8"/>
    <w:rsid w:val="00D71B4D"/>
    <w:rsid w:val="00D90289"/>
    <w:rsid w:val="00D93D55"/>
    <w:rsid w:val="00DC4C60"/>
    <w:rsid w:val="00E0079A"/>
    <w:rsid w:val="00E058F2"/>
    <w:rsid w:val="00E407F6"/>
    <w:rsid w:val="00E444DA"/>
    <w:rsid w:val="00E45C84"/>
    <w:rsid w:val="00E504E5"/>
    <w:rsid w:val="00E648DD"/>
    <w:rsid w:val="00EB7A3E"/>
    <w:rsid w:val="00EC1AA7"/>
    <w:rsid w:val="00EC401A"/>
    <w:rsid w:val="00EF530A"/>
    <w:rsid w:val="00EF6622"/>
    <w:rsid w:val="00EF78A9"/>
    <w:rsid w:val="00F046EE"/>
    <w:rsid w:val="00F55408"/>
    <w:rsid w:val="00F66152"/>
    <w:rsid w:val="00F80845"/>
    <w:rsid w:val="00F84474"/>
    <w:rsid w:val="00F94081"/>
    <w:rsid w:val="00FA0F0D"/>
    <w:rsid w:val="00FA6650"/>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FootnoteTextChar">
    <w:name w:val="Footnote Text Char"/>
    <w:basedOn w:val="DefaultParagraphFont"/>
    <w:link w:val="FootnoteText"/>
    <w:rsid w:val="004B16B0"/>
    <w:rPr>
      <w:rFonts w:ascii="Arial" w:eastAsia="SimSun" w:hAnsi="Arial" w:cs="Arial"/>
      <w:sz w:val="18"/>
      <w:lang w:val="es-ES" w:eastAsia="zh-CN"/>
    </w:rPr>
  </w:style>
  <w:style w:type="character" w:styleId="FootnoteReference">
    <w:name w:val="footnote reference"/>
    <w:basedOn w:val="DefaultParagraphFont"/>
    <w:unhideWhenUsed/>
    <w:rsid w:val="004B16B0"/>
    <w:rPr>
      <w:vertAlign w:val="superscript"/>
    </w:rPr>
  </w:style>
  <w:style w:type="paragraph" w:customStyle="1" w:styleId="LegTitle">
    <w:name w:val="Leg # Title"/>
    <w:basedOn w:val="Normal"/>
    <w:next w:val="Normal"/>
    <w:rsid w:val="004B16B0"/>
    <w:pPr>
      <w:keepNext/>
      <w:keepLines/>
      <w:pageBreakBefore/>
      <w:spacing w:before="240" w:line="480" w:lineRule="auto"/>
      <w:jc w:val="center"/>
    </w:pPr>
    <w:rPr>
      <w:rFonts w:eastAsia="Arial Unicode MS" w:cs="Times New Roman"/>
      <w:b/>
      <w:snapToGrid w:val="0"/>
      <w:lang w:val="en-US" w:eastAsia="en-US"/>
    </w:rPr>
  </w:style>
  <w:style w:type="paragraph" w:customStyle="1" w:styleId="LegSubRule">
    <w:name w:val="Leg SubRule #"/>
    <w:basedOn w:val="Normal"/>
    <w:rsid w:val="004B16B0"/>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a">
    <w:name w:val="Leg (a)"/>
    <w:basedOn w:val="Normal"/>
    <w:link w:val="LegaChar"/>
    <w:rsid w:val="004B16B0"/>
    <w:pPr>
      <w:tabs>
        <w:tab w:val="left" w:pos="454"/>
      </w:tabs>
      <w:spacing w:before="240" w:after="240" w:line="480" w:lineRule="auto"/>
    </w:pPr>
    <w:rPr>
      <w:rFonts w:eastAsia="Times New Roman" w:cs="Times New Roman"/>
      <w:snapToGrid w:val="0"/>
      <w:lang w:val="en-US" w:eastAsia="en-US"/>
    </w:rPr>
  </w:style>
  <w:style w:type="character" w:customStyle="1" w:styleId="LegaChar">
    <w:name w:val="Leg (a) Char"/>
    <w:basedOn w:val="DefaultParagraphFont"/>
    <w:link w:val="Lega"/>
    <w:rsid w:val="004B16B0"/>
    <w:rPr>
      <w:rFonts w:ascii="Arial" w:hAnsi="Arial"/>
      <w:snapToGrid w:val="0"/>
      <w:sz w:val="22"/>
      <w:lang w:val="en-US" w:eastAsia="en-US"/>
    </w:rPr>
  </w:style>
  <w:style w:type="character" w:customStyle="1" w:styleId="LegInsertedText">
    <w:name w:val="LegInsertedText"/>
    <w:basedOn w:val="DefaultParagraphFont"/>
    <w:rsid w:val="004B16B0"/>
    <w:rPr>
      <w:color w:val="0000FF"/>
      <w:u w:val="single"/>
    </w:rPr>
  </w:style>
  <w:style w:type="character" w:customStyle="1" w:styleId="RDeletedText">
    <w:name w:val="RDeletedText"/>
    <w:basedOn w:val="DefaultParagraphFont"/>
    <w:rsid w:val="004B16B0"/>
    <w:rPr>
      <w:strike/>
      <w:color w:val="FF0000"/>
    </w:rPr>
  </w:style>
  <w:style w:type="paragraph" w:styleId="TOC1">
    <w:name w:val="toc 1"/>
    <w:basedOn w:val="Normal"/>
    <w:next w:val="Normal"/>
    <w:autoRedefine/>
    <w:uiPriority w:val="39"/>
    <w:qFormat/>
    <w:rsid w:val="004272A8"/>
    <w:pPr>
      <w:tabs>
        <w:tab w:val="right" w:leader="dot" w:pos="9345"/>
      </w:tabs>
      <w:spacing w:before="720" w:after="100"/>
    </w:pPr>
    <w:rPr>
      <w:lang w:val="en-US"/>
    </w:rPr>
  </w:style>
  <w:style w:type="paragraph" w:styleId="TOC2">
    <w:name w:val="toc 2"/>
    <w:basedOn w:val="Normal"/>
    <w:next w:val="Normal"/>
    <w:autoRedefine/>
    <w:uiPriority w:val="39"/>
    <w:qFormat/>
    <w:rsid w:val="004B16B0"/>
    <w:pPr>
      <w:tabs>
        <w:tab w:val="right" w:leader="dot" w:pos="9345"/>
      </w:tabs>
      <w:spacing w:after="100"/>
      <w:ind w:left="284" w:firstLine="227"/>
      <w:mirrorIndents/>
    </w:pPr>
    <w:rPr>
      <w:lang w:val="en-US"/>
    </w:rPr>
  </w:style>
  <w:style w:type="character" w:styleId="Hyperlink">
    <w:name w:val="Hyperlink"/>
    <w:basedOn w:val="DefaultParagraphFont"/>
    <w:uiPriority w:val="99"/>
    <w:unhideWhenUsed/>
    <w:rsid w:val="004B16B0"/>
    <w:rPr>
      <w:color w:val="0000FF" w:themeColor="hyperlink"/>
      <w:u w:val="single"/>
    </w:rPr>
  </w:style>
  <w:style w:type="paragraph" w:customStyle="1" w:styleId="Legali">
    <w:name w:val="Legal (i)"/>
    <w:basedOn w:val="Lega"/>
    <w:qFormat/>
    <w:rsid w:val="004B16B0"/>
    <w:pPr>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FootnoteTextChar">
    <w:name w:val="Footnote Text Char"/>
    <w:basedOn w:val="DefaultParagraphFont"/>
    <w:link w:val="FootnoteText"/>
    <w:rsid w:val="004B16B0"/>
    <w:rPr>
      <w:rFonts w:ascii="Arial" w:eastAsia="SimSun" w:hAnsi="Arial" w:cs="Arial"/>
      <w:sz w:val="18"/>
      <w:lang w:val="es-ES" w:eastAsia="zh-CN"/>
    </w:rPr>
  </w:style>
  <w:style w:type="character" w:styleId="FootnoteReference">
    <w:name w:val="footnote reference"/>
    <w:basedOn w:val="DefaultParagraphFont"/>
    <w:unhideWhenUsed/>
    <w:rsid w:val="004B16B0"/>
    <w:rPr>
      <w:vertAlign w:val="superscript"/>
    </w:rPr>
  </w:style>
  <w:style w:type="paragraph" w:customStyle="1" w:styleId="LegTitle">
    <w:name w:val="Leg # Title"/>
    <w:basedOn w:val="Normal"/>
    <w:next w:val="Normal"/>
    <w:rsid w:val="004B16B0"/>
    <w:pPr>
      <w:keepNext/>
      <w:keepLines/>
      <w:pageBreakBefore/>
      <w:spacing w:before="240" w:line="480" w:lineRule="auto"/>
      <w:jc w:val="center"/>
    </w:pPr>
    <w:rPr>
      <w:rFonts w:eastAsia="Arial Unicode MS" w:cs="Times New Roman"/>
      <w:b/>
      <w:snapToGrid w:val="0"/>
      <w:lang w:val="en-US" w:eastAsia="en-US"/>
    </w:rPr>
  </w:style>
  <w:style w:type="paragraph" w:customStyle="1" w:styleId="LegSubRule">
    <w:name w:val="Leg SubRule #"/>
    <w:basedOn w:val="Normal"/>
    <w:rsid w:val="004B16B0"/>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a">
    <w:name w:val="Leg (a)"/>
    <w:basedOn w:val="Normal"/>
    <w:link w:val="LegaChar"/>
    <w:rsid w:val="004B16B0"/>
    <w:pPr>
      <w:tabs>
        <w:tab w:val="left" w:pos="454"/>
      </w:tabs>
      <w:spacing w:before="240" w:after="240" w:line="480" w:lineRule="auto"/>
    </w:pPr>
    <w:rPr>
      <w:rFonts w:eastAsia="Times New Roman" w:cs="Times New Roman"/>
      <w:snapToGrid w:val="0"/>
      <w:lang w:val="en-US" w:eastAsia="en-US"/>
    </w:rPr>
  </w:style>
  <w:style w:type="character" w:customStyle="1" w:styleId="LegaChar">
    <w:name w:val="Leg (a) Char"/>
    <w:basedOn w:val="DefaultParagraphFont"/>
    <w:link w:val="Lega"/>
    <w:rsid w:val="004B16B0"/>
    <w:rPr>
      <w:rFonts w:ascii="Arial" w:hAnsi="Arial"/>
      <w:snapToGrid w:val="0"/>
      <w:sz w:val="22"/>
      <w:lang w:val="en-US" w:eastAsia="en-US"/>
    </w:rPr>
  </w:style>
  <w:style w:type="character" w:customStyle="1" w:styleId="LegInsertedText">
    <w:name w:val="LegInsertedText"/>
    <w:basedOn w:val="DefaultParagraphFont"/>
    <w:rsid w:val="004B16B0"/>
    <w:rPr>
      <w:color w:val="0000FF"/>
      <w:u w:val="single"/>
    </w:rPr>
  </w:style>
  <w:style w:type="character" w:customStyle="1" w:styleId="RDeletedText">
    <w:name w:val="RDeletedText"/>
    <w:basedOn w:val="DefaultParagraphFont"/>
    <w:rsid w:val="004B16B0"/>
    <w:rPr>
      <w:strike/>
      <w:color w:val="FF0000"/>
    </w:rPr>
  </w:style>
  <w:style w:type="paragraph" w:styleId="TOC1">
    <w:name w:val="toc 1"/>
    <w:basedOn w:val="Normal"/>
    <w:next w:val="Normal"/>
    <w:autoRedefine/>
    <w:uiPriority w:val="39"/>
    <w:qFormat/>
    <w:rsid w:val="004272A8"/>
    <w:pPr>
      <w:tabs>
        <w:tab w:val="right" w:leader="dot" w:pos="9345"/>
      </w:tabs>
      <w:spacing w:before="720" w:after="100"/>
    </w:pPr>
    <w:rPr>
      <w:lang w:val="en-US"/>
    </w:rPr>
  </w:style>
  <w:style w:type="paragraph" w:styleId="TOC2">
    <w:name w:val="toc 2"/>
    <w:basedOn w:val="Normal"/>
    <w:next w:val="Normal"/>
    <w:autoRedefine/>
    <w:uiPriority w:val="39"/>
    <w:qFormat/>
    <w:rsid w:val="004B16B0"/>
    <w:pPr>
      <w:tabs>
        <w:tab w:val="right" w:leader="dot" w:pos="9345"/>
      </w:tabs>
      <w:spacing w:after="100"/>
      <w:ind w:left="284" w:firstLine="227"/>
      <w:mirrorIndents/>
    </w:pPr>
    <w:rPr>
      <w:lang w:val="en-US"/>
    </w:rPr>
  </w:style>
  <w:style w:type="character" w:styleId="Hyperlink">
    <w:name w:val="Hyperlink"/>
    <w:basedOn w:val="DefaultParagraphFont"/>
    <w:uiPriority w:val="99"/>
    <w:unhideWhenUsed/>
    <w:rsid w:val="004B16B0"/>
    <w:rPr>
      <w:color w:val="0000FF" w:themeColor="hyperlink"/>
      <w:u w:val="single"/>
    </w:rPr>
  </w:style>
  <w:style w:type="paragraph" w:customStyle="1" w:styleId="Legali">
    <w:name w:val="Legal (i)"/>
    <w:basedOn w:val="Lega"/>
    <w:qFormat/>
    <w:rsid w:val="004B16B0"/>
    <w:p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385D-979A-4C59-9B25-FCAF9414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(S)</Template>
  <TotalTime>1</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PCT/WG/11/</vt:lpstr>
    </vt:vector>
  </TitlesOfParts>
  <Company>WIPO</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Safeguards in Case of Outages Affecting Offices</dc:title>
  <dc:creator>DIAZ DE ATAURI MATAMALA Inés</dc:creator>
  <cp:keywords>PCT/WG/11/19</cp:keywords>
  <cp:lastModifiedBy>Marlow</cp:lastModifiedBy>
  <cp:revision>2</cp:revision>
  <cp:lastPrinted>2018-05-17T12:14:00Z</cp:lastPrinted>
  <dcterms:created xsi:type="dcterms:W3CDTF">2018-05-17T16:23:00Z</dcterms:created>
  <dcterms:modified xsi:type="dcterms:W3CDTF">2018-05-17T16:23:00Z</dcterms:modified>
</cp:coreProperties>
</file>