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AA7798" w:rsidP="00AB613D">
            <w:r>
              <w:rPr>
                <w:noProof/>
                <w:lang w:val="en-US" w:eastAsia="en-US"/>
              </w:rPr>
              <w:drawing>
                <wp:inline distT="0" distB="0" distL="0" distR="0">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AA7798" w:rsidP="00AB613D">
            <w:pPr>
              <w:jc w:val="right"/>
              <w:rPr>
                <w:rFonts w:ascii="Arial Black" w:hAnsi="Arial Black"/>
                <w:caps/>
                <w:sz w:val="15"/>
              </w:rPr>
            </w:pPr>
            <w:r>
              <w:rPr>
                <w:rFonts w:ascii="Arial Black" w:hAnsi="Arial Black"/>
                <w:caps/>
                <w:sz w:val="15"/>
              </w:rPr>
              <w:t>PCT/WG/10/</w:t>
            </w:r>
            <w:bookmarkStart w:id="0" w:name="Code"/>
            <w:bookmarkEnd w:id="0"/>
            <w:r w:rsidR="0098430D">
              <w:rPr>
                <w:rFonts w:ascii="Arial Black" w:hAnsi="Arial Black"/>
                <w:caps/>
                <w:sz w:val="15"/>
              </w:rPr>
              <w:t>2</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46793F">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98430D">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46793F">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 xml:space="preserve">: </w:t>
            </w:r>
            <w:bookmarkStart w:id="2" w:name="Date"/>
            <w:bookmarkEnd w:id="2"/>
            <w:r w:rsidR="007C2AE4">
              <w:rPr>
                <w:rFonts w:ascii="Arial Black" w:hAnsi="Arial Black"/>
                <w:caps/>
                <w:sz w:val="15"/>
              </w:rPr>
              <w:t>11</w:t>
            </w:r>
            <w:bookmarkStart w:id="3" w:name="_GoBack"/>
            <w:bookmarkEnd w:id="3"/>
            <w:r w:rsidR="0098430D">
              <w:rPr>
                <w:rFonts w:ascii="Arial Black" w:hAnsi="Arial Black"/>
                <w:caps/>
                <w:sz w:val="15"/>
              </w:rPr>
              <w:t xml:space="preserve"> de enero de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B67CDC" w:rsidRDefault="00AA7798" w:rsidP="00B67CDC">
      <w:pPr>
        <w:rPr>
          <w:b/>
          <w:sz w:val="28"/>
          <w:szCs w:val="28"/>
        </w:rPr>
      </w:pPr>
      <w:r>
        <w:rPr>
          <w:b/>
          <w:sz w:val="28"/>
          <w:szCs w:val="28"/>
        </w:rPr>
        <w:t xml:space="preserve">Grupo de Trabajo del </w:t>
      </w:r>
      <w:r w:rsidRPr="00340193">
        <w:rPr>
          <w:b/>
          <w:sz w:val="28"/>
          <w:szCs w:val="28"/>
        </w:rPr>
        <w:t>Tratado de Cooperación en materia de Patentes (PCT)</w:t>
      </w:r>
    </w:p>
    <w:p w:rsidR="003845C1" w:rsidRDefault="003845C1" w:rsidP="003845C1"/>
    <w:p w:rsidR="003845C1" w:rsidRDefault="003845C1" w:rsidP="003845C1"/>
    <w:p w:rsidR="00B67CDC" w:rsidRPr="00B67CDC" w:rsidRDefault="00AA7798" w:rsidP="00B67CDC">
      <w:pPr>
        <w:rPr>
          <w:b/>
          <w:sz w:val="24"/>
          <w:szCs w:val="24"/>
        </w:rPr>
      </w:pPr>
      <w:r>
        <w:rPr>
          <w:b/>
          <w:sz w:val="24"/>
          <w:szCs w:val="24"/>
        </w:rPr>
        <w:t>Décima reunión</w:t>
      </w:r>
    </w:p>
    <w:p w:rsidR="00B67CDC" w:rsidRPr="00B67CDC" w:rsidRDefault="00AA7798" w:rsidP="00B67CDC">
      <w:pPr>
        <w:rPr>
          <w:b/>
          <w:sz w:val="24"/>
          <w:szCs w:val="24"/>
        </w:rPr>
      </w:pPr>
      <w:r>
        <w:rPr>
          <w:b/>
          <w:sz w:val="24"/>
          <w:szCs w:val="24"/>
        </w:rPr>
        <w:t>Gi</w:t>
      </w:r>
      <w:r w:rsidRPr="00340193">
        <w:rPr>
          <w:b/>
          <w:sz w:val="24"/>
          <w:szCs w:val="24"/>
        </w:rPr>
        <w:t>ne</w:t>
      </w:r>
      <w:r>
        <w:rPr>
          <w:b/>
          <w:sz w:val="24"/>
          <w:szCs w:val="24"/>
        </w:rPr>
        <w:t>br</w:t>
      </w:r>
      <w:r w:rsidRPr="00340193">
        <w:rPr>
          <w:b/>
          <w:sz w:val="24"/>
          <w:szCs w:val="24"/>
        </w:rPr>
        <w:t xml:space="preserve">a, </w:t>
      </w:r>
      <w:r>
        <w:rPr>
          <w:b/>
          <w:sz w:val="24"/>
          <w:szCs w:val="24"/>
        </w:rPr>
        <w:t>8 a 12 de mayo de</w:t>
      </w:r>
      <w:r w:rsidRPr="00340193">
        <w:rPr>
          <w:b/>
          <w:sz w:val="24"/>
          <w:szCs w:val="24"/>
        </w:rPr>
        <w:t xml:space="preserve"> 201</w:t>
      </w:r>
      <w:r>
        <w:rPr>
          <w:b/>
          <w:sz w:val="24"/>
          <w:szCs w:val="24"/>
        </w:rPr>
        <w:t>7</w:t>
      </w:r>
    </w:p>
    <w:p w:rsidR="008B2CC1" w:rsidRPr="008B2CC1" w:rsidRDefault="008B2CC1" w:rsidP="008B2CC1"/>
    <w:p w:rsidR="008B2CC1" w:rsidRPr="008B2CC1" w:rsidRDefault="008B2CC1" w:rsidP="008B2CC1"/>
    <w:p w:rsidR="008B2CC1" w:rsidRPr="008B2CC1" w:rsidRDefault="008B2CC1" w:rsidP="008B2CC1"/>
    <w:p w:rsidR="008B2CC1" w:rsidRPr="003845C1" w:rsidRDefault="0098430D" w:rsidP="008B2CC1">
      <w:pPr>
        <w:rPr>
          <w:caps/>
          <w:sz w:val="24"/>
        </w:rPr>
      </w:pPr>
      <w:bookmarkStart w:id="4" w:name="TitleOfDoc"/>
      <w:bookmarkEnd w:id="4"/>
      <w:r>
        <w:rPr>
          <w:caps/>
          <w:sz w:val="24"/>
        </w:rPr>
        <w:t xml:space="preserve">Segundo Estudio Complementario de la “Estimación de la Elasticidad de las Tasa del PCT” </w:t>
      </w:r>
    </w:p>
    <w:p w:rsidR="008B2CC1" w:rsidRPr="008B2CC1" w:rsidRDefault="008B2CC1" w:rsidP="008B2CC1"/>
    <w:p w:rsidR="008B2CC1" w:rsidRPr="008B2CC1" w:rsidRDefault="0098430D" w:rsidP="008B2CC1">
      <w:pPr>
        <w:rPr>
          <w:i/>
        </w:rPr>
      </w:pPr>
      <w:bookmarkStart w:id="5" w:name="Prepared"/>
      <w:bookmarkEnd w:id="5"/>
      <w:r>
        <w:rPr>
          <w:i/>
        </w:rPr>
        <w:t>Documento preparado por la Oficina Internacional</w:t>
      </w:r>
    </w:p>
    <w:p w:rsidR="008B2CC1" w:rsidRDefault="008B2CC1" w:rsidP="003845C1"/>
    <w:p w:rsidR="000F5E56" w:rsidRDefault="000F5E56"/>
    <w:p w:rsidR="00F84474" w:rsidRDefault="00F84474"/>
    <w:p w:rsidR="008B149B" w:rsidRPr="00932DB4" w:rsidRDefault="008B149B" w:rsidP="008B149B"/>
    <w:p w:rsidR="008B149B" w:rsidRDefault="008B149B" w:rsidP="008B149B">
      <w:pPr>
        <w:pStyle w:val="Heading1"/>
      </w:pPr>
      <w:r w:rsidRPr="00932DB4">
        <w:t>IntroducCIÓN</w:t>
      </w:r>
    </w:p>
    <w:p w:rsidR="008B149B" w:rsidRPr="00932DB4" w:rsidRDefault="008B149B" w:rsidP="008B149B"/>
    <w:p w:rsidR="008B149B" w:rsidRPr="00932DB4" w:rsidRDefault="008B149B" w:rsidP="008B149B">
      <w:pPr>
        <w:pStyle w:val="ONUME"/>
      </w:pPr>
      <w:r w:rsidRPr="00932DB4">
        <w:t xml:space="preserve">En la séptima reunión del Grupo de Trabajo, en 2013, la Oficina Internacional presentó un estudio titulado </w:t>
      </w:r>
      <w:r>
        <w:t>“</w:t>
      </w:r>
      <w:r w:rsidRPr="00932DB4">
        <w:rPr>
          <w:i/>
          <w:iCs/>
        </w:rPr>
        <w:t>Estimación de la elasticidad de las tasas del PCT</w:t>
      </w:r>
      <w:r>
        <w:t>”</w:t>
      </w:r>
      <w:r w:rsidRPr="00932DB4">
        <w:t xml:space="preserve"> (documento PCT/WG/7/6), que ofrecía la primera estimación hecha hasta entonces de la elasticidad general de las tasas de las solicitudes PCT, es decir, la manera en que la elección del solicitante de usar el PCT o la vía de París para presentar solicitudes de patente en otros países se ve influida por los cambios en la tasa de presentación internacional.  En el documento se indicaba que los precios influían en mayor medida en las universidades y las instituciones públicas de investigación que en otros solicitantes, aun cuando del cálculo de la elasticidad se desprendiera que la sensibilidad a las tasas era muy inelástica.</w:t>
      </w:r>
    </w:p>
    <w:p w:rsidR="008B149B" w:rsidRPr="00932DB4" w:rsidRDefault="008B149B" w:rsidP="008B149B">
      <w:pPr>
        <w:pStyle w:val="ONUME"/>
      </w:pPr>
      <w:r w:rsidRPr="00932DB4">
        <w:t>A título complementario, el Grupo de Trabajo pidió a la Secretaría que colaborara con el economista jefe para preparar un estudio complementario en el que se examinaran los efectos de posibles reducciones de tasas en favor de las universidades y las instituciones públicas de investigación procedentes de distintos grupos de países.  Ese estudio complementario (documento PCT/WG/8/11) se presentó en la octava reunión del Grupo de Trabajo, en 2015.</w:t>
      </w:r>
    </w:p>
    <w:p w:rsidR="008B149B" w:rsidRPr="00932DB4" w:rsidRDefault="008B149B" w:rsidP="008B149B">
      <w:pPr>
        <w:pStyle w:val="ONUME"/>
      </w:pPr>
      <w:r w:rsidRPr="00932DB4">
        <w:t xml:space="preserve">En su novena reunión, celebrada en 2016, el Grupo de Trabajo examinó una propuesta del Brasil sobre la política de tasas del PCT para estimular la presentación de solicitudes de patente por parte de las universidades y las instituciones públicas de investigación de determinados países, en especial países en desarrollo y países menos </w:t>
      </w:r>
      <w:r w:rsidRPr="00932DB4">
        <w:lastRenderedPageBreak/>
        <w:t>adelantados (documento PCT/WG/9/25).  Queda constancia de esos debates en los párrafos 85 a 122 del informe de la reunión (documento PCT/WG(/9/28);  en los párrafos 119 y 120 se expone la labor siguiente acordada por el Grupo de Trabajo, como sigue:</w:t>
      </w:r>
    </w:p>
    <w:p w:rsidR="008B149B" w:rsidRPr="00932DB4" w:rsidRDefault="008B149B" w:rsidP="008B149B">
      <w:pPr>
        <w:pStyle w:val="ONUME"/>
        <w:numPr>
          <w:ilvl w:val="0"/>
          <w:numId w:val="0"/>
        </w:numPr>
        <w:tabs>
          <w:tab w:val="num" w:pos="1134"/>
        </w:tabs>
        <w:ind w:left="567"/>
      </w:pPr>
      <w:r>
        <w:t>“</w:t>
      </w:r>
      <w:r w:rsidRPr="00932DB4">
        <w:t>119.</w:t>
      </w:r>
      <w:r>
        <w:t xml:space="preserve">  </w:t>
      </w:r>
      <w:r w:rsidRPr="00932DB4">
        <w:t>Tras mantener debates informales, el Grupo de Trabajo solicitó a la Secretaría que trabaje con el Economista Jefe para elaborar un suplemento del estudio presentado en la octava reunión (documento PCT/WG/8/11), que se sometería a examen en la próxima reunión del Grupo de Trabajo.  Ese suplemento debería proporcionar:</w:t>
      </w:r>
    </w:p>
    <w:p w:rsidR="008B149B" w:rsidRPr="00932DB4" w:rsidRDefault="008B149B" w:rsidP="008B149B">
      <w:pPr>
        <w:pStyle w:val="ONUMFS"/>
        <w:numPr>
          <w:ilvl w:val="0"/>
          <w:numId w:val="8"/>
        </w:numPr>
        <w:tabs>
          <w:tab w:val="clear" w:pos="567"/>
        </w:tabs>
        <w:ind w:left="1134"/>
      </w:pPr>
      <w:r w:rsidRPr="00932DB4">
        <w:t>información adicional, similar a la información proporcionada en los cuadros 4 y 5 del documento PCT/WG/8/11, utilizando las estimaciones de la elasticidad presentadas en el cuadro 3 de dicho documento y calculando luego el número de solicitudes adicionales presentadas, la media de las tasas pagadas y la incidencia en el ingreso, tanto en términos absolutos como en relación con el total del ingreso del PCT, separando a las universidades y las organizaciones públicas de investigación que se beneficiarían de una hipotética reducción de tasas, sobre la base de una serie hipotética de reducciones de tasas, tanto para los países desarrollados como para los países que satisfacen los criterios expuestos en el punto 5.a) de la Tabla de tasas del PCT;</w:t>
      </w:r>
    </w:p>
    <w:p w:rsidR="008B149B" w:rsidRPr="00932DB4" w:rsidRDefault="008B149B" w:rsidP="008B149B">
      <w:pPr>
        <w:pStyle w:val="ONUMFS"/>
        <w:numPr>
          <w:ilvl w:val="0"/>
          <w:numId w:val="8"/>
        </w:numPr>
        <w:tabs>
          <w:tab w:val="clear" w:pos="567"/>
        </w:tabs>
        <w:ind w:left="1134"/>
      </w:pPr>
      <w:r w:rsidRPr="00932DB4">
        <w:t>información sobre la incidencia en el ingreso en la hipótesis de que se limite a una serie de solicitudes internacionales por año, es decir, 5, 10 y 20, el número de solicitudes que podrían presentar las universidades o las organizaciones públicas de investigación que gocen del beneficio en la hipótesis de reducción de las tasas en diversas solicitudes internacionales por año;  y</w:t>
      </w:r>
    </w:p>
    <w:p w:rsidR="008B149B" w:rsidRPr="00932DB4" w:rsidRDefault="008B149B" w:rsidP="008B149B">
      <w:pPr>
        <w:pStyle w:val="ONUMFS"/>
        <w:numPr>
          <w:ilvl w:val="0"/>
          <w:numId w:val="8"/>
        </w:numPr>
        <w:tabs>
          <w:tab w:val="clear" w:pos="567"/>
        </w:tabs>
        <w:ind w:left="1134"/>
      </w:pPr>
      <w:r w:rsidRPr="00932DB4">
        <w:t>información más detallada sobre el enfoque aplicado para identificar, de entre todos los solicitantes PCT, a las universidades y las instituciones públicas de investigación, según se menciona en el párrafo 41, más arriba.</w:t>
      </w:r>
    </w:p>
    <w:p w:rsidR="008B149B" w:rsidRPr="00932DB4" w:rsidRDefault="008B149B" w:rsidP="008B149B">
      <w:pPr>
        <w:tabs>
          <w:tab w:val="num" w:pos="1134"/>
        </w:tabs>
        <w:spacing w:after="220"/>
        <w:ind w:left="710"/>
      </w:pPr>
      <w:r w:rsidRPr="00932DB4">
        <w:t xml:space="preserve">120. </w:t>
      </w:r>
      <w:r>
        <w:t xml:space="preserve"> </w:t>
      </w:r>
      <w:r w:rsidRPr="00932DB4">
        <w:t>El Grupo de Trabajo solicitó además a la Secretaría que ponga a disposición ese suplemento con mucha antelación (como mínimo, cuatro meses) a la próxima reunión del Grupo de Trabajo.</w:t>
      </w:r>
      <w:r>
        <w:t>”</w:t>
      </w:r>
    </w:p>
    <w:p w:rsidR="008B149B" w:rsidRPr="00932DB4" w:rsidRDefault="008B149B" w:rsidP="008B149B">
      <w:pPr>
        <w:pStyle w:val="ONUME"/>
      </w:pPr>
      <w:r w:rsidRPr="00932DB4">
        <w:t>En el presente documento se expone el estudio complementario solicitado por el Grupo de Trabajo en su novena reunión.</w:t>
      </w:r>
    </w:p>
    <w:p w:rsidR="008B149B" w:rsidRPr="00932DB4" w:rsidRDefault="008B149B" w:rsidP="008B149B">
      <w:pPr>
        <w:pStyle w:val="ONUME"/>
      </w:pPr>
      <w:r w:rsidRPr="00932DB4">
        <w:t>Como se expone en el primer estudio complementario, por desgracia no es posible realizar simulaciones de posibles reducciones de tasas para las instituciones públicas de investigación de los países en desarrollo.  Esto se debe a que el cálculo del coeficiente de la variable de la tasa en la investigación econométrica subyacente no era significativo estadísticamente (véase el párrafo 5 del documento PCT/WG/8/11).   Como se explica en el estudio, es muy probable que este resultado no indique que los solicitantes de instituciones públicas de investigación no sean sensibles a las tasas;  en cambio, refleja la pequeña muestra del cálculo que limita la inferencia estadística</w:t>
      </w:r>
      <w:r w:rsidRPr="00932DB4">
        <w:rPr>
          <w:rStyle w:val="FootnoteReference"/>
        </w:rPr>
        <w:footnoteReference w:id="2"/>
      </w:r>
      <w:r w:rsidRPr="00932DB4">
        <w:t>.   Por ese motivo, las nuevas simulaciones expuestas en el presente documento se centran exclusivamente en solicitantes de universidades.</w:t>
      </w:r>
    </w:p>
    <w:p w:rsidR="008B149B" w:rsidRPr="00932DB4" w:rsidRDefault="008B149B" w:rsidP="006C7302">
      <w:pPr>
        <w:pStyle w:val="ONUME"/>
        <w:keepLines/>
      </w:pPr>
      <w:r w:rsidRPr="00932DB4">
        <w:lastRenderedPageBreak/>
        <w:t>Este (segundo) estudio complementario se divide en dos partes.  En la primera parte se describe el enfoque adoptado para identificar las universidades y las instituciones públicas de investigación en la base de solicitantes del PCT.  En la segunda parte se exponen resultados de simulaciones adicionales de posibles reducciones de tasas, especialmente los que limitarían dichas reducciones a determinado número de solicitudes internacionales por solicitante y por año.</w:t>
      </w:r>
    </w:p>
    <w:p w:rsidR="008B149B" w:rsidRDefault="008B149B" w:rsidP="008B149B">
      <w:pPr>
        <w:pStyle w:val="Heading1"/>
      </w:pPr>
      <w:r w:rsidRPr="00932DB4">
        <w:t>IDENTIFICAR LAS UNIVERSIDADES Y LAS INSTITUCIONES PÚBLICAS DE INVESTIGACIÓN EN LA BASE DE SOLICITANTES DEL PCT</w:t>
      </w:r>
    </w:p>
    <w:p w:rsidR="008B149B" w:rsidRPr="00932DB4" w:rsidRDefault="008B149B" w:rsidP="008B149B"/>
    <w:p w:rsidR="008B149B" w:rsidRPr="00932DB4" w:rsidRDefault="008B149B" w:rsidP="008B149B">
      <w:pPr>
        <w:pStyle w:val="ONUME"/>
      </w:pPr>
      <w:r w:rsidRPr="00932DB4">
        <w:t>En los documentos del PCT no se clasifica a los solicitantes por categoría institucional.  El único modo posible de llevar a cabo esa tarea es buscar los nombres de los solicitantes inscritos en los documentos del PCT y determinar, teniendo en cuenta el nombre, si el solicitante es una universidad, una institución pública de investigación, una empresa o un particular.</w:t>
      </w:r>
    </w:p>
    <w:p w:rsidR="008B149B" w:rsidRPr="00932DB4" w:rsidRDefault="008B149B" w:rsidP="008B149B">
      <w:pPr>
        <w:pStyle w:val="ONUME"/>
      </w:pPr>
      <w:r w:rsidRPr="00932DB4">
        <w:t>La División de Economía y Estadística de la OMPI emplea los siguientes procedimientos para categorizar a los solicitantes PCT en cuanto que universidades o instituciones públicas de investigación:</w:t>
      </w:r>
    </w:p>
    <w:p w:rsidR="008B149B" w:rsidRPr="00932DB4" w:rsidRDefault="008B149B" w:rsidP="008B149B">
      <w:pPr>
        <w:pStyle w:val="ONUME"/>
        <w:numPr>
          <w:ilvl w:val="0"/>
          <w:numId w:val="7"/>
        </w:numPr>
        <w:ind w:left="1134" w:hanging="567"/>
      </w:pPr>
      <w:r w:rsidRPr="00932DB4">
        <w:t>En una primera etapa, la División armoniza y consolida los nombres de los solicitantes, utilizando algoritmos de limpieza que tienen en cuenta los errores ortográficos, las abreviaturas y otras fuentes de discrepancia en los nombres.</w:t>
      </w:r>
    </w:p>
    <w:p w:rsidR="008B149B" w:rsidRPr="00932DB4" w:rsidRDefault="008B149B" w:rsidP="008B149B">
      <w:pPr>
        <w:pStyle w:val="ONUME"/>
        <w:numPr>
          <w:ilvl w:val="0"/>
          <w:numId w:val="7"/>
        </w:numPr>
        <w:ind w:left="1134" w:hanging="567"/>
      </w:pPr>
      <w:r w:rsidRPr="00932DB4">
        <w:t>A continuación, se identifican las  universidades y las instituciones públicas de investigación mediante una lista de palabras clave correspondientes a universidades, hospitales universitarios e instituciones públicas de investigación.  En el caso de las universidades, esas palabras clave abarcan todo tipo de entidades educativas, entre ellas, universidades, institutos de educación superior, escuelas politécnicas y otras.  Asimismo, se tienen en cuenta los distintos idiomas de los nombres de los solicitantes PCT.</w:t>
      </w:r>
    </w:p>
    <w:p w:rsidR="008B149B" w:rsidRPr="00932DB4" w:rsidRDefault="008B149B" w:rsidP="008B149B">
      <w:pPr>
        <w:pStyle w:val="ListParagraph"/>
        <w:numPr>
          <w:ilvl w:val="0"/>
          <w:numId w:val="7"/>
        </w:numPr>
        <w:ind w:left="1134" w:hanging="567"/>
        <w:rPr>
          <w:lang w:val="es-ES"/>
        </w:rPr>
      </w:pPr>
      <w:r w:rsidRPr="00932DB4">
        <w:rPr>
          <w:lang w:val="es-ES"/>
        </w:rPr>
        <w:t>La lista de palabras clave se sigue depurando para reflejar las comprobaciones manuales, entre otras, las búsquedas en Internet de nombres de solicitantes de naturaleza institucional ambigua, y la disponibilidad de nuevos documentos PCT.</w:t>
      </w:r>
    </w:p>
    <w:p w:rsidR="008B149B" w:rsidRPr="00932DB4" w:rsidRDefault="008B149B" w:rsidP="008B149B"/>
    <w:p w:rsidR="008B149B" w:rsidRPr="00932DB4" w:rsidRDefault="008B149B" w:rsidP="008B149B">
      <w:pPr>
        <w:pStyle w:val="ONUME"/>
      </w:pPr>
      <w:r w:rsidRPr="00932DB4">
        <w:t>De por sí, las búsquedas basadas en nombres dan lugar invariablemente a falsos resultados positivos (solicitantes identificados por error como universidades o instituciones públicas de investigación) y a falsos resultados negativos (solicitantes correspondientes a universidades o instituciones públicas de investigación que no se identifican como tales).  Sin embargo, como en la mayoría de los casos la naturaleza institucional de las universidades y las instituciones públicas de investigación se refleja en sus nombres, es probable que resulte significativa, cuando no fiable, la identificación mediante listas de palabras clave.</w:t>
      </w:r>
    </w:p>
    <w:p w:rsidR="008B149B" w:rsidRDefault="008B149B" w:rsidP="008B149B">
      <w:pPr>
        <w:pStyle w:val="Heading1"/>
      </w:pPr>
      <w:r w:rsidRPr="00932DB4">
        <w:t>SIMULACIONES ADICIONALES DE LOS EFECTOS en el VOLUMEN y los INGRESOS EN PRESENCIA DE límites MÁXIMOS de solicitudes que TIENEN DERECHO A LA REDUCCIÓN</w:t>
      </w:r>
    </w:p>
    <w:p w:rsidR="008B149B" w:rsidRPr="00932DB4" w:rsidRDefault="008B149B" w:rsidP="008B149B"/>
    <w:p w:rsidR="008B149B" w:rsidRPr="00932DB4" w:rsidRDefault="008B149B" w:rsidP="008B149B">
      <w:pPr>
        <w:pStyle w:val="ONUME"/>
      </w:pPr>
      <w:r w:rsidRPr="00932DB4">
        <w:t>Para comprender mejor cómo influyen los distintos límites del número de solicitudes por solicitante y año en los efectos en el volumen y los ingresos relacionados con posibles reducciones de tasas, es útil en primer lugar examinar la distribución de las solicitudes PCT en la base de solicitantes del PCT.  En el cuadro 1a se expone esa distribución en el caso de los solicitantes de universidades de países desarrollados y en el cuadro 1b en el caso de los solicitantes de universidades de países en desarrollo</w:t>
      </w:r>
      <w:r w:rsidRPr="00932DB4">
        <w:rPr>
          <w:rStyle w:val="FootnoteReference"/>
        </w:rPr>
        <w:footnoteReference w:id="3"/>
      </w:r>
      <w:r w:rsidRPr="00932DB4">
        <w:t xml:space="preserve">.  </w:t>
      </w:r>
    </w:p>
    <w:p w:rsidR="008B149B" w:rsidRPr="00932DB4" w:rsidRDefault="008B149B" w:rsidP="008B149B">
      <w:pPr>
        <w:pStyle w:val="ONUME"/>
      </w:pPr>
      <w:r w:rsidRPr="00932DB4">
        <w:t>En el caso de los países desarrollados, cerca del 64% de todas las universidades que hacen uso del PCT presentan entre una y cinco solicitudes por año y este porcentaje ha permanecido bastante estable entre 2011 y 2015.  El porcentaje de universidades que presentan un gran volumen de solicitudes, definido como el de quienes presentan 26 o más solicitudes, se mantiene en torno al 8% y ha permanecido igualmente estable.</w:t>
      </w:r>
    </w:p>
    <w:p w:rsidR="008B149B" w:rsidRPr="00932DB4" w:rsidRDefault="008B149B" w:rsidP="008B149B">
      <w:pPr>
        <w:pStyle w:val="ONUME"/>
      </w:pPr>
      <w:r w:rsidRPr="00932DB4">
        <w:t>En cambio, cerca del 80% de las universidades de países en desarrollo que hacen uso del PCT presentan entre una y cinco solicitudes por año, aunque este porcentaje haya descendido del 84% en 2011 al 71% en 2015.  Las universidades que presentan un gran volumen de solicitudes representan solo el 3% de la base de solicitantes de universidades en los países en desarrollo, aunque este porcentaje ha au</w:t>
      </w:r>
      <w:r>
        <w:t>mentado del 2% en 2011 al 5% en </w:t>
      </w:r>
      <w:r w:rsidRPr="00932DB4">
        <w:t>2015.</w:t>
      </w:r>
    </w:p>
    <w:p w:rsidR="008B149B" w:rsidRPr="00932DB4" w:rsidRDefault="008B149B" w:rsidP="008B149B">
      <w:pPr>
        <w:pStyle w:val="ONUME"/>
      </w:pPr>
      <w:r w:rsidRPr="00932DB4">
        <w:t>Simular el efecto de una posible reducción de tasas aplicando un límite máximo de solicitudes que reúnan determinados requisitos por año no resulta sencillo.  Las elasticidades de las tasas calculadas en el primer estudio complementario se aplicaban a todos los solicitantes de universidades procedentes de los dos grupos de países, independientemente del volumen de solicitudes presentadas. En la práctica, los solicitantes pequeños y grandes, así como las universidades que no utilicen actualmente el Sistema del PCT, pueden mostrar distintas elasticidades de tasas.  Como la introducción de un límite máximo supondría una reducción de tasas más acentuada en el caso de algunas universidades que en el de otras, esta circunstancia podría sesgar el análisis de simulación.</w:t>
      </w:r>
      <w:r w:rsidRPr="00932DB4">
        <w:rPr>
          <w:rStyle w:val="FootnoteReference"/>
        </w:rPr>
        <w:footnoteReference w:id="4"/>
      </w:r>
    </w:p>
    <w:p w:rsidR="008B149B" w:rsidRDefault="008B149B" w:rsidP="008B149B">
      <w:pPr>
        <w:pStyle w:val="ONUME"/>
      </w:pPr>
      <w:r w:rsidRPr="00932DB4">
        <w:t>Al no disponer de una alternativa más adecuada, en el presente documento se simula una posible reducción de tasas con un límite máximo al aplicar la reducción de tasas únicamente al número de solicitudes de universidades con derecho a la reducción en función de dicho límite o por debajo de él.  A título de ejemplo, en 2015 hubo 1.693 solicitudes PCT presentadas por universidades de países en desarrollo.  Si se hubiera aplicado una reducción de tasas a cinco solicitudes como máximo por universidad, habrían entrado dentro del límite 698 solicitudes, es decir, el 41,2% del total.  Utilizando el cálculo de elasticidad de -0,164 del primer estudio complementario (véase el cuadro 3 del documento PCT/WG/8/11), una reducción de tasas del 25% habría dado lugar a que se presentaran otras 29 solicitudes.   En consecuencia, mediante una tasa de presentación media de 1.150 francos suizos en 2015, se habrían obtenido 200.579 francos suizos</w:t>
      </w:r>
      <w:r>
        <w:t xml:space="preserve"> menos en los ingresos del PCT.</w:t>
      </w:r>
    </w:p>
    <w:p w:rsidR="008B149B" w:rsidRPr="006C7302" w:rsidRDefault="008B149B" w:rsidP="006C7302">
      <w:pPr>
        <w:pStyle w:val="ONUME"/>
        <w:keepLines/>
      </w:pPr>
      <w:r w:rsidRPr="00932DB4">
        <w:t>En los cuadros 2a y 2b se exponen las cifras de referencia para el análisis de simulación, es decir, el número de solicitudes presentadas de 2011 a 2015, los ingresos de esas solicitudes, la tasa media implícita, y el número absoluto así como el porcentaje de solicitudes que hubieran tenido derecho a la reducción al aplicar distintos límites</w:t>
      </w:r>
      <w:r w:rsidRPr="00932DB4">
        <w:rPr>
          <w:rStyle w:val="FootnoteReference"/>
        </w:rPr>
        <w:footnoteReference w:id="5"/>
      </w:r>
      <w:r w:rsidRPr="00932DB4">
        <w:t>.  Como reflejo de las distribuciones indicadas en los cuadros 1a y 1b, en relación con cualquier valor del límite, un porcentaje más elevado de solicitudes de universidades de países en desarrollo habría tenido derecho a la reducción de tasas.</w:t>
      </w:r>
    </w:p>
    <w:p w:rsidR="008B149B" w:rsidRPr="00932DB4" w:rsidRDefault="008B149B" w:rsidP="008B149B">
      <w:pPr>
        <w:pStyle w:val="ONUME"/>
      </w:pPr>
      <w:r w:rsidRPr="00932DB4">
        <w:t>A continuación, en los gráficos 1a y 1b se indica el número de solicitudes adicionales en función del tamaño de la reducción de las tasas y los límites de 5, 10, 20 y 30 solicitudes.  A efectos comparativos, en los gráficos también se indica el efecto en la presentación de solicitudes en caso de que no se impusiera un límite.  En aras de facilitar la exposición de los resultados, solo se indican los resultados en relación con la referencia de 2015.  Además, si bien, en el plano matemático, el cálculo de la elasticidad se puede aplicar a cualquier reducción de tasas, las cifras se detienen en el 75%.  Como se ha señalado en el primer estudio complementario, el modelo econométrico en que se basa el cálculo de la elasticidad de las tasas impone una forma funcional log-lineal para medir la incidencia de la tasa de presentación internacional.  Quizá haya que poner en duda este supuesto, que explica la incidencia lineal de las reducciones de tasas en los gráficos 1a y 1b, en el caso de cambios mayores en las tasas que superen las cifras registradas anteriormente.  Por ese motivo, debe tratarse con el cuidado debido la simulación de solicitudes adicionales en el caso de grandes reducciones de tasas, especialmente del 50% o más.</w:t>
      </w:r>
    </w:p>
    <w:p w:rsidR="008B149B" w:rsidRDefault="008B149B" w:rsidP="008B149B">
      <w:pPr>
        <w:pStyle w:val="ONUME"/>
      </w:pPr>
      <w:r w:rsidRPr="00932DB4">
        <w:t>Al reflejar un menor número total de solicitudes presentadas por universidades pero una mayor elasticidad de las tasas, la misma reducción de tasas da lugar a una menor respuesta absoluta pero a una mayor respuesta relativa en la presentación de solicitudes de países en desarrollo en comparación con los países desarrollados.  Además, cuanto más bajo sea el límite para las solicitudes que tienen derecho a la reducción, más débil será la respuesta.</w:t>
      </w:r>
    </w:p>
    <w:p w:rsidR="008B149B" w:rsidRDefault="008B149B" w:rsidP="008B149B">
      <w:pPr>
        <w:pStyle w:val="ONUME"/>
        <w:numPr>
          <w:ilvl w:val="0"/>
          <w:numId w:val="0"/>
        </w:numPr>
      </w:pPr>
      <w:r w:rsidRPr="00862935">
        <w:rPr>
          <w:noProof/>
          <w:lang w:val="en-US" w:eastAsia="en-US"/>
        </w:rPr>
        <w:drawing>
          <wp:inline distT="0" distB="0" distL="0" distR="0" wp14:anchorId="1A1825FC" wp14:editId="2B75E853">
            <wp:extent cx="5284957" cy="352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84957" cy="3528000"/>
                    </a:xfrm>
                    <a:prstGeom prst="rect">
                      <a:avLst/>
                    </a:prstGeom>
                    <a:noFill/>
                    <a:ln>
                      <a:noFill/>
                    </a:ln>
                  </pic:spPr>
                </pic:pic>
              </a:graphicData>
            </a:graphic>
          </wp:inline>
        </w:drawing>
      </w:r>
    </w:p>
    <w:p w:rsidR="008B149B" w:rsidRPr="00932DB4" w:rsidRDefault="008B149B" w:rsidP="008B149B">
      <w:pPr>
        <w:pStyle w:val="ONUME"/>
        <w:numPr>
          <w:ilvl w:val="0"/>
          <w:numId w:val="0"/>
        </w:numPr>
      </w:pPr>
      <w:r w:rsidRPr="00862935">
        <w:rPr>
          <w:noProof/>
          <w:lang w:val="en-US" w:eastAsia="en-US"/>
        </w:rPr>
        <w:drawing>
          <wp:inline distT="0" distB="0" distL="0" distR="0" wp14:anchorId="7547CF25" wp14:editId="5EE2B487">
            <wp:extent cx="5760085" cy="351239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085" cy="3512399"/>
                    </a:xfrm>
                    <a:prstGeom prst="rect">
                      <a:avLst/>
                    </a:prstGeom>
                    <a:noFill/>
                    <a:ln>
                      <a:noFill/>
                    </a:ln>
                  </pic:spPr>
                </pic:pic>
              </a:graphicData>
            </a:graphic>
          </wp:inline>
        </w:drawing>
      </w:r>
    </w:p>
    <w:p w:rsidR="008B149B" w:rsidRPr="00932DB4" w:rsidRDefault="008B149B" w:rsidP="008B149B">
      <w:pPr>
        <w:pStyle w:val="ONUME"/>
        <w:numPr>
          <w:ilvl w:val="0"/>
          <w:numId w:val="0"/>
        </w:numPr>
        <w:jc w:val="center"/>
      </w:pPr>
      <w:r w:rsidRPr="00932DB4">
        <w:t>Cuadro 1a</w:t>
      </w:r>
      <w:proofErr w:type="gramStart"/>
      <w:r w:rsidRPr="00932DB4">
        <w:t>:  Distribución</w:t>
      </w:r>
      <w:proofErr w:type="gramEnd"/>
      <w:r w:rsidRPr="00932DB4">
        <w:t xml:space="preserve"> de solicitantes PCT de universidades, países desarrollados</w:t>
      </w:r>
    </w:p>
    <w:p w:rsidR="008B149B" w:rsidRPr="00932DB4" w:rsidRDefault="008B149B" w:rsidP="008B149B">
      <w:pPr>
        <w:pStyle w:val="ONUME"/>
        <w:numPr>
          <w:ilvl w:val="0"/>
          <w:numId w:val="0"/>
        </w:numPr>
      </w:pPr>
      <w:r w:rsidRPr="00862935">
        <w:rPr>
          <w:noProof/>
          <w:lang w:val="en-US" w:eastAsia="en-US"/>
        </w:rPr>
        <w:drawing>
          <wp:inline distT="0" distB="0" distL="0" distR="0" wp14:anchorId="764C9172" wp14:editId="7274C396">
            <wp:extent cx="5177101" cy="34560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77101" cy="3456000"/>
                    </a:xfrm>
                    <a:prstGeom prst="rect">
                      <a:avLst/>
                    </a:prstGeom>
                    <a:noFill/>
                    <a:ln>
                      <a:noFill/>
                    </a:ln>
                  </pic:spPr>
                </pic:pic>
              </a:graphicData>
            </a:graphic>
          </wp:inline>
        </w:drawing>
      </w:r>
    </w:p>
    <w:p w:rsidR="008B149B" w:rsidRPr="00932DB4" w:rsidRDefault="008B149B" w:rsidP="008B149B">
      <w:pPr>
        <w:pStyle w:val="ONUME"/>
        <w:numPr>
          <w:ilvl w:val="0"/>
          <w:numId w:val="0"/>
        </w:numPr>
      </w:pPr>
      <w:r w:rsidRPr="00862935">
        <w:rPr>
          <w:noProof/>
          <w:lang w:val="en-US" w:eastAsia="en-US"/>
        </w:rPr>
        <w:drawing>
          <wp:inline distT="0" distB="0" distL="0" distR="0" wp14:anchorId="4AA56195" wp14:editId="459D6B31">
            <wp:extent cx="5760085" cy="351239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085" cy="3512399"/>
                    </a:xfrm>
                    <a:prstGeom prst="rect">
                      <a:avLst/>
                    </a:prstGeom>
                    <a:noFill/>
                    <a:ln>
                      <a:noFill/>
                    </a:ln>
                  </pic:spPr>
                </pic:pic>
              </a:graphicData>
            </a:graphic>
          </wp:inline>
        </w:drawing>
      </w:r>
    </w:p>
    <w:p w:rsidR="008B149B" w:rsidRPr="00932DB4" w:rsidRDefault="008B149B" w:rsidP="008B149B">
      <w:pPr>
        <w:pStyle w:val="ONUME"/>
        <w:numPr>
          <w:ilvl w:val="0"/>
          <w:numId w:val="0"/>
        </w:numPr>
        <w:jc w:val="center"/>
      </w:pPr>
      <w:r w:rsidRPr="00932DB4">
        <w:t>Cuadro 1b</w:t>
      </w:r>
      <w:proofErr w:type="gramStart"/>
      <w:r w:rsidRPr="00932DB4">
        <w:t>:  Distribución</w:t>
      </w:r>
      <w:proofErr w:type="gramEnd"/>
      <w:r w:rsidRPr="00932DB4">
        <w:t xml:space="preserve"> de solicitantes PCT de universidades, países en desarrollo</w:t>
      </w:r>
    </w:p>
    <w:p w:rsidR="008B149B" w:rsidRDefault="008B149B" w:rsidP="008B149B"/>
    <w:p w:rsidR="008B149B" w:rsidRPr="00932DB4" w:rsidRDefault="008B149B" w:rsidP="008B149B">
      <w:pPr>
        <w:sectPr w:rsidR="008B149B" w:rsidRPr="00932DB4" w:rsidSect="00862935">
          <w:headerReference w:type="default" r:id="rId14"/>
          <w:footerReference w:type="default" r:id="rId15"/>
          <w:pgSz w:w="11907" w:h="16839" w:code="9"/>
          <w:pgMar w:top="567" w:right="1418" w:bottom="1418" w:left="1418" w:header="510" w:footer="1021" w:gutter="0"/>
          <w:cols w:space="720"/>
          <w:titlePg/>
          <w:docGrid w:linePitch="360"/>
        </w:sectPr>
      </w:pPr>
    </w:p>
    <w:p w:rsidR="008B149B" w:rsidRPr="00932DB4" w:rsidRDefault="008B149B" w:rsidP="008B149B">
      <w:pPr>
        <w:jc w:val="center"/>
      </w:pPr>
      <w:r w:rsidRPr="00932DB4">
        <w:t>Cuadro 2a</w:t>
      </w:r>
      <w:proofErr w:type="gramStart"/>
      <w:r w:rsidRPr="00932DB4">
        <w:t>:  Referencia</w:t>
      </w:r>
      <w:proofErr w:type="gramEnd"/>
      <w:r w:rsidRPr="00932DB4">
        <w:t xml:space="preserve"> para la simulación, países desarrollados</w:t>
      </w:r>
    </w:p>
    <w:p w:rsidR="008B149B" w:rsidRPr="00932DB4" w:rsidRDefault="008B149B" w:rsidP="008B149B">
      <w:pPr>
        <w:jc w:val="center"/>
      </w:pPr>
    </w:p>
    <w:tbl>
      <w:tblPr>
        <w:tblW w:w="14914" w:type="dxa"/>
        <w:tblInd w:w="78" w:type="dxa"/>
        <w:tblLayout w:type="fixed"/>
        <w:tblLook w:val="0000" w:firstRow="0" w:lastRow="0" w:firstColumn="0" w:lastColumn="0" w:noHBand="0" w:noVBand="0"/>
      </w:tblPr>
      <w:tblGrid>
        <w:gridCol w:w="750"/>
        <w:gridCol w:w="1407"/>
        <w:gridCol w:w="1440"/>
        <w:gridCol w:w="1350"/>
        <w:gridCol w:w="1260"/>
        <w:gridCol w:w="1194"/>
        <w:gridCol w:w="1260"/>
        <w:gridCol w:w="1292"/>
        <w:gridCol w:w="1260"/>
        <w:gridCol w:w="1150"/>
        <w:gridCol w:w="1170"/>
        <w:gridCol w:w="1381"/>
      </w:tblGrid>
      <w:tr w:rsidR="008B149B" w:rsidRPr="00932DB4" w:rsidTr="002504DC">
        <w:trPr>
          <w:trHeight w:val="247"/>
        </w:trPr>
        <w:tc>
          <w:tcPr>
            <w:tcW w:w="750" w:type="dxa"/>
            <w:tcBorders>
              <w:top w:val="nil"/>
              <w:left w:val="nil"/>
              <w:bottom w:val="nil"/>
              <w:right w:val="nil"/>
            </w:tcBorders>
          </w:tcPr>
          <w:p w:rsidR="008B149B" w:rsidRPr="00932DB4" w:rsidRDefault="008B149B" w:rsidP="002504DC">
            <w:pPr>
              <w:autoSpaceDE w:val="0"/>
              <w:autoSpaceDN w:val="0"/>
              <w:adjustRightInd w:val="0"/>
              <w:spacing w:after="40"/>
              <w:jc w:val="right"/>
              <w:rPr>
                <w:color w:val="000000"/>
              </w:rPr>
            </w:pPr>
          </w:p>
        </w:tc>
        <w:tc>
          <w:tcPr>
            <w:tcW w:w="1407" w:type="dxa"/>
            <w:tcBorders>
              <w:top w:val="nil"/>
              <w:left w:val="nil"/>
              <w:right w:val="nil"/>
            </w:tcBorders>
          </w:tcPr>
          <w:p w:rsidR="008B149B" w:rsidRPr="00932DB4" w:rsidRDefault="008B149B" w:rsidP="002504DC">
            <w:pPr>
              <w:autoSpaceDE w:val="0"/>
              <w:autoSpaceDN w:val="0"/>
              <w:adjustRightInd w:val="0"/>
              <w:spacing w:after="40"/>
              <w:jc w:val="right"/>
              <w:rPr>
                <w:color w:val="000000"/>
              </w:rPr>
            </w:pPr>
          </w:p>
        </w:tc>
        <w:tc>
          <w:tcPr>
            <w:tcW w:w="1440" w:type="dxa"/>
            <w:tcBorders>
              <w:top w:val="nil"/>
              <w:left w:val="nil"/>
              <w:right w:val="nil"/>
            </w:tcBorders>
          </w:tcPr>
          <w:p w:rsidR="008B149B" w:rsidRPr="00932DB4" w:rsidRDefault="008B149B" w:rsidP="002504DC">
            <w:pPr>
              <w:autoSpaceDE w:val="0"/>
              <w:autoSpaceDN w:val="0"/>
              <w:adjustRightInd w:val="0"/>
              <w:spacing w:after="40"/>
              <w:jc w:val="right"/>
              <w:rPr>
                <w:color w:val="000000"/>
              </w:rPr>
            </w:pPr>
          </w:p>
        </w:tc>
        <w:tc>
          <w:tcPr>
            <w:tcW w:w="1350" w:type="dxa"/>
            <w:tcBorders>
              <w:top w:val="nil"/>
              <w:left w:val="nil"/>
            </w:tcBorders>
          </w:tcPr>
          <w:p w:rsidR="008B149B" w:rsidRPr="00932DB4" w:rsidRDefault="008B149B" w:rsidP="002504DC">
            <w:pPr>
              <w:autoSpaceDE w:val="0"/>
              <w:autoSpaceDN w:val="0"/>
              <w:adjustRightInd w:val="0"/>
              <w:spacing w:after="40"/>
              <w:jc w:val="right"/>
              <w:rPr>
                <w:color w:val="000000"/>
              </w:rPr>
            </w:pPr>
          </w:p>
        </w:tc>
        <w:tc>
          <w:tcPr>
            <w:tcW w:w="2454" w:type="dxa"/>
            <w:gridSpan w:val="2"/>
          </w:tcPr>
          <w:p w:rsidR="008B149B" w:rsidRPr="00932DB4" w:rsidRDefault="008B149B" w:rsidP="002504DC">
            <w:pPr>
              <w:autoSpaceDE w:val="0"/>
              <w:autoSpaceDN w:val="0"/>
              <w:adjustRightInd w:val="0"/>
              <w:spacing w:after="40"/>
              <w:jc w:val="center"/>
              <w:rPr>
                <w:color w:val="000000"/>
                <w:u w:val="single"/>
              </w:rPr>
            </w:pPr>
            <w:r w:rsidRPr="00932DB4">
              <w:rPr>
                <w:color w:val="000000"/>
                <w:u w:val="single"/>
              </w:rPr>
              <w:t>Límite de 5</w:t>
            </w:r>
          </w:p>
        </w:tc>
        <w:tc>
          <w:tcPr>
            <w:tcW w:w="2552" w:type="dxa"/>
            <w:gridSpan w:val="2"/>
          </w:tcPr>
          <w:p w:rsidR="008B149B" w:rsidRPr="00932DB4" w:rsidRDefault="008B149B" w:rsidP="002504DC">
            <w:pPr>
              <w:autoSpaceDE w:val="0"/>
              <w:autoSpaceDN w:val="0"/>
              <w:adjustRightInd w:val="0"/>
              <w:spacing w:after="40"/>
              <w:jc w:val="center"/>
              <w:rPr>
                <w:color w:val="000000"/>
                <w:u w:val="single"/>
              </w:rPr>
            </w:pPr>
            <w:r w:rsidRPr="00932DB4">
              <w:rPr>
                <w:color w:val="000000"/>
                <w:u w:val="single"/>
              </w:rPr>
              <w:t>Límite de 10</w:t>
            </w:r>
          </w:p>
        </w:tc>
        <w:tc>
          <w:tcPr>
            <w:tcW w:w="2410" w:type="dxa"/>
            <w:gridSpan w:val="2"/>
          </w:tcPr>
          <w:p w:rsidR="008B149B" w:rsidRPr="00932DB4" w:rsidRDefault="008B149B" w:rsidP="002504DC">
            <w:pPr>
              <w:autoSpaceDE w:val="0"/>
              <w:autoSpaceDN w:val="0"/>
              <w:adjustRightInd w:val="0"/>
              <w:spacing w:after="40"/>
              <w:jc w:val="center"/>
              <w:rPr>
                <w:color w:val="000000"/>
                <w:u w:val="single"/>
              </w:rPr>
            </w:pPr>
            <w:r w:rsidRPr="00932DB4">
              <w:rPr>
                <w:color w:val="000000"/>
                <w:u w:val="single"/>
              </w:rPr>
              <w:t>Límite de 20</w:t>
            </w:r>
          </w:p>
        </w:tc>
        <w:tc>
          <w:tcPr>
            <w:tcW w:w="2551" w:type="dxa"/>
            <w:gridSpan w:val="2"/>
          </w:tcPr>
          <w:p w:rsidR="008B149B" w:rsidRPr="00932DB4" w:rsidRDefault="008B149B" w:rsidP="002504DC">
            <w:pPr>
              <w:autoSpaceDE w:val="0"/>
              <w:autoSpaceDN w:val="0"/>
              <w:adjustRightInd w:val="0"/>
              <w:spacing w:after="40"/>
              <w:jc w:val="center"/>
              <w:rPr>
                <w:color w:val="000000"/>
                <w:u w:val="single"/>
              </w:rPr>
            </w:pPr>
            <w:r w:rsidRPr="00932DB4">
              <w:rPr>
                <w:color w:val="000000"/>
                <w:u w:val="single"/>
              </w:rPr>
              <w:t>Límite de 30</w:t>
            </w:r>
          </w:p>
        </w:tc>
      </w:tr>
      <w:tr w:rsidR="008B149B" w:rsidRPr="00932DB4" w:rsidTr="002504DC">
        <w:trPr>
          <w:trHeight w:val="247"/>
        </w:trPr>
        <w:tc>
          <w:tcPr>
            <w:tcW w:w="750" w:type="dxa"/>
            <w:tcBorders>
              <w:top w:val="nil"/>
              <w:left w:val="nil"/>
              <w:bottom w:val="nil"/>
              <w:right w:val="nil"/>
            </w:tcBorders>
            <w:vAlign w:val="bottom"/>
          </w:tcPr>
          <w:p w:rsidR="008B149B" w:rsidRPr="00932DB4" w:rsidRDefault="008B149B" w:rsidP="002504DC">
            <w:pPr>
              <w:autoSpaceDE w:val="0"/>
              <w:autoSpaceDN w:val="0"/>
              <w:adjustRightInd w:val="0"/>
              <w:spacing w:after="40"/>
              <w:jc w:val="right"/>
              <w:rPr>
                <w:color w:val="000000"/>
              </w:rPr>
            </w:pPr>
          </w:p>
        </w:tc>
        <w:tc>
          <w:tcPr>
            <w:tcW w:w="1407" w:type="dxa"/>
            <w:tcBorders>
              <w:top w:val="nil"/>
              <w:left w:val="nil"/>
              <w:bottom w:val="single" w:sz="4" w:space="0" w:color="auto"/>
              <w:right w:val="nil"/>
            </w:tcBorders>
            <w:vAlign w:val="bottom"/>
          </w:tcPr>
          <w:p w:rsidR="008B149B" w:rsidRPr="00932DB4" w:rsidRDefault="008B149B" w:rsidP="002504DC">
            <w:pPr>
              <w:autoSpaceDE w:val="0"/>
              <w:autoSpaceDN w:val="0"/>
              <w:adjustRightInd w:val="0"/>
              <w:spacing w:after="40"/>
              <w:ind w:right="-108"/>
              <w:jc w:val="right"/>
              <w:rPr>
                <w:color w:val="000000"/>
              </w:rPr>
            </w:pPr>
            <w:r w:rsidRPr="00932DB4">
              <w:rPr>
                <w:color w:val="000000"/>
              </w:rPr>
              <w:t>Número de solicitudes PCT presentadas</w:t>
            </w:r>
          </w:p>
        </w:tc>
        <w:tc>
          <w:tcPr>
            <w:tcW w:w="1440" w:type="dxa"/>
            <w:tcBorders>
              <w:top w:val="nil"/>
              <w:left w:val="nil"/>
              <w:bottom w:val="single" w:sz="4" w:space="0" w:color="auto"/>
              <w:right w:val="nil"/>
            </w:tcBorders>
            <w:vAlign w:val="bottom"/>
          </w:tcPr>
          <w:p w:rsidR="008B149B" w:rsidRPr="00932DB4" w:rsidRDefault="008B149B" w:rsidP="002504DC">
            <w:pPr>
              <w:autoSpaceDE w:val="0"/>
              <w:autoSpaceDN w:val="0"/>
              <w:adjustRightInd w:val="0"/>
              <w:spacing w:after="40"/>
              <w:jc w:val="right"/>
              <w:rPr>
                <w:color w:val="000000"/>
              </w:rPr>
            </w:pPr>
            <w:r w:rsidRPr="00932DB4">
              <w:rPr>
                <w:color w:val="000000"/>
              </w:rPr>
              <w:t>Ingresos de esas solicitudes</w:t>
            </w:r>
            <w:r w:rsidRPr="00932DB4">
              <w:rPr>
                <w:color w:val="000000"/>
              </w:rPr>
              <w:br/>
              <w:t xml:space="preserve"> (en millones de CHF)</w:t>
            </w:r>
          </w:p>
        </w:tc>
        <w:tc>
          <w:tcPr>
            <w:tcW w:w="1350" w:type="dxa"/>
            <w:tcBorders>
              <w:top w:val="nil"/>
              <w:left w:val="nil"/>
              <w:bottom w:val="single" w:sz="4" w:space="0" w:color="auto"/>
            </w:tcBorders>
            <w:vAlign w:val="bottom"/>
          </w:tcPr>
          <w:p w:rsidR="008B149B" w:rsidRPr="00932DB4" w:rsidRDefault="008B149B" w:rsidP="002504DC">
            <w:pPr>
              <w:autoSpaceDE w:val="0"/>
              <w:autoSpaceDN w:val="0"/>
              <w:adjustRightInd w:val="0"/>
              <w:spacing w:after="40"/>
              <w:jc w:val="right"/>
              <w:rPr>
                <w:color w:val="000000"/>
              </w:rPr>
            </w:pPr>
            <w:r w:rsidRPr="00932DB4">
              <w:rPr>
                <w:color w:val="000000"/>
              </w:rPr>
              <w:t>Tasa media implícita (en CHF)</w:t>
            </w:r>
          </w:p>
        </w:tc>
        <w:tc>
          <w:tcPr>
            <w:tcW w:w="1260" w:type="dxa"/>
            <w:tcBorders>
              <w:bottom w:val="single" w:sz="4" w:space="0" w:color="auto"/>
              <w:right w:val="nil"/>
            </w:tcBorders>
            <w:vAlign w:val="bottom"/>
          </w:tcPr>
          <w:p w:rsidR="008B149B" w:rsidRPr="00932DB4" w:rsidRDefault="008B149B" w:rsidP="002504DC">
            <w:pPr>
              <w:autoSpaceDE w:val="0"/>
              <w:autoSpaceDN w:val="0"/>
              <w:adjustRightInd w:val="0"/>
              <w:spacing w:after="40"/>
              <w:jc w:val="right"/>
              <w:rPr>
                <w:color w:val="000000"/>
              </w:rPr>
            </w:pPr>
            <w:r w:rsidRPr="00932DB4">
              <w:rPr>
                <w:color w:val="000000"/>
              </w:rPr>
              <w:t>Número de solicitudes con derecho a reducción</w:t>
            </w:r>
          </w:p>
        </w:tc>
        <w:tc>
          <w:tcPr>
            <w:tcW w:w="1194" w:type="dxa"/>
            <w:tcBorders>
              <w:left w:val="nil"/>
              <w:bottom w:val="single" w:sz="4" w:space="0" w:color="auto"/>
            </w:tcBorders>
            <w:vAlign w:val="bottom"/>
          </w:tcPr>
          <w:p w:rsidR="008B149B" w:rsidRPr="00932DB4" w:rsidRDefault="008B149B" w:rsidP="002504DC">
            <w:pPr>
              <w:autoSpaceDE w:val="0"/>
              <w:autoSpaceDN w:val="0"/>
              <w:adjustRightInd w:val="0"/>
              <w:spacing w:after="40"/>
              <w:ind w:right="-391"/>
              <w:rPr>
                <w:color w:val="000000"/>
              </w:rPr>
            </w:pPr>
            <w:r w:rsidRPr="00932DB4">
              <w:rPr>
                <w:color w:val="000000"/>
              </w:rPr>
              <w:t>Porcentaje</w:t>
            </w:r>
          </w:p>
        </w:tc>
        <w:tc>
          <w:tcPr>
            <w:tcW w:w="1260" w:type="dxa"/>
            <w:tcBorders>
              <w:bottom w:val="single" w:sz="4" w:space="0" w:color="auto"/>
            </w:tcBorders>
            <w:vAlign w:val="bottom"/>
          </w:tcPr>
          <w:p w:rsidR="008B149B" w:rsidRPr="00932DB4" w:rsidRDefault="008B149B" w:rsidP="002504DC">
            <w:pPr>
              <w:autoSpaceDE w:val="0"/>
              <w:autoSpaceDN w:val="0"/>
              <w:adjustRightInd w:val="0"/>
              <w:spacing w:after="40"/>
              <w:ind w:left="-108"/>
              <w:jc w:val="right"/>
              <w:rPr>
                <w:color w:val="000000"/>
              </w:rPr>
            </w:pPr>
            <w:r w:rsidRPr="00932DB4">
              <w:rPr>
                <w:color w:val="000000"/>
              </w:rPr>
              <w:t>Número de solicitudes con derecho a reducción</w:t>
            </w:r>
          </w:p>
        </w:tc>
        <w:tc>
          <w:tcPr>
            <w:tcW w:w="1292" w:type="dxa"/>
            <w:tcBorders>
              <w:bottom w:val="single" w:sz="4" w:space="0" w:color="auto"/>
            </w:tcBorders>
            <w:vAlign w:val="bottom"/>
          </w:tcPr>
          <w:p w:rsidR="008B149B" w:rsidRPr="00932DB4" w:rsidRDefault="008B149B" w:rsidP="002504DC">
            <w:pPr>
              <w:autoSpaceDE w:val="0"/>
              <w:autoSpaceDN w:val="0"/>
              <w:adjustRightInd w:val="0"/>
              <w:spacing w:after="40"/>
              <w:ind w:right="-108"/>
              <w:rPr>
                <w:color w:val="000000"/>
              </w:rPr>
            </w:pPr>
            <w:r w:rsidRPr="00932DB4">
              <w:rPr>
                <w:color w:val="000000"/>
              </w:rPr>
              <w:t>Porcentaje</w:t>
            </w:r>
          </w:p>
        </w:tc>
        <w:tc>
          <w:tcPr>
            <w:tcW w:w="1260" w:type="dxa"/>
            <w:tcBorders>
              <w:bottom w:val="single" w:sz="4" w:space="0" w:color="auto"/>
            </w:tcBorders>
            <w:vAlign w:val="bottom"/>
          </w:tcPr>
          <w:p w:rsidR="008B149B" w:rsidRPr="00932DB4" w:rsidRDefault="008B149B" w:rsidP="002504DC">
            <w:pPr>
              <w:autoSpaceDE w:val="0"/>
              <w:autoSpaceDN w:val="0"/>
              <w:adjustRightInd w:val="0"/>
              <w:spacing w:after="40"/>
              <w:ind w:left="-108"/>
              <w:jc w:val="right"/>
              <w:rPr>
                <w:color w:val="000000"/>
              </w:rPr>
            </w:pPr>
            <w:r w:rsidRPr="00932DB4">
              <w:rPr>
                <w:color w:val="000000"/>
              </w:rPr>
              <w:t>Número de solicitudes con derecho a reducción</w:t>
            </w:r>
          </w:p>
        </w:tc>
        <w:tc>
          <w:tcPr>
            <w:tcW w:w="1150" w:type="dxa"/>
            <w:tcBorders>
              <w:bottom w:val="single" w:sz="4" w:space="0" w:color="auto"/>
            </w:tcBorders>
            <w:vAlign w:val="bottom"/>
          </w:tcPr>
          <w:p w:rsidR="008B149B" w:rsidRPr="00932DB4" w:rsidRDefault="008B149B" w:rsidP="002504DC">
            <w:pPr>
              <w:autoSpaceDE w:val="0"/>
              <w:autoSpaceDN w:val="0"/>
              <w:adjustRightInd w:val="0"/>
              <w:spacing w:after="40"/>
              <w:ind w:right="-249"/>
              <w:rPr>
                <w:color w:val="000000"/>
              </w:rPr>
            </w:pPr>
            <w:r w:rsidRPr="00932DB4">
              <w:rPr>
                <w:color w:val="000000"/>
              </w:rPr>
              <w:t>Porcentaje</w:t>
            </w:r>
          </w:p>
        </w:tc>
        <w:tc>
          <w:tcPr>
            <w:tcW w:w="1170" w:type="dxa"/>
            <w:tcBorders>
              <w:bottom w:val="single" w:sz="4" w:space="0" w:color="auto"/>
            </w:tcBorders>
            <w:vAlign w:val="bottom"/>
          </w:tcPr>
          <w:p w:rsidR="008B149B" w:rsidRPr="00932DB4" w:rsidRDefault="008B149B" w:rsidP="002504DC">
            <w:pPr>
              <w:autoSpaceDE w:val="0"/>
              <w:autoSpaceDN w:val="0"/>
              <w:adjustRightInd w:val="0"/>
              <w:spacing w:after="40"/>
              <w:ind w:left="-108" w:right="-72"/>
              <w:jc w:val="right"/>
              <w:rPr>
                <w:color w:val="000000"/>
              </w:rPr>
            </w:pPr>
            <w:r w:rsidRPr="00932DB4">
              <w:rPr>
                <w:color w:val="000000"/>
              </w:rPr>
              <w:t>Número de solicitudes con derecho a reducción</w:t>
            </w:r>
          </w:p>
        </w:tc>
        <w:tc>
          <w:tcPr>
            <w:tcW w:w="1381" w:type="dxa"/>
            <w:tcBorders>
              <w:bottom w:val="single" w:sz="4" w:space="0" w:color="auto"/>
            </w:tcBorders>
            <w:vAlign w:val="bottom"/>
          </w:tcPr>
          <w:p w:rsidR="008B149B" w:rsidRPr="00932DB4" w:rsidRDefault="008B149B" w:rsidP="002504DC">
            <w:pPr>
              <w:autoSpaceDE w:val="0"/>
              <w:autoSpaceDN w:val="0"/>
              <w:adjustRightInd w:val="0"/>
              <w:spacing w:after="40"/>
              <w:rPr>
                <w:color w:val="000000"/>
              </w:rPr>
            </w:pPr>
            <w:r w:rsidRPr="00932DB4">
              <w:rPr>
                <w:color w:val="000000"/>
              </w:rPr>
              <w:t>Porcentaje</w:t>
            </w:r>
          </w:p>
        </w:tc>
      </w:tr>
      <w:tr w:rsidR="008B149B" w:rsidRPr="00932DB4" w:rsidTr="002504DC">
        <w:trPr>
          <w:trHeight w:val="247"/>
        </w:trPr>
        <w:tc>
          <w:tcPr>
            <w:tcW w:w="750" w:type="dxa"/>
            <w:tcBorders>
              <w:top w:val="nil"/>
              <w:left w:val="nil"/>
              <w:bottom w:val="nil"/>
              <w:right w:val="nil"/>
            </w:tcBorders>
          </w:tcPr>
          <w:p w:rsidR="008B149B" w:rsidRPr="00932DB4" w:rsidRDefault="008B149B" w:rsidP="002504DC">
            <w:pPr>
              <w:autoSpaceDE w:val="0"/>
              <w:autoSpaceDN w:val="0"/>
              <w:adjustRightInd w:val="0"/>
              <w:spacing w:after="40"/>
              <w:jc w:val="right"/>
              <w:rPr>
                <w:color w:val="000000"/>
              </w:rPr>
            </w:pPr>
            <w:r w:rsidRPr="00932DB4">
              <w:rPr>
                <w:color w:val="000000"/>
              </w:rPr>
              <w:t>2011</w:t>
            </w:r>
          </w:p>
        </w:tc>
        <w:tc>
          <w:tcPr>
            <w:tcW w:w="1407" w:type="dxa"/>
            <w:tcBorders>
              <w:top w:val="single" w:sz="4" w:space="0" w:color="auto"/>
              <w:left w:val="nil"/>
              <w:bottom w:val="nil"/>
              <w:right w:val="nil"/>
            </w:tcBorders>
          </w:tcPr>
          <w:p w:rsidR="008B149B" w:rsidRPr="00932DB4" w:rsidRDefault="008B149B" w:rsidP="002504DC">
            <w:pPr>
              <w:spacing w:after="40"/>
              <w:jc w:val="right"/>
            </w:pPr>
            <w:r w:rsidRPr="00932DB4">
              <w:t>7</w:t>
            </w:r>
            <w:r>
              <w:t>.</w:t>
            </w:r>
            <w:r w:rsidRPr="00932DB4">
              <w:t>742</w:t>
            </w:r>
          </w:p>
        </w:tc>
        <w:tc>
          <w:tcPr>
            <w:tcW w:w="1440" w:type="dxa"/>
            <w:tcBorders>
              <w:top w:val="single" w:sz="4" w:space="0" w:color="auto"/>
              <w:left w:val="nil"/>
              <w:bottom w:val="nil"/>
              <w:right w:val="nil"/>
            </w:tcBorders>
          </w:tcPr>
          <w:p w:rsidR="008B149B" w:rsidRPr="00932DB4" w:rsidRDefault="008B149B" w:rsidP="002504DC">
            <w:pPr>
              <w:spacing w:after="40"/>
              <w:jc w:val="right"/>
            </w:pPr>
            <w:r w:rsidRPr="00932DB4">
              <w:t>8</w:t>
            </w:r>
            <w:r>
              <w:t>,</w:t>
            </w:r>
            <w:r w:rsidRPr="00932DB4">
              <w:t>9</w:t>
            </w:r>
          </w:p>
        </w:tc>
        <w:tc>
          <w:tcPr>
            <w:tcW w:w="1350" w:type="dxa"/>
            <w:tcBorders>
              <w:top w:val="single" w:sz="4" w:space="0" w:color="auto"/>
              <w:left w:val="nil"/>
              <w:bottom w:val="nil"/>
              <w:right w:val="nil"/>
            </w:tcBorders>
          </w:tcPr>
          <w:p w:rsidR="008B149B" w:rsidRPr="00932DB4" w:rsidRDefault="008B149B" w:rsidP="002504DC">
            <w:pPr>
              <w:spacing w:after="40"/>
              <w:jc w:val="right"/>
            </w:pPr>
            <w:r w:rsidRPr="00932DB4">
              <w:t>1</w:t>
            </w:r>
            <w:r>
              <w:t>.</w:t>
            </w:r>
            <w:r w:rsidRPr="00932DB4">
              <w:t>146</w:t>
            </w:r>
          </w:p>
        </w:tc>
        <w:tc>
          <w:tcPr>
            <w:tcW w:w="1260" w:type="dxa"/>
            <w:tcBorders>
              <w:top w:val="single" w:sz="4" w:space="0" w:color="auto"/>
              <w:left w:val="nil"/>
              <w:bottom w:val="nil"/>
              <w:right w:val="nil"/>
            </w:tcBorders>
          </w:tcPr>
          <w:p w:rsidR="008B149B" w:rsidRPr="00932DB4" w:rsidRDefault="008B149B" w:rsidP="002504DC">
            <w:pPr>
              <w:spacing w:after="40"/>
              <w:jc w:val="right"/>
            </w:pPr>
            <w:r w:rsidRPr="00932DB4">
              <w:t>2,788</w:t>
            </w:r>
          </w:p>
        </w:tc>
        <w:tc>
          <w:tcPr>
            <w:tcW w:w="1194" w:type="dxa"/>
            <w:tcBorders>
              <w:top w:val="single" w:sz="4" w:space="0" w:color="auto"/>
              <w:left w:val="nil"/>
              <w:bottom w:val="nil"/>
              <w:right w:val="nil"/>
            </w:tcBorders>
          </w:tcPr>
          <w:p w:rsidR="008B149B" w:rsidRPr="00932DB4" w:rsidRDefault="008B149B" w:rsidP="002504DC">
            <w:pPr>
              <w:spacing w:after="40"/>
              <w:jc w:val="right"/>
            </w:pPr>
            <w:r w:rsidRPr="00932DB4">
              <w:t>36</w:t>
            </w:r>
            <w:r>
              <w:t>,</w:t>
            </w:r>
            <w:r w:rsidRPr="00932DB4">
              <w:t>0%</w:t>
            </w:r>
          </w:p>
        </w:tc>
        <w:tc>
          <w:tcPr>
            <w:tcW w:w="1260" w:type="dxa"/>
            <w:tcBorders>
              <w:top w:val="single" w:sz="4" w:space="0" w:color="auto"/>
              <w:left w:val="nil"/>
              <w:bottom w:val="nil"/>
              <w:right w:val="nil"/>
            </w:tcBorders>
          </w:tcPr>
          <w:p w:rsidR="008B149B" w:rsidRPr="00932DB4" w:rsidRDefault="008B149B" w:rsidP="002504DC">
            <w:pPr>
              <w:spacing w:after="40"/>
              <w:jc w:val="right"/>
            </w:pPr>
            <w:r w:rsidRPr="00932DB4">
              <w:t>4</w:t>
            </w:r>
            <w:r>
              <w:t>.</w:t>
            </w:r>
            <w:r w:rsidRPr="00932DB4">
              <w:t>033</w:t>
            </w:r>
          </w:p>
        </w:tc>
        <w:tc>
          <w:tcPr>
            <w:tcW w:w="1292" w:type="dxa"/>
            <w:tcBorders>
              <w:top w:val="single" w:sz="4" w:space="0" w:color="auto"/>
              <w:left w:val="nil"/>
              <w:bottom w:val="nil"/>
              <w:right w:val="nil"/>
            </w:tcBorders>
          </w:tcPr>
          <w:p w:rsidR="008B149B" w:rsidRPr="00932DB4" w:rsidRDefault="008B149B" w:rsidP="002504DC">
            <w:pPr>
              <w:spacing w:after="40"/>
              <w:jc w:val="right"/>
            </w:pPr>
            <w:r w:rsidRPr="00932DB4">
              <w:t>52</w:t>
            </w:r>
            <w:r>
              <w:t>,</w:t>
            </w:r>
            <w:r w:rsidRPr="00932DB4">
              <w:t>1%</w:t>
            </w:r>
          </w:p>
        </w:tc>
        <w:tc>
          <w:tcPr>
            <w:tcW w:w="1260" w:type="dxa"/>
            <w:tcBorders>
              <w:top w:val="single" w:sz="4" w:space="0" w:color="auto"/>
              <w:left w:val="nil"/>
              <w:bottom w:val="nil"/>
              <w:right w:val="nil"/>
            </w:tcBorders>
          </w:tcPr>
          <w:p w:rsidR="008B149B" w:rsidRPr="00932DB4" w:rsidRDefault="008B149B" w:rsidP="002504DC">
            <w:pPr>
              <w:spacing w:after="40"/>
              <w:jc w:val="right"/>
            </w:pPr>
            <w:r w:rsidRPr="00932DB4">
              <w:t>5</w:t>
            </w:r>
            <w:r>
              <w:t>.</w:t>
            </w:r>
            <w:r w:rsidRPr="00932DB4">
              <w:t>436</w:t>
            </w:r>
          </w:p>
        </w:tc>
        <w:tc>
          <w:tcPr>
            <w:tcW w:w="1150" w:type="dxa"/>
            <w:tcBorders>
              <w:top w:val="single" w:sz="4" w:space="0" w:color="auto"/>
              <w:left w:val="nil"/>
              <w:bottom w:val="nil"/>
              <w:right w:val="nil"/>
            </w:tcBorders>
          </w:tcPr>
          <w:p w:rsidR="008B149B" w:rsidRPr="00932DB4" w:rsidRDefault="008B149B" w:rsidP="002504DC">
            <w:pPr>
              <w:spacing w:after="40"/>
              <w:jc w:val="right"/>
            </w:pPr>
            <w:r w:rsidRPr="00932DB4">
              <w:t>70</w:t>
            </w:r>
            <w:r>
              <w:t>,</w:t>
            </w:r>
            <w:r w:rsidRPr="00932DB4">
              <w:t>2%</w:t>
            </w:r>
          </w:p>
        </w:tc>
        <w:tc>
          <w:tcPr>
            <w:tcW w:w="1170" w:type="dxa"/>
            <w:tcBorders>
              <w:top w:val="single" w:sz="4" w:space="0" w:color="auto"/>
              <w:left w:val="nil"/>
              <w:bottom w:val="nil"/>
              <w:right w:val="nil"/>
            </w:tcBorders>
          </w:tcPr>
          <w:p w:rsidR="008B149B" w:rsidRPr="00932DB4" w:rsidRDefault="008B149B" w:rsidP="002504DC">
            <w:pPr>
              <w:spacing w:after="40"/>
              <w:jc w:val="right"/>
            </w:pPr>
            <w:r w:rsidRPr="00932DB4">
              <w:t>6</w:t>
            </w:r>
            <w:r>
              <w:t>.</w:t>
            </w:r>
            <w:r w:rsidRPr="00932DB4">
              <w:t>165</w:t>
            </w:r>
          </w:p>
        </w:tc>
        <w:tc>
          <w:tcPr>
            <w:tcW w:w="1381" w:type="dxa"/>
            <w:tcBorders>
              <w:top w:val="single" w:sz="4" w:space="0" w:color="auto"/>
              <w:left w:val="nil"/>
              <w:bottom w:val="nil"/>
              <w:right w:val="nil"/>
            </w:tcBorders>
          </w:tcPr>
          <w:p w:rsidR="008B149B" w:rsidRPr="00932DB4" w:rsidRDefault="008B149B" w:rsidP="002504DC">
            <w:pPr>
              <w:spacing w:after="40"/>
              <w:jc w:val="right"/>
            </w:pPr>
            <w:r w:rsidRPr="00932DB4">
              <w:t>79</w:t>
            </w:r>
            <w:r>
              <w:t>,</w:t>
            </w:r>
            <w:r w:rsidRPr="00932DB4">
              <w:t>6%</w:t>
            </w:r>
          </w:p>
        </w:tc>
      </w:tr>
      <w:tr w:rsidR="008B149B" w:rsidRPr="00932DB4" w:rsidTr="002504DC">
        <w:trPr>
          <w:trHeight w:val="247"/>
        </w:trPr>
        <w:tc>
          <w:tcPr>
            <w:tcW w:w="750" w:type="dxa"/>
            <w:tcBorders>
              <w:top w:val="nil"/>
              <w:left w:val="nil"/>
              <w:bottom w:val="nil"/>
              <w:right w:val="nil"/>
            </w:tcBorders>
          </w:tcPr>
          <w:p w:rsidR="008B149B" w:rsidRPr="00932DB4" w:rsidRDefault="008B149B" w:rsidP="002504DC">
            <w:pPr>
              <w:autoSpaceDE w:val="0"/>
              <w:autoSpaceDN w:val="0"/>
              <w:adjustRightInd w:val="0"/>
              <w:spacing w:after="40"/>
              <w:jc w:val="right"/>
              <w:rPr>
                <w:color w:val="000000"/>
              </w:rPr>
            </w:pPr>
            <w:r w:rsidRPr="00932DB4">
              <w:rPr>
                <w:color w:val="000000"/>
              </w:rPr>
              <w:t>2012</w:t>
            </w:r>
          </w:p>
        </w:tc>
        <w:tc>
          <w:tcPr>
            <w:tcW w:w="1407" w:type="dxa"/>
            <w:tcBorders>
              <w:top w:val="nil"/>
              <w:left w:val="nil"/>
              <w:bottom w:val="nil"/>
              <w:right w:val="nil"/>
            </w:tcBorders>
          </w:tcPr>
          <w:p w:rsidR="008B149B" w:rsidRPr="00932DB4" w:rsidRDefault="008B149B" w:rsidP="002504DC">
            <w:pPr>
              <w:spacing w:after="40"/>
              <w:jc w:val="right"/>
            </w:pPr>
            <w:r w:rsidRPr="00932DB4">
              <w:t>8</w:t>
            </w:r>
            <w:r>
              <w:t>.</w:t>
            </w:r>
            <w:r w:rsidRPr="00932DB4">
              <w:t>186</w:t>
            </w:r>
          </w:p>
        </w:tc>
        <w:tc>
          <w:tcPr>
            <w:tcW w:w="1440" w:type="dxa"/>
            <w:tcBorders>
              <w:top w:val="nil"/>
              <w:left w:val="nil"/>
              <w:bottom w:val="nil"/>
              <w:right w:val="nil"/>
            </w:tcBorders>
          </w:tcPr>
          <w:p w:rsidR="008B149B" w:rsidRPr="00932DB4" w:rsidRDefault="008B149B" w:rsidP="002504DC">
            <w:pPr>
              <w:spacing w:after="40"/>
              <w:jc w:val="right"/>
            </w:pPr>
            <w:r w:rsidRPr="00932DB4">
              <w:t>9</w:t>
            </w:r>
            <w:r>
              <w:t>,</w:t>
            </w:r>
            <w:r w:rsidRPr="00932DB4">
              <w:t>7</w:t>
            </w:r>
          </w:p>
        </w:tc>
        <w:tc>
          <w:tcPr>
            <w:tcW w:w="1350" w:type="dxa"/>
            <w:tcBorders>
              <w:top w:val="nil"/>
              <w:left w:val="nil"/>
              <w:bottom w:val="nil"/>
              <w:right w:val="nil"/>
            </w:tcBorders>
          </w:tcPr>
          <w:p w:rsidR="008B149B" w:rsidRPr="00932DB4" w:rsidRDefault="008B149B" w:rsidP="002504DC">
            <w:pPr>
              <w:spacing w:after="40"/>
              <w:jc w:val="right"/>
            </w:pPr>
            <w:r w:rsidRPr="00932DB4">
              <w:t>1</w:t>
            </w:r>
            <w:r>
              <w:t>.</w:t>
            </w:r>
            <w:r w:rsidRPr="00932DB4">
              <w:t>181</w:t>
            </w:r>
          </w:p>
        </w:tc>
        <w:tc>
          <w:tcPr>
            <w:tcW w:w="1260" w:type="dxa"/>
            <w:tcBorders>
              <w:top w:val="nil"/>
              <w:left w:val="nil"/>
              <w:bottom w:val="nil"/>
              <w:right w:val="nil"/>
            </w:tcBorders>
          </w:tcPr>
          <w:p w:rsidR="008B149B" w:rsidRPr="00932DB4" w:rsidRDefault="008B149B" w:rsidP="002504DC">
            <w:pPr>
              <w:spacing w:after="40"/>
              <w:jc w:val="right"/>
            </w:pPr>
            <w:r w:rsidRPr="00932DB4">
              <w:t>2,931</w:t>
            </w:r>
          </w:p>
        </w:tc>
        <w:tc>
          <w:tcPr>
            <w:tcW w:w="1194" w:type="dxa"/>
            <w:tcBorders>
              <w:top w:val="nil"/>
              <w:left w:val="nil"/>
              <w:bottom w:val="nil"/>
              <w:right w:val="nil"/>
            </w:tcBorders>
          </w:tcPr>
          <w:p w:rsidR="008B149B" w:rsidRPr="00932DB4" w:rsidRDefault="008B149B" w:rsidP="002504DC">
            <w:pPr>
              <w:spacing w:after="40"/>
              <w:jc w:val="right"/>
            </w:pPr>
            <w:r w:rsidRPr="00932DB4">
              <w:t>35</w:t>
            </w:r>
            <w:r>
              <w:t>,</w:t>
            </w:r>
            <w:r w:rsidRPr="00932DB4">
              <w:t>8%</w:t>
            </w:r>
          </w:p>
        </w:tc>
        <w:tc>
          <w:tcPr>
            <w:tcW w:w="1260" w:type="dxa"/>
            <w:tcBorders>
              <w:top w:val="nil"/>
              <w:left w:val="nil"/>
              <w:bottom w:val="nil"/>
              <w:right w:val="nil"/>
            </w:tcBorders>
          </w:tcPr>
          <w:p w:rsidR="008B149B" w:rsidRPr="00932DB4" w:rsidRDefault="008B149B" w:rsidP="002504DC">
            <w:pPr>
              <w:spacing w:after="40"/>
              <w:jc w:val="right"/>
            </w:pPr>
            <w:r w:rsidRPr="00932DB4">
              <w:t>4</w:t>
            </w:r>
            <w:r>
              <w:t>.</w:t>
            </w:r>
            <w:r w:rsidRPr="00932DB4">
              <w:t>232</w:t>
            </w:r>
          </w:p>
        </w:tc>
        <w:tc>
          <w:tcPr>
            <w:tcW w:w="1292" w:type="dxa"/>
            <w:tcBorders>
              <w:top w:val="nil"/>
              <w:left w:val="nil"/>
              <w:bottom w:val="nil"/>
              <w:right w:val="nil"/>
            </w:tcBorders>
          </w:tcPr>
          <w:p w:rsidR="008B149B" w:rsidRPr="00932DB4" w:rsidRDefault="008B149B" w:rsidP="002504DC">
            <w:pPr>
              <w:spacing w:after="40"/>
              <w:jc w:val="right"/>
            </w:pPr>
            <w:r w:rsidRPr="00932DB4">
              <w:t>51</w:t>
            </w:r>
            <w:r>
              <w:t>,</w:t>
            </w:r>
            <w:r w:rsidRPr="00932DB4">
              <w:t>7%</w:t>
            </w:r>
          </w:p>
        </w:tc>
        <w:tc>
          <w:tcPr>
            <w:tcW w:w="1260" w:type="dxa"/>
            <w:tcBorders>
              <w:top w:val="nil"/>
              <w:left w:val="nil"/>
              <w:bottom w:val="nil"/>
              <w:right w:val="nil"/>
            </w:tcBorders>
          </w:tcPr>
          <w:p w:rsidR="008B149B" w:rsidRPr="00932DB4" w:rsidRDefault="008B149B" w:rsidP="002504DC">
            <w:pPr>
              <w:spacing w:after="40"/>
              <w:jc w:val="right"/>
            </w:pPr>
            <w:r w:rsidRPr="00932DB4">
              <w:t>5</w:t>
            </w:r>
            <w:r>
              <w:t>.</w:t>
            </w:r>
            <w:r w:rsidRPr="00932DB4">
              <w:t>654</w:t>
            </w:r>
          </w:p>
        </w:tc>
        <w:tc>
          <w:tcPr>
            <w:tcW w:w="1150" w:type="dxa"/>
            <w:tcBorders>
              <w:top w:val="nil"/>
              <w:left w:val="nil"/>
              <w:bottom w:val="nil"/>
              <w:right w:val="nil"/>
            </w:tcBorders>
          </w:tcPr>
          <w:p w:rsidR="008B149B" w:rsidRPr="00932DB4" w:rsidRDefault="008B149B" w:rsidP="002504DC">
            <w:pPr>
              <w:spacing w:after="40"/>
              <w:jc w:val="right"/>
            </w:pPr>
            <w:r w:rsidRPr="00932DB4">
              <w:t>69</w:t>
            </w:r>
            <w:r>
              <w:t>,</w:t>
            </w:r>
            <w:r w:rsidRPr="00932DB4">
              <w:t>1%</w:t>
            </w:r>
          </w:p>
        </w:tc>
        <w:tc>
          <w:tcPr>
            <w:tcW w:w="1170" w:type="dxa"/>
            <w:tcBorders>
              <w:top w:val="nil"/>
              <w:left w:val="nil"/>
              <w:bottom w:val="nil"/>
              <w:right w:val="nil"/>
            </w:tcBorders>
          </w:tcPr>
          <w:p w:rsidR="008B149B" w:rsidRPr="00932DB4" w:rsidRDefault="008B149B" w:rsidP="002504DC">
            <w:pPr>
              <w:spacing w:after="40"/>
              <w:jc w:val="right"/>
            </w:pPr>
            <w:r w:rsidRPr="00932DB4">
              <w:t>6</w:t>
            </w:r>
            <w:r>
              <w:t>.</w:t>
            </w:r>
            <w:r w:rsidRPr="00932DB4">
              <w:t>405</w:t>
            </w:r>
          </w:p>
        </w:tc>
        <w:tc>
          <w:tcPr>
            <w:tcW w:w="1381" w:type="dxa"/>
            <w:tcBorders>
              <w:top w:val="nil"/>
              <w:left w:val="nil"/>
              <w:bottom w:val="nil"/>
              <w:right w:val="nil"/>
            </w:tcBorders>
          </w:tcPr>
          <w:p w:rsidR="008B149B" w:rsidRPr="00932DB4" w:rsidRDefault="008B149B" w:rsidP="002504DC">
            <w:pPr>
              <w:spacing w:after="40"/>
              <w:jc w:val="right"/>
            </w:pPr>
            <w:r w:rsidRPr="00932DB4">
              <w:t>78</w:t>
            </w:r>
            <w:r>
              <w:t>,</w:t>
            </w:r>
            <w:r w:rsidRPr="00932DB4">
              <w:t>2%</w:t>
            </w:r>
          </w:p>
        </w:tc>
      </w:tr>
      <w:tr w:rsidR="008B149B" w:rsidRPr="00932DB4" w:rsidTr="002504DC">
        <w:trPr>
          <w:trHeight w:val="247"/>
        </w:trPr>
        <w:tc>
          <w:tcPr>
            <w:tcW w:w="750" w:type="dxa"/>
            <w:tcBorders>
              <w:top w:val="nil"/>
              <w:left w:val="nil"/>
              <w:bottom w:val="nil"/>
              <w:right w:val="nil"/>
            </w:tcBorders>
          </w:tcPr>
          <w:p w:rsidR="008B149B" w:rsidRPr="00932DB4" w:rsidRDefault="008B149B" w:rsidP="002504DC">
            <w:pPr>
              <w:autoSpaceDE w:val="0"/>
              <w:autoSpaceDN w:val="0"/>
              <w:adjustRightInd w:val="0"/>
              <w:spacing w:after="40"/>
              <w:jc w:val="right"/>
              <w:rPr>
                <w:color w:val="000000"/>
              </w:rPr>
            </w:pPr>
            <w:r w:rsidRPr="00932DB4">
              <w:rPr>
                <w:color w:val="000000"/>
              </w:rPr>
              <w:t>2013</w:t>
            </w:r>
          </w:p>
        </w:tc>
        <w:tc>
          <w:tcPr>
            <w:tcW w:w="1407" w:type="dxa"/>
            <w:tcBorders>
              <w:top w:val="nil"/>
              <w:left w:val="nil"/>
              <w:bottom w:val="nil"/>
              <w:right w:val="nil"/>
            </w:tcBorders>
          </w:tcPr>
          <w:p w:rsidR="008B149B" w:rsidRPr="00932DB4" w:rsidRDefault="008B149B" w:rsidP="002504DC">
            <w:pPr>
              <w:spacing w:after="40"/>
              <w:jc w:val="right"/>
            </w:pPr>
            <w:r w:rsidRPr="00932DB4">
              <w:t>8</w:t>
            </w:r>
            <w:r>
              <w:t>.</w:t>
            </w:r>
            <w:r w:rsidRPr="00932DB4">
              <w:t>012</w:t>
            </w:r>
          </w:p>
        </w:tc>
        <w:tc>
          <w:tcPr>
            <w:tcW w:w="1440" w:type="dxa"/>
            <w:tcBorders>
              <w:top w:val="nil"/>
              <w:left w:val="nil"/>
              <w:bottom w:val="nil"/>
              <w:right w:val="nil"/>
            </w:tcBorders>
          </w:tcPr>
          <w:p w:rsidR="008B149B" w:rsidRPr="00932DB4" w:rsidRDefault="008B149B" w:rsidP="002504DC">
            <w:pPr>
              <w:spacing w:after="40"/>
              <w:jc w:val="right"/>
            </w:pPr>
            <w:r w:rsidRPr="00932DB4">
              <w:t>9</w:t>
            </w:r>
            <w:r>
              <w:t>,</w:t>
            </w:r>
            <w:r w:rsidRPr="00932DB4">
              <w:t>2</w:t>
            </w:r>
          </w:p>
        </w:tc>
        <w:tc>
          <w:tcPr>
            <w:tcW w:w="1350" w:type="dxa"/>
            <w:tcBorders>
              <w:top w:val="nil"/>
              <w:left w:val="nil"/>
              <w:bottom w:val="nil"/>
              <w:right w:val="nil"/>
            </w:tcBorders>
          </w:tcPr>
          <w:p w:rsidR="008B149B" w:rsidRPr="00932DB4" w:rsidRDefault="008B149B" w:rsidP="002504DC">
            <w:pPr>
              <w:spacing w:after="40"/>
              <w:jc w:val="right"/>
            </w:pPr>
            <w:r w:rsidRPr="00932DB4">
              <w:t>1</w:t>
            </w:r>
            <w:r>
              <w:t>.</w:t>
            </w:r>
            <w:r w:rsidRPr="00932DB4">
              <w:t>144</w:t>
            </w:r>
          </w:p>
        </w:tc>
        <w:tc>
          <w:tcPr>
            <w:tcW w:w="1260" w:type="dxa"/>
            <w:tcBorders>
              <w:top w:val="nil"/>
              <w:left w:val="nil"/>
              <w:bottom w:val="nil"/>
              <w:right w:val="nil"/>
            </w:tcBorders>
          </w:tcPr>
          <w:p w:rsidR="008B149B" w:rsidRPr="00932DB4" w:rsidRDefault="008B149B" w:rsidP="002504DC">
            <w:pPr>
              <w:spacing w:after="40"/>
              <w:jc w:val="right"/>
            </w:pPr>
            <w:r w:rsidRPr="00932DB4">
              <w:t>2,886</w:t>
            </w:r>
          </w:p>
        </w:tc>
        <w:tc>
          <w:tcPr>
            <w:tcW w:w="1194" w:type="dxa"/>
            <w:tcBorders>
              <w:top w:val="nil"/>
              <w:left w:val="nil"/>
              <w:bottom w:val="nil"/>
              <w:right w:val="nil"/>
            </w:tcBorders>
          </w:tcPr>
          <w:p w:rsidR="008B149B" w:rsidRPr="00932DB4" w:rsidRDefault="008B149B" w:rsidP="002504DC">
            <w:pPr>
              <w:spacing w:after="40"/>
              <w:jc w:val="right"/>
            </w:pPr>
            <w:r w:rsidRPr="00932DB4">
              <w:t>36</w:t>
            </w:r>
            <w:r>
              <w:t>,</w:t>
            </w:r>
            <w:r w:rsidRPr="00932DB4">
              <w:t>0%</w:t>
            </w:r>
          </w:p>
        </w:tc>
        <w:tc>
          <w:tcPr>
            <w:tcW w:w="1260" w:type="dxa"/>
            <w:tcBorders>
              <w:top w:val="nil"/>
              <w:left w:val="nil"/>
              <w:bottom w:val="nil"/>
              <w:right w:val="nil"/>
            </w:tcBorders>
          </w:tcPr>
          <w:p w:rsidR="008B149B" w:rsidRPr="00932DB4" w:rsidRDefault="008B149B" w:rsidP="002504DC">
            <w:pPr>
              <w:spacing w:after="40"/>
              <w:jc w:val="right"/>
            </w:pPr>
            <w:r w:rsidRPr="00932DB4">
              <w:t>4</w:t>
            </w:r>
            <w:r>
              <w:t>.</w:t>
            </w:r>
            <w:r w:rsidRPr="00932DB4">
              <w:t>165</w:t>
            </w:r>
          </w:p>
        </w:tc>
        <w:tc>
          <w:tcPr>
            <w:tcW w:w="1292" w:type="dxa"/>
            <w:tcBorders>
              <w:top w:val="nil"/>
              <w:left w:val="nil"/>
              <w:bottom w:val="nil"/>
              <w:right w:val="nil"/>
            </w:tcBorders>
          </w:tcPr>
          <w:p w:rsidR="008B149B" w:rsidRPr="00932DB4" w:rsidRDefault="008B149B" w:rsidP="002504DC">
            <w:pPr>
              <w:spacing w:after="40"/>
              <w:jc w:val="right"/>
            </w:pPr>
            <w:r w:rsidRPr="00932DB4">
              <w:t>52</w:t>
            </w:r>
            <w:r>
              <w:t>,</w:t>
            </w:r>
            <w:r w:rsidRPr="00932DB4">
              <w:t>0%</w:t>
            </w:r>
          </w:p>
        </w:tc>
        <w:tc>
          <w:tcPr>
            <w:tcW w:w="1260" w:type="dxa"/>
            <w:tcBorders>
              <w:top w:val="nil"/>
              <w:left w:val="nil"/>
              <w:bottom w:val="nil"/>
              <w:right w:val="nil"/>
            </w:tcBorders>
          </w:tcPr>
          <w:p w:rsidR="008B149B" w:rsidRPr="00932DB4" w:rsidRDefault="008B149B" w:rsidP="002504DC">
            <w:pPr>
              <w:spacing w:after="40"/>
              <w:jc w:val="right"/>
            </w:pPr>
            <w:r w:rsidRPr="00932DB4">
              <w:t>5</w:t>
            </w:r>
            <w:r>
              <w:t>.</w:t>
            </w:r>
            <w:r w:rsidRPr="00932DB4">
              <w:t>486</w:t>
            </w:r>
          </w:p>
        </w:tc>
        <w:tc>
          <w:tcPr>
            <w:tcW w:w="1150" w:type="dxa"/>
            <w:tcBorders>
              <w:top w:val="nil"/>
              <w:left w:val="nil"/>
              <w:bottom w:val="nil"/>
              <w:right w:val="nil"/>
            </w:tcBorders>
          </w:tcPr>
          <w:p w:rsidR="008B149B" w:rsidRPr="00932DB4" w:rsidRDefault="008B149B" w:rsidP="002504DC">
            <w:pPr>
              <w:spacing w:after="40"/>
              <w:jc w:val="right"/>
            </w:pPr>
            <w:r w:rsidRPr="00932DB4">
              <w:t>68</w:t>
            </w:r>
            <w:r>
              <w:t>,</w:t>
            </w:r>
            <w:r w:rsidRPr="00932DB4">
              <w:t>5%</w:t>
            </w:r>
          </w:p>
        </w:tc>
        <w:tc>
          <w:tcPr>
            <w:tcW w:w="1170" w:type="dxa"/>
            <w:tcBorders>
              <w:top w:val="nil"/>
              <w:left w:val="nil"/>
              <w:bottom w:val="nil"/>
              <w:right w:val="nil"/>
            </w:tcBorders>
          </w:tcPr>
          <w:p w:rsidR="008B149B" w:rsidRPr="00932DB4" w:rsidRDefault="008B149B" w:rsidP="002504DC">
            <w:pPr>
              <w:spacing w:after="40"/>
              <w:jc w:val="right"/>
            </w:pPr>
            <w:r w:rsidRPr="00932DB4">
              <w:t>6</w:t>
            </w:r>
            <w:r>
              <w:t>.</w:t>
            </w:r>
            <w:r w:rsidRPr="00932DB4">
              <w:t>217</w:t>
            </w:r>
          </w:p>
        </w:tc>
        <w:tc>
          <w:tcPr>
            <w:tcW w:w="1381" w:type="dxa"/>
            <w:tcBorders>
              <w:top w:val="nil"/>
              <w:left w:val="nil"/>
              <w:bottom w:val="nil"/>
              <w:right w:val="nil"/>
            </w:tcBorders>
          </w:tcPr>
          <w:p w:rsidR="008B149B" w:rsidRPr="00932DB4" w:rsidRDefault="008B149B" w:rsidP="002504DC">
            <w:pPr>
              <w:spacing w:after="40"/>
              <w:jc w:val="right"/>
            </w:pPr>
            <w:r w:rsidRPr="00932DB4">
              <w:t>77</w:t>
            </w:r>
            <w:r>
              <w:t>,</w:t>
            </w:r>
            <w:r w:rsidRPr="00932DB4">
              <w:t>6%</w:t>
            </w:r>
          </w:p>
        </w:tc>
      </w:tr>
      <w:tr w:rsidR="008B149B" w:rsidRPr="00932DB4" w:rsidTr="002504DC">
        <w:trPr>
          <w:trHeight w:val="247"/>
        </w:trPr>
        <w:tc>
          <w:tcPr>
            <w:tcW w:w="750" w:type="dxa"/>
            <w:tcBorders>
              <w:top w:val="nil"/>
              <w:left w:val="nil"/>
              <w:bottom w:val="nil"/>
              <w:right w:val="nil"/>
            </w:tcBorders>
          </w:tcPr>
          <w:p w:rsidR="008B149B" w:rsidRPr="00932DB4" w:rsidRDefault="008B149B" w:rsidP="002504DC">
            <w:pPr>
              <w:autoSpaceDE w:val="0"/>
              <w:autoSpaceDN w:val="0"/>
              <w:adjustRightInd w:val="0"/>
              <w:spacing w:after="40"/>
              <w:jc w:val="right"/>
              <w:rPr>
                <w:color w:val="000000"/>
              </w:rPr>
            </w:pPr>
            <w:r w:rsidRPr="00932DB4">
              <w:rPr>
                <w:color w:val="000000"/>
              </w:rPr>
              <w:t>2014</w:t>
            </w:r>
          </w:p>
        </w:tc>
        <w:tc>
          <w:tcPr>
            <w:tcW w:w="1407" w:type="dxa"/>
            <w:tcBorders>
              <w:top w:val="nil"/>
              <w:left w:val="nil"/>
              <w:bottom w:val="nil"/>
              <w:right w:val="nil"/>
            </w:tcBorders>
          </w:tcPr>
          <w:p w:rsidR="008B149B" w:rsidRPr="00932DB4" w:rsidRDefault="008B149B" w:rsidP="002504DC">
            <w:pPr>
              <w:spacing w:after="40"/>
              <w:jc w:val="right"/>
            </w:pPr>
            <w:r w:rsidRPr="00932DB4">
              <w:t>8</w:t>
            </w:r>
            <w:r>
              <w:t>.</w:t>
            </w:r>
            <w:r w:rsidRPr="00932DB4">
              <w:t>272</w:t>
            </w:r>
          </w:p>
        </w:tc>
        <w:tc>
          <w:tcPr>
            <w:tcW w:w="1440" w:type="dxa"/>
            <w:tcBorders>
              <w:top w:val="nil"/>
              <w:left w:val="nil"/>
              <w:bottom w:val="nil"/>
              <w:right w:val="nil"/>
            </w:tcBorders>
          </w:tcPr>
          <w:p w:rsidR="008B149B" w:rsidRPr="00932DB4" w:rsidRDefault="008B149B" w:rsidP="002504DC">
            <w:pPr>
              <w:spacing w:after="40"/>
              <w:jc w:val="right"/>
            </w:pPr>
            <w:r w:rsidRPr="00932DB4">
              <w:t>9</w:t>
            </w:r>
            <w:r>
              <w:t>,</w:t>
            </w:r>
            <w:r w:rsidRPr="00932DB4">
              <w:t>6</w:t>
            </w:r>
          </w:p>
        </w:tc>
        <w:tc>
          <w:tcPr>
            <w:tcW w:w="1350" w:type="dxa"/>
            <w:tcBorders>
              <w:top w:val="nil"/>
              <w:left w:val="nil"/>
              <w:bottom w:val="nil"/>
              <w:right w:val="nil"/>
            </w:tcBorders>
          </w:tcPr>
          <w:p w:rsidR="008B149B" w:rsidRPr="00932DB4" w:rsidRDefault="008B149B" w:rsidP="002504DC">
            <w:pPr>
              <w:spacing w:after="40"/>
              <w:jc w:val="right"/>
            </w:pPr>
            <w:r w:rsidRPr="00932DB4">
              <w:t>1</w:t>
            </w:r>
            <w:r>
              <w:t>.</w:t>
            </w:r>
            <w:r w:rsidRPr="00932DB4">
              <w:t>167</w:t>
            </w:r>
          </w:p>
        </w:tc>
        <w:tc>
          <w:tcPr>
            <w:tcW w:w="1260" w:type="dxa"/>
            <w:tcBorders>
              <w:top w:val="nil"/>
              <w:left w:val="nil"/>
              <w:bottom w:val="nil"/>
              <w:right w:val="nil"/>
            </w:tcBorders>
          </w:tcPr>
          <w:p w:rsidR="008B149B" w:rsidRPr="00932DB4" w:rsidRDefault="008B149B" w:rsidP="002504DC">
            <w:pPr>
              <w:spacing w:after="40"/>
              <w:jc w:val="right"/>
            </w:pPr>
            <w:r w:rsidRPr="00932DB4">
              <w:t>2,842</w:t>
            </w:r>
          </w:p>
        </w:tc>
        <w:tc>
          <w:tcPr>
            <w:tcW w:w="1194" w:type="dxa"/>
            <w:tcBorders>
              <w:top w:val="nil"/>
              <w:left w:val="nil"/>
              <w:bottom w:val="nil"/>
              <w:right w:val="nil"/>
            </w:tcBorders>
          </w:tcPr>
          <w:p w:rsidR="008B149B" w:rsidRPr="00932DB4" w:rsidRDefault="008B149B" w:rsidP="002504DC">
            <w:pPr>
              <w:spacing w:after="40"/>
              <w:jc w:val="right"/>
            </w:pPr>
            <w:r w:rsidRPr="00932DB4">
              <w:t>34</w:t>
            </w:r>
            <w:r>
              <w:t>,</w:t>
            </w:r>
            <w:r w:rsidRPr="00932DB4">
              <w:t>4%</w:t>
            </w:r>
          </w:p>
        </w:tc>
        <w:tc>
          <w:tcPr>
            <w:tcW w:w="1260" w:type="dxa"/>
            <w:tcBorders>
              <w:top w:val="nil"/>
              <w:left w:val="nil"/>
              <w:bottom w:val="nil"/>
              <w:right w:val="nil"/>
            </w:tcBorders>
          </w:tcPr>
          <w:p w:rsidR="008B149B" w:rsidRPr="00932DB4" w:rsidRDefault="008B149B" w:rsidP="002504DC">
            <w:pPr>
              <w:spacing w:after="40"/>
              <w:jc w:val="right"/>
            </w:pPr>
            <w:r w:rsidRPr="00932DB4">
              <w:t>4</w:t>
            </w:r>
            <w:r>
              <w:t>.</w:t>
            </w:r>
            <w:r w:rsidRPr="00932DB4">
              <w:t>129</w:t>
            </w:r>
          </w:p>
        </w:tc>
        <w:tc>
          <w:tcPr>
            <w:tcW w:w="1292" w:type="dxa"/>
            <w:tcBorders>
              <w:top w:val="nil"/>
              <w:left w:val="nil"/>
              <w:bottom w:val="nil"/>
              <w:right w:val="nil"/>
            </w:tcBorders>
          </w:tcPr>
          <w:p w:rsidR="008B149B" w:rsidRPr="00932DB4" w:rsidRDefault="008B149B" w:rsidP="002504DC">
            <w:pPr>
              <w:spacing w:after="40"/>
              <w:jc w:val="right"/>
            </w:pPr>
            <w:r w:rsidRPr="00932DB4">
              <w:t>49</w:t>
            </w:r>
            <w:r>
              <w:t>,</w:t>
            </w:r>
            <w:r w:rsidRPr="00932DB4">
              <w:t>9%</w:t>
            </w:r>
          </w:p>
        </w:tc>
        <w:tc>
          <w:tcPr>
            <w:tcW w:w="1260" w:type="dxa"/>
            <w:tcBorders>
              <w:top w:val="nil"/>
              <w:left w:val="nil"/>
              <w:bottom w:val="nil"/>
              <w:right w:val="nil"/>
            </w:tcBorders>
          </w:tcPr>
          <w:p w:rsidR="008B149B" w:rsidRPr="00932DB4" w:rsidRDefault="008B149B" w:rsidP="002504DC">
            <w:pPr>
              <w:spacing w:after="40"/>
              <w:jc w:val="right"/>
            </w:pPr>
            <w:r w:rsidRPr="00932DB4">
              <w:t>5</w:t>
            </w:r>
            <w:r>
              <w:t>.</w:t>
            </w:r>
            <w:r w:rsidRPr="00932DB4">
              <w:t>539</w:t>
            </w:r>
          </w:p>
        </w:tc>
        <w:tc>
          <w:tcPr>
            <w:tcW w:w="1150" w:type="dxa"/>
            <w:tcBorders>
              <w:top w:val="nil"/>
              <w:left w:val="nil"/>
              <w:bottom w:val="nil"/>
              <w:right w:val="nil"/>
            </w:tcBorders>
          </w:tcPr>
          <w:p w:rsidR="008B149B" w:rsidRPr="00932DB4" w:rsidRDefault="008B149B" w:rsidP="002504DC">
            <w:pPr>
              <w:spacing w:after="40"/>
              <w:jc w:val="right"/>
            </w:pPr>
            <w:r w:rsidRPr="00932DB4">
              <w:t>67</w:t>
            </w:r>
            <w:r>
              <w:t>,</w:t>
            </w:r>
            <w:r w:rsidRPr="00932DB4">
              <w:t>0%</w:t>
            </w:r>
          </w:p>
        </w:tc>
        <w:tc>
          <w:tcPr>
            <w:tcW w:w="1170" w:type="dxa"/>
            <w:tcBorders>
              <w:top w:val="nil"/>
              <w:left w:val="nil"/>
              <w:bottom w:val="nil"/>
              <w:right w:val="nil"/>
            </w:tcBorders>
          </w:tcPr>
          <w:p w:rsidR="008B149B" w:rsidRPr="00932DB4" w:rsidRDefault="008B149B" w:rsidP="002504DC">
            <w:pPr>
              <w:spacing w:after="40"/>
              <w:jc w:val="right"/>
            </w:pPr>
            <w:r w:rsidRPr="00932DB4">
              <w:t>6</w:t>
            </w:r>
            <w:r>
              <w:t>.</w:t>
            </w:r>
            <w:r w:rsidRPr="00932DB4">
              <w:t>264</w:t>
            </w:r>
          </w:p>
        </w:tc>
        <w:tc>
          <w:tcPr>
            <w:tcW w:w="1381" w:type="dxa"/>
            <w:tcBorders>
              <w:top w:val="nil"/>
              <w:left w:val="nil"/>
              <w:bottom w:val="nil"/>
              <w:right w:val="nil"/>
            </w:tcBorders>
          </w:tcPr>
          <w:p w:rsidR="008B149B" w:rsidRPr="00932DB4" w:rsidRDefault="008B149B" w:rsidP="002504DC">
            <w:pPr>
              <w:spacing w:after="40"/>
              <w:jc w:val="right"/>
            </w:pPr>
            <w:r w:rsidRPr="00932DB4">
              <w:t>75</w:t>
            </w:r>
            <w:r>
              <w:t>,</w:t>
            </w:r>
            <w:r w:rsidRPr="00932DB4">
              <w:t>7%</w:t>
            </w:r>
          </w:p>
        </w:tc>
      </w:tr>
      <w:tr w:rsidR="008B149B" w:rsidRPr="00932DB4" w:rsidTr="002504DC">
        <w:trPr>
          <w:trHeight w:val="247"/>
        </w:trPr>
        <w:tc>
          <w:tcPr>
            <w:tcW w:w="750" w:type="dxa"/>
            <w:tcBorders>
              <w:top w:val="nil"/>
              <w:left w:val="nil"/>
              <w:bottom w:val="nil"/>
              <w:right w:val="nil"/>
            </w:tcBorders>
          </w:tcPr>
          <w:p w:rsidR="008B149B" w:rsidRPr="00932DB4" w:rsidRDefault="008B149B" w:rsidP="002504DC">
            <w:pPr>
              <w:autoSpaceDE w:val="0"/>
              <w:autoSpaceDN w:val="0"/>
              <w:adjustRightInd w:val="0"/>
              <w:spacing w:after="40"/>
              <w:jc w:val="right"/>
              <w:rPr>
                <w:color w:val="000000"/>
              </w:rPr>
            </w:pPr>
            <w:r w:rsidRPr="00932DB4">
              <w:rPr>
                <w:color w:val="000000"/>
              </w:rPr>
              <w:t>2015</w:t>
            </w:r>
          </w:p>
        </w:tc>
        <w:tc>
          <w:tcPr>
            <w:tcW w:w="1407" w:type="dxa"/>
            <w:tcBorders>
              <w:top w:val="nil"/>
              <w:left w:val="nil"/>
              <w:bottom w:val="nil"/>
              <w:right w:val="nil"/>
            </w:tcBorders>
          </w:tcPr>
          <w:p w:rsidR="008B149B" w:rsidRPr="00932DB4" w:rsidRDefault="008B149B" w:rsidP="002504DC">
            <w:pPr>
              <w:spacing w:after="40"/>
              <w:jc w:val="right"/>
            </w:pPr>
            <w:r w:rsidRPr="00932DB4">
              <w:t>8</w:t>
            </w:r>
            <w:r>
              <w:t>.</w:t>
            </w:r>
            <w:r w:rsidRPr="00932DB4">
              <w:t>188</w:t>
            </w:r>
          </w:p>
        </w:tc>
        <w:tc>
          <w:tcPr>
            <w:tcW w:w="1440" w:type="dxa"/>
            <w:tcBorders>
              <w:top w:val="nil"/>
              <w:left w:val="nil"/>
              <w:bottom w:val="nil"/>
              <w:right w:val="nil"/>
            </w:tcBorders>
          </w:tcPr>
          <w:p w:rsidR="008B149B" w:rsidRPr="00932DB4" w:rsidRDefault="008B149B" w:rsidP="002504DC">
            <w:pPr>
              <w:spacing w:after="40"/>
              <w:jc w:val="right"/>
            </w:pPr>
            <w:r w:rsidRPr="00932DB4">
              <w:t>9</w:t>
            </w:r>
            <w:r>
              <w:t>,</w:t>
            </w:r>
            <w:r w:rsidRPr="00932DB4">
              <w:t>3</w:t>
            </w:r>
          </w:p>
        </w:tc>
        <w:tc>
          <w:tcPr>
            <w:tcW w:w="1350" w:type="dxa"/>
            <w:tcBorders>
              <w:top w:val="nil"/>
              <w:left w:val="nil"/>
              <w:bottom w:val="nil"/>
              <w:right w:val="nil"/>
            </w:tcBorders>
          </w:tcPr>
          <w:p w:rsidR="008B149B" w:rsidRPr="00932DB4" w:rsidRDefault="008B149B" w:rsidP="002504DC">
            <w:pPr>
              <w:spacing w:after="40"/>
              <w:jc w:val="right"/>
            </w:pPr>
            <w:r w:rsidRPr="00932DB4">
              <w:t>1</w:t>
            </w:r>
            <w:r>
              <w:t>.</w:t>
            </w:r>
            <w:r w:rsidRPr="00932DB4">
              <w:t>139</w:t>
            </w:r>
          </w:p>
        </w:tc>
        <w:tc>
          <w:tcPr>
            <w:tcW w:w="1260" w:type="dxa"/>
            <w:tcBorders>
              <w:top w:val="nil"/>
              <w:left w:val="nil"/>
              <w:bottom w:val="nil"/>
              <w:right w:val="nil"/>
            </w:tcBorders>
          </w:tcPr>
          <w:p w:rsidR="008B149B" w:rsidRPr="00932DB4" w:rsidRDefault="008B149B" w:rsidP="002504DC">
            <w:pPr>
              <w:spacing w:after="40"/>
              <w:jc w:val="right"/>
            </w:pPr>
            <w:r w:rsidRPr="00932DB4">
              <w:t>2,841</w:t>
            </w:r>
          </w:p>
        </w:tc>
        <w:tc>
          <w:tcPr>
            <w:tcW w:w="1194" w:type="dxa"/>
            <w:tcBorders>
              <w:top w:val="nil"/>
              <w:left w:val="nil"/>
              <w:bottom w:val="nil"/>
              <w:right w:val="nil"/>
            </w:tcBorders>
          </w:tcPr>
          <w:p w:rsidR="008B149B" w:rsidRPr="00932DB4" w:rsidRDefault="008B149B" w:rsidP="002504DC">
            <w:pPr>
              <w:spacing w:after="40"/>
              <w:jc w:val="right"/>
            </w:pPr>
            <w:r w:rsidRPr="00932DB4">
              <w:t>34</w:t>
            </w:r>
            <w:r>
              <w:t>,</w:t>
            </w:r>
            <w:r w:rsidRPr="00932DB4">
              <w:t>7%</w:t>
            </w:r>
          </w:p>
        </w:tc>
        <w:tc>
          <w:tcPr>
            <w:tcW w:w="1260" w:type="dxa"/>
            <w:tcBorders>
              <w:top w:val="nil"/>
              <w:left w:val="nil"/>
              <w:bottom w:val="nil"/>
              <w:right w:val="nil"/>
            </w:tcBorders>
          </w:tcPr>
          <w:p w:rsidR="008B149B" w:rsidRPr="00932DB4" w:rsidRDefault="008B149B" w:rsidP="002504DC">
            <w:pPr>
              <w:spacing w:after="40"/>
              <w:jc w:val="right"/>
            </w:pPr>
            <w:r w:rsidRPr="00932DB4">
              <w:t>4</w:t>
            </w:r>
            <w:r>
              <w:t>.</w:t>
            </w:r>
            <w:r w:rsidRPr="00932DB4">
              <w:t>147</w:t>
            </w:r>
          </w:p>
        </w:tc>
        <w:tc>
          <w:tcPr>
            <w:tcW w:w="1292" w:type="dxa"/>
            <w:tcBorders>
              <w:top w:val="nil"/>
              <w:left w:val="nil"/>
              <w:bottom w:val="nil"/>
              <w:right w:val="nil"/>
            </w:tcBorders>
          </w:tcPr>
          <w:p w:rsidR="008B149B" w:rsidRPr="00932DB4" w:rsidRDefault="008B149B" w:rsidP="002504DC">
            <w:pPr>
              <w:spacing w:after="40"/>
              <w:jc w:val="right"/>
            </w:pPr>
            <w:r w:rsidRPr="00932DB4">
              <w:t>50</w:t>
            </w:r>
            <w:r>
              <w:t>,</w:t>
            </w:r>
            <w:r w:rsidRPr="00932DB4">
              <w:t>6%</w:t>
            </w:r>
          </w:p>
        </w:tc>
        <w:tc>
          <w:tcPr>
            <w:tcW w:w="1260" w:type="dxa"/>
            <w:tcBorders>
              <w:top w:val="nil"/>
              <w:left w:val="nil"/>
              <w:bottom w:val="nil"/>
              <w:right w:val="nil"/>
            </w:tcBorders>
          </w:tcPr>
          <w:p w:rsidR="008B149B" w:rsidRPr="00932DB4" w:rsidRDefault="008B149B" w:rsidP="002504DC">
            <w:pPr>
              <w:spacing w:after="40"/>
              <w:jc w:val="right"/>
            </w:pPr>
            <w:r w:rsidRPr="00932DB4">
              <w:t>5</w:t>
            </w:r>
            <w:r>
              <w:t>.</w:t>
            </w:r>
            <w:r w:rsidRPr="00932DB4">
              <w:t>553</w:t>
            </w:r>
          </w:p>
        </w:tc>
        <w:tc>
          <w:tcPr>
            <w:tcW w:w="1150" w:type="dxa"/>
            <w:tcBorders>
              <w:top w:val="nil"/>
              <w:left w:val="nil"/>
              <w:bottom w:val="nil"/>
              <w:right w:val="nil"/>
            </w:tcBorders>
          </w:tcPr>
          <w:p w:rsidR="008B149B" w:rsidRPr="00932DB4" w:rsidRDefault="008B149B" w:rsidP="002504DC">
            <w:pPr>
              <w:spacing w:after="40"/>
              <w:jc w:val="right"/>
            </w:pPr>
            <w:r w:rsidRPr="00932DB4">
              <w:t>67</w:t>
            </w:r>
            <w:r>
              <w:t>,</w:t>
            </w:r>
            <w:r w:rsidRPr="00932DB4">
              <w:t>8%</w:t>
            </w:r>
          </w:p>
        </w:tc>
        <w:tc>
          <w:tcPr>
            <w:tcW w:w="1170" w:type="dxa"/>
            <w:tcBorders>
              <w:top w:val="nil"/>
              <w:left w:val="nil"/>
              <w:bottom w:val="nil"/>
              <w:right w:val="nil"/>
            </w:tcBorders>
          </w:tcPr>
          <w:p w:rsidR="008B149B" w:rsidRPr="00932DB4" w:rsidRDefault="008B149B" w:rsidP="002504DC">
            <w:pPr>
              <w:spacing w:after="40"/>
              <w:jc w:val="right"/>
            </w:pPr>
            <w:r w:rsidRPr="00932DB4">
              <w:t>6</w:t>
            </w:r>
            <w:r>
              <w:t>.</w:t>
            </w:r>
            <w:r w:rsidRPr="00932DB4">
              <w:t>300</w:t>
            </w:r>
          </w:p>
        </w:tc>
        <w:tc>
          <w:tcPr>
            <w:tcW w:w="1381" w:type="dxa"/>
            <w:tcBorders>
              <w:top w:val="nil"/>
              <w:left w:val="nil"/>
              <w:bottom w:val="nil"/>
              <w:right w:val="nil"/>
            </w:tcBorders>
          </w:tcPr>
          <w:p w:rsidR="008B149B" w:rsidRPr="00932DB4" w:rsidRDefault="008B149B" w:rsidP="002504DC">
            <w:pPr>
              <w:spacing w:after="40"/>
              <w:jc w:val="right"/>
            </w:pPr>
            <w:r w:rsidRPr="00932DB4">
              <w:t>76</w:t>
            </w:r>
            <w:r>
              <w:t>,</w:t>
            </w:r>
            <w:r w:rsidRPr="00932DB4">
              <w:t>9%</w:t>
            </w:r>
          </w:p>
        </w:tc>
      </w:tr>
    </w:tbl>
    <w:p w:rsidR="008B149B" w:rsidRPr="00932DB4" w:rsidRDefault="008B149B" w:rsidP="008B149B"/>
    <w:p w:rsidR="008B149B" w:rsidRPr="00932DB4" w:rsidRDefault="008B149B" w:rsidP="008B149B"/>
    <w:p w:rsidR="008B149B" w:rsidRPr="00932DB4" w:rsidRDefault="008B149B" w:rsidP="008B149B">
      <w:pPr>
        <w:jc w:val="center"/>
      </w:pPr>
    </w:p>
    <w:p w:rsidR="008B149B" w:rsidRPr="00932DB4" w:rsidRDefault="008B149B" w:rsidP="008B149B">
      <w:pPr>
        <w:jc w:val="center"/>
      </w:pPr>
      <w:r w:rsidRPr="00932DB4">
        <w:t>Cuadro 2b</w:t>
      </w:r>
      <w:proofErr w:type="gramStart"/>
      <w:r w:rsidRPr="00932DB4">
        <w:t>:  Referencia</w:t>
      </w:r>
      <w:proofErr w:type="gramEnd"/>
      <w:r w:rsidRPr="00932DB4">
        <w:t xml:space="preserve"> para la simulación, países en desarrollo</w:t>
      </w:r>
    </w:p>
    <w:p w:rsidR="008B149B" w:rsidRPr="00932DB4" w:rsidRDefault="008B149B" w:rsidP="008B149B">
      <w:pPr>
        <w:jc w:val="center"/>
      </w:pPr>
    </w:p>
    <w:tbl>
      <w:tblPr>
        <w:tblW w:w="14631" w:type="dxa"/>
        <w:tblInd w:w="78" w:type="dxa"/>
        <w:tblLayout w:type="fixed"/>
        <w:tblLook w:val="0000" w:firstRow="0" w:lastRow="0" w:firstColumn="0" w:lastColumn="0" w:noHBand="0" w:noVBand="0"/>
      </w:tblPr>
      <w:tblGrid>
        <w:gridCol w:w="750"/>
        <w:gridCol w:w="1260"/>
        <w:gridCol w:w="1440"/>
        <w:gridCol w:w="1350"/>
        <w:gridCol w:w="1260"/>
        <w:gridCol w:w="900"/>
        <w:gridCol w:w="300"/>
        <w:gridCol w:w="960"/>
        <w:gridCol w:w="300"/>
        <w:gridCol w:w="866"/>
        <w:gridCol w:w="300"/>
        <w:gridCol w:w="960"/>
        <w:gridCol w:w="300"/>
        <w:gridCol w:w="974"/>
        <w:gridCol w:w="300"/>
        <w:gridCol w:w="870"/>
        <w:gridCol w:w="300"/>
        <w:gridCol w:w="690"/>
        <w:gridCol w:w="551"/>
      </w:tblGrid>
      <w:tr w:rsidR="008B149B" w:rsidRPr="00932DB4" w:rsidTr="002504DC">
        <w:trPr>
          <w:gridAfter w:val="1"/>
          <w:wAfter w:w="551" w:type="dxa"/>
          <w:trHeight w:val="247"/>
        </w:trPr>
        <w:tc>
          <w:tcPr>
            <w:tcW w:w="750" w:type="dxa"/>
            <w:tcBorders>
              <w:top w:val="nil"/>
              <w:left w:val="nil"/>
              <w:bottom w:val="nil"/>
              <w:right w:val="nil"/>
            </w:tcBorders>
          </w:tcPr>
          <w:p w:rsidR="008B149B" w:rsidRPr="00932DB4" w:rsidRDefault="008B149B" w:rsidP="002504DC">
            <w:pPr>
              <w:autoSpaceDE w:val="0"/>
              <w:autoSpaceDN w:val="0"/>
              <w:adjustRightInd w:val="0"/>
              <w:spacing w:after="40"/>
              <w:jc w:val="right"/>
              <w:rPr>
                <w:color w:val="000000"/>
              </w:rPr>
            </w:pPr>
          </w:p>
        </w:tc>
        <w:tc>
          <w:tcPr>
            <w:tcW w:w="1260" w:type="dxa"/>
            <w:tcBorders>
              <w:top w:val="nil"/>
              <w:left w:val="nil"/>
              <w:right w:val="nil"/>
            </w:tcBorders>
          </w:tcPr>
          <w:p w:rsidR="008B149B" w:rsidRPr="00932DB4" w:rsidRDefault="008B149B" w:rsidP="002504DC">
            <w:pPr>
              <w:autoSpaceDE w:val="0"/>
              <w:autoSpaceDN w:val="0"/>
              <w:adjustRightInd w:val="0"/>
              <w:spacing w:after="40"/>
              <w:jc w:val="right"/>
              <w:rPr>
                <w:color w:val="000000"/>
              </w:rPr>
            </w:pPr>
          </w:p>
        </w:tc>
        <w:tc>
          <w:tcPr>
            <w:tcW w:w="1440" w:type="dxa"/>
            <w:tcBorders>
              <w:top w:val="nil"/>
              <w:left w:val="nil"/>
              <w:right w:val="nil"/>
            </w:tcBorders>
          </w:tcPr>
          <w:p w:rsidR="008B149B" w:rsidRPr="00932DB4" w:rsidRDefault="008B149B" w:rsidP="002504DC">
            <w:pPr>
              <w:autoSpaceDE w:val="0"/>
              <w:autoSpaceDN w:val="0"/>
              <w:adjustRightInd w:val="0"/>
              <w:spacing w:after="40"/>
              <w:jc w:val="right"/>
              <w:rPr>
                <w:color w:val="000000"/>
              </w:rPr>
            </w:pPr>
          </w:p>
        </w:tc>
        <w:tc>
          <w:tcPr>
            <w:tcW w:w="1350" w:type="dxa"/>
            <w:tcBorders>
              <w:top w:val="nil"/>
              <w:left w:val="nil"/>
            </w:tcBorders>
          </w:tcPr>
          <w:p w:rsidR="008B149B" w:rsidRPr="00932DB4" w:rsidRDefault="008B149B" w:rsidP="002504DC">
            <w:pPr>
              <w:autoSpaceDE w:val="0"/>
              <w:autoSpaceDN w:val="0"/>
              <w:adjustRightInd w:val="0"/>
              <w:spacing w:after="40"/>
              <w:jc w:val="right"/>
              <w:rPr>
                <w:color w:val="000000"/>
              </w:rPr>
            </w:pPr>
          </w:p>
        </w:tc>
        <w:tc>
          <w:tcPr>
            <w:tcW w:w="2160" w:type="dxa"/>
            <w:gridSpan w:val="2"/>
          </w:tcPr>
          <w:p w:rsidR="008B149B" w:rsidRPr="00932DB4" w:rsidRDefault="008B149B" w:rsidP="002504DC">
            <w:pPr>
              <w:autoSpaceDE w:val="0"/>
              <w:autoSpaceDN w:val="0"/>
              <w:adjustRightInd w:val="0"/>
              <w:spacing w:after="40"/>
              <w:jc w:val="center"/>
              <w:rPr>
                <w:color w:val="000000"/>
                <w:u w:val="single"/>
              </w:rPr>
            </w:pPr>
            <w:r w:rsidRPr="00932DB4">
              <w:rPr>
                <w:color w:val="000000"/>
                <w:u w:val="single"/>
              </w:rPr>
              <w:t>Límite de 5</w:t>
            </w:r>
          </w:p>
        </w:tc>
        <w:tc>
          <w:tcPr>
            <w:tcW w:w="2426" w:type="dxa"/>
            <w:gridSpan w:val="4"/>
          </w:tcPr>
          <w:p w:rsidR="008B149B" w:rsidRPr="00932DB4" w:rsidRDefault="008B149B" w:rsidP="002504DC">
            <w:pPr>
              <w:autoSpaceDE w:val="0"/>
              <w:autoSpaceDN w:val="0"/>
              <w:adjustRightInd w:val="0"/>
              <w:spacing w:after="40"/>
              <w:jc w:val="center"/>
              <w:rPr>
                <w:color w:val="000000"/>
                <w:u w:val="single"/>
              </w:rPr>
            </w:pPr>
            <w:r w:rsidRPr="00932DB4">
              <w:rPr>
                <w:color w:val="000000"/>
                <w:u w:val="single"/>
              </w:rPr>
              <w:t>Límite de 10</w:t>
            </w:r>
          </w:p>
        </w:tc>
        <w:tc>
          <w:tcPr>
            <w:tcW w:w="2534" w:type="dxa"/>
            <w:gridSpan w:val="4"/>
          </w:tcPr>
          <w:p w:rsidR="008B149B" w:rsidRPr="00932DB4" w:rsidRDefault="008B149B" w:rsidP="002504DC">
            <w:pPr>
              <w:autoSpaceDE w:val="0"/>
              <w:autoSpaceDN w:val="0"/>
              <w:adjustRightInd w:val="0"/>
              <w:spacing w:after="40"/>
              <w:jc w:val="center"/>
              <w:rPr>
                <w:color w:val="000000"/>
                <w:u w:val="single"/>
              </w:rPr>
            </w:pPr>
            <w:r w:rsidRPr="00932DB4">
              <w:rPr>
                <w:color w:val="000000"/>
                <w:u w:val="single"/>
              </w:rPr>
              <w:t>Límite de 20</w:t>
            </w:r>
          </w:p>
        </w:tc>
        <w:tc>
          <w:tcPr>
            <w:tcW w:w="2160" w:type="dxa"/>
            <w:gridSpan w:val="4"/>
          </w:tcPr>
          <w:p w:rsidR="008B149B" w:rsidRPr="00932DB4" w:rsidRDefault="008B149B" w:rsidP="002504DC">
            <w:pPr>
              <w:autoSpaceDE w:val="0"/>
              <w:autoSpaceDN w:val="0"/>
              <w:adjustRightInd w:val="0"/>
              <w:spacing w:after="40"/>
              <w:jc w:val="center"/>
              <w:rPr>
                <w:color w:val="000000"/>
                <w:u w:val="single"/>
              </w:rPr>
            </w:pPr>
            <w:r w:rsidRPr="00932DB4">
              <w:rPr>
                <w:color w:val="000000"/>
                <w:u w:val="single"/>
              </w:rPr>
              <w:t>Límite de 30</w:t>
            </w:r>
          </w:p>
        </w:tc>
      </w:tr>
      <w:tr w:rsidR="008B149B" w:rsidRPr="00932DB4" w:rsidTr="002504DC">
        <w:trPr>
          <w:trHeight w:val="247"/>
        </w:trPr>
        <w:tc>
          <w:tcPr>
            <w:tcW w:w="750" w:type="dxa"/>
            <w:tcBorders>
              <w:top w:val="nil"/>
              <w:left w:val="nil"/>
              <w:bottom w:val="nil"/>
              <w:right w:val="nil"/>
            </w:tcBorders>
            <w:vAlign w:val="bottom"/>
          </w:tcPr>
          <w:p w:rsidR="008B149B" w:rsidRPr="00932DB4" w:rsidRDefault="008B149B" w:rsidP="002504DC">
            <w:pPr>
              <w:autoSpaceDE w:val="0"/>
              <w:autoSpaceDN w:val="0"/>
              <w:adjustRightInd w:val="0"/>
              <w:spacing w:after="40"/>
              <w:jc w:val="right"/>
              <w:rPr>
                <w:color w:val="000000"/>
              </w:rPr>
            </w:pPr>
          </w:p>
        </w:tc>
        <w:tc>
          <w:tcPr>
            <w:tcW w:w="1260" w:type="dxa"/>
            <w:tcBorders>
              <w:top w:val="nil"/>
              <w:left w:val="nil"/>
              <w:bottom w:val="single" w:sz="4" w:space="0" w:color="auto"/>
              <w:right w:val="nil"/>
            </w:tcBorders>
            <w:vAlign w:val="bottom"/>
          </w:tcPr>
          <w:p w:rsidR="008B149B" w:rsidRPr="00932DB4" w:rsidRDefault="008B149B" w:rsidP="002504DC">
            <w:pPr>
              <w:autoSpaceDE w:val="0"/>
              <w:autoSpaceDN w:val="0"/>
              <w:adjustRightInd w:val="0"/>
              <w:spacing w:after="40"/>
              <w:ind w:left="-261" w:right="-113"/>
              <w:jc w:val="right"/>
              <w:rPr>
                <w:color w:val="000000"/>
              </w:rPr>
            </w:pPr>
            <w:r w:rsidRPr="00932DB4">
              <w:rPr>
                <w:color w:val="000000"/>
              </w:rPr>
              <w:t>Número de solicitudes PCT p</w:t>
            </w:r>
            <w:r>
              <w:rPr>
                <w:color w:val="000000"/>
              </w:rPr>
              <w:t>r</w:t>
            </w:r>
            <w:r w:rsidRPr="00932DB4">
              <w:rPr>
                <w:color w:val="000000"/>
              </w:rPr>
              <w:t>esentadas</w:t>
            </w:r>
          </w:p>
        </w:tc>
        <w:tc>
          <w:tcPr>
            <w:tcW w:w="1440" w:type="dxa"/>
            <w:tcBorders>
              <w:top w:val="nil"/>
              <w:left w:val="nil"/>
              <w:bottom w:val="single" w:sz="4" w:space="0" w:color="auto"/>
              <w:right w:val="nil"/>
            </w:tcBorders>
            <w:vAlign w:val="bottom"/>
          </w:tcPr>
          <w:p w:rsidR="008B149B" w:rsidRPr="00932DB4" w:rsidRDefault="008B149B" w:rsidP="002504DC">
            <w:pPr>
              <w:autoSpaceDE w:val="0"/>
              <w:autoSpaceDN w:val="0"/>
              <w:adjustRightInd w:val="0"/>
              <w:spacing w:after="40"/>
              <w:jc w:val="right"/>
              <w:rPr>
                <w:color w:val="000000"/>
              </w:rPr>
            </w:pPr>
            <w:r w:rsidRPr="00932DB4">
              <w:rPr>
                <w:color w:val="000000"/>
              </w:rPr>
              <w:t>Ingresos de esas solicitudes</w:t>
            </w:r>
            <w:r w:rsidRPr="00932DB4">
              <w:rPr>
                <w:color w:val="000000"/>
              </w:rPr>
              <w:br/>
              <w:t xml:space="preserve"> (en millones de CHF)</w:t>
            </w:r>
          </w:p>
        </w:tc>
        <w:tc>
          <w:tcPr>
            <w:tcW w:w="1350" w:type="dxa"/>
            <w:tcBorders>
              <w:top w:val="nil"/>
              <w:left w:val="nil"/>
              <w:bottom w:val="single" w:sz="4" w:space="0" w:color="auto"/>
            </w:tcBorders>
            <w:vAlign w:val="bottom"/>
          </w:tcPr>
          <w:p w:rsidR="008B149B" w:rsidRPr="00932DB4" w:rsidRDefault="008B149B" w:rsidP="002504DC">
            <w:pPr>
              <w:autoSpaceDE w:val="0"/>
              <w:autoSpaceDN w:val="0"/>
              <w:adjustRightInd w:val="0"/>
              <w:spacing w:after="40"/>
              <w:jc w:val="right"/>
              <w:rPr>
                <w:color w:val="000000"/>
              </w:rPr>
            </w:pPr>
            <w:r w:rsidRPr="00932DB4">
              <w:rPr>
                <w:color w:val="000000"/>
              </w:rPr>
              <w:t>Tasa media implícita (en CHF)</w:t>
            </w:r>
          </w:p>
        </w:tc>
        <w:tc>
          <w:tcPr>
            <w:tcW w:w="1260" w:type="dxa"/>
            <w:tcBorders>
              <w:bottom w:val="single" w:sz="4" w:space="0" w:color="auto"/>
              <w:right w:val="nil"/>
            </w:tcBorders>
            <w:vAlign w:val="bottom"/>
          </w:tcPr>
          <w:p w:rsidR="008B149B" w:rsidRPr="00932DB4" w:rsidRDefault="008B149B" w:rsidP="002504DC">
            <w:pPr>
              <w:autoSpaceDE w:val="0"/>
              <w:autoSpaceDN w:val="0"/>
              <w:adjustRightInd w:val="0"/>
              <w:spacing w:after="40"/>
              <w:ind w:left="-58"/>
              <w:jc w:val="right"/>
              <w:rPr>
                <w:color w:val="000000"/>
              </w:rPr>
            </w:pPr>
            <w:r w:rsidRPr="00932DB4">
              <w:rPr>
                <w:color w:val="000000"/>
              </w:rPr>
              <w:t>Número de solicitudes con derecho a reducción</w:t>
            </w:r>
          </w:p>
        </w:tc>
        <w:tc>
          <w:tcPr>
            <w:tcW w:w="1200" w:type="dxa"/>
            <w:gridSpan w:val="2"/>
            <w:tcBorders>
              <w:left w:val="nil"/>
              <w:bottom w:val="single" w:sz="4" w:space="0" w:color="auto"/>
            </w:tcBorders>
            <w:vAlign w:val="bottom"/>
          </w:tcPr>
          <w:p w:rsidR="008B149B" w:rsidRPr="00932DB4" w:rsidRDefault="008B149B" w:rsidP="002504DC">
            <w:pPr>
              <w:autoSpaceDE w:val="0"/>
              <w:autoSpaceDN w:val="0"/>
              <w:adjustRightInd w:val="0"/>
              <w:spacing w:after="40"/>
              <w:ind w:right="-408"/>
              <w:rPr>
                <w:color w:val="000000"/>
              </w:rPr>
            </w:pPr>
            <w:r w:rsidRPr="00932DB4">
              <w:rPr>
                <w:color w:val="000000"/>
              </w:rPr>
              <w:t>Porcentaje</w:t>
            </w:r>
          </w:p>
        </w:tc>
        <w:tc>
          <w:tcPr>
            <w:tcW w:w="1260" w:type="dxa"/>
            <w:gridSpan w:val="2"/>
            <w:tcBorders>
              <w:bottom w:val="single" w:sz="4" w:space="0" w:color="auto"/>
            </w:tcBorders>
            <w:vAlign w:val="bottom"/>
          </w:tcPr>
          <w:p w:rsidR="008B149B" w:rsidRPr="00932DB4" w:rsidRDefault="008B149B" w:rsidP="002504DC">
            <w:pPr>
              <w:autoSpaceDE w:val="0"/>
              <w:autoSpaceDN w:val="0"/>
              <w:adjustRightInd w:val="0"/>
              <w:spacing w:after="40"/>
              <w:ind w:left="-107"/>
              <w:jc w:val="right"/>
              <w:rPr>
                <w:color w:val="000000"/>
              </w:rPr>
            </w:pPr>
            <w:r w:rsidRPr="00932DB4">
              <w:rPr>
                <w:color w:val="000000"/>
              </w:rPr>
              <w:t>Número de solicitudes con derecho a reducción</w:t>
            </w:r>
          </w:p>
        </w:tc>
        <w:tc>
          <w:tcPr>
            <w:tcW w:w="1166" w:type="dxa"/>
            <w:gridSpan w:val="2"/>
            <w:tcBorders>
              <w:bottom w:val="single" w:sz="4" w:space="0" w:color="auto"/>
            </w:tcBorders>
            <w:vAlign w:val="bottom"/>
          </w:tcPr>
          <w:p w:rsidR="008B149B" w:rsidRPr="00932DB4" w:rsidRDefault="008B149B" w:rsidP="002504DC">
            <w:pPr>
              <w:autoSpaceDE w:val="0"/>
              <w:autoSpaceDN w:val="0"/>
              <w:adjustRightInd w:val="0"/>
              <w:spacing w:after="40"/>
              <w:ind w:left="-93" w:right="-108"/>
              <w:rPr>
                <w:color w:val="000000"/>
              </w:rPr>
            </w:pPr>
            <w:r w:rsidRPr="00932DB4">
              <w:rPr>
                <w:color w:val="000000"/>
              </w:rPr>
              <w:t>Porcentaje</w:t>
            </w:r>
          </w:p>
        </w:tc>
        <w:tc>
          <w:tcPr>
            <w:tcW w:w="1260" w:type="dxa"/>
            <w:gridSpan w:val="2"/>
            <w:tcBorders>
              <w:bottom w:val="single" w:sz="4" w:space="0" w:color="auto"/>
            </w:tcBorders>
            <w:vAlign w:val="bottom"/>
          </w:tcPr>
          <w:p w:rsidR="008B149B" w:rsidRPr="00932DB4" w:rsidRDefault="008B149B" w:rsidP="002504DC">
            <w:pPr>
              <w:autoSpaceDE w:val="0"/>
              <w:autoSpaceDN w:val="0"/>
              <w:adjustRightInd w:val="0"/>
              <w:spacing w:after="40"/>
              <w:ind w:left="-107"/>
              <w:jc w:val="right"/>
              <w:rPr>
                <w:color w:val="000000"/>
              </w:rPr>
            </w:pPr>
            <w:r w:rsidRPr="00932DB4">
              <w:rPr>
                <w:color w:val="000000"/>
              </w:rPr>
              <w:t>Número de solicitudes con derecho a reducción</w:t>
            </w:r>
          </w:p>
        </w:tc>
        <w:tc>
          <w:tcPr>
            <w:tcW w:w="1274" w:type="dxa"/>
            <w:gridSpan w:val="2"/>
            <w:tcBorders>
              <w:bottom w:val="single" w:sz="4" w:space="0" w:color="auto"/>
            </w:tcBorders>
            <w:vAlign w:val="bottom"/>
          </w:tcPr>
          <w:p w:rsidR="008B149B" w:rsidRPr="00932DB4" w:rsidRDefault="008B149B" w:rsidP="002504DC">
            <w:pPr>
              <w:autoSpaceDE w:val="0"/>
              <w:autoSpaceDN w:val="0"/>
              <w:adjustRightInd w:val="0"/>
              <w:spacing w:after="40"/>
              <w:rPr>
                <w:color w:val="000000"/>
              </w:rPr>
            </w:pPr>
            <w:r w:rsidRPr="00932DB4">
              <w:rPr>
                <w:color w:val="000000"/>
              </w:rPr>
              <w:t>Porcentaje</w:t>
            </w:r>
          </w:p>
        </w:tc>
        <w:tc>
          <w:tcPr>
            <w:tcW w:w="1170" w:type="dxa"/>
            <w:gridSpan w:val="2"/>
            <w:tcBorders>
              <w:bottom w:val="single" w:sz="4" w:space="0" w:color="auto"/>
            </w:tcBorders>
            <w:vAlign w:val="bottom"/>
          </w:tcPr>
          <w:p w:rsidR="008B149B" w:rsidRPr="00932DB4" w:rsidRDefault="008B149B" w:rsidP="002504DC">
            <w:pPr>
              <w:autoSpaceDE w:val="0"/>
              <w:autoSpaceDN w:val="0"/>
              <w:adjustRightInd w:val="0"/>
              <w:spacing w:after="40"/>
              <w:ind w:left="-107" w:right="-73"/>
              <w:jc w:val="right"/>
              <w:rPr>
                <w:color w:val="000000"/>
              </w:rPr>
            </w:pPr>
            <w:r w:rsidRPr="00932DB4">
              <w:rPr>
                <w:color w:val="000000"/>
              </w:rPr>
              <w:t>Número de solicitudes con derecho a reducción</w:t>
            </w:r>
          </w:p>
        </w:tc>
        <w:tc>
          <w:tcPr>
            <w:tcW w:w="1241" w:type="dxa"/>
            <w:gridSpan w:val="2"/>
            <w:tcBorders>
              <w:bottom w:val="single" w:sz="4" w:space="0" w:color="auto"/>
            </w:tcBorders>
            <w:vAlign w:val="bottom"/>
          </w:tcPr>
          <w:p w:rsidR="008B149B" w:rsidRPr="00932DB4" w:rsidRDefault="008B149B" w:rsidP="002504DC">
            <w:pPr>
              <w:autoSpaceDE w:val="0"/>
              <w:autoSpaceDN w:val="0"/>
              <w:adjustRightInd w:val="0"/>
              <w:spacing w:after="40"/>
              <w:ind w:left="-1" w:right="-250"/>
              <w:rPr>
                <w:color w:val="000000"/>
              </w:rPr>
            </w:pPr>
            <w:r w:rsidRPr="00932DB4">
              <w:rPr>
                <w:color w:val="000000"/>
              </w:rPr>
              <w:t>Porcentaje</w:t>
            </w:r>
          </w:p>
        </w:tc>
      </w:tr>
      <w:tr w:rsidR="008B149B" w:rsidRPr="00932DB4" w:rsidTr="002504DC">
        <w:trPr>
          <w:gridAfter w:val="1"/>
          <w:wAfter w:w="551" w:type="dxa"/>
          <w:trHeight w:val="247"/>
        </w:trPr>
        <w:tc>
          <w:tcPr>
            <w:tcW w:w="750" w:type="dxa"/>
            <w:tcBorders>
              <w:top w:val="nil"/>
              <w:left w:val="nil"/>
              <w:bottom w:val="nil"/>
              <w:right w:val="nil"/>
            </w:tcBorders>
          </w:tcPr>
          <w:p w:rsidR="008B149B" w:rsidRPr="00932DB4" w:rsidRDefault="008B149B" w:rsidP="002504DC">
            <w:pPr>
              <w:autoSpaceDE w:val="0"/>
              <w:autoSpaceDN w:val="0"/>
              <w:adjustRightInd w:val="0"/>
              <w:spacing w:after="40"/>
              <w:jc w:val="right"/>
              <w:rPr>
                <w:color w:val="000000"/>
              </w:rPr>
            </w:pPr>
            <w:r w:rsidRPr="00932DB4">
              <w:rPr>
                <w:color w:val="000000"/>
              </w:rPr>
              <w:t>2011</w:t>
            </w:r>
          </w:p>
        </w:tc>
        <w:tc>
          <w:tcPr>
            <w:tcW w:w="1260" w:type="dxa"/>
            <w:tcBorders>
              <w:top w:val="single" w:sz="4" w:space="0" w:color="auto"/>
              <w:left w:val="nil"/>
              <w:bottom w:val="nil"/>
              <w:right w:val="nil"/>
            </w:tcBorders>
          </w:tcPr>
          <w:p w:rsidR="008B149B" w:rsidRPr="00932DB4" w:rsidRDefault="008B149B" w:rsidP="002504DC">
            <w:pPr>
              <w:spacing w:after="40"/>
              <w:jc w:val="right"/>
            </w:pPr>
            <w:r w:rsidRPr="00932DB4">
              <w:t>1</w:t>
            </w:r>
            <w:r>
              <w:t>.</w:t>
            </w:r>
            <w:r w:rsidRPr="00932DB4">
              <w:t>099</w:t>
            </w:r>
          </w:p>
        </w:tc>
        <w:tc>
          <w:tcPr>
            <w:tcW w:w="1440" w:type="dxa"/>
            <w:tcBorders>
              <w:top w:val="single" w:sz="4" w:space="0" w:color="auto"/>
              <w:left w:val="nil"/>
              <w:bottom w:val="nil"/>
              <w:right w:val="nil"/>
            </w:tcBorders>
          </w:tcPr>
          <w:p w:rsidR="008B149B" w:rsidRPr="00932DB4" w:rsidRDefault="008B149B" w:rsidP="002504DC">
            <w:pPr>
              <w:spacing w:after="40"/>
              <w:jc w:val="right"/>
            </w:pPr>
            <w:r w:rsidRPr="00932DB4">
              <w:t>1</w:t>
            </w:r>
            <w:r>
              <w:t>,</w:t>
            </w:r>
            <w:r w:rsidRPr="00932DB4">
              <w:t>3</w:t>
            </w:r>
          </w:p>
        </w:tc>
        <w:tc>
          <w:tcPr>
            <w:tcW w:w="1350" w:type="dxa"/>
            <w:tcBorders>
              <w:top w:val="single" w:sz="4" w:space="0" w:color="auto"/>
              <w:left w:val="nil"/>
              <w:bottom w:val="nil"/>
              <w:right w:val="nil"/>
            </w:tcBorders>
          </w:tcPr>
          <w:p w:rsidR="008B149B" w:rsidRPr="00932DB4" w:rsidRDefault="008B149B" w:rsidP="002504DC">
            <w:pPr>
              <w:spacing w:after="40"/>
              <w:jc w:val="right"/>
            </w:pPr>
            <w:r w:rsidRPr="00932DB4">
              <w:t>1</w:t>
            </w:r>
            <w:r>
              <w:t>.</w:t>
            </w:r>
            <w:r w:rsidRPr="00932DB4">
              <w:t>180</w:t>
            </w:r>
          </w:p>
        </w:tc>
        <w:tc>
          <w:tcPr>
            <w:tcW w:w="1260" w:type="dxa"/>
            <w:tcBorders>
              <w:top w:val="single" w:sz="4" w:space="0" w:color="auto"/>
              <w:left w:val="nil"/>
              <w:bottom w:val="nil"/>
              <w:right w:val="nil"/>
            </w:tcBorders>
          </w:tcPr>
          <w:p w:rsidR="008B149B" w:rsidRPr="00932DB4" w:rsidRDefault="008B149B" w:rsidP="002504DC">
            <w:pPr>
              <w:spacing w:after="40"/>
              <w:jc w:val="center"/>
            </w:pPr>
            <w:r w:rsidRPr="00932DB4">
              <w:t>636</w:t>
            </w:r>
          </w:p>
        </w:tc>
        <w:tc>
          <w:tcPr>
            <w:tcW w:w="900" w:type="dxa"/>
            <w:tcBorders>
              <w:top w:val="single" w:sz="4" w:space="0" w:color="auto"/>
              <w:left w:val="nil"/>
              <w:bottom w:val="nil"/>
              <w:right w:val="nil"/>
            </w:tcBorders>
          </w:tcPr>
          <w:p w:rsidR="008B149B" w:rsidRPr="00932DB4" w:rsidRDefault="008B149B" w:rsidP="002504DC">
            <w:pPr>
              <w:spacing w:after="40"/>
              <w:jc w:val="right"/>
            </w:pPr>
            <w:r w:rsidRPr="00932DB4">
              <w:t>57</w:t>
            </w:r>
            <w:r>
              <w:t>,</w:t>
            </w:r>
            <w:r w:rsidRPr="00932DB4">
              <w:t>9%</w:t>
            </w:r>
          </w:p>
        </w:tc>
        <w:tc>
          <w:tcPr>
            <w:tcW w:w="1260" w:type="dxa"/>
            <w:gridSpan w:val="2"/>
            <w:tcBorders>
              <w:top w:val="single" w:sz="4" w:space="0" w:color="auto"/>
              <w:left w:val="nil"/>
              <w:bottom w:val="nil"/>
              <w:right w:val="nil"/>
            </w:tcBorders>
          </w:tcPr>
          <w:p w:rsidR="008B149B" w:rsidRPr="00932DB4" w:rsidRDefault="008B149B" w:rsidP="002504DC">
            <w:pPr>
              <w:spacing w:after="40"/>
              <w:jc w:val="right"/>
            </w:pPr>
            <w:r w:rsidRPr="00932DB4">
              <w:t>812</w:t>
            </w:r>
          </w:p>
        </w:tc>
        <w:tc>
          <w:tcPr>
            <w:tcW w:w="1166" w:type="dxa"/>
            <w:gridSpan w:val="2"/>
            <w:tcBorders>
              <w:top w:val="single" w:sz="4" w:space="0" w:color="auto"/>
              <w:left w:val="nil"/>
              <w:bottom w:val="nil"/>
              <w:right w:val="nil"/>
            </w:tcBorders>
          </w:tcPr>
          <w:p w:rsidR="008B149B" w:rsidRPr="00932DB4" w:rsidRDefault="008B149B" w:rsidP="002504DC">
            <w:pPr>
              <w:spacing w:after="40"/>
              <w:jc w:val="right"/>
            </w:pPr>
            <w:r w:rsidRPr="00932DB4">
              <w:t>73</w:t>
            </w:r>
            <w:r>
              <w:t>,</w:t>
            </w:r>
            <w:r w:rsidRPr="00932DB4">
              <w:t>9%</w:t>
            </w:r>
          </w:p>
        </w:tc>
        <w:tc>
          <w:tcPr>
            <w:tcW w:w="1260" w:type="dxa"/>
            <w:gridSpan w:val="2"/>
            <w:tcBorders>
              <w:top w:val="single" w:sz="4" w:space="0" w:color="auto"/>
              <w:left w:val="nil"/>
              <w:bottom w:val="nil"/>
              <w:right w:val="nil"/>
            </w:tcBorders>
          </w:tcPr>
          <w:p w:rsidR="008B149B" w:rsidRPr="00932DB4" w:rsidRDefault="008B149B" w:rsidP="002504DC">
            <w:pPr>
              <w:spacing w:after="40"/>
              <w:jc w:val="right"/>
            </w:pPr>
            <w:r w:rsidRPr="00932DB4">
              <w:t>957</w:t>
            </w:r>
          </w:p>
        </w:tc>
        <w:tc>
          <w:tcPr>
            <w:tcW w:w="1274" w:type="dxa"/>
            <w:gridSpan w:val="2"/>
            <w:tcBorders>
              <w:top w:val="single" w:sz="4" w:space="0" w:color="auto"/>
              <w:left w:val="nil"/>
              <w:bottom w:val="nil"/>
              <w:right w:val="nil"/>
            </w:tcBorders>
          </w:tcPr>
          <w:p w:rsidR="008B149B" w:rsidRPr="00932DB4" w:rsidRDefault="008B149B" w:rsidP="002504DC">
            <w:pPr>
              <w:spacing w:after="40"/>
              <w:jc w:val="right"/>
            </w:pPr>
            <w:r w:rsidRPr="00932DB4">
              <w:t>87</w:t>
            </w:r>
            <w:r>
              <w:t>,</w:t>
            </w:r>
            <w:r w:rsidRPr="00932DB4">
              <w:t>1%</w:t>
            </w:r>
          </w:p>
        </w:tc>
        <w:tc>
          <w:tcPr>
            <w:tcW w:w="1170" w:type="dxa"/>
            <w:gridSpan w:val="2"/>
            <w:tcBorders>
              <w:top w:val="single" w:sz="4" w:space="0" w:color="auto"/>
              <w:left w:val="nil"/>
              <w:bottom w:val="nil"/>
              <w:right w:val="nil"/>
            </w:tcBorders>
          </w:tcPr>
          <w:p w:rsidR="008B149B" w:rsidRPr="00932DB4" w:rsidRDefault="008B149B" w:rsidP="002504DC">
            <w:pPr>
              <w:spacing w:after="40"/>
              <w:jc w:val="right"/>
            </w:pPr>
            <w:r w:rsidRPr="00932DB4">
              <w:t>1</w:t>
            </w:r>
            <w:r>
              <w:t>.</w:t>
            </w:r>
            <w:r w:rsidRPr="00932DB4">
              <w:t>015</w:t>
            </w:r>
          </w:p>
        </w:tc>
        <w:tc>
          <w:tcPr>
            <w:tcW w:w="990" w:type="dxa"/>
            <w:gridSpan w:val="2"/>
            <w:tcBorders>
              <w:top w:val="single" w:sz="4" w:space="0" w:color="auto"/>
              <w:left w:val="nil"/>
              <w:bottom w:val="nil"/>
              <w:right w:val="nil"/>
            </w:tcBorders>
          </w:tcPr>
          <w:p w:rsidR="008B149B" w:rsidRPr="00932DB4" w:rsidRDefault="008B149B" w:rsidP="002504DC">
            <w:pPr>
              <w:spacing w:after="40"/>
              <w:jc w:val="right"/>
            </w:pPr>
            <w:r w:rsidRPr="00932DB4">
              <w:t>92</w:t>
            </w:r>
            <w:r>
              <w:t>,</w:t>
            </w:r>
            <w:r w:rsidRPr="00932DB4">
              <w:t>4%</w:t>
            </w:r>
          </w:p>
        </w:tc>
      </w:tr>
      <w:tr w:rsidR="008B149B" w:rsidRPr="00932DB4" w:rsidTr="002504DC">
        <w:trPr>
          <w:gridAfter w:val="1"/>
          <w:wAfter w:w="551" w:type="dxa"/>
          <w:trHeight w:val="247"/>
        </w:trPr>
        <w:tc>
          <w:tcPr>
            <w:tcW w:w="750" w:type="dxa"/>
            <w:tcBorders>
              <w:top w:val="nil"/>
              <w:left w:val="nil"/>
              <w:bottom w:val="nil"/>
              <w:right w:val="nil"/>
            </w:tcBorders>
          </w:tcPr>
          <w:p w:rsidR="008B149B" w:rsidRPr="00932DB4" w:rsidRDefault="008B149B" w:rsidP="002504DC">
            <w:pPr>
              <w:autoSpaceDE w:val="0"/>
              <w:autoSpaceDN w:val="0"/>
              <w:adjustRightInd w:val="0"/>
              <w:spacing w:after="40"/>
              <w:jc w:val="right"/>
              <w:rPr>
                <w:color w:val="000000"/>
              </w:rPr>
            </w:pPr>
            <w:r w:rsidRPr="00932DB4">
              <w:rPr>
                <w:color w:val="000000"/>
              </w:rPr>
              <w:t>2012</w:t>
            </w:r>
          </w:p>
        </w:tc>
        <w:tc>
          <w:tcPr>
            <w:tcW w:w="1260" w:type="dxa"/>
            <w:tcBorders>
              <w:top w:val="nil"/>
              <w:left w:val="nil"/>
              <w:bottom w:val="nil"/>
              <w:right w:val="nil"/>
            </w:tcBorders>
          </w:tcPr>
          <w:p w:rsidR="008B149B" w:rsidRPr="00932DB4" w:rsidRDefault="008B149B" w:rsidP="002504DC">
            <w:pPr>
              <w:spacing w:after="40"/>
              <w:jc w:val="right"/>
            </w:pPr>
            <w:r w:rsidRPr="00932DB4">
              <w:t>1</w:t>
            </w:r>
            <w:r>
              <w:t>.</w:t>
            </w:r>
            <w:r w:rsidRPr="00932DB4">
              <w:t>030</w:t>
            </w:r>
          </w:p>
        </w:tc>
        <w:tc>
          <w:tcPr>
            <w:tcW w:w="1440" w:type="dxa"/>
            <w:tcBorders>
              <w:top w:val="nil"/>
              <w:left w:val="nil"/>
              <w:bottom w:val="nil"/>
              <w:right w:val="nil"/>
            </w:tcBorders>
          </w:tcPr>
          <w:p w:rsidR="008B149B" w:rsidRPr="00932DB4" w:rsidRDefault="008B149B" w:rsidP="002504DC">
            <w:pPr>
              <w:spacing w:after="40"/>
              <w:jc w:val="right"/>
            </w:pPr>
            <w:r w:rsidRPr="00932DB4">
              <w:t>1</w:t>
            </w:r>
            <w:r>
              <w:t>,</w:t>
            </w:r>
            <w:r w:rsidRPr="00932DB4">
              <w:t>2</w:t>
            </w:r>
          </w:p>
        </w:tc>
        <w:tc>
          <w:tcPr>
            <w:tcW w:w="1350" w:type="dxa"/>
            <w:tcBorders>
              <w:top w:val="nil"/>
              <w:left w:val="nil"/>
              <w:bottom w:val="nil"/>
              <w:right w:val="nil"/>
            </w:tcBorders>
          </w:tcPr>
          <w:p w:rsidR="008B149B" w:rsidRPr="00932DB4" w:rsidRDefault="008B149B" w:rsidP="002504DC">
            <w:pPr>
              <w:spacing w:after="40"/>
              <w:jc w:val="right"/>
            </w:pPr>
            <w:r w:rsidRPr="00932DB4">
              <w:t>1</w:t>
            </w:r>
            <w:r>
              <w:t>.</w:t>
            </w:r>
            <w:r w:rsidRPr="00932DB4">
              <w:t>176</w:t>
            </w:r>
          </w:p>
        </w:tc>
        <w:tc>
          <w:tcPr>
            <w:tcW w:w="1260" w:type="dxa"/>
            <w:tcBorders>
              <w:top w:val="nil"/>
              <w:left w:val="nil"/>
              <w:bottom w:val="nil"/>
              <w:right w:val="nil"/>
            </w:tcBorders>
          </w:tcPr>
          <w:p w:rsidR="008B149B" w:rsidRPr="00932DB4" w:rsidRDefault="008B149B" w:rsidP="002504DC">
            <w:pPr>
              <w:spacing w:after="40"/>
              <w:jc w:val="center"/>
            </w:pPr>
            <w:r w:rsidRPr="00932DB4">
              <w:t>653</w:t>
            </w:r>
          </w:p>
        </w:tc>
        <w:tc>
          <w:tcPr>
            <w:tcW w:w="900" w:type="dxa"/>
            <w:tcBorders>
              <w:top w:val="nil"/>
              <w:left w:val="nil"/>
              <w:bottom w:val="nil"/>
              <w:right w:val="nil"/>
            </w:tcBorders>
          </w:tcPr>
          <w:p w:rsidR="008B149B" w:rsidRPr="00932DB4" w:rsidRDefault="008B149B" w:rsidP="002504DC">
            <w:pPr>
              <w:spacing w:after="40"/>
              <w:jc w:val="right"/>
            </w:pPr>
            <w:r w:rsidRPr="00932DB4">
              <w:t>63</w:t>
            </w:r>
            <w:r>
              <w:t>,</w:t>
            </w:r>
            <w:r w:rsidRPr="00932DB4">
              <w:t>4%</w:t>
            </w:r>
          </w:p>
        </w:tc>
        <w:tc>
          <w:tcPr>
            <w:tcW w:w="1260" w:type="dxa"/>
            <w:gridSpan w:val="2"/>
            <w:tcBorders>
              <w:top w:val="nil"/>
              <w:left w:val="nil"/>
              <w:bottom w:val="nil"/>
              <w:right w:val="nil"/>
            </w:tcBorders>
          </w:tcPr>
          <w:p w:rsidR="008B149B" w:rsidRPr="00932DB4" w:rsidRDefault="008B149B" w:rsidP="002504DC">
            <w:pPr>
              <w:spacing w:after="40"/>
              <w:jc w:val="right"/>
            </w:pPr>
            <w:r w:rsidRPr="00932DB4">
              <w:t>830</w:t>
            </w:r>
          </w:p>
        </w:tc>
        <w:tc>
          <w:tcPr>
            <w:tcW w:w="1166" w:type="dxa"/>
            <w:gridSpan w:val="2"/>
            <w:tcBorders>
              <w:top w:val="nil"/>
              <w:left w:val="nil"/>
              <w:bottom w:val="nil"/>
              <w:right w:val="nil"/>
            </w:tcBorders>
          </w:tcPr>
          <w:p w:rsidR="008B149B" w:rsidRPr="00932DB4" w:rsidRDefault="008B149B" w:rsidP="002504DC">
            <w:pPr>
              <w:spacing w:after="40"/>
              <w:jc w:val="right"/>
            </w:pPr>
            <w:r w:rsidRPr="00932DB4">
              <w:t>80</w:t>
            </w:r>
            <w:r>
              <w:t>,</w:t>
            </w:r>
            <w:r w:rsidRPr="00932DB4">
              <w:t>6%</w:t>
            </w:r>
          </w:p>
        </w:tc>
        <w:tc>
          <w:tcPr>
            <w:tcW w:w="1260" w:type="dxa"/>
            <w:gridSpan w:val="2"/>
            <w:tcBorders>
              <w:top w:val="nil"/>
              <w:left w:val="nil"/>
              <w:bottom w:val="nil"/>
              <w:right w:val="nil"/>
            </w:tcBorders>
          </w:tcPr>
          <w:p w:rsidR="008B149B" w:rsidRPr="00932DB4" w:rsidRDefault="008B149B" w:rsidP="002504DC">
            <w:pPr>
              <w:spacing w:after="40"/>
              <w:jc w:val="right"/>
            </w:pPr>
            <w:r w:rsidRPr="00932DB4">
              <w:t>958</w:t>
            </w:r>
          </w:p>
        </w:tc>
        <w:tc>
          <w:tcPr>
            <w:tcW w:w="1274" w:type="dxa"/>
            <w:gridSpan w:val="2"/>
            <w:tcBorders>
              <w:top w:val="nil"/>
              <w:left w:val="nil"/>
              <w:bottom w:val="nil"/>
              <w:right w:val="nil"/>
            </w:tcBorders>
          </w:tcPr>
          <w:p w:rsidR="008B149B" w:rsidRPr="00932DB4" w:rsidRDefault="008B149B" w:rsidP="002504DC">
            <w:pPr>
              <w:spacing w:after="40"/>
              <w:jc w:val="right"/>
            </w:pPr>
            <w:r w:rsidRPr="00932DB4">
              <w:t>93</w:t>
            </w:r>
            <w:r>
              <w:t>,</w:t>
            </w:r>
            <w:r w:rsidRPr="00932DB4">
              <w:t>0%</w:t>
            </w:r>
          </w:p>
        </w:tc>
        <w:tc>
          <w:tcPr>
            <w:tcW w:w="1170" w:type="dxa"/>
            <w:gridSpan w:val="2"/>
            <w:tcBorders>
              <w:top w:val="nil"/>
              <w:left w:val="nil"/>
              <w:bottom w:val="nil"/>
              <w:right w:val="nil"/>
            </w:tcBorders>
          </w:tcPr>
          <w:p w:rsidR="008B149B" w:rsidRPr="00932DB4" w:rsidRDefault="008B149B" w:rsidP="002504DC">
            <w:pPr>
              <w:spacing w:after="40"/>
              <w:jc w:val="right"/>
            </w:pPr>
            <w:r w:rsidRPr="00932DB4">
              <w:t>1</w:t>
            </w:r>
            <w:r>
              <w:t>.</w:t>
            </w:r>
            <w:r w:rsidRPr="00932DB4">
              <w:t>009</w:t>
            </w:r>
          </w:p>
        </w:tc>
        <w:tc>
          <w:tcPr>
            <w:tcW w:w="990" w:type="dxa"/>
            <w:gridSpan w:val="2"/>
            <w:tcBorders>
              <w:top w:val="nil"/>
              <w:left w:val="nil"/>
              <w:bottom w:val="nil"/>
              <w:right w:val="nil"/>
            </w:tcBorders>
          </w:tcPr>
          <w:p w:rsidR="008B149B" w:rsidRPr="00932DB4" w:rsidRDefault="008B149B" w:rsidP="002504DC">
            <w:pPr>
              <w:spacing w:after="40"/>
              <w:jc w:val="right"/>
            </w:pPr>
            <w:r w:rsidRPr="00932DB4">
              <w:t>98</w:t>
            </w:r>
            <w:r>
              <w:t>,</w:t>
            </w:r>
            <w:r w:rsidRPr="00932DB4">
              <w:t>0%</w:t>
            </w:r>
          </w:p>
        </w:tc>
      </w:tr>
      <w:tr w:rsidR="008B149B" w:rsidRPr="00932DB4" w:rsidTr="002504DC">
        <w:trPr>
          <w:gridAfter w:val="1"/>
          <w:wAfter w:w="551" w:type="dxa"/>
          <w:trHeight w:val="247"/>
        </w:trPr>
        <w:tc>
          <w:tcPr>
            <w:tcW w:w="750" w:type="dxa"/>
            <w:tcBorders>
              <w:top w:val="nil"/>
              <w:left w:val="nil"/>
              <w:bottom w:val="nil"/>
              <w:right w:val="nil"/>
            </w:tcBorders>
          </w:tcPr>
          <w:p w:rsidR="008B149B" w:rsidRPr="00932DB4" w:rsidRDefault="008B149B" w:rsidP="002504DC">
            <w:pPr>
              <w:autoSpaceDE w:val="0"/>
              <w:autoSpaceDN w:val="0"/>
              <w:adjustRightInd w:val="0"/>
              <w:spacing w:after="40"/>
              <w:jc w:val="right"/>
              <w:rPr>
                <w:color w:val="000000"/>
              </w:rPr>
            </w:pPr>
            <w:r w:rsidRPr="00932DB4">
              <w:rPr>
                <w:color w:val="000000"/>
              </w:rPr>
              <w:t>2013</w:t>
            </w:r>
          </w:p>
        </w:tc>
        <w:tc>
          <w:tcPr>
            <w:tcW w:w="1260" w:type="dxa"/>
            <w:tcBorders>
              <w:top w:val="nil"/>
              <w:left w:val="nil"/>
              <w:bottom w:val="nil"/>
              <w:right w:val="nil"/>
            </w:tcBorders>
          </w:tcPr>
          <w:p w:rsidR="008B149B" w:rsidRPr="00932DB4" w:rsidRDefault="008B149B" w:rsidP="002504DC">
            <w:pPr>
              <w:spacing w:after="40"/>
              <w:jc w:val="right"/>
            </w:pPr>
            <w:r w:rsidRPr="00932DB4">
              <w:t>1</w:t>
            </w:r>
            <w:r>
              <w:t>.</w:t>
            </w:r>
            <w:r w:rsidRPr="00932DB4">
              <w:t>189</w:t>
            </w:r>
          </w:p>
        </w:tc>
        <w:tc>
          <w:tcPr>
            <w:tcW w:w="1440" w:type="dxa"/>
            <w:tcBorders>
              <w:top w:val="nil"/>
              <w:left w:val="nil"/>
              <w:bottom w:val="nil"/>
              <w:right w:val="nil"/>
            </w:tcBorders>
          </w:tcPr>
          <w:p w:rsidR="008B149B" w:rsidRPr="00932DB4" w:rsidRDefault="008B149B" w:rsidP="002504DC">
            <w:pPr>
              <w:spacing w:after="40"/>
              <w:jc w:val="right"/>
            </w:pPr>
            <w:r w:rsidRPr="00932DB4">
              <w:t>1</w:t>
            </w:r>
            <w:r>
              <w:t>,</w:t>
            </w:r>
            <w:r w:rsidRPr="00932DB4">
              <w:t>4</w:t>
            </w:r>
          </w:p>
        </w:tc>
        <w:tc>
          <w:tcPr>
            <w:tcW w:w="1350" w:type="dxa"/>
            <w:tcBorders>
              <w:top w:val="nil"/>
              <w:left w:val="nil"/>
              <w:bottom w:val="nil"/>
              <w:right w:val="nil"/>
            </w:tcBorders>
          </w:tcPr>
          <w:p w:rsidR="008B149B" w:rsidRPr="00932DB4" w:rsidRDefault="008B149B" w:rsidP="002504DC">
            <w:pPr>
              <w:spacing w:after="40"/>
              <w:jc w:val="right"/>
            </w:pPr>
            <w:r w:rsidRPr="00932DB4">
              <w:t>1</w:t>
            </w:r>
            <w:r>
              <w:t>.</w:t>
            </w:r>
            <w:r w:rsidRPr="00932DB4">
              <w:t>140</w:t>
            </w:r>
          </w:p>
        </w:tc>
        <w:tc>
          <w:tcPr>
            <w:tcW w:w="1260" w:type="dxa"/>
            <w:tcBorders>
              <w:top w:val="nil"/>
              <w:left w:val="nil"/>
              <w:bottom w:val="nil"/>
              <w:right w:val="nil"/>
            </w:tcBorders>
          </w:tcPr>
          <w:p w:rsidR="008B149B" w:rsidRPr="00932DB4" w:rsidRDefault="008B149B" w:rsidP="002504DC">
            <w:pPr>
              <w:spacing w:after="40"/>
              <w:jc w:val="center"/>
            </w:pPr>
            <w:r w:rsidRPr="00932DB4">
              <w:t>690</w:t>
            </w:r>
          </w:p>
        </w:tc>
        <w:tc>
          <w:tcPr>
            <w:tcW w:w="900" w:type="dxa"/>
            <w:tcBorders>
              <w:top w:val="nil"/>
              <w:left w:val="nil"/>
              <w:bottom w:val="nil"/>
              <w:right w:val="nil"/>
            </w:tcBorders>
          </w:tcPr>
          <w:p w:rsidR="008B149B" w:rsidRPr="00932DB4" w:rsidRDefault="008B149B" w:rsidP="002504DC">
            <w:pPr>
              <w:spacing w:after="40"/>
              <w:jc w:val="right"/>
            </w:pPr>
            <w:r w:rsidRPr="00932DB4">
              <w:t>58</w:t>
            </w:r>
            <w:r>
              <w:t>,</w:t>
            </w:r>
            <w:r w:rsidRPr="00932DB4">
              <w:t>0%</w:t>
            </w:r>
          </w:p>
        </w:tc>
        <w:tc>
          <w:tcPr>
            <w:tcW w:w="1260" w:type="dxa"/>
            <w:gridSpan w:val="2"/>
            <w:tcBorders>
              <w:top w:val="nil"/>
              <w:left w:val="nil"/>
              <w:bottom w:val="nil"/>
              <w:right w:val="nil"/>
            </w:tcBorders>
          </w:tcPr>
          <w:p w:rsidR="008B149B" w:rsidRPr="00932DB4" w:rsidRDefault="008B149B" w:rsidP="002504DC">
            <w:pPr>
              <w:spacing w:after="40"/>
              <w:jc w:val="right"/>
            </w:pPr>
            <w:r w:rsidRPr="00932DB4">
              <w:t>884</w:t>
            </w:r>
          </w:p>
        </w:tc>
        <w:tc>
          <w:tcPr>
            <w:tcW w:w="1166" w:type="dxa"/>
            <w:gridSpan w:val="2"/>
            <w:tcBorders>
              <w:top w:val="nil"/>
              <w:left w:val="nil"/>
              <w:bottom w:val="nil"/>
              <w:right w:val="nil"/>
            </w:tcBorders>
          </w:tcPr>
          <w:p w:rsidR="008B149B" w:rsidRPr="00932DB4" w:rsidRDefault="008B149B" w:rsidP="002504DC">
            <w:pPr>
              <w:spacing w:after="40"/>
              <w:jc w:val="right"/>
            </w:pPr>
            <w:r w:rsidRPr="00932DB4">
              <w:t>74</w:t>
            </w:r>
            <w:r>
              <w:t>,</w:t>
            </w:r>
            <w:r w:rsidRPr="00932DB4">
              <w:t>3%</w:t>
            </w:r>
          </w:p>
        </w:tc>
        <w:tc>
          <w:tcPr>
            <w:tcW w:w="1260" w:type="dxa"/>
            <w:gridSpan w:val="2"/>
            <w:tcBorders>
              <w:top w:val="nil"/>
              <w:left w:val="nil"/>
              <w:bottom w:val="nil"/>
              <w:right w:val="nil"/>
            </w:tcBorders>
          </w:tcPr>
          <w:p w:rsidR="008B149B" w:rsidRPr="00932DB4" w:rsidRDefault="008B149B" w:rsidP="002504DC">
            <w:pPr>
              <w:spacing w:after="40"/>
              <w:jc w:val="right"/>
            </w:pPr>
            <w:r w:rsidRPr="00932DB4">
              <w:t>1</w:t>
            </w:r>
            <w:r>
              <w:t>.</w:t>
            </w:r>
            <w:r w:rsidRPr="00932DB4">
              <w:t>055</w:t>
            </w:r>
          </w:p>
        </w:tc>
        <w:tc>
          <w:tcPr>
            <w:tcW w:w="1274" w:type="dxa"/>
            <w:gridSpan w:val="2"/>
            <w:tcBorders>
              <w:top w:val="nil"/>
              <w:left w:val="nil"/>
              <w:bottom w:val="nil"/>
              <w:right w:val="nil"/>
            </w:tcBorders>
          </w:tcPr>
          <w:p w:rsidR="008B149B" w:rsidRPr="00932DB4" w:rsidRDefault="008B149B" w:rsidP="002504DC">
            <w:pPr>
              <w:spacing w:after="40"/>
              <w:jc w:val="right"/>
            </w:pPr>
            <w:r w:rsidRPr="00932DB4">
              <w:t>88</w:t>
            </w:r>
            <w:r>
              <w:t>,</w:t>
            </w:r>
            <w:r w:rsidRPr="00932DB4">
              <w:t>7%</w:t>
            </w:r>
          </w:p>
        </w:tc>
        <w:tc>
          <w:tcPr>
            <w:tcW w:w="1170" w:type="dxa"/>
            <w:gridSpan w:val="2"/>
            <w:tcBorders>
              <w:top w:val="nil"/>
              <w:left w:val="nil"/>
              <w:bottom w:val="nil"/>
              <w:right w:val="nil"/>
            </w:tcBorders>
          </w:tcPr>
          <w:p w:rsidR="008B149B" w:rsidRPr="00932DB4" w:rsidRDefault="008B149B" w:rsidP="002504DC">
            <w:pPr>
              <w:spacing w:after="40"/>
              <w:jc w:val="right"/>
            </w:pPr>
            <w:r w:rsidRPr="00932DB4">
              <w:t>1</w:t>
            </w:r>
            <w:r>
              <w:t>.</w:t>
            </w:r>
            <w:r w:rsidRPr="00932DB4">
              <w:t>122</w:t>
            </w:r>
          </w:p>
        </w:tc>
        <w:tc>
          <w:tcPr>
            <w:tcW w:w="990" w:type="dxa"/>
            <w:gridSpan w:val="2"/>
            <w:tcBorders>
              <w:top w:val="nil"/>
              <w:left w:val="nil"/>
              <w:bottom w:val="nil"/>
              <w:right w:val="nil"/>
            </w:tcBorders>
          </w:tcPr>
          <w:p w:rsidR="008B149B" w:rsidRPr="00932DB4" w:rsidRDefault="008B149B" w:rsidP="002504DC">
            <w:pPr>
              <w:spacing w:after="40"/>
              <w:jc w:val="right"/>
            </w:pPr>
            <w:r w:rsidRPr="00932DB4">
              <w:t>94</w:t>
            </w:r>
            <w:r>
              <w:t>,</w:t>
            </w:r>
            <w:r w:rsidRPr="00932DB4">
              <w:t>4%</w:t>
            </w:r>
          </w:p>
        </w:tc>
      </w:tr>
      <w:tr w:rsidR="008B149B" w:rsidRPr="00932DB4" w:rsidTr="002504DC">
        <w:trPr>
          <w:gridAfter w:val="1"/>
          <w:wAfter w:w="551" w:type="dxa"/>
          <w:trHeight w:val="247"/>
        </w:trPr>
        <w:tc>
          <w:tcPr>
            <w:tcW w:w="750" w:type="dxa"/>
            <w:tcBorders>
              <w:top w:val="nil"/>
              <w:left w:val="nil"/>
              <w:bottom w:val="nil"/>
              <w:right w:val="nil"/>
            </w:tcBorders>
          </w:tcPr>
          <w:p w:rsidR="008B149B" w:rsidRPr="00932DB4" w:rsidRDefault="008B149B" w:rsidP="002504DC">
            <w:pPr>
              <w:autoSpaceDE w:val="0"/>
              <w:autoSpaceDN w:val="0"/>
              <w:adjustRightInd w:val="0"/>
              <w:spacing w:after="40"/>
              <w:jc w:val="right"/>
              <w:rPr>
                <w:color w:val="000000"/>
              </w:rPr>
            </w:pPr>
            <w:r w:rsidRPr="00932DB4">
              <w:rPr>
                <w:color w:val="000000"/>
              </w:rPr>
              <w:t>2014</w:t>
            </w:r>
          </w:p>
        </w:tc>
        <w:tc>
          <w:tcPr>
            <w:tcW w:w="1260" w:type="dxa"/>
            <w:tcBorders>
              <w:top w:val="nil"/>
              <w:left w:val="nil"/>
              <w:bottom w:val="nil"/>
              <w:right w:val="nil"/>
            </w:tcBorders>
          </w:tcPr>
          <w:p w:rsidR="008B149B" w:rsidRPr="00932DB4" w:rsidRDefault="008B149B" w:rsidP="002504DC">
            <w:pPr>
              <w:spacing w:after="40"/>
              <w:jc w:val="right"/>
            </w:pPr>
            <w:r w:rsidRPr="00932DB4">
              <w:t>1</w:t>
            </w:r>
            <w:r>
              <w:t>.</w:t>
            </w:r>
            <w:r w:rsidRPr="00932DB4">
              <w:t>547</w:t>
            </w:r>
          </w:p>
        </w:tc>
        <w:tc>
          <w:tcPr>
            <w:tcW w:w="1440" w:type="dxa"/>
            <w:tcBorders>
              <w:top w:val="nil"/>
              <w:left w:val="nil"/>
              <w:bottom w:val="nil"/>
              <w:right w:val="nil"/>
            </w:tcBorders>
          </w:tcPr>
          <w:p w:rsidR="008B149B" w:rsidRPr="00932DB4" w:rsidRDefault="008B149B" w:rsidP="002504DC">
            <w:pPr>
              <w:spacing w:after="40"/>
              <w:jc w:val="right"/>
            </w:pPr>
            <w:r w:rsidRPr="00932DB4">
              <w:t>1</w:t>
            </w:r>
            <w:r>
              <w:t>,</w:t>
            </w:r>
            <w:r w:rsidRPr="00932DB4">
              <w:t>9</w:t>
            </w:r>
          </w:p>
        </w:tc>
        <w:tc>
          <w:tcPr>
            <w:tcW w:w="1350" w:type="dxa"/>
            <w:tcBorders>
              <w:top w:val="nil"/>
              <w:left w:val="nil"/>
              <w:bottom w:val="nil"/>
              <w:right w:val="nil"/>
            </w:tcBorders>
          </w:tcPr>
          <w:p w:rsidR="008B149B" w:rsidRPr="00932DB4" w:rsidRDefault="008B149B" w:rsidP="002504DC">
            <w:pPr>
              <w:spacing w:after="40"/>
              <w:jc w:val="right"/>
            </w:pPr>
            <w:r w:rsidRPr="00932DB4">
              <w:t>1</w:t>
            </w:r>
            <w:r>
              <w:t>.</w:t>
            </w:r>
            <w:r w:rsidRPr="00932DB4">
              <w:t>208</w:t>
            </w:r>
          </w:p>
        </w:tc>
        <w:tc>
          <w:tcPr>
            <w:tcW w:w="1260" w:type="dxa"/>
            <w:tcBorders>
              <w:top w:val="nil"/>
              <w:left w:val="nil"/>
              <w:bottom w:val="nil"/>
              <w:right w:val="nil"/>
            </w:tcBorders>
          </w:tcPr>
          <w:p w:rsidR="008B149B" w:rsidRPr="00932DB4" w:rsidRDefault="008B149B" w:rsidP="002504DC">
            <w:pPr>
              <w:spacing w:after="40"/>
              <w:jc w:val="center"/>
            </w:pPr>
            <w:r w:rsidRPr="00932DB4">
              <w:t>754</w:t>
            </w:r>
          </w:p>
        </w:tc>
        <w:tc>
          <w:tcPr>
            <w:tcW w:w="900" w:type="dxa"/>
            <w:tcBorders>
              <w:top w:val="nil"/>
              <w:left w:val="nil"/>
              <w:bottom w:val="nil"/>
              <w:right w:val="nil"/>
            </w:tcBorders>
          </w:tcPr>
          <w:p w:rsidR="008B149B" w:rsidRPr="00932DB4" w:rsidRDefault="008B149B" w:rsidP="002504DC">
            <w:pPr>
              <w:spacing w:after="40"/>
              <w:jc w:val="right"/>
            </w:pPr>
            <w:r w:rsidRPr="00932DB4">
              <w:t>48</w:t>
            </w:r>
            <w:r>
              <w:t>,</w:t>
            </w:r>
            <w:r w:rsidRPr="00932DB4">
              <w:t>7%</w:t>
            </w:r>
          </w:p>
        </w:tc>
        <w:tc>
          <w:tcPr>
            <w:tcW w:w="1260" w:type="dxa"/>
            <w:gridSpan w:val="2"/>
            <w:tcBorders>
              <w:top w:val="nil"/>
              <w:left w:val="nil"/>
              <w:bottom w:val="nil"/>
              <w:right w:val="nil"/>
            </w:tcBorders>
          </w:tcPr>
          <w:p w:rsidR="008B149B" w:rsidRPr="00932DB4" w:rsidRDefault="008B149B" w:rsidP="002504DC">
            <w:pPr>
              <w:spacing w:after="40"/>
              <w:jc w:val="right"/>
            </w:pPr>
            <w:r w:rsidRPr="00932DB4">
              <w:t>1</w:t>
            </w:r>
            <w:r>
              <w:t>.</w:t>
            </w:r>
            <w:r w:rsidRPr="00932DB4">
              <w:t>029</w:t>
            </w:r>
          </w:p>
        </w:tc>
        <w:tc>
          <w:tcPr>
            <w:tcW w:w="1166" w:type="dxa"/>
            <w:gridSpan w:val="2"/>
            <w:tcBorders>
              <w:top w:val="nil"/>
              <w:left w:val="nil"/>
              <w:bottom w:val="nil"/>
              <w:right w:val="nil"/>
            </w:tcBorders>
          </w:tcPr>
          <w:p w:rsidR="008B149B" w:rsidRPr="00932DB4" w:rsidRDefault="008B149B" w:rsidP="002504DC">
            <w:pPr>
              <w:spacing w:after="40"/>
              <w:jc w:val="right"/>
            </w:pPr>
            <w:r w:rsidRPr="00932DB4">
              <w:t>66</w:t>
            </w:r>
            <w:r>
              <w:t>,</w:t>
            </w:r>
            <w:r w:rsidRPr="00932DB4">
              <w:t>5%</w:t>
            </w:r>
          </w:p>
        </w:tc>
        <w:tc>
          <w:tcPr>
            <w:tcW w:w="1260" w:type="dxa"/>
            <w:gridSpan w:val="2"/>
            <w:tcBorders>
              <w:top w:val="nil"/>
              <w:left w:val="nil"/>
              <w:bottom w:val="nil"/>
              <w:right w:val="nil"/>
            </w:tcBorders>
          </w:tcPr>
          <w:p w:rsidR="008B149B" w:rsidRPr="00932DB4" w:rsidRDefault="008B149B" w:rsidP="002504DC">
            <w:pPr>
              <w:spacing w:after="40"/>
              <w:jc w:val="right"/>
            </w:pPr>
            <w:r w:rsidRPr="00932DB4">
              <w:t>1</w:t>
            </w:r>
            <w:r>
              <w:t>.</w:t>
            </w:r>
            <w:r w:rsidRPr="00932DB4">
              <w:t>270</w:t>
            </w:r>
          </w:p>
        </w:tc>
        <w:tc>
          <w:tcPr>
            <w:tcW w:w="1274" w:type="dxa"/>
            <w:gridSpan w:val="2"/>
            <w:tcBorders>
              <w:top w:val="nil"/>
              <w:left w:val="nil"/>
              <w:bottom w:val="nil"/>
              <w:right w:val="nil"/>
            </w:tcBorders>
          </w:tcPr>
          <w:p w:rsidR="008B149B" w:rsidRPr="00932DB4" w:rsidRDefault="008B149B" w:rsidP="002504DC">
            <w:pPr>
              <w:spacing w:after="40"/>
              <w:jc w:val="right"/>
            </w:pPr>
            <w:r w:rsidRPr="00932DB4">
              <w:t>82</w:t>
            </w:r>
            <w:r>
              <w:t>,</w:t>
            </w:r>
            <w:r w:rsidRPr="00932DB4">
              <w:t>1%</w:t>
            </w:r>
          </w:p>
        </w:tc>
        <w:tc>
          <w:tcPr>
            <w:tcW w:w="1170" w:type="dxa"/>
            <w:gridSpan w:val="2"/>
            <w:tcBorders>
              <w:top w:val="nil"/>
              <w:left w:val="nil"/>
              <w:bottom w:val="nil"/>
              <w:right w:val="nil"/>
            </w:tcBorders>
          </w:tcPr>
          <w:p w:rsidR="008B149B" w:rsidRPr="00932DB4" w:rsidRDefault="008B149B" w:rsidP="002504DC">
            <w:pPr>
              <w:spacing w:after="40"/>
              <w:jc w:val="right"/>
            </w:pPr>
            <w:r w:rsidRPr="00932DB4">
              <w:t>1</w:t>
            </w:r>
            <w:r>
              <w:t>.</w:t>
            </w:r>
            <w:r w:rsidRPr="00932DB4">
              <w:t>401</w:t>
            </w:r>
          </w:p>
        </w:tc>
        <w:tc>
          <w:tcPr>
            <w:tcW w:w="990" w:type="dxa"/>
            <w:gridSpan w:val="2"/>
            <w:tcBorders>
              <w:top w:val="nil"/>
              <w:left w:val="nil"/>
              <w:bottom w:val="nil"/>
              <w:right w:val="nil"/>
            </w:tcBorders>
          </w:tcPr>
          <w:p w:rsidR="008B149B" w:rsidRPr="00932DB4" w:rsidRDefault="008B149B" w:rsidP="002504DC">
            <w:pPr>
              <w:spacing w:after="40"/>
              <w:jc w:val="right"/>
            </w:pPr>
            <w:r w:rsidRPr="00932DB4">
              <w:t>90</w:t>
            </w:r>
            <w:r>
              <w:t>,</w:t>
            </w:r>
            <w:r w:rsidRPr="00932DB4">
              <w:t>6%</w:t>
            </w:r>
          </w:p>
        </w:tc>
      </w:tr>
      <w:tr w:rsidR="008B149B" w:rsidRPr="00932DB4" w:rsidTr="002504DC">
        <w:trPr>
          <w:gridAfter w:val="1"/>
          <w:wAfter w:w="551" w:type="dxa"/>
          <w:trHeight w:val="247"/>
        </w:trPr>
        <w:tc>
          <w:tcPr>
            <w:tcW w:w="750" w:type="dxa"/>
            <w:tcBorders>
              <w:top w:val="nil"/>
              <w:left w:val="nil"/>
              <w:bottom w:val="nil"/>
              <w:right w:val="nil"/>
            </w:tcBorders>
          </w:tcPr>
          <w:p w:rsidR="008B149B" w:rsidRPr="00932DB4" w:rsidRDefault="008B149B" w:rsidP="002504DC">
            <w:pPr>
              <w:autoSpaceDE w:val="0"/>
              <w:autoSpaceDN w:val="0"/>
              <w:adjustRightInd w:val="0"/>
              <w:spacing w:after="40"/>
              <w:jc w:val="right"/>
              <w:rPr>
                <w:color w:val="000000"/>
              </w:rPr>
            </w:pPr>
            <w:r w:rsidRPr="00932DB4">
              <w:rPr>
                <w:color w:val="000000"/>
              </w:rPr>
              <w:t>2015</w:t>
            </w:r>
          </w:p>
        </w:tc>
        <w:tc>
          <w:tcPr>
            <w:tcW w:w="1260" w:type="dxa"/>
            <w:tcBorders>
              <w:top w:val="nil"/>
              <w:left w:val="nil"/>
              <w:bottom w:val="nil"/>
              <w:right w:val="nil"/>
            </w:tcBorders>
          </w:tcPr>
          <w:p w:rsidR="008B149B" w:rsidRPr="00932DB4" w:rsidRDefault="008B149B" w:rsidP="002504DC">
            <w:pPr>
              <w:spacing w:after="40"/>
              <w:jc w:val="right"/>
            </w:pPr>
            <w:r w:rsidRPr="00932DB4">
              <w:t>1</w:t>
            </w:r>
            <w:r>
              <w:t>.</w:t>
            </w:r>
            <w:r w:rsidRPr="00932DB4">
              <w:t>693</w:t>
            </w:r>
          </w:p>
        </w:tc>
        <w:tc>
          <w:tcPr>
            <w:tcW w:w="1440" w:type="dxa"/>
            <w:tcBorders>
              <w:top w:val="nil"/>
              <w:left w:val="nil"/>
              <w:bottom w:val="nil"/>
              <w:right w:val="nil"/>
            </w:tcBorders>
          </w:tcPr>
          <w:p w:rsidR="008B149B" w:rsidRPr="00932DB4" w:rsidRDefault="008B149B" w:rsidP="002504DC">
            <w:pPr>
              <w:spacing w:after="40"/>
              <w:jc w:val="right"/>
            </w:pPr>
            <w:r w:rsidRPr="00932DB4">
              <w:t>1</w:t>
            </w:r>
            <w:r>
              <w:t>,</w:t>
            </w:r>
            <w:r w:rsidRPr="00932DB4">
              <w:t>9</w:t>
            </w:r>
          </w:p>
        </w:tc>
        <w:tc>
          <w:tcPr>
            <w:tcW w:w="1350" w:type="dxa"/>
            <w:tcBorders>
              <w:top w:val="nil"/>
              <w:left w:val="nil"/>
              <w:bottom w:val="nil"/>
              <w:right w:val="nil"/>
            </w:tcBorders>
          </w:tcPr>
          <w:p w:rsidR="008B149B" w:rsidRPr="00932DB4" w:rsidRDefault="008B149B" w:rsidP="002504DC">
            <w:pPr>
              <w:spacing w:after="40"/>
              <w:jc w:val="right"/>
            </w:pPr>
            <w:r w:rsidRPr="00932DB4">
              <w:t>1</w:t>
            </w:r>
            <w:r>
              <w:t>.</w:t>
            </w:r>
            <w:r w:rsidRPr="00932DB4">
              <w:t>150</w:t>
            </w:r>
          </w:p>
        </w:tc>
        <w:tc>
          <w:tcPr>
            <w:tcW w:w="1260" w:type="dxa"/>
            <w:tcBorders>
              <w:top w:val="nil"/>
              <w:left w:val="nil"/>
              <w:bottom w:val="nil"/>
              <w:right w:val="nil"/>
            </w:tcBorders>
          </w:tcPr>
          <w:p w:rsidR="008B149B" w:rsidRPr="00932DB4" w:rsidRDefault="008B149B" w:rsidP="002504DC">
            <w:pPr>
              <w:spacing w:after="40"/>
              <w:jc w:val="center"/>
            </w:pPr>
            <w:r w:rsidRPr="00932DB4">
              <w:t>698</w:t>
            </w:r>
          </w:p>
        </w:tc>
        <w:tc>
          <w:tcPr>
            <w:tcW w:w="900" w:type="dxa"/>
            <w:tcBorders>
              <w:top w:val="nil"/>
              <w:left w:val="nil"/>
              <w:bottom w:val="nil"/>
              <w:right w:val="nil"/>
            </w:tcBorders>
          </w:tcPr>
          <w:p w:rsidR="008B149B" w:rsidRPr="00932DB4" w:rsidRDefault="008B149B" w:rsidP="002504DC">
            <w:pPr>
              <w:spacing w:after="40"/>
              <w:jc w:val="right"/>
            </w:pPr>
            <w:r w:rsidRPr="00932DB4">
              <w:t>41</w:t>
            </w:r>
            <w:r>
              <w:t>,</w:t>
            </w:r>
            <w:r w:rsidRPr="00932DB4">
              <w:t>2%</w:t>
            </w:r>
          </w:p>
        </w:tc>
        <w:tc>
          <w:tcPr>
            <w:tcW w:w="1260" w:type="dxa"/>
            <w:gridSpan w:val="2"/>
            <w:tcBorders>
              <w:top w:val="nil"/>
              <w:left w:val="nil"/>
              <w:bottom w:val="nil"/>
              <w:right w:val="nil"/>
            </w:tcBorders>
          </w:tcPr>
          <w:p w:rsidR="008B149B" w:rsidRPr="00932DB4" w:rsidRDefault="008B149B" w:rsidP="002504DC">
            <w:pPr>
              <w:spacing w:after="40"/>
              <w:jc w:val="right"/>
            </w:pPr>
            <w:r w:rsidRPr="00932DB4">
              <w:t>980</w:t>
            </w:r>
          </w:p>
        </w:tc>
        <w:tc>
          <w:tcPr>
            <w:tcW w:w="1166" w:type="dxa"/>
            <w:gridSpan w:val="2"/>
            <w:tcBorders>
              <w:top w:val="nil"/>
              <w:left w:val="nil"/>
              <w:bottom w:val="nil"/>
              <w:right w:val="nil"/>
            </w:tcBorders>
          </w:tcPr>
          <w:p w:rsidR="008B149B" w:rsidRPr="00932DB4" w:rsidRDefault="008B149B" w:rsidP="002504DC">
            <w:pPr>
              <w:spacing w:after="40"/>
              <w:jc w:val="right"/>
            </w:pPr>
            <w:r w:rsidRPr="00932DB4">
              <w:t>57</w:t>
            </w:r>
            <w:r>
              <w:t>,</w:t>
            </w:r>
            <w:r w:rsidRPr="00932DB4">
              <w:t>9%</w:t>
            </w:r>
          </w:p>
        </w:tc>
        <w:tc>
          <w:tcPr>
            <w:tcW w:w="1260" w:type="dxa"/>
            <w:gridSpan w:val="2"/>
            <w:tcBorders>
              <w:top w:val="nil"/>
              <w:left w:val="nil"/>
              <w:bottom w:val="nil"/>
              <w:right w:val="nil"/>
            </w:tcBorders>
          </w:tcPr>
          <w:p w:rsidR="008B149B" w:rsidRPr="00932DB4" w:rsidRDefault="008B149B" w:rsidP="002504DC">
            <w:pPr>
              <w:spacing w:after="40"/>
              <w:jc w:val="right"/>
            </w:pPr>
            <w:r w:rsidRPr="00932DB4">
              <w:t>1</w:t>
            </w:r>
            <w:r>
              <w:t>.</w:t>
            </w:r>
            <w:r w:rsidRPr="00932DB4">
              <w:t>253</w:t>
            </w:r>
          </w:p>
        </w:tc>
        <w:tc>
          <w:tcPr>
            <w:tcW w:w="1274" w:type="dxa"/>
            <w:gridSpan w:val="2"/>
            <w:tcBorders>
              <w:top w:val="nil"/>
              <w:left w:val="nil"/>
              <w:bottom w:val="nil"/>
              <w:right w:val="nil"/>
            </w:tcBorders>
          </w:tcPr>
          <w:p w:rsidR="008B149B" w:rsidRPr="00932DB4" w:rsidRDefault="008B149B" w:rsidP="002504DC">
            <w:pPr>
              <w:spacing w:after="40"/>
              <w:jc w:val="right"/>
            </w:pPr>
            <w:r w:rsidRPr="00932DB4">
              <w:t>74</w:t>
            </w:r>
            <w:r>
              <w:t>,</w:t>
            </w:r>
            <w:r w:rsidRPr="00932DB4">
              <w:t>0%</w:t>
            </w:r>
          </w:p>
        </w:tc>
        <w:tc>
          <w:tcPr>
            <w:tcW w:w="1170" w:type="dxa"/>
            <w:gridSpan w:val="2"/>
            <w:tcBorders>
              <w:top w:val="nil"/>
              <w:left w:val="nil"/>
              <w:bottom w:val="nil"/>
              <w:right w:val="nil"/>
            </w:tcBorders>
          </w:tcPr>
          <w:p w:rsidR="008B149B" w:rsidRPr="00932DB4" w:rsidRDefault="008B149B" w:rsidP="002504DC">
            <w:pPr>
              <w:spacing w:after="40"/>
              <w:jc w:val="right"/>
            </w:pPr>
            <w:r w:rsidRPr="00932DB4">
              <w:t>1</w:t>
            </w:r>
            <w:r>
              <w:t>.</w:t>
            </w:r>
            <w:r w:rsidRPr="00932DB4">
              <w:t>382</w:t>
            </w:r>
          </w:p>
        </w:tc>
        <w:tc>
          <w:tcPr>
            <w:tcW w:w="990" w:type="dxa"/>
            <w:gridSpan w:val="2"/>
            <w:tcBorders>
              <w:top w:val="nil"/>
              <w:left w:val="nil"/>
              <w:bottom w:val="nil"/>
              <w:right w:val="nil"/>
            </w:tcBorders>
          </w:tcPr>
          <w:p w:rsidR="008B149B" w:rsidRPr="00932DB4" w:rsidRDefault="008B149B" w:rsidP="002504DC">
            <w:pPr>
              <w:spacing w:after="40"/>
              <w:jc w:val="right"/>
            </w:pPr>
            <w:r w:rsidRPr="00932DB4">
              <w:t>81</w:t>
            </w:r>
            <w:r>
              <w:t>,</w:t>
            </w:r>
            <w:r w:rsidRPr="00932DB4">
              <w:t>6%</w:t>
            </w:r>
          </w:p>
        </w:tc>
      </w:tr>
    </w:tbl>
    <w:p w:rsidR="008B149B" w:rsidRPr="00932DB4" w:rsidRDefault="008B149B" w:rsidP="008B149B">
      <w:pPr>
        <w:sectPr w:rsidR="008B149B" w:rsidRPr="00932DB4" w:rsidSect="008B05FB">
          <w:pgSz w:w="16839" w:h="11907" w:orient="landscape" w:code="9"/>
          <w:pgMar w:top="1440" w:right="1440" w:bottom="1440" w:left="1440" w:header="720" w:footer="720" w:gutter="0"/>
          <w:cols w:space="720"/>
          <w:docGrid w:linePitch="360"/>
        </w:sectPr>
      </w:pPr>
    </w:p>
    <w:p w:rsidR="008B149B" w:rsidRPr="00932DB4" w:rsidRDefault="008B149B" w:rsidP="008B149B">
      <w:pPr>
        <w:tabs>
          <w:tab w:val="left" w:pos="2760"/>
        </w:tabs>
      </w:pPr>
      <w:r w:rsidRPr="00854CF7">
        <w:rPr>
          <w:noProof/>
          <w:lang w:val="en-US" w:eastAsia="en-US"/>
        </w:rPr>
        <w:drawing>
          <wp:inline distT="0" distB="0" distL="0" distR="0" wp14:anchorId="19E0316E" wp14:editId="48D507AE">
            <wp:extent cx="5940425" cy="3482433"/>
            <wp:effectExtent l="0" t="0" r="317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425" cy="3482433"/>
                    </a:xfrm>
                    <a:prstGeom prst="rect">
                      <a:avLst/>
                    </a:prstGeom>
                    <a:noFill/>
                    <a:ln>
                      <a:noFill/>
                    </a:ln>
                  </pic:spPr>
                </pic:pic>
              </a:graphicData>
            </a:graphic>
          </wp:inline>
        </w:drawing>
      </w:r>
    </w:p>
    <w:p w:rsidR="008B149B" w:rsidRPr="00932DB4" w:rsidRDefault="008B149B" w:rsidP="008B149B"/>
    <w:p w:rsidR="008B149B" w:rsidRPr="00932DB4" w:rsidRDefault="008B149B" w:rsidP="008B149B">
      <w:pPr>
        <w:pStyle w:val="ONUME"/>
        <w:numPr>
          <w:ilvl w:val="0"/>
          <w:numId w:val="0"/>
        </w:numPr>
        <w:ind w:left="1624" w:hanging="1198"/>
      </w:pPr>
      <w:r w:rsidRPr="00932DB4">
        <w:t>Gráfico 1a</w:t>
      </w:r>
      <w:proofErr w:type="gramStart"/>
      <w:r w:rsidRPr="00932DB4">
        <w:t xml:space="preserve">: </w:t>
      </w:r>
      <w:r>
        <w:t xml:space="preserve"> </w:t>
      </w:r>
      <w:r w:rsidRPr="00932DB4">
        <w:t>Solicitudes</w:t>
      </w:r>
      <w:proofErr w:type="gramEnd"/>
      <w:r w:rsidRPr="00932DB4">
        <w:t xml:space="preserve"> adicionales a partir de posibles reducciones de tasas, países desarrollados, 2015</w:t>
      </w:r>
    </w:p>
    <w:p w:rsidR="008B149B" w:rsidRPr="00932DB4" w:rsidRDefault="008B149B" w:rsidP="008B149B"/>
    <w:p w:rsidR="008B149B" w:rsidRPr="00932DB4" w:rsidRDefault="008B149B" w:rsidP="008B149B"/>
    <w:p w:rsidR="008B149B" w:rsidRPr="00932DB4" w:rsidRDefault="008B149B" w:rsidP="008B149B">
      <w:r w:rsidRPr="00854CF7">
        <w:rPr>
          <w:noProof/>
          <w:lang w:val="en-US" w:eastAsia="en-US"/>
        </w:rPr>
        <w:drawing>
          <wp:inline distT="0" distB="0" distL="0" distR="0" wp14:anchorId="1AFBEC86" wp14:editId="4DAD84AE">
            <wp:extent cx="5940425" cy="3482433"/>
            <wp:effectExtent l="0" t="0" r="3175"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0425" cy="3482433"/>
                    </a:xfrm>
                    <a:prstGeom prst="rect">
                      <a:avLst/>
                    </a:prstGeom>
                    <a:noFill/>
                    <a:ln>
                      <a:noFill/>
                    </a:ln>
                  </pic:spPr>
                </pic:pic>
              </a:graphicData>
            </a:graphic>
          </wp:inline>
        </w:drawing>
      </w:r>
    </w:p>
    <w:p w:rsidR="008B149B" w:rsidRPr="00932DB4" w:rsidRDefault="008B149B" w:rsidP="008B149B">
      <w:pPr>
        <w:pStyle w:val="ONUME"/>
        <w:numPr>
          <w:ilvl w:val="0"/>
          <w:numId w:val="0"/>
        </w:numPr>
        <w:ind w:left="1190" w:hanging="1190"/>
      </w:pPr>
      <w:r w:rsidRPr="00932DB4">
        <w:t>Gráfico 1b</w:t>
      </w:r>
      <w:proofErr w:type="gramStart"/>
      <w:r w:rsidRPr="00932DB4">
        <w:t>:  Solicitudes</w:t>
      </w:r>
      <w:proofErr w:type="gramEnd"/>
      <w:r w:rsidRPr="00932DB4">
        <w:t xml:space="preserve"> adicionales a partir de posibles reducciones de tasas, países en desarrollo, 2015</w:t>
      </w:r>
    </w:p>
    <w:p w:rsidR="008B149B" w:rsidRPr="00932DB4" w:rsidRDefault="008B149B" w:rsidP="008B149B">
      <w:pPr>
        <w:pStyle w:val="ONUME"/>
        <w:numPr>
          <w:ilvl w:val="0"/>
          <w:numId w:val="0"/>
        </w:numPr>
      </w:pPr>
    </w:p>
    <w:p w:rsidR="008B149B" w:rsidRPr="00932DB4" w:rsidRDefault="008B149B" w:rsidP="008B149B">
      <w:pPr>
        <w:pStyle w:val="ONUME"/>
        <w:numPr>
          <w:ilvl w:val="0"/>
          <w:numId w:val="0"/>
        </w:numPr>
      </w:pPr>
      <w:r w:rsidRPr="00854CF7">
        <w:rPr>
          <w:noProof/>
          <w:lang w:val="en-US" w:eastAsia="en-US"/>
        </w:rPr>
        <w:drawing>
          <wp:inline distT="0" distB="0" distL="0" distR="0" wp14:anchorId="628F2EEF" wp14:editId="2A088262">
            <wp:extent cx="5940425" cy="3721403"/>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425" cy="3721403"/>
                    </a:xfrm>
                    <a:prstGeom prst="rect">
                      <a:avLst/>
                    </a:prstGeom>
                    <a:noFill/>
                    <a:ln>
                      <a:noFill/>
                    </a:ln>
                  </pic:spPr>
                </pic:pic>
              </a:graphicData>
            </a:graphic>
          </wp:inline>
        </w:drawing>
      </w:r>
    </w:p>
    <w:p w:rsidR="008B149B" w:rsidRPr="00932DB4" w:rsidRDefault="008B149B" w:rsidP="008B149B">
      <w:pPr>
        <w:pStyle w:val="ONUME"/>
        <w:numPr>
          <w:ilvl w:val="0"/>
          <w:numId w:val="0"/>
        </w:numPr>
        <w:ind w:left="1190" w:hanging="1190"/>
      </w:pPr>
      <w:r w:rsidRPr="00932DB4">
        <w:t>Gráfico 2a</w:t>
      </w:r>
      <w:proofErr w:type="gramStart"/>
      <w:r w:rsidRPr="00932DB4">
        <w:t>:  Pérdida</w:t>
      </w:r>
      <w:proofErr w:type="gramEnd"/>
      <w:r w:rsidRPr="00932DB4">
        <w:t xml:space="preserve"> de ingresos a partir de posibles reducciones de tasas, países desarrollados, 2015</w:t>
      </w:r>
    </w:p>
    <w:p w:rsidR="008B149B" w:rsidRPr="00932DB4" w:rsidRDefault="008B149B" w:rsidP="008B149B">
      <w:pPr>
        <w:pStyle w:val="ONUME"/>
        <w:numPr>
          <w:ilvl w:val="0"/>
          <w:numId w:val="0"/>
        </w:numPr>
      </w:pPr>
      <w:r w:rsidRPr="00854CF7">
        <w:rPr>
          <w:noProof/>
          <w:lang w:val="en-US" w:eastAsia="en-US"/>
        </w:rPr>
        <w:drawing>
          <wp:inline distT="0" distB="0" distL="0" distR="0" wp14:anchorId="241EEA2B" wp14:editId="510A3389">
            <wp:extent cx="5940425" cy="3721403"/>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0425" cy="3721403"/>
                    </a:xfrm>
                    <a:prstGeom prst="rect">
                      <a:avLst/>
                    </a:prstGeom>
                    <a:noFill/>
                    <a:ln>
                      <a:noFill/>
                    </a:ln>
                  </pic:spPr>
                </pic:pic>
              </a:graphicData>
            </a:graphic>
          </wp:inline>
        </w:drawing>
      </w:r>
    </w:p>
    <w:p w:rsidR="008B149B" w:rsidRPr="00932DB4" w:rsidRDefault="008B149B" w:rsidP="008B149B">
      <w:pPr>
        <w:pStyle w:val="ONUME"/>
        <w:numPr>
          <w:ilvl w:val="0"/>
          <w:numId w:val="0"/>
        </w:numPr>
        <w:ind w:left="1190" w:hanging="1190"/>
      </w:pPr>
      <w:r w:rsidRPr="00932DB4">
        <w:t>Gráfico 2b</w:t>
      </w:r>
      <w:proofErr w:type="gramStart"/>
      <w:r w:rsidRPr="00932DB4">
        <w:t>:  Pérdida</w:t>
      </w:r>
      <w:proofErr w:type="gramEnd"/>
      <w:r w:rsidRPr="00932DB4">
        <w:t xml:space="preserve"> de ingresos a partir de posibles reducciones de tasas, países en desarrollo, 2015</w:t>
      </w:r>
    </w:p>
    <w:p w:rsidR="008B149B" w:rsidRPr="00932DB4" w:rsidRDefault="008B149B" w:rsidP="008B149B">
      <w:pPr>
        <w:pStyle w:val="ONUME"/>
        <w:keepLines/>
      </w:pPr>
      <w:r w:rsidRPr="00932DB4">
        <w:t>En los gráficos 2a y 2b se expone la pérdida de ingresos asociada a las mismas posibles reducciones de tasas, en términos absolutos (eje vertical izquierdo) y relativos a los ingresos totales del PCT (eje vertical derecho)</w:t>
      </w:r>
      <w:r w:rsidRPr="00932DB4">
        <w:rPr>
          <w:rStyle w:val="FootnoteReference"/>
        </w:rPr>
        <w:footnoteReference w:id="6"/>
      </w:r>
      <w:r w:rsidRPr="00932DB4">
        <w:t>.  Al reflejar menores volúmenes de solicitudes presentadas, la misma reducción de tasas supone menores pérdidas de ingresos para los países en desarrollo en comparación con los países desarrollados.</w:t>
      </w:r>
    </w:p>
    <w:p w:rsidR="008B149B" w:rsidRPr="00932DB4" w:rsidRDefault="008B149B" w:rsidP="008B149B">
      <w:pPr>
        <w:pStyle w:val="ONUME"/>
        <w:keepLines/>
      </w:pPr>
      <w:r w:rsidRPr="00932DB4">
        <w:t>Por último, merece la pena calcular el costo de las solicitudes adicionales en cuanto a la pérdida de ingresos implícita por solicitud adicional prevista.  En los países desarrollados, este costo va de los 27.340 francos suizos por solicitud presentada en el caso de una reducción de tasas cercana a cero a los 28.480 francos suizos por solicitud presentada en el caso de una reducción de tasas del 100%.  En los países en desarrollo, va de los 5.860 francos suizos por solicitud presentada en el caso de una reducción de tasas cercana a cero a los 7.010 francos suizos por solicitud presentada en el caso de una reducción de tasas del 100%.  Ocurre que este costo por solicitud no depende de la existencia y el valor de límite alguno para tener derecho a la reducción.  De manera intuitiva, el límite máximo reduce la pérdida de ingresos asociados a la reducción de tasas, pero también el número de solicitudes adicionales;  los dos efectos se anulan entre sí</w:t>
      </w:r>
      <w:r w:rsidRPr="00932DB4">
        <w:rPr>
          <w:rStyle w:val="FootnoteReference"/>
        </w:rPr>
        <w:footnoteReference w:id="7"/>
      </w:r>
      <w:r w:rsidRPr="00932DB4">
        <w:t>.  También es importante señalar que la diferencia en la pérdida de ingresos por solicitud entre países desarrollados y países en desarrollo se debe principalmente a la diferencia de los valores de la elasticidad de las tasas aplicables a esos dos grupos de países</w:t>
      </w:r>
      <w:r w:rsidRPr="00932DB4">
        <w:rPr>
          <w:rStyle w:val="FootnoteReference"/>
        </w:rPr>
        <w:footnoteReference w:id="8"/>
      </w:r>
      <w:r w:rsidRPr="00932DB4">
        <w:t>.  Por lo tanto, los posibles sesgos en el cálculo de la elasticidad de las tasas, como se ha expuesto anteriormente, pueden influir de manera importante en el cálculo de la pérdida de ingresos.</w:t>
      </w:r>
    </w:p>
    <w:p w:rsidR="008B149B" w:rsidRPr="00932DB4" w:rsidRDefault="008B149B" w:rsidP="008B149B">
      <w:pPr>
        <w:pStyle w:val="ONUME"/>
      </w:pPr>
      <w:r w:rsidRPr="00932DB4">
        <w:t>En resumen, en los cuadros 3a y 3b se expone la simulación de la pérdida de ingresos, por solicitud y en total, aplicable a las reducciones de tasas del 25, 50 y 75%.</w:t>
      </w:r>
    </w:p>
    <w:tbl>
      <w:tblPr>
        <w:tblW w:w="0" w:type="auto"/>
        <w:tblCellMar>
          <w:left w:w="0" w:type="dxa"/>
          <w:right w:w="0" w:type="dxa"/>
        </w:tblCellMar>
        <w:tblLook w:val="04A0" w:firstRow="1" w:lastRow="0" w:firstColumn="1" w:lastColumn="0" w:noHBand="0" w:noVBand="1"/>
      </w:tblPr>
      <w:tblGrid>
        <w:gridCol w:w="1278"/>
        <w:gridCol w:w="1440"/>
        <w:gridCol w:w="1285"/>
        <w:gridCol w:w="1285"/>
        <w:gridCol w:w="1286"/>
        <w:gridCol w:w="1285"/>
        <w:gridCol w:w="1286"/>
      </w:tblGrid>
      <w:tr w:rsidR="008B149B" w:rsidRPr="00453373" w:rsidTr="002504DC">
        <w:tc>
          <w:tcPr>
            <w:tcW w:w="1278" w:type="dxa"/>
            <w:vMerge w:val="restart"/>
            <w:tcMar>
              <w:top w:w="0" w:type="dxa"/>
              <w:left w:w="108" w:type="dxa"/>
              <w:bottom w:w="0" w:type="dxa"/>
              <w:right w:w="108" w:type="dxa"/>
            </w:tcMar>
            <w:vAlign w:val="bottom"/>
            <w:hideMark/>
          </w:tcPr>
          <w:p w:rsidR="008B149B" w:rsidRPr="00932DB4" w:rsidRDefault="008B149B" w:rsidP="002504DC">
            <w:pPr>
              <w:jc w:val="center"/>
              <w:rPr>
                <w:sz w:val="20"/>
              </w:rPr>
            </w:pPr>
            <w:r w:rsidRPr="00932DB4">
              <w:rPr>
                <w:sz w:val="20"/>
              </w:rPr>
              <w:t>Reducción de tasas (en %)</w:t>
            </w:r>
          </w:p>
        </w:tc>
        <w:tc>
          <w:tcPr>
            <w:tcW w:w="1440" w:type="dxa"/>
            <w:vMerge w:val="restart"/>
            <w:tcMar>
              <w:top w:w="0" w:type="dxa"/>
              <w:left w:w="108" w:type="dxa"/>
              <w:bottom w:w="0" w:type="dxa"/>
              <w:right w:w="108" w:type="dxa"/>
            </w:tcMar>
            <w:vAlign w:val="bottom"/>
            <w:hideMark/>
          </w:tcPr>
          <w:p w:rsidR="008B149B" w:rsidRPr="00932DB4" w:rsidRDefault="008B149B" w:rsidP="002504DC">
            <w:pPr>
              <w:jc w:val="center"/>
              <w:rPr>
                <w:sz w:val="20"/>
              </w:rPr>
            </w:pPr>
            <w:r w:rsidRPr="00932DB4">
              <w:rPr>
                <w:sz w:val="20"/>
              </w:rPr>
              <w:t>Pérdida de ingresos por solicitud (en CHF)</w:t>
            </w:r>
          </w:p>
        </w:tc>
        <w:tc>
          <w:tcPr>
            <w:tcW w:w="6427" w:type="dxa"/>
            <w:gridSpan w:val="5"/>
            <w:tcBorders>
              <w:bottom w:val="single" w:sz="4" w:space="0" w:color="auto"/>
            </w:tcBorders>
            <w:tcMar>
              <w:top w:w="0" w:type="dxa"/>
              <w:left w:w="108" w:type="dxa"/>
              <w:bottom w:w="0" w:type="dxa"/>
              <w:right w:w="108" w:type="dxa"/>
            </w:tcMar>
            <w:vAlign w:val="bottom"/>
            <w:hideMark/>
          </w:tcPr>
          <w:p w:rsidR="008B149B" w:rsidRPr="00932DB4" w:rsidRDefault="008B149B" w:rsidP="002504DC">
            <w:pPr>
              <w:jc w:val="center"/>
              <w:rPr>
                <w:sz w:val="20"/>
              </w:rPr>
            </w:pPr>
            <w:r w:rsidRPr="00932DB4">
              <w:rPr>
                <w:sz w:val="20"/>
              </w:rPr>
              <w:br/>
              <w:t>Pérdida de ingresos (en millones de CHF)</w:t>
            </w:r>
          </w:p>
        </w:tc>
      </w:tr>
      <w:tr w:rsidR="008B149B" w:rsidRPr="00932DB4" w:rsidTr="002504DC">
        <w:tc>
          <w:tcPr>
            <w:tcW w:w="1278" w:type="dxa"/>
            <w:vMerge/>
            <w:tcBorders>
              <w:bottom w:val="single" w:sz="4" w:space="0" w:color="auto"/>
            </w:tcBorders>
            <w:vAlign w:val="center"/>
            <w:hideMark/>
          </w:tcPr>
          <w:p w:rsidR="008B149B" w:rsidRPr="00932DB4" w:rsidRDefault="008B149B" w:rsidP="002504DC">
            <w:pPr>
              <w:jc w:val="center"/>
              <w:rPr>
                <w:sz w:val="20"/>
              </w:rPr>
            </w:pPr>
          </w:p>
        </w:tc>
        <w:tc>
          <w:tcPr>
            <w:tcW w:w="1440" w:type="dxa"/>
            <w:vMerge/>
            <w:tcBorders>
              <w:bottom w:val="single" w:sz="4" w:space="0" w:color="auto"/>
            </w:tcBorders>
            <w:vAlign w:val="center"/>
            <w:hideMark/>
          </w:tcPr>
          <w:p w:rsidR="008B149B" w:rsidRPr="00932DB4" w:rsidRDefault="008B149B" w:rsidP="002504DC">
            <w:pPr>
              <w:jc w:val="center"/>
              <w:rPr>
                <w:sz w:val="20"/>
              </w:rPr>
            </w:pPr>
          </w:p>
        </w:tc>
        <w:tc>
          <w:tcPr>
            <w:tcW w:w="1285" w:type="dxa"/>
            <w:tcBorders>
              <w:top w:val="single" w:sz="4" w:space="0" w:color="auto"/>
              <w:bottom w:val="single" w:sz="4" w:space="0" w:color="auto"/>
            </w:tcBorders>
            <w:tcMar>
              <w:top w:w="0" w:type="dxa"/>
              <w:left w:w="108" w:type="dxa"/>
              <w:bottom w:w="0" w:type="dxa"/>
              <w:right w:w="108" w:type="dxa"/>
            </w:tcMar>
            <w:hideMark/>
          </w:tcPr>
          <w:p w:rsidR="008B149B" w:rsidRPr="00932DB4" w:rsidRDefault="008B149B" w:rsidP="002504DC">
            <w:pPr>
              <w:jc w:val="center"/>
              <w:rPr>
                <w:sz w:val="20"/>
              </w:rPr>
            </w:pPr>
            <w:r w:rsidRPr="00932DB4">
              <w:rPr>
                <w:sz w:val="20"/>
              </w:rPr>
              <w:t>Límite de 5</w:t>
            </w:r>
          </w:p>
        </w:tc>
        <w:tc>
          <w:tcPr>
            <w:tcW w:w="1285" w:type="dxa"/>
            <w:tcBorders>
              <w:top w:val="single" w:sz="4" w:space="0" w:color="auto"/>
              <w:bottom w:val="single" w:sz="4" w:space="0" w:color="auto"/>
            </w:tcBorders>
            <w:tcMar>
              <w:top w:w="0" w:type="dxa"/>
              <w:left w:w="108" w:type="dxa"/>
              <w:bottom w:w="0" w:type="dxa"/>
              <w:right w:w="108" w:type="dxa"/>
            </w:tcMar>
            <w:hideMark/>
          </w:tcPr>
          <w:p w:rsidR="008B149B" w:rsidRPr="00932DB4" w:rsidRDefault="008B149B" w:rsidP="002504DC">
            <w:pPr>
              <w:jc w:val="center"/>
              <w:rPr>
                <w:sz w:val="20"/>
              </w:rPr>
            </w:pPr>
            <w:r w:rsidRPr="00932DB4">
              <w:rPr>
                <w:sz w:val="20"/>
              </w:rPr>
              <w:t>Límite de 10</w:t>
            </w:r>
          </w:p>
        </w:tc>
        <w:tc>
          <w:tcPr>
            <w:tcW w:w="1286" w:type="dxa"/>
            <w:tcBorders>
              <w:top w:val="single" w:sz="4" w:space="0" w:color="auto"/>
              <w:bottom w:val="single" w:sz="4" w:space="0" w:color="auto"/>
            </w:tcBorders>
            <w:tcMar>
              <w:top w:w="0" w:type="dxa"/>
              <w:left w:w="108" w:type="dxa"/>
              <w:bottom w:w="0" w:type="dxa"/>
              <w:right w:w="108" w:type="dxa"/>
            </w:tcMar>
            <w:hideMark/>
          </w:tcPr>
          <w:p w:rsidR="008B149B" w:rsidRPr="00932DB4" w:rsidRDefault="008B149B" w:rsidP="002504DC">
            <w:pPr>
              <w:jc w:val="center"/>
              <w:rPr>
                <w:sz w:val="20"/>
              </w:rPr>
            </w:pPr>
            <w:r w:rsidRPr="00932DB4">
              <w:rPr>
                <w:sz w:val="20"/>
              </w:rPr>
              <w:t>Límite de 20</w:t>
            </w:r>
          </w:p>
        </w:tc>
        <w:tc>
          <w:tcPr>
            <w:tcW w:w="1285" w:type="dxa"/>
            <w:tcBorders>
              <w:top w:val="single" w:sz="4" w:space="0" w:color="auto"/>
              <w:bottom w:val="single" w:sz="4" w:space="0" w:color="auto"/>
            </w:tcBorders>
            <w:tcMar>
              <w:top w:w="0" w:type="dxa"/>
              <w:left w:w="108" w:type="dxa"/>
              <w:bottom w:w="0" w:type="dxa"/>
              <w:right w:w="108" w:type="dxa"/>
            </w:tcMar>
            <w:hideMark/>
          </w:tcPr>
          <w:p w:rsidR="008B149B" w:rsidRPr="00932DB4" w:rsidRDefault="008B149B" w:rsidP="002504DC">
            <w:pPr>
              <w:jc w:val="center"/>
              <w:rPr>
                <w:sz w:val="20"/>
              </w:rPr>
            </w:pPr>
            <w:r w:rsidRPr="00932DB4">
              <w:rPr>
                <w:sz w:val="20"/>
              </w:rPr>
              <w:t>Límite de 30</w:t>
            </w:r>
          </w:p>
        </w:tc>
        <w:tc>
          <w:tcPr>
            <w:tcW w:w="1286" w:type="dxa"/>
            <w:tcBorders>
              <w:top w:val="single" w:sz="4" w:space="0" w:color="auto"/>
              <w:bottom w:val="single" w:sz="4" w:space="0" w:color="auto"/>
            </w:tcBorders>
          </w:tcPr>
          <w:p w:rsidR="008B149B" w:rsidRPr="00932DB4" w:rsidRDefault="008B149B" w:rsidP="002504DC">
            <w:pPr>
              <w:jc w:val="center"/>
              <w:rPr>
                <w:sz w:val="20"/>
              </w:rPr>
            </w:pPr>
            <w:r w:rsidRPr="00932DB4">
              <w:rPr>
                <w:sz w:val="20"/>
              </w:rPr>
              <w:t xml:space="preserve">Sin límite </w:t>
            </w:r>
          </w:p>
        </w:tc>
      </w:tr>
      <w:tr w:rsidR="008B149B" w:rsidRPr="00932DB4" w:rsidTr="002504DC">
        <w:tc>
          <w:tcPr>
            <w:tcW w:w="1278" w:type="dxa"/>
            <w:tcBorders>
              <w:top w:val="single" w:sz="4" w:space="0" w:color="auto"/>
            </w:tcBorders>
            <w:tcMar>
              <w:top w:w="0" w:type="dxa"/>
              <w:left w:w="108" w:type="dxa"/>
              <w:bottom w:w="0" w:type="dxa"/>
              <w:right w:w="108" w:type="dxa"/>
            </w:tcMar>
            <w:hideMark/>
          </w:tcPr>
          <w:p w:rsidR="008B149B" w:rsidRPr="00932DB4" w:rsidRDefault="008B149B" w:rsidP="002504DC">
            <w:pPr>
              <w:spacing w:before="40" w:after="40"/>
              <w:jc w:val="center"/>
              <w:rPr>
                <w:sz w:val="20"/>
              </w:rPr>
            </w:pPr>
            <w:r w:rsidRPr="00932DB4">
              <w:rPr>
                <w:sz w:val="20"/>
              </w:rPr>
              <w:t>25</w:t>
            </w:r>
          </w:p>
        </w:tc>
        <w:tc>
          <w:tcPr>
            <w:tcW w:w="1440" w:type="dxa"/>
            <w:tcBorders>
              <w:top w:val="single" w:sz="4" w:space="0" w:color="auto"/>
            </w:tcBorders>
            <w:tcMar>
              <w:top w:w="0" w:type="dxa"/>
              <w:left w:w="108" w:type="dxa"/>
              <w:bottom w:w="0" w:type="dxa"/>
              <w:right w:w="108" w:type="dxa"/>
            </w:tcMar>
          </w:tcPr>
          <w:p w:rsidR="008B149B" w:rsidRPr="00932DB4" w:rsidRDefault="008B149B" w:rsidP="002504DC">
            <w:pPr>
              <w:spacing w:before="40" w:after="40"/>
              <w:jc w:val="center"/>
              <w:rPr>
                <w:sz w:val="20"/>
              </w:rPr>
            </w:pPr>
            <w:r w:rsidRPr="00932DB4">
              <w:rPr>
                <w:sz w:val="20"/>
              </w:rPr>
              <w:t>27</w:t>
            </w:r>
            <w:r>
              <w:rPr>
                <w:sz w:val="20"/>
              </w:rPr>
              <w:t>.</w:t>
            </w:r>
            <w:r w:rsidRPr="00932DB4">
              <w:rPr>
                <w:sz w:val="20"/>
              </w:rPr>
              <w:t>625</w:t>
            </w:r>
          </w:p>
        </w:tc>
        <w:tc>
          <w:tcPr>
            <w:tcW w:w="1285" w:type="dxa"/>
            <w:tcBorders>
              <w:top w:val="single" w:sz="4" w:space="0" w:color="auto"/>
            </w:tcBorders>
            <w:tcMar>
              <w:top w:w="0" w:type="dxa"/>
              <w:left w:w="108" w:type="dxa"/>
              <w:bottom w:w="0" w:type="dxa"/>
              <w:right w:w="108" w:type="dxa"/>
            </w:tcMar>
          </w:tcPr>
          <w:p w:rsidR="008B149B" w:rsidRPr="00932DB4" w:rsidRDefault="008B149B" w:rsidP="002504DC">
            <w:pPr>
              <w:spacing w:before="40" w:after="40"/>
              <w:jc w:val="center"/>
              <w:rPr>
                <w:sz w:val="20"/>
              </w:rPr>
            </w:pPr>
            <w:r w:rsidRPr="00932DB4">
              <w:rPr>
                <w:sz w:val="20"/>
              </w:rPr>
              <w:t>0</w:t>
            </w:r>
            <w:r>
              <w:rPr>
                <w:sz w:val="20"/>
              </w:rPr>
              <w:t>,</w:t>
            </w:r>
            <w:r w:rsidRPr="00932DB4">
              <w:rPr>
                <w:sz w:val="20"/>
              </w:rPr>
              <w:t>78</w:t>
            </w:r>
          </w:p>
        </w:tc>
        <w:tc>
          <w:tcPr>
            <w:tcW w:w="1285" w:type="dxa"/>
            <w:tcBorders>
              <w:top w:val="single" w:sz="4" w:space="0" w:color="auto"/>
            </w:tcBorders>
            <w:tcMar>
              <w:top w:w="0" w:type="dxa"/>
              <w:left w:w="108" w:type="dxa"/>
              <w:bottom w:w="0" w:type="dxa"/>
              <w:right w:w="108" w:type="dxa"/>
            </w:tcMar>
          </w:tcPr>
          <w:p w:rsidR="008B149B" w:rsidRPr="00932DB4" w:rsidRDefault="008B149B" w:rsidP="002504DC">
            <w:pPr>
              <w:spacing w:before="40" w:after="40"/>
              <w:jc w:val="center"/>
              <w:rPr>
                <w:sz w:val="20"/>
              </w:rPr>
            </w:pPr>
            <w:r w:rsidRPr="00932DB4">
              <w:rPr>
                <w:sz w:val="20"/>
              </w:rPr>
              <w:t>1</w:t>
            </w:r>
            <w:r>
              <w:rPr>
                <w:sz w:val="20"/>
              </w:rPr>
              <w:t>,</w:t>
            </w:r>
            <w:r w:rsidRPr="00932DB4">
              <w:rPr>
                <w:sz w:val="20"/>
              </w:rPr>
              <w:t>15</w:t>
            </w:r>
          </w:p>
        </w:tc>
        <w:tc>
          <w:tcPr>
            <w:tcW w:w="1286" w:type="dxa"/>
            <w:tcBorders>
              <w:top w:val="single" w:sz="4" w:space="0" w:color="auto"/>
            </w:tcBorders>
            <w:tcMar>
              <w:top w:w="0" w:type="dxa"/>
              <w:left w:w="108" w:type="dxa"/>
              <w:bottom w:w="0" w:type="dxa"/>
              <w:right w:w="108" w:type="dxa"/>
            </w:tcMar>
          </w:tcPr>
          <w:p w:rsidR="008B149B" w:rsidRPr="00932DB4" w:rsidRDefault="008B149B" w:rsidP="002504DC">
            <w:pPr>
              <w:spacing w:before="40" w:after="40"/>
              <w:jc w:val="center"/>
              <w:rPr>
                <w:sz w:val="20"/>
              </w:rPr>
            </w:pPr>
            <w:r w:rsidRPr="00932DB4">
              <w:rPr>
                <w:sz w:val="20"/>
              </w:rPr>
              <w:t>1</w:t>
            </w:r>
            <w:r>
              <w:rPr>
                <w:sz w:val="20"/>
              </w:rPr>
              <w:t>,</w:t>
            </w:r>
            <w:r w:rsidRPr="00932DB4">
              <w:rPr>
                <w:sz w:val="20"/>
              </w:rPr>
              <w:t>35</w:t>
            </w:r>
          </w:p>
        </w:tc>
        <w:tc>
          <w:tcPr>
            <w:tcW w:w="1285" w:type="dxa"/>
            <w:tcBorders>
              <w:top w:val="single" w:sz="4" w:space="0" w:color="auto"/>
            </w:tcBorders>
            <w:tcMar>
              <w:top w:w="0" w:type="dxa"/>
              <w:left w:w="108" w:type="dxa"/>
              <w:bottom w:w="0" w:type="dxa"/>
              <w:right w:w="108" w:type="dxa"/>
            </w:tcMar>
          </w:tcPr>
          <w:p w:rsidR="008B149B" w:rsidRPr="00932DB4" w:rsidRDefault="008B149B" w:rsidP="002504DC">
            <w:pPr>
              <w:spacing w:before="40" w:after="40"/>
              <w:jc w:val="center"/>
              <w:rPr>
                <w:sz w:val="20"/>
              </w:rPr>
            </w:pPr>
            <w:r w:rsidRPr="00932DB4">
              <w:rPr>
                <w:sz w:val="20"/>
              </w:rPr>
              <w:t>1</w:t>
            </w:r>
            <w:r>
              <w:rPr>
                <w:sz w:val="20"/>
              </w:rPr>
              <w:t>,</w:t>
            </w:r>
            <w:r w:rsidRPr="00932DB4">
              <w:rPr>
                <w:sz w:val="20"/>
              </w:rPr>
              <w:t>74</w:t>
            </w:r>
          </w:p>
        </w:tc>
        <w:tc>
          <w:tcPr>
            <w:tcW w:w="1286" w:type="dxa"/>
            <w:tcBorders>
              <w:top w:val="single" w:sz="4" w:space="0" w:color="auto"/>
            </w:tcBorders>
          </w:tcPr>
          <w:p w:rsidR="008B149B" w:rsidRPr="00932DB4" w:rsidRDefault="008B149B" w:rsidP="002504DC">
            <w:pPr>
              <w:spacing w:before="40" w:after="40"/>
              <w:jc w:val="center"/>
              <w:rPr>
                <w:sz w:val="20"/>
              </w:rPr>
            </w:pPr>
            <w:r w:rsidRPr="00932DB4">
              <w:rPr>
                <w:sz w:val="20"/>
              </w:rPr>
              <w:t>2</w:t>
            </w:r>
            <w:r>
              <w:rPr>
                <w:sz w:val="20"/>
              </w:rPr>
              <w:t>,</w:t>
            </w:r>
            <w:r w:rsidRPr="00932DB4">
              <w:rPr>
                <w:sz w:val="20"/>
              </w:rPr>
              <w:t>26</w:t>
            </w:r>
          </w:p>
        </w:tc>
      </w:tr>
      <w:tr w:rsidR="008B149B" w:rsidRPr="00932DB4" w:rsidTr="002504DC">
        <w:tc>
          <w:tcPr>
            <w:tcW w:w="1278" w:type="dxa"/>
            <w:tcBorders>
              <w:top w:val="nil"/>
            </w:tcBorders>
            <w:tcMar>
              <w:top w:w="0" w:type="dxa"/>
              <w:left w:w="108" w:type="dxa"/>
              <w:bottom w:w="0" w:type="dxa"/>
              <w:right w:w="108" w:type="dxa"/>
            </w:tcMar>
            <w:hideMark/>
          </w:tcPr>
          <w:p w:rsidR="008B149B" w:rsidRPr="00932DB4" w:rsidRDefault="008B149B" w:rsidP="002504DC">
            <w:pPr>
              <w:spacing w:before="40" w:after="40"/>
              <w:jc w:val="center"/>
              <w:rPr>
                <w:sz w:val="20"/>
              </w:rPr>
            </w:pPr>
            <w:r w:rsidRPr="00932DB4">
              <w:rPr>
                <w:sz w:val="20"/>
              </w:rPr>
              <w:t>50</w:t>
            </w:r>
          </w:p>
        </w:tc>
        <w:tc>
          <w:tcPr>
            <w:tcW w:w="1440" w:type="dxa"/>
            <w:tcBorders>
              <w:top w:val="nil"/>
            </w:tcBorders>
            <w:tcMar>
              <w:top w:w="0" w:type="dxa"/>
              <w:left w:w="108" w:type="dxa"/>
              <w:bottom w:w="0" w:type="dxa"/>
              <w:right w:w="108" w:type="dxa"/>
            </w:tcMar>
          </w:tcPr>
          <w:p w:rsidR="008B149B" w:rsidRPr="00932DB4" w:rsidRDefault="008B149B" w:rsidP="002504DC">
            <w:pPr>
              <w:spacing w:before="40" w:after="40"/>
              <w:jc w:val="center"/>
              <w:rPr>
                <w:sz w:val="20"/>
              </w:rPr>
            </w:pPr>
            <w:r w:rsidRPr="00932DB4">
              <w:rPr>
                <w:sz w:val="20"/>
              </w:rPr>
              <w:t>27</w:t>
            </w:r>
            <w:r>
              <w:rPr>
                <w:sz w:val="20"/>
              </w:rPr>
              <w:t>.</w:t>
            </w:r>
            <w:r w:rsidRPr="00932DB4">
              <w:rPr>
                <w:sz w:val="20"/>
              </w:rPr>
              <w:t>910</w:t>
            </w:r>
          </w:p>
        </w:tc>
        <w:tc>
          <w:tcPr>
            <w:tcW w:w="1285" w:type="dxa"/>
            <w:tcBorders>
              <w:top w:val="nil"/>
            </w:tcBorders>
            <w:tcMar>
              <w:top w:w="0" w:type="dxa"/>
              <w:left w:w="108" w:type="dxa"/>
              <w:bottom w:w="0" w:type="dxa"/>
              <w:right w:w="108" w:type="dxa"/>
            </w:tcMar>
          </w:tcPr>
          <w:p w:rsidR="008B149B" w:rsidRPr="00932DB4" w:rsidRDefault="008B149B" w:rsidP="002504DC">
            <w:pPr>
              <w:spacing w:before="40" w:after="40"/>
              <w:jc w:val="center"/>
              <w:rPr>
                <w:sz w:val="20"/>
              </w:rPr>
            </w:pPr>
            <w:r w:rsidRPr="00932DB4">
              <w:rPr>
                <w:sz w:val="20"/>
              </w:rPr>
              <w:t>1</w:t>
            </w:r>
            <w:r>
              <w:rPr>
                <w:sz w:val="20"/>
              </w:rPr>
              <w:t>,</w:t>
            </w:r>
            <w:r w:rsidRPr="00932DB4">
              <w:rPr>
                <w:sz w:val="20"/>
              </w:rPr>
              <w:t>59</w:t>
            </w:r>
          </w:p>
        </w:tc>
        <w:tc>
          <w:tcPr>
            <w:tcW w:w="1285" w:type="dxa"/>
            <w:tcBorders>
              <w:top w:val="nil"/>
            </w:tcBorders>
            <w:tcMar>
              <w:top w:w="0" w:type="dxa"/>
              <w:left w:w="108" w:type="dxa"/>
              <w:bottom w:w="0" w:type="dxa"/>
              <w:right w:w="108" w:type="dxa"/>
            </w:tcMar>
          </w:tcPr>
          <w:p w:rsidR="008B149B" w:rsidRPr="00932DB4" w:rsidRDefault="008B149B" w:rsidP="002504DC">
            <w:pPr>
              <w:spacing w:before="40" w:after="40"/>
              <w:jc w:val="center"/>
              <w:rPr>
                <w:sz w:val="20"/>
              </w:rPr>
            </w:pPr>
            <w:r w:rsidRPr="00932DB4">
              <w:rPr>
                <w:sz w:val="20"/>
              </w:rPr>
              <w:t>2</w:t>
            </w:r>
            <w:r>
              <w:rPr>
                <w:sz w:val="20"/>
              </w:rPr>
              <w:t>,</w:t>
            </w:r>
            <w:r w:rsidRPr="00932DB4">
              <w:rPr>
                <w:sz w:val="20"/>
              </w:rPr>
              <w:t>31</w:t>
            </w:r>
          </w:p>
        </w:tc>
        <w:tc>
          <w:tcPr>
            <w:tcW w:w="1286" w:type="dxa"/>
            <w:tcBorders>
              <w:top w:val="nil"/>
            </w:tcBorders>
            <w:tcMar>
              <w:top w:w="0" w:type="dxa"/>
              <w:left w:w="108" w:type="dxa"/>
              <w:bottom w:w="0" w:type="dxa"/>
              <w:right w:w="108" w:type="dxa"/>
            </w:tcMar>
          </w:tcPr>
          <w:p w:rsidR="008B149B" w:rsidRPr="00932DB4" w:rsidRDefault="008B149B" w:rsidP="002504DC">
            <w:pPr>
              <w:spacing w:before="40" w:after="40"/>
              <w:jc w:val="center"/>
              <w:rPr>
                <w:sz w:val="20"/>
              </w:rPr>
            </w:pPr>
            <w:r w:rsidRPr="00932DB4">
              <w:rPr>
                <w:sz w:val="20"/>
              </w:rPr>
              <w:t>3</w:t>
            </w:r>
            <w:r>
              <w:rPr>
                <w:sz w:val="20"/>
              </w:rPr>
              <w:t>,</w:t>
            </w:r>
            <w:r w:rsidRPr="00932DB4">
              <w:rPr>
                <w:sz w:val="20"/>
              </w:rPr>
              <w:t>10</w:t>
            </w:r>
          </w:p>
        </w:tc>
        <w:tc>
          <w:tcPr>
            <w:tcW w:w="1285" w:type="dxa"/>
            <w:tcBorders>
              <w:top w:val="nil"/>
            </w:tcBorders>
            <w:tcMar>
              <w:top w:w="0" w:type="dxa"/>
              <w:left w:w="108" w:type="dxa"/>
              <w:bottom w:w="0" w:type="dxa"/>
              <w:right w:w="108" w:type="dxa"/>
            </w:tcMar>
          </w:tcPr>
          <w:p w:rsidR="008B149B" w:rsidRPr="00932DB4" w:rsidRDefault="008B149B" w:rsidP="002504DC">
            <w:pPr>
              <w:spacing w:before="40" w:after="40"/>
              <w:jc w:val="center"/>
              <w:rPr>
                <w:sz w:val="20"/>
              </w:rPr>
            </w:pPr>
            <w:r w:rsidRPr="00932DB4">
              <w:rPr>
                <w:sz w:val="20"/>
              </w:rPr>
              <w:t>3</w:t>
            </w:r>
            <w:r>
              <w:rPr>
                <w:sz w:val="20"/>
              </w:rPr>
              <w:t>,</w:t>
            </w:r>
            <w:r w:rsidRPr="00932DB4">
              <w:rPr>
                <w:sz w:val="20"/>
              </w:rPr>
              <w:t>52</w:t>
            </w:r>
          </w:p>
        </w:tc>
        <w:tc>
          <w:tcPr>
            <w:tcW w:w="1286" w:type="dxa"/>
            <w:tcBorders>
              <w:top w:val="nil"/>
            </w:tcBorders>
          </w:tcPr>
          <w:p w:rsidR="008B149B" w:rsidRPr="00932DB4" w:rsidRDefault="008B149B" w:rsidP="002504DC">
            <w:pPr>
              <w:spacing w:before="40" w:after="40"/>
              <w:jc w:val="center"/>
              <w:rPr>
                <w:sz w:val="20"/>
              </w:rPr>
            </w:pPr>
            <w:r w:rsidRPr="00932DB4">
              <w:rPr>
                <w:sz w:val="20"/>
              </w:rPr>
              <w:t>4</w:t>
            </w:r>
            <w:r>
              <w:rPr>
                <w:sz w:val="20"/>
              </w:rPr>
              <w:t>,</w:t>
            </w:r>
            <w:r w:rsidRPr="00932DB4">
              <w:rPr>
                <w:sz w:val="20"/>
              </w:rPr>
              <w:t>57</w:t>
            </w:r>
          </w:p>
        </w:tc>
      </w:tr>
      <w:tr w:rsidR="008B149B" w:rsidRPr="00932DB4" w:rsidTr="002504DC">
        <w:tc>
          <w:tcPr>
            <w:tcW w:w="1278" w:type="dxa"/>
            <w:tcBorders>
              <w:top w:val="nil"/>
            </w:tcBorders>
            <w:tcMar>
              <w:top w:w="0" w:type="dxa"/>
              <w:left w:w="108" w:type="dxa"/>
              <w:bottom w:w="0" w:type="dxa"/>
              <w:right w:w="108" w:type="dxa"/>
            </w:tcMar>
            <w:hideMark/>
          </w:tcPr>
          <w:p w:rsidR="008B149B" w:rsidRPr="00932DB4" w:rsidRDefault="008B149B" w:rsidP="002504DC">
            <w:pPr>
              <w:spacing w:before="40" w:after="40"/>
              <w:jc w:val="center"/>
              <w:rPr>
                <w:sz w:val="20"/>
              </w:rPr>
            </w:pPr>
            <w:r w:rsidRPr="00932DB4">
              <w:rPr>
                <w:sz w:val="20"/>
              </w:rPr>
              <w:t>75</w:t>
            </w:r>
          </w:p>
        </w:tc>
        <w:tc>
          <w:tcPr>
            <w:tcW w:w="1440" w:type="dxa"/>
            <w:tcBorders>
              <w:top w:val="nil"/>
            </w:tcBorders>
            <w:tcMar>
              <w:top w:w="0" w:type="dxa"/>
              <w:left w:w="108" w:type="dxa"/>
              <w:bottom w:w="0" w:type="dxa"/>
              <w:right w:w="108" w:type="dxa"/>
            </w:tcMar>
          </w:tcPr>
          <w:p w:rsidR="008B149B" w:rsidRPr="00932DB4" w:rsidRDefault="008B149B" w:rsidP="002504DC">
            <w:pPr>
              <w:spacing w:before="40" w:after="40"/>
              <w:jc w:val="center"/>
              <w:rPr>
                <w:sz w:val="20"/>
              </w:rPr>
            </w:pPr>
            <w:r w:rsidRPr="00932DB4">
              <w:rPr>
                <w:sz w:val="20"/>
              </w:rPr>
              <w:t>28</w:t>
            </w:r>
            <w:r>
              <w:rPr>
                <w:sz w:val="20"/>
              </w:rPr>
              <w:t>.</w:t>
            </w:r>
            <w:r w:rsidRPr="00932DB4">
              <w:rPr>
                <w:sz w:val="20"/>
              </w:rPr>
              <w:t>195</w:t>
            </w:r>
          </w:p>
        </w:tc>
        <w:tc>
          <w:tcPr>
            <w:tcW w:w="1285" w:type="dxa"/>
            <w:tcBorders>
              <w:top w:val="nil"/>
            </w:tcBorders>
            <w:tcMar>
              <w:top w:w="0" w:type="dxa"/>
              <w:left w:w="108" w:type="dxa"/>
              <w:bottom w:w="0" w:type="dxa"/>
              <w:right w:w="108" w:type="dxa"/>
            </w:tcMar>
          </w:tcPr>
          <w:p w:rsidR="008B149B" w:rsidRPr="00932DB4" w:rsidRDefault="008B149B" w:rsidP="002504DC">
            <w:pPr>
              <w:spacing w:before="40" w:after="40"/>
              <w:jc w:val="center"/>
              <w:rPr>
                <w:sz w:val="20"/>
              </w:rPr>
            </w:pPr>
            <w:r w:rsidRPr="00932DB4">
              <w:rPr>
                <w:sz w:val="20"/>
              </w:rPr>
              <w:t>2</w:t>
            </w:r>
            <w:r>
              <w:rPr>
                <w:sz w:val="20"/>
              </w:rPr>
              <w:t>,</w:t>
            </w:r>
            <w:r w:rsidRPr="00932DB4">
              <w:rPr>
                <w:sz w:val="20"/>
              </w:rPr>
              <w:t>40</w:t>
            </w:r>
          </w:p>
        </w:tc>
        <w:tc>
          <w:tcPr>
            <w:tcW w:w="1285" w:type="dxa"/>
            <w:tcBorders>
              <w:top w:val="nil"/>
            </w:tcBorders>
            <w:tcMar>
              <w:top w:w="0" w:type="dxa"/>
              <w:left w:w="108" w:type="dxa"/>
              <w:bottom w:w="0" w:type="dxa"/>
              <w:right w:w="108" w:type="dxa"/>
            </w:tcMar>
          </w:tcPr>
          <w:p w:rsidR="008B149B" w:rsidRPr="00932DB4" w:rsidRDefault="008B149B" w:rsidP="002504DC">
            <w:pPr>
              <w:spacing w:before="40" w:after="40"/>
              <w:jc w:val="center"/>
              <w:rPr>
                <w:sz w:val="20"/>
              </w:rPr>
            </w:pPr>
            <w:r w:rsidRPr="00932DB4">
              <w:rPr>
                <w:sz w:val="20"/>
              </w:rPr>
              <w:t>3</w:t>
            </w:r>
            <w:r>
              <w:rPr>
                <w:sz w:val="20"/>
              </w:rPr>
              <w:t>,</w:t>
            </w:r>
            <w:r w:rsidRPr="00932DB4">
              <w:rPr>
                <w:sz w:val="20"/>
              </w:rPr>
              <w:t>51</w:t>
            </w:r>
          </w:p>
        </w:tc>
        <w:tc>
          <w:tcPr>
            <w:tcW w:w="1286" w:type="dxa"/>
            <w:tcBorders>
              <w:top w:val="nil"/>
            </w:tcBorders>
            <w:tcMar>
              <w:top w:w="0" w:type="dxa"/>
              <w:left w:w="108" w:type="dxa"/>
              <w:bottom w:w="0" w:type="dxa"/>
              <w:right w:w="108" w:type="dxa"/>
            </w:tcMar>
          </w:tcPr>
          <w:p w:rsidR="008B149B" w:rsidRPr="00932DB4" w:rsidRDefault="008B149B" w:rsidP="002504DC">
            <w:pPr>
              <w:spacing w:before="40" w:after="40"/>
              <w:jc w:val="center"/>
              <w:rPr>
                <w:sz w:val="20"/>
              </w:rPr>
            </w:pPr>
            <w:r w:rsidRPr="00932DB4">
              <w:rPr>
                <w:sz w:val="20"/>
              </w:rPr>
              <w:t>4</w:t>
            </w:r>
            <w:r>
              <w:rPr>
                <w:sz w:val="20"/>
              </w:rPr>
              <w:t>,</w:t>
            </w:r>
            <w:r w:rsidRPr="00932DB4">
              <w:rPr>
                <w:sz w:val="20"/>
              </w:rPr>
              <w:t>70</w:t>
            </w:r>
          </w:p>
        </w:tc>
        <w:tc>
          <w:tcPr>
            <w:tcW w:w="1285" w:type="dxa"/>
            <w:tcBorders>
              <w:top w:val="nil"/>
            </w:tcBorders>
            <w:tcMar>
              <w:top w:w="0" w:type="dxa"/>
              <w:left w:w="108" w:type="dxa"/>
              <w:bottom w:w="0" w:type="dxa"/>
              <w:right w:w="108" w:type="dxa"/>
            </w:tcMar>
          </w:tcPr>
          <w:p w:rsidR="008B149B" w:rsidRPr="00932DB4" w:rsidRDefault="008B149B" w:rsidP="002504DC">
            <w:pPr>
              <w:spacing w:before="40" w:after="40"/>
              <w:jc w:val="center"/>
              <w:rPr>
                <w:sz w:val="20"/>
              </w:rPr>
            </w:pPr>
            <w:r w:rsidRPr="00932DB4">
              <w:rPr>
                <w:sz w:val="20"/>
              </w:rPr>
              <w:t>5</w:t>
            </w:r>
            <w:r>
              <w:rPr>
                <w:sz w:val="20"/>
              </w:rPr>
              <w:t>,</w:t>
            </w:r>
            <w:r w:rsidRPr="00932DB4">
              <w:rPr>
                <w:sz w:val="20"/>
              </w:rPr>
              <w:t>33</w:t>
            </w:r>
          </w:p>
        </w:tc>
        <w:tc>
          <w:tcPr>
            <w:tcW w:w="1286" w:type="dxa"/>
            <w:tcBorders>
              <w:top w:val="nil"/>
            </w:tcBorders>
          </w:tcPr>
          <w:p w:rsidR="008B149B" w:rsidRPr="00932DB4" w:rsidRDefault="008B149B" w:rsidP="002504DC">
            <w:pPr>
              <w:spacing w:before="40" w:after="40"/>
              <w:jc w:val="center"/>
              <w:rPr>
                <w:sz w:val="20"/>
              </w:rPr>
            </w:pPr>
            <w:r w:rsidRPr="00932DB4">
              <w:rPr>
                <w:sz w:val="20"/>
              </w:rPr>
              <w:t>6</w:t>
            </w:r>
            <w:r>
              <w:rPr>
                <w:sz w:val="20"/>
              </w:rPr>
              <w:t>,</w:t>
            </w:r>
            <w:r w:rsidRPr="00932DB4">
              <w:rPr>
                <w:sz w:val="20"/>
              </w:rPr>
              <w:t>93</w:t>
            </w:r>
          </w:p>
        </w:tc>
      </w:tr>
    </w:tbl>
    <w:p w:rsidR="008B149B" w:rsidRPr="00932DB4" w:rsidRDefault="008B149B" w:rsidP="008B149B">
      <w:pPr>
        <w:pStyle w:val="ONUME"/>
        <w:numPr>
          <w:ilvl w:val="0"/>
          <w:numId w:val="0"/>
        </w:numPr>
        <w:spacing w:after="0"/>
      </w:pPr>
    </w:p>
    <w:p w:rsidR="008B149B" w:rsidRPr="00932DB4" w:rsidRDefault="008B149B" w:rsidP="008B149B">
      <w:pPr>
        <w:pStyle w:val="ONUME"/>
        <w:numPr>
          <w:ilvl w:val="0"/>
          <w:numId w:val="0"/>
        </w:numPr>
        <w:ind w:left="1246" w:hanging="1246"/>
      </w:pPr>
      <w:r w:rsidRPr="00932DB4">
        <w:t>Cuadro 3a</w:t>
      </w:r>
      <w:proofErr w:type="gramStart"/>
      <w:r w:rsidRPr="00932DB4">
        <w:t>:  Simulación</w:t>
      </w:r>
      <w:proofErr w:type="gramEnd"/>
      <w:r w:rsidRPr="00932DB4">
        <w:t xml:space="preserve"> de pérdida de ingresos respecto de varios niveles de reducciones de tasas y límites máximos, países desarrollados, 2015</w:t>
      </w:r>
    </w:p>
    <w:p w:rsidR="008B149B" w:rsidRDefault="008B149B" w:rsidP="008B149B">
      <w:pPr>
        <w:rPr>
          <w:b/>
        </w:rPr>
      </w:pPr>
      <w:r>
        <w:rPr>
          <w:b/>
        </w:rPr>
        <w:br w:type="page"/>
      </w:r>
    </w:p>
    <w:p w:rsidR="008B149B" w:rsidRPr="00854CF7" w:rsidRDefault="008B149B" w:rsidP="008B149B"/>
    <w:tbl>
      <w:tblPr>
        <w:tblW w:w="0" w:type="auto"/>
        <w:tblCellMar>
          <w:left w:w="0" w:type="dxa"/>
          <w:right w:w="0" w:type="dxa"/>
        </w:tblCellMar>
        <w:tblLook w:val="04A0" w:firstRow="1" w:lastRow="0" w:firstColumn="1" w:lastColumn="0" w:noHBand="0" w:noVBand="1"/>
      </w:tblPr>
      <w:tblGrid>
        <w:gridCol w:w="1278"/>
        <w:gridCol w:w="1440"/>
        <w:gridCol w:w="1285"/>
        <w:gridCol w:w="1285"/>
        <w:gridCol w:w="1286"/>
        <w:gridCol w:w="1285"/>
        <w:gridCol w:w="1286"/>
      </w:tblGrid>
      <w:tr w:rsidR="008B149B" w:rsidRPr="00453373" w:rsidTr="002504DC">
        <w:tc>
          <w:tcPr>
            <w:tcW w:w="1278" w:type="dxa"/>
            <w:vMerge w:val="restart"/>
            <w:tcMar>
              <w:top w:w="0" w:type="dxa"/>
              <w:left w:w="108" w:type="dxa"/>
              <w:bottom w:w="0" w:type="dxa"/>
              <w:right w:w="108" w:type="dxa"/>
            </w:tcMar>
            <w:vAlign w:val="bottom"/>
            <w:hideMark/>
          </w:tcPr>
          <w:p w:rsidR="008B149B" w:rsidRPr="00932DB4" w:rsidRDefault="008B149B" w:rsidP="002504DC">
            <w:pPr>
              <w:jc w:val="center"/>
              <w:rPr>
                <w:sz w:val="20"/>
              </w:rPr>
            </w:pPr>
            <w:r w:rsidRPr="00932DB4">
              <w:rPr>
                <w:sz w:val="20"/>
              </w:rPr>
              <w:t>Reducción de tasas (en %)</w:t>
            </w:r>
          </w:p>
        </w:tc>
        <w:tc>
          <w:tcPr>
            <w:tcW w:w="1440" w:type="dxa"/>
            <w:vMerge w:val="restart"/>
            <w:tcMar>
              <w:top w:w="0" w:type="dxa"/>
              <w:left w:w="108" w:type="dxa"/>
              <w:bottom w:w="0" w:type="dxa"/>
              <w:right w:w="108" w:type="dxa"/>
            </w:tcMar>
            <w:vAlign w:val="bottom"/>
            <w:hideMark/>
          </w:tcPr>
          <w:p w:rsidR="008B149B" w:rsidRPr="00932DB4" w:rsidRDefault="008B149B" w:rsidP="002504DC">
            <w:pPr>
              <w:jc w:val="center"/>
              <w:rPr>
                <w:sz w:val="20"/>
              </w:rPr>
            </w:pPr>
            <w:r w:rsidRPr="00932DB4">
              <w:rPr>
                <w:sz w:val="20"/>
              </w:rPr>
              <w:t>Pérdida de ingresos por solicitud (en CHF)</w:t>
            </w:r>
          </w:p>
        </w:tc>
        <w:tc>
          <w:tcPr>
            <w:tcW w:w="6427" w:type="dxa"/>
            <w:gridSpan w:val="5"/>
            <w:tcBorders>
              <w:bottom w:val="single" w:sz="4" w:space="0" w:color="auto"/>
            </w:tcBorders>
            <w:tcMar>
              <w:top w:w="0" w:type="dxa"/>
              <w:left w:w="108" w:type="dxa"/>
              <w:bottom w:w="0" w:type="dxa"/>
              <w:right w:w="108" w:type="dxa"/>
            </w:tcMar>
            <w:vAlign w:val="bottom"/>
            <w:hideMark/>
          </w:tcPr>
          <w:p w:rsidR="008B149B" w:rsidRPr="00932DB4" w:rsidRDefault="008B149B" w:rsidP="002504DC">
            <w:pPr>
              <w:jc w:val="center"/>
              <w:rPr>
                <w:sz w:val="20"/>
              </w:rPr>
            </w:pPr>
            <w:r w:rsidRPr="00932DB4">
              <w:rPr>
                <w:sz w:val="20"/>
              </w:rPr>
              <w:br/>
              <w:t>Pérdida de ingresos (en millones de CHF)</w:t>
            </w:r>
          </w:p>
        </w:tc>
      </w:tr>
      <w:tr w:rsidR="008B149B" w:rsidRPr="00932DB4" w:rsidTr="002504DC">
        <w:tc>
          <w:tcPr>
            <w:tcW w:w="1278" w:type="dxa"/>
            <w:vMerge/>
            <w:tcBorders>
              <w:bottom w:val="single" w:sz="4" w:space="0" w:color="auto"/>
            </w:tcBorders>
            <w:vAlign w:val="center"/>
            <w:hideMark/>
          </w:tcPr>
          <w:p w:rsidR="008B149B" w:rsidRPr="00932DB4" w:rsidRDefault="008B149B" w:rsidP="002504DC">
            <w:pPr>
              <w:jc w:val="center"/>
              <w:rPr>
                <w:sz w:val="20"/>
              </w:rPr>
            </w:pPr>
          </w:p>
        </w:tc>
        <w:tc>
          <w:tcPr>
            <w:tcW w:w="1440" w:type="dxa"/>
            <w:vMerge/>
            <w:tcBorders>
              <w:bottom w:val="single" w:sz="4" w:space="0" w:color="auto"/>
            </w:tcBorders>
            <w:vAlign w:val="center"/>
            <w:hideMark/>
          </w:tcPr>
          <w:p w:rsidR="008B149B" w:rsidRPr="00932DB4" w:rsidRDefault="008B149B" w:rsidP="002504DC">
            <w:pPr>
              <w:jc w:val="center"/>
              <w:rPr>
                <w:sz w:val="20"/>
              </w:rPr>
            </w:pPr>
          </w:p>
        </w:tc>
        <w:tc>
          <w:tcPr>
            <w:tcW w:w="1285" w:type="dxa"/>
            <w:tcBorders>
              <w:top w:val="single" w:sz="4" w:space="0" w:color="auto"/>
              <w:bottom w:val="single" w:sz="4" w:space="0" w:color="auto"/>
            </w:tcBorders>
            <w:tcMar>
              <w:top w:w="0" w:type="dxa"/>
              <w:left w:w="108" w:type="dxa"/>
              <w:bottom w:w="0" w:type="dxa"/>
              <w:right w:w="108" w:type="dxa"/>
            </w:tcMar>
            <w:hideMark/>
          </w:tcPr>
          <w:p w:rsidR="008B149B" w:rsidRPr="00932DB4" w:rsidRDefault="008B149B" w:rsidP="002504DC">
            <w:pPr>
              <w:jc w:val="center"/>
              <w:rPr>
                <w:sz w:val="20"/>
              </w:rPr>
            </w:pPr>
            <w:r w:rsidRPr="00932DB4">
              <w:rPr>
                <w:sz w:val="20"/>
              </w:rPr>
              <w:t>Límite de 5</w:t>
            </w:r>
          </w:p>
        </w:tc>
        <w:tc>
          <w:tcPr>
            <w:tcW w:w="1285" w:type="dxa"/>
            <w:tcBorders>
              <w:top w:val="single" w:sz="4" w:space="0" w:color="auto"/>
              <w:bottom w:val="single" w:sz="4" w:space="0" w:color="auto"/>
            </w:tcBorders>
            <w:tcMar>
              <w:top w:w="0" w:type="dxa"/>
              <w:left w:w="108" w:type="dxa"/>
              <w:bottom w:w="0" w:type="dxa"/>
              <w:right w:w="108" w:type="dxa"/>
            </w:tcMar>
            <w:hideMark/>
          </w:tcPr>
          <w:p w:rsidR="008B149B" w:rsidRPr="00932DB4" w:rsidRDefault="008B149B" w:rsidP="002504DC">
            <w:pPr>
              <w:jc w:val="center"/>
              <w:rPr>
                <w:sz w:val="20"/>
              </w:rPr>
            </w:pPr>
            <w:r w:rsidRPr="00932DB4">
              <w:rPr>
                <w:sz w:val="20"/>
              </w:rPr>
              <w:t>Límite de 10</w:t>
            </w:r>
          </w:p>
        </w:tc>
        <w:tc>
          <w:tcPr>
            <w:tcW w:w="1286" w:type="dxa"/>
            <w:tcBorders>
              <w:top w:val="single" w:sz="4" w:space="0" w:color="auto"/>
              <w:bottom w:val="single" w:sz="4" w:space="0" w:color="auto"/>
            </w:tcBorders>
            <w:tcMar>
              <w:top w:w="0" w:type="dxa"/>
              <w:left w:w="108" w:type="dxa"/>
              <w:bottom w:w="0" w:type="dxa"/>
              <w:right w:w="108" w:type="dxa"/>
            </w:tcMar>
            <w:hideMark/>
          </w:tcPr>
          <w:p w:rsidR="008B149B" w:rsidRPr="00932DB4" w:rsidRDefault="008B149B" w:rsidP="002504DC">
            <w:pPr>
              <w:jc w:val="center"/>
              <w:rPr>
                <w:sz w:val="20"/>
              </w:rPr>
            </w:pPr>
            <w:r w:rsidRPr="00932DB4">
              <w:rPr>
                <w:sz w:val="20"/>
              </w:rPr>
              <w:t>Límite de 20</w:t>
            </w:r>
          </w:p>
        </w:tc>
        <w:tc>
          <w:tcPr>
            <w:tcW w:w="1285" w:type="dxa"/>
            <w:tcBorders>
              <w:top w:val="single" w:sz="4" w:space="0" w:color="auto"/>
              <w:bottom w:val="single" w:sz="4" w:space="0" w:color="auto"/>
            </w:tcBorders>
            <w:tcMar>
              <w:top w:w="0" w:type="dxa"/>
              <w:left w:w="108" w:type="dxa"/>
              <w:bottom w:w="0" w:type="dxa"/>
              <w:right w:w="108" w:type="dxa"/>
            </w:tcMar>
            <w:hideMark/>
          </w:tcPr>
          <w:p w:rsidR="008B149B" w:rsidRPr="00932DB4" w:rsidRDefault="008B149B" w:rsidP="002504DC">
            <w:pPr>
              <w:jc w:val="center"/>
              <w:rPr>
                <w:sz w:val="20"/>
              </w:rPr>
            </w:pPr>
            <w:r w:rsidRPr="00932DB4">
              <w:rPr>
                <w:sz w:val="20"/>
              </w:rPr>
              <w:t>Límite de 30</w:t>
            </w:r>
          </w:p>
        </w:tc>
        <w:tc>
          <w:tcPr>
            <w:tcW w:w="1286" w:type="dxa"/>
            <w:tcBorders>
              <w:top w:val="single" w:sz="4" w:space="0" w:color="auto"/>
              <w:bottom w:val="single" w:sz="4" w:space="0" w:color="auto"/>
            </w:tcBorders>
          </w:tcPr>
          <w:p w:rsidR="008B149B" w:rsidRPr="00932DB4" w:rsidRDefault="008B149B" w:rsidP="002504DC">
            <w:pPr>
              <w:jc w:val="center"/>
              <w:rPr>
                <w:sz w:val="20"/>
              </w:rPr>
            </w:pPr>
            <w:r w:rsidRPr="00932DB4">
              <w:rPr>
                <w:sz w:val="20"/>
              </w:rPr>
              <w:t>Sin límite</w:t>
            </w:r>
          </w:p>
        </w:tc>
      </w:tr>
      <w:tr w:rsidR="008B149B" w:rsidRPr="00932DB4" w:rsidTr="002504DC">
        <w:tc>
          <w:tcPr>
            <w:tcW w:w="1278" w:type="dxa"/>
            <w:tcBorders>
              <w:top w:val="single" w:sz="4" w:space="0" w:color="auto"/>
            </w:tcBorders>
            <w:tcMar>
              <w:top w:w="0" w:type="dxa"/>
              <w:left w:w="108" w:type="dxa"/>
              <w:bottom w:w="0" w:type="dxa"/>
              <w:right w:w="108" w:type="dxa"/>
            </w:tcMar>
            <w:hideMark/>
          </w:tcPr>
          <w:p w:rsidR="008B149B" w:rsidRPr="00932DB4" w:rsidRDefault="008B149B" w:rsidP="002504DC">
            <w:pPr>
              <w:spacing w:before="40" w:after="40"/>
              <w:jc w:val="center"/>
              <w:rPr>
                <w:sz w:val="20"/>
              </w:rPr>
            </w:pPr>
            <w:r w:rsidRPr="00932DB4">
              <w:rPr>
                <w:sz w:val="20"/>
              </w:rPr>
              <w:t>25</w:t>
            </w:r>
          </w:p>
        </w:tc>
        <w:tc>
          <w:tcPr>
            <w:tcW w:w="1440" w:type="dxa"/>
            <w:tcBorders>
              <w:top w:val="single" w:sz="4" w:space="0" w:color="auto"/>
            </w:tcBorders>
            <w:tcMar>
              <w:top w:w="0" w:type="dxa"/>
              <w:left w:w="108" w:type="dxa"/>
              <w:bottom w:w="0" w:type="dxa"/>
              <w:right w:w="108" w:type="dxa"/>
            </w:tcMar>
          </w:tcPr>
          <w:p w:rsidR="008B149B" w:rsidRPr="00932DB4" w:rsidRDefault="008B149B" w:rsidP="002504DC">
            <w:pPr>
              <w:spacing w:before="40" w:after="40"/>
              <w:jc w:val="center"/>
              <w:rPr>
                <w:sz w:val="20"/>
              </w:rPr>
            </w:pPr>
            <w:r>
              <w:rPr>
                <w:sz w:val="20"/>
              </w:rPr>
              <w:t>6.</w:t>
            </w:r>
            <w:r w:rsidRPr="00932DB4">
              <w:rPr>
                <w:sz w:val="20"/>
              </w:rPr>
              <w:t>147</w:t>
            </w:r>
          </w:p>
        </w:tc>
        <w:tc>
          <w:tcPr>
            <w:tcW w:w="1285" w:type="dxa"/>
            <w:tcBorders>
              <w:top w:val="single" w:sz="4" w:space="0" w:color="auto"/>
            </w:tcBorders>
            <w:tcMar>
              <w:top w:w="0" w:type="dxa"/>
              <w:left w:w="108" w:type="dxa"/>
              <w:bottom w:w="0" w:type="dxa"/>
              <w:right w:w="108" w:type="dxa"/>
            </w:tcMar>
          </w:tcPr>
          <w:p w:rsidR="008B149B" w:rsidRPr="00932DB4" w:rsidRDefault="008B149B" w:rsidP="002504DC">
            <w:pPr>
              <w:spacing w:before="40" w:after="40"/>
              <w:jc w:val="center"/>
              <w:rPr>
                <w:sz w:val="20"/>
              </w:rPr>
            </w:pPr>
            <w:r w:rsidRPr="00932DB4">
              <w:rPr>
                <w:sz w:val="20"/>
              </w:rPr>
              <w:t>0</w:t>
            </w:r>
            <w:r>
              <w:rPr>
                <w:sz w:val="20"/>
              </w:rPr>
              <w:t>,</w:t>
            </w:r>
            <w:r w:rsidRPr="00932DB4">
              <w:rPr>
                <w:sz w:val="20"/>
              </w:rPr>
              <w:t>18</w:t>
            </w:r>
          </w:p>
        </w:tc>
        <w:tc>
          <w:tcPr>
            <w:tcW w:w="1285" w:type="dxa"/>
            <w:tcBorders>
              <w:top w:val="single" w:sz="4" w:space="0" w:color="auto"/>
            </w:tcBorders>
            <w:tcMar>
              <w:top w:w="0" w:type="dxa"/>
              <w:left w:w="108" w:type="dxa"/>
              <w:bottom w:w="0" w:type="dxa"/>
              <w:right w:w="108" w:type="dxa"/>
            </w:tcMar>
          </w:tcPr>
          <w:p w:rsidR="008B149B" w:rsidRPr="00932DB4" w:rsidRDefault="008B149B" w:rsidP="002504DC">
            <w:pPr>
              <w:spacing w:before="40" w:after="40"/>
              <w:jc w:val="center"/>
              <w:rPr>
                <w:sz w:val="20"/>
              </w:rPr>
            </w:pPr>
            <w:r w:rsidRPr="00932DB4">
              <w:rPr>
                <w:sz w:val="20"/>
              </w:rPr>
              <w:t>0</w:t>
            </w:r>
            <w:r>
              <w:rPr>
                <w:sz w:val="20"/>
              </w:rPr>
              <w:t>,</w:t>
            </w:r>
            <w:r w:rsidRPr="00932DB4">
              <w:rPr>
                <w:sz w:val="20"/>
              </w:rPr>
              <w:t>25</w:t>
            </w:r>
          </w:p>
        </w:tc>
        <w:tc>
          <w:tcPr>
            <w:tcW w:w="1286" w:type="dxa"/>
            <w:tcBorders>
              <w:top w:val="single" w:sz="4" w:space="0" w:color="auto"/>
            </w:tcBorders>
            <w:tcMar>
              <w:top w:w="0" w:type="dxa"/>
              <w:left w:w="108" w:type="dxa"/>
              <w:bottom w:w="0" w:type="dxa"/>
              <w:right w:w="108" w:type="dxa"/>
            </w:tcMar>
          </w:tcPr>
          <w:p w:rsidR="008B149B" w:rsidRPr="00932DB4" w:rsidRDefault="008B149B" w:rsidP="002504DC">
            <w:pPr>
              <w:spacing w:before="40" w:after="40"/>
              <w:jc w:val="center"/>
              <w:rPr>
                <w:sz w:val="20"/>
              </w:rPr>
            </w:pPr>
            <w:r w:rsidRPr="00932DB4">
              <w:rPr>
                <w:sz w:val="20"/>
              </w:rPr>
              <w:t>0</w:t>
            </w:r>
            <w:r>
              <w:rPr>
                <w:sz w:val="20"/>
              </w:rPr>
              <w:t>,</w:t>
            </w:r>
            <w:r w:rsidRPr="00932DB4">
              <w:rPr>
                <w:sz w:val="20"/>
              </w:rPr>
              <w:t>32</w:t>
            </w:r>
          </w:p>
        </w:tc>
        <w:tc>
          <w:tcPr>
            <w:tcW w:w="1285" w:type="dxa"/>
            <w:tcBorders>
              <w:top w:val="single" w:sz="4" w:space="0" w:color="auto"/>
            </w:tcBorders>
            <w:tcMar>
              <w:top w:w="0" w:type="dxa"/>
              <w:left w:w="108" w:type="dxa"/>
              <w:bottom w:w="0" w:type="dxa"/>
              <w:right w:w="108" w:type="dxa"/>
            </w:tcMar>
          </w:tcPr>
          <w:p w:rsidR="008B149B" w:rsidRPr="00932DB4" w:rsidRDefault="008B149B" w:rsidP="002504DC">
            <w:pPr>
              <w:spacing w:before="40" w:after="40"/>
              <w:jc w:val="center"/>
              <w:rPr>
                <w:sz w:val="20"/>
              </w:rPr>
            </w:pPr>
            <w:r w:rsidRPr="00932DB4">
              <w:rPr>
                <w:sz w:val="20"/>
              </w:rPr>
              <w:t>0</w:t>
            </w:r>
            <w:r>
              <w:rPr>
                <w:sz w:val="20"/>
              </w:rPr>
              <w:t>,</w:t>
            </w:r>
            <w:r w:rsidRPr="00932DB4">
              <w:rPr>
                <w:sz w:val="20"/>
              </w:rPr>
              <w:t>35</w:t>
            </w:r>
          </w:p>
        </w:tc>
        <w:tc>
          <w:tcPr>
            <w:tcW w:w="1286" w:type="dxa"/>
            <w:tcBorders>
              <w:top w:val="single" w:sz="4" w:space="0" w:color="auto"/>
            </w:tcBorders>
          </w:tcPr>
          <w:p w:rsidR="008B149B" w:rsidRPr="00932DB4" w:rsidRDefault="008B149B" w:rsidP="002504DC">
            <w:pPr>
              <w:spacing w:before="40" w:after="40"/>
              <w:jc w:val="center"/>
              <w:rPr>
                <w:sz w:val="20"/>
              </w:rPr>
            </w:pPr>
            <w:r w:rsidRPr="00932DB4">
              <w:rPr>
                <w:sz w:val="20"/>
              </w:rPr>
              <w:t>0</w:t>
            </w:r>
            <w:r>
              <w:rPr>
                <w:sz w:val="20"/>
              </w:rPr>
              <w:t>,</w:t>
            </w:r>
            <w:r w:rsidRPr="00932DB4">
              <w:rPr>
                <w:sz w:val="20"/>
              </w:rPr>
              <w:t>43</w:t>
            </w:r>
          </w:p>
        </w:tc>
      </w:tr>
      <w:tr w:rsidR="008B149B" w:rsidRPr="00932DB4" w:rsidTr="002504DC">
        <w:tc>
          <w:tcPr>
            <w:tcW w:w="1278" w:type="dxa"/>
            <w:tcBorders>
              <w:top w:val="nil"/>
            </w:tcBorders>
            <w:tcMar>
              <w:top w:w="0" w:type="dxa"/>
              <w:left w:w="108" w:type="dxa"/>
              <w:bottom w:w="0" w:type="dxa"/>
              <w:right w:w="108" w:type="dxa"/>
            </w:tcMar>
            <w:hideMark/>
          </w:tcPr>
          <w:p w:rsidR="008B149B" w:rsidRPr="00932DB4" w:rsidRDefault="008B149B" w:rsidP="002504DC">
            <w:pPr>
              <w:spacing w:before="40" w:after="40"/>
              <w:jc w:val="center"/>
              <w:rPr>
                <w:sz w:val="20"/>
              </w:rPr>
            </w:pPr>
            <w:r w:rsidRPr="00932DB4">
              <w:rPr>
                <w:sz w:val="20"/>
              </w:rPr>
              <w:t>50</w:t>
            </w:r>
          </w:p>
        </w:tc>
        <w:tc>
          <w:tcPr>
            <w:tcW w:w="1440" w:type="dxa"/>
            <w:tcBorders>
              <w:top w:val="nil"/>
            </w:tcBorders>
            <w:tcMar>
              <w:top w:w="0" w:type="dxa"/>
              <w:left w:w="108" w:type="dxa"/>
              <w:bottom w:w="0" w:type="dxa"/>
              <w:right w:w="108" w:type="dxa"/>
            </w:tcMar>
          </w:tcPr>
          <w:p w:rsidR="008B149B" w:rsidRPr="00932DB4" w:rsidRDefault="008B149B" w:rsidP="002504DC">
            <w:pPr>
              <w:spacing w:before="40" w:after="40"/>
              <w:jc w:val="center"/>
              <w:rPr>
                <w:sz w:val="20"/>
              </w:rPr>
            </w:pPr>
            <w:r>
              <w:rPr>
                <w:sz w:val="20"/>
              </w:rPr>
              <w:t>6.</w:t>
            </w:r>
            <w:r w:rsidRPr="00932DB4">
              <w:rPr>
                <w:sz w:val="20"/>
              </w:rPr>
              <w:t>435</w:t>
            </w:r>
          </w:p>
        </w:tc>
        <w:tc>
          <w:tcPr>
            <w:tcW w:w="1285" w:type="dxa"/>
            <w:tcBorders>
              <w:top w:val="nil"/>
            </w:tcBorders>
            <w:tcMar>
              <w:top w:w="0" w:type="dxa"/>
              <w:left w:w="108" w:type="dxa"/>
              <w:bottom w:w="0" w:type="dxa"/>
              <w:right w:w="108" w:type="dxa"/>
            </w:tcMar>
          </w:tcPr>
          <w:p w:rsidR="008B149B" w:rsidRPr="00932DB4" w:rsidRDefault="008B149B" w:rsidP="002504DC">
            <w:pPr>
              <w:spacing w:before="40" w:after="40"/>
              <w:jc w:val="center"/>
              <w:rPr>
                <w:sz w:val="20"/>
              </w:rPr>
            </w:pPr>
            <w:r w:rsidRPr="00932DB4">
              <w:rPr>
                <w:sz w:val="20"/>
              </w:rPr>
              <w:t>0</w:t>
            </w:r>
            <w:r>
              <w:rPr>
                <w:sz w:val="20"/>
              </w:rPr>
              <w:t>,</w:t>
            </w:r>
            <w:r w:rsidRPr="00932DB4">
              <w:rPr>
                <w:sz w:val="20"/>
              </w:rPr>
              <w:t>37</w:t>
            </w:r>
          </w:p>
        </w:tc>
        <w:tc>
          <w:tcPr>
            <w:tcW w:w="1285" w:type="dxa"/>
            <w:tcBorders>
              <w:top w:val="nil"/>
            </w:tcBorders>
            <w:tcMar>
              <w:top w:w="0" w:type="dxa"/>
              <w:left w:w="108" w:type="dxa"/>
              <w:bottom w:w="0" w:type="dxa"/>
              <w:right w:w="108" w:type="dxa"/>
            </w:tcMar>
          </w:tcPr>
          <w:p w:rsidR="008B149B" w:rsidRPr="00932DB4" w:rsidRDefault="008B149B" w:rsidP="002504DC">
            <w:pPr>
              <w:spacing w:before="40" w:after="40"/>
              <w:jc w:val="center"/>
              <w:rPr>
                <w:sz w:val="20"/>
              </w:rPr>
            </w:pPr>
            <w:r w:rsidRPr="00932DB4">
              <w:rPr>
                <w:sz w:val="20"/>
              </w:rPr>
              <w:t>0</w:t>
            </w:r>
            <w:r>
              <w:rPr>
                <w:sz w:val="20"/>
              </w:rPr>
              <w:t>,</w:t>
            </w:r>
            <w:r w:rsidRPr="00932DB4">
              <w:rPr>
                <w:sz w:val="20"/>
              </w:rPr>
              <w:t>52</w:t>
            </w:r>
          </w:p>
        </w:tc>
        <w:tc>
          <w:tcPr>
            <w:tcW w:w="1286" w:type="dxa"/>
            <w:tcBorders>
              <w:top w:val="nil"/>
            </w:tcBorders>
            <w:tcMar>
              <w:top w:w="0" w:type="dxa"/>
              <w:left w:w="108" w:type="dxa"/>
              <w:bottom w:w="0" w:type="dxa"/>
              <w:right w:w="108" w:type="dxa"/>
            </w:tcMar>
          </w:tcPr>
          <w:p w:rsidR="008B149B" w:rsidRPr="00932DB4" w:rsidRDefault="008B149B" w:rsidP="002504DC">
            <w:pPr>
              <w:spacing w:before="40" w:after="40"/>
              <w:jc w:val="center"/>
              <w:rPr>
                <w:sz w:val="20"/>
              </w:rPr>
            </w:pPr>
            <w:r w:rsidRPr="00932DB4">
              <w:rPr>
                <w:sz w:val="20"/>
              </w:rPr>
              <w:t>0</w:t>
            </w:r>
            <w:r>
              <w:rPr>
                <w:sz w:val="20"/>
              </w:rPr>
              <w:t>,</w:t>
            </w:r>
            <w:r w:rsidRPr="00932DB4">
              <w:rPr>
                <w:sz w:val="20"/>
              </w:rPr>
              <w:t>66</w:t>
            </w:r>
          </w:p>
        </w:tc>
        <w:tc>
          <w:tcPr>
            <w:tcW w:w="1285" w:type="dxa"/>
            <w:tcBorders>
              <w:top w:val="nil"/>
            </w:tcBorders>
            <w:tcMar>
              <w:top w:w="0" w:type="dxa"/>
              <w:left w:w="108" w:type="dxa"/>
              <w:bottom w:w="0" w:type="dxa"/>
              <w:right w:w="108" w:type="dxa"/>
            </w:tcMar>
          </w:tcPr>
          <w:p w:rsidR="008B149B" w:rsidRPr="00932DB4" w:rsidRDefault="008B149B" w:rsidP="002504DC">
            <w:pPr>
              <w:spacing w:before="40" w:after="40"/>
              <w:jc w:val="center"/>
              <w:rPr>
                <w:sz w:val="20"/>
              </w:rPr>
            </w:pPr>
            <w:r w:rsidRPr="00932DB4">
              <w:rPr>
                <w:sz w:val="20"/>
              </w:rPr>
              <w:t>0</w:t>
            </w:r>
            <w:r>
              <w:rPr>
                <w:sz w:val="20"/>
              </w:rPr>
              <w:t>,</w:t>
            </w:r>
            <w:r w:rsidRPr="00932DB4">
              <w:rPr>
                <w:sz w:val="20"/>
              </w:rPr>
              <w:t>73</w:t>
            </w:r>
          </w:p>
        </w:tc>
        <w:tc>
          <w:tcPr>
            <w:tcW w:w="1286" w:type="dxa"/>
            <w:tcBorders>
              <w:top w:val="nil"/>
            </w:tcBorders>
          </w:tcPr>
          <w:p w:rsidR="008B149B" w:rsidRPr="00932DB4" w:rsidRDefault="008B149B" w:rsidP="002504DC">
            <w:pPr>
              <w:spacing w:before="40" w:after="40"/>
              <w:jc w:val="center"/>
              <w:rPr>
                <w:sz w:val="20"/>
              </w:rPr>
            </w:pPr>
            <w:r w:rsidRPr="00932DB4">
              <w:rPr>
                <w:sz w:val="20"/>
              </w:rPr>
              <w:t>0</w:t>
            </w:r>
            <w:r>
              <w:rPr>
                <w:sz w:val="20"/>
              </w:rPr>
              <w:t>,</w:t>
            </w:r>
            <w:r w:rsidRPr="00932DB4">
              <w:rPr>
                <w:sz w:val="20"/>
              </w:rPr>
              <w:t>89</w:t>
            </w:r>
          </w:p>
        </w:tc>
      </w:tr>
      <w:tr w:rsidR="008B149B" w:rsidRPr="00932DB4" w:rsidTr="002504DC">
        <w:tc>
          <w:tcPr>
            <w:tcW w:w="1278" w:type="dxa"/>
            <w:tcBorders>
              <w:top w:val="nil"/>
            </w:tcBorders>
            <w:tcMar>
              <w:top w:w="0" w:type="dxa"/>
              <w:left w:w="108" w:type="dxa"/>
              <w:bottom w:w="0" w:type="dxa"/>
              <w:right w:w="108" w:type="dxa"/>
            </w:tcMar>
            <w:hideMark/>
          </w:tcPr>
          <w:p w:rsidR="008B149B" w:rsidRPr="00932DB4" w:rsidRDefault="008B149B" w:rsidP="002504DC">
            <w:pPr>
              <w:spacing w:before="40" w:after="40"/>
              <w:jc w:val="center"/>
              <w:rPr>
                <w:sz w:val="20"/>
              </w:rPr>
            </w:pPr>
            <w:r w:rsidRPr="00932DB4">
              <w:rPr>
                <w:sz w:val="20"/>
              </w:rPr>
              <w:t>75</w:t>
            </w:r>
          </w:p>
        </w:tc>
        <w:tc>
          <w:tcPr>
            <w:tcW w:w="1440" w:type="dxa"/>
            <w:tcBorders>
              <w:top w:val="nil"/>
            </w:tcBorders>
            <w:tcMar>
              <w:top w:w="0" w:type="dxa"/>
              <w:left w:w="108" w:type="dxa"/>
              <w:bottom w:w="0" w:type="dxa"/>
              <w:right w:w="108" w:type="dxa"/>
            </w:tcMar>
          </w:tcPr>
          <w:p w:rsidR="008B149B" w:rsidRPr="00932DB4" w:rsidRDefault="008B149B" w:rsidP="002504DC">
            <w:pPr>
              <w:spacing w:before="40" w:after="40"/>
              <w:jc w:val="center"/>
              <w:rPr>
                <w:sz w:val="20"/>
              </w:rPr>
            </w:pPr>
            <w:r>
              <w:rPr>
                <w:sz w:val="20"/>
              </w:rPr>
              <w:t>6.</w:t>
            </w:r>
            <w:r w:rsidRPr="00932DB4">
              <w:rPr>
                <w:sz w:val="20"/>
              </w:rPr>
              <w:t>722</w:t>
            </w:r>
          </w:p>
        </w:tc>
        <w:tc>
          <w:tcPr>
            <w:tcW w:w="1285" w:type="dxa"/>
            <w:tcBorders>
              <w:top w:val="nil"/>
            </w:tcBorders>
            <w:tcMar>
              <w:top w:w="0" w:type="dxa"/>
              <w:left w:w="108" w:type="dxa"/>
              <w:bottom w:w="0" w:type="dxa"/>
              <w:right w:w="108" w:type="dxa"/>
            </w:tcMar>
          </w:tcPr>
          <w:p w:rsidR="008B149B" w:rsidRPr="00932DB4" w:rsidRDefault="008B149B" w:rsidP="002504DC">
            <w:pPr>
              <w:spacing w:before="40" w:after="40"/>
              <w:jc w:val="center"/>
              <w:rPr>
                <w:sz w:val="20"/>
              </w:rPr>
            </w:pPr>
            <w:r w:rsidRPr="00932DB4">
              <w:rPr>
                <w:sz w:val="20"/>
              </w:rPr>
              <w:t>0</w:t>
            </w:r>
            <w:r>
              <w:rPr>
                <w:sz w:val="20"/>
              </w:rPr>
              <w:t>,</w:t>
            </w:r>
            <w:r w:rsidRPr="00932DB4">
              <w:rPr>
                <w:sz w:val="20"/>
              </w:rPr>
              <w:t>58</w:t>
            </w:r>
          </w:p>
        </w:tc>
        <w:tc>
          <w:tcPr>
            <w:tcW w:w="1285" w:type="dxa"/>
            <w:tcBorders>
              <w:top w:val="nil"/>
            </w:tcBorders>
            <w:tcMar>
              <w:top w:w="0" w:type="dxa"/>
              <w:left w:w="108" w:type="dxa"/>
              <w:bottom w:w="0" w:type="dxa"/>
              <w:right w:w="108" w:type="dxa"/>
            </w:tcMar>
          </w:tcPr>
          <w:p w:rsidR="008B149B" w:rsidRPr="00932DB4" w:rsidRDefault="008B149B" w:rsidP="002504DC">
            <w:pPr>
              <w:spacing w:before="40" w:after="40"/>
              <w:jc w:val="center"/>
              <w:rPr>
                <w:sz w:val="20"/>
              </w:rPr>
            </w:pPr>
            <w:r w:rsidRPr="00932DB4">
              <w:rPr>
                <w:sz w:val="20"/>
              </w:rPr>
              <w:t>0</w:t>
            </w:r>
            <w:r>
              <w:rPr>
                <w:sz w:val="20"/>
              </w:rPr>
              <w:t>,</w:t>
            </w:r>
            <w:r w:rsidRPr="00932DB4">
              <w:rPr>
                <w:sz w:val="20"/>
              </w:rPr>
              <w:t>81</w:t>
            </w:r>
          </w:p>
        </w:tc>
        <w:tc>
          <w:tcPr>
            <w:tcW w:w="1286" w:type="dxa"/>
            <w:tcBorders>
              <w:top w:val="nil"/>
            </w:tcBorders>
            <w:tcMar>
              <w:top w:w="0" w:type="dxa"/>
              <w:left w:w="108" w:type="dxa"/>
              <w:bottom w:w="0" w:type="dxa"/>
              <w:right w:w="108" w:type="dxa"/>
            </w:tcMar>
          </w:tcPr>
          <w:p w:rsidR="008B149B" w:rsidRPr="00932DB4" w:rsidRDefault="008B149B" w:rsidP="002504DC">
            <w:pPr>
              <w:spacing w:before="40" w:after="40"/>
              <w:jc w:val="center"/>
              <w:rPr>
                <w:sz w:val="20"/>
              </w:rPr>
            </w:pPr>
            <w:r w:rsidRPr="00932DB4">
              <w:rPr>
                <w:sz w:val="20"/>
              </w:rPr>
              <w:t>1</w:t>
            </w:r>
            <w:r>
              <w:rPr>
                <w:sz w:val="20"/>
              </w:rPr>
              <w:t>,</w:t>
            </w:r>
            <w:r w:rsidRPr="00932DB4">
              <w:rPr>
                <w:sz w:val="20"/>
              </w:rPr>
              <w:t>04</w:t>
            </w:r>
          </w:p>
        </w:tc>
        <w:tc>
          <w:tcPr>
            <w:tcW w:w="1285" w:type="dxa"/>
            <w:tcBorders>
              <w:top w:val="nil"/>
            </w:tcBorders>
            <w:tcMar>
              <w:top w:w="0" w:type="dxa"/>
              <w:left w:w="108" w:type="dxa"/>
              <w:bottom w:w="0" w:type="dxa"/>
              <w:right w:w="108" w:type="dxa"/>
            </w:tcMar>
          </w:tcPr>
          <w:p w:rsidR="008B149B" w:rsidRPr="00932DB4" w:rsidRDefault="008B149B" w:rsidP="002504DC">
            <w:pPr>
              <w:spacing w:before="40" w:after="40"/>
              <w:jc w:val="center"/>
              <w:rPr>
                <w:sz w:val="20"/>
              </w:rPr>
            </w:pPr>
            <w:r w:rsidRPr="00932DB4">
              <w:rPr>
                <w:sz w:val="20"/>
              </w:rPr>
              <w:t>1</w:t>
            </w:r>
            <w:r>
              <w:rPr>
                <w:sz w:val="20"/>
              </w:rPr>
              <w:t>,</w:t>
            </w:r>
            <w:r w:rsidRPr="00932DB4">
              <w:rPr>
                <w:sz w:val="20"/>
              </w:rPr>
              <w:t>14</w:t>
            </w:r>
          </w:p>
        </w:tc>
        <w:tc>
          <w:tcPr>
            <w:tcW w:w="1286" w:type="dxa"/>
            <w:tcBorders>
              <w:top w:val="nil"/>
            </w:tcBorders>
          </w:tcPr>
          <w:p w:rsidR="008B149B" w:rsidRPr="00932DB4" w:rsidRDefault="008B149B" w:rsidP="002504DC">
            <w:pPr>
              <w:spacing w:before="40" w:after="40"/>
              <w:jc w:val="center"/>
              <w:rPr>
                <w:sz w:val="20"/>
              </w:rPr>
            </w:pPr>
            <w:r w:rsidRPr="00932DB4">
              <w:rPr>
                <w:sz w:val="20"/>
              </w:rPr>
              <w:t>1</w:t>
            </w:r>
            <w:r>
              <w:rPr>
                <w:sz w:val="20"/>
              </w:rPr>
              <w:t>,</w:t>
            </w:r>
            <w:r w:rsidRPr="00932DB4">
              <w:rPr>
                <w:sz w:val="20"/>
              </w:rPr>
              <w:t>40</w:t>
            </w:r>
          </w:p>
        </w:tc>
      </w:tr>
    </w:tbl>
    <w:p w:rsidR="008B149B" w:rsidRPr="00932DB4" w:rsidRDefault="008B149B" w:rsidP="008B149B"/>
    <w:p w:rsidR="008B149B" w:rsidRPr="00932DB4" w:rsidRDefault="008B149B" w:rsidP="008B149B">
      <w:pPr>
        <w:pStyle w:val="ONUME"/>
        <w:numPr>
          <w:ilvl w:val="0"/>
          <w:numId w:val="0"/>
        </w:numPr>
        <w:ind w:left="1246" w:hanging="1246"/>
      </w:pPr>
      <w:r w:rsidRPr="00932DB4">
        <w:t>Cuadro 3b</w:t>
      </w:r>
      <w:proofErr w:type="gramStart"/>
      <w:r w:rsidRPr="00932DB4">
        <w:t>:  Simulación</w:t>
      </w:r>
      <w:proofErr w:type="gramEnd"/>
      <w:r w:rsidRPr="00932DB4">
        <w:t xml:space="preserve"> de pérdida de ingresos respecto de varios niveles de reducciones de tasas y límites máximos, países en desarrollo, 2015</w:t>
      </w:r>
    </w:p>
    <w:p w:rsidR="008B149B" w:rsidRPr="00932DB4" w:rsidRDefault="008B149B" w:rsidP="008B149B">
      <w:pPr>
        <w:pStyle w:val="Heading1"/>
      </w:pPr>
      <w:r w:rsidRPr="00932DB4">
        <w:t>COMENTARIO FINAL</w:t>
      </w:r>
    </w:p>
    <w:p w:rsidR="008B149B" w:rsidRPr="00932DB4" w:rsidRDefault="008B149B" w:rsidP="008B149B">
      <w:pPr>
        <w:pStyle w:val="ONUME"/>
      </w:pPr>
      <w:r w:rsidRPr="00932DB4">
        <w:t>La principal aportación de este segundo estudio complementario consiste en proporcionar simulaciones de los efectos de posibles reducciones de tasas en presencia de límites máximos aplicables a las solicitudes que tienen derecho a la reducción.  Como era de esperar, la introducción de dichos límites reduce el número de solicitudes adicionales y las pérdidas de ingresos provocadas por dichas reducciones.  En los gráficos 1a, 1b, 2a y 2b se ofrece orientación cuantitativa a tal efecto.</w:t>
      </w:r>
    </w:p>
    <w:p w:rsidR="008B149B" w:rsidRPr="00932DB4" w:rsidRDefault="008B149B" w:rsidP="008B149B">
      <w:pPr>
        <w:pStyle w:val="ONUME"/>
      </w:pPr>
      <w:r w:rsidRPr="00932DB4">
        <w:t>Sin embargo, la simulación de las cifras tiene salvedades importantes.  En primer lugar, la introducción de un límite máximo supone una reducción de tasas más acusada para algunos solicitantes de universidades en comparación con otros.  Al aplicar el promedio de elasticidades de las tasas a todos los solicitantes de universidades de los dos grupos de países se pueden obtener resultados sesgados sobre la respuesta a la elasticidad de las tasas.  En segundo lugar, la forma funcional log-lineal en que se basa el cálculo de la elasticidad de las tasas puede hacer que resulten poco fiables las simulaciones de reducciones de tasas acusadas que vayan más allá de la variación histórica en los datos</w:t>
      </w:r>
      <w:r w:rsidRPr="00932DB4">
        <w:rPr>
          <w:rStyle w:val="FootnoteReference"/>
        </w:rPr>
        <w:footnoteReference w:id="9"/>
      </w:r>
      <w:r w:rsidRPr="00932DB4">
        <w:t>.</w:t>
      </w:r>
    </w:p>
    <w:p w:rsidR="008B149B" w:rsidRPr="00932DB4" w:rsidRDefault="008B149B" w:rsidP="008B149B">
      <w:pPr>
        <w:pStyle w:val="ONUME"/>
        <w:ind w:left="5533"/>
        <w:rPr>
          <w:i/>
        </w:rPr>
      </w:pPr>
      <w:r w:rsidRPr="00932DB4">
        <w:rPr>
          <w:i/>
        </w:rPr>
        <w:t>Se invita al Grupo de Trabajo a tomar nota del contenido del presente documento.</w:t>
      </w:r>
    </w:p>
    <w:p w:rsidR="008B149B" w:rsidRPr="00B26FF2" w:rsidRDefault="008B149B" w:rsidP="008B149B">
      <w:pPr>
        <w:pStyle w:val="ONUME"/>
        <w:numPr>
          <w:ilvl w:val="0"/>
          <w:numId w:val="0"/>
        </w:numPr>
      </w:pPr>
    </w:p>
    <w:p w:rsidR="008B149B" w:rsidRPr="00932DB4" w:rsidRDefault="008B149B" w:rsidP="008B149B">
      <w:pPr>
        <w:pStyle w:val="ONUME"/>
        <w:numPr>
          <w:ilvl w:val="0"/>
          <w:numId w:val="0"/>
        </w:numPr>
        <w:ind w:left="5533"/>
      </w:pPr>
      <w:r w:rsidRPr="00932DB4">
        <w:t>[Fin del documento]</w:t>
      </w:r>
    </w:p>
    <w:p w:rsidR="00152CEA" w:rsidRDefault="00152CEA" w:rsidP="008B149B"/>
    <w:sectPr w:rsidR="00152CEA" w:rsidSect="0098430D">
      <w:headerReference w:type="default" r:id="rId20"/>
      <w:headerReference w:type="first" r:id="rId2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30D" w:rsidRDefault="0098430D">
      <w:r>
        <w:separator/>
      </w:r>
    </w:p>
  </w:endnote>
  <w:endnote w:type="continuationSeparator" w:id="0">
    <w:p w:rsidR="0098430D" w:rsidRPr="009D30E6" w:rsidRDefault="0098430D" w:rsidP="007E663E">
      <w:pPr>
        <w:rPr>
          <w:sz w:val="17"/>
          <w:szCs w:val="17"/>
        </w:rPr>
      </w:pPr>
      <w:r w:rsidRPr="009D30E6">
        <w:rPr>
          <w:sz w:val="17"/>
          <w:szCs w:val="17"/>
        </w:rPr>
        <w:separator/>
      </w:r>
    </w:p>
    <w:p w:rsidR="0098430D" w:rsidRPr="007E663E" w:rsidRDefault="0098430D" w:rsidP="007E663E">
      <w:pPr>
        <w:spacing w:after="60"/>
        <w:rPr>
          <w:sz w:val="17"/>
          <w:szCs w:val="17"/>
        </w:rPr>
      </w:pPr>
      <w:r>
        <w:rPr>
          <w:sz w:val="17"/>
        </w:rPr>
        <w:t>[Continuación de la nota de la página anterior]</w:t>
      </w:r>
    </w:p>
  </w:endnote>
  <w:endnote w:type="continuationNotice" w:id="1">
    <w:p w:rsidR="0098430D" w:rsidRPr="007E663E" w:rsidRDefault="0098430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9B" w:rsidRDefault="008B149B">
    <w:pPr>
      <w:pStyle w:val="Footer"/>
      <w:jc w:val="right"/>
    </w:pPr>
  </w:p>
  <w:p w:rsidR="008B149B" w:rsidRDefault="008B1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30D" w:rsidRDefault="0098430D">
      <w:r>
        <w:separator/>
      </w:r>
    </w:p>
  </w:footnote>
  <w:footnote w:type="continuationSeparator" w:id="0">
    <w:p w:rsidR="0098430D" w:rsidRPr="009D30E6" w:rsidRDefault="0098430D" w:rsidP="007E663E">
      <w:pPr>
        <w:rPr>
          <w:sz w:val="17"/>
          <w:szCs w:val="17"/>
        </w:rPr>
      </w:pPr>
      <w:r w:rsidRPr="009D30E6">
        <w:rPr>
          <w:sz w:val="17"/>
          <w:szCs w:val="17"/>
        </w:rPr>
        <w:separator/>
      </w:r>
    </w:p>
    <w:p w:rsidR="0098430D" w:rsidRPr="007E663E" w:rsidRDefault="0098430D" w:rsidP="007E663E">
      <w:pPr>
        <w:spacing w:after="60"/>
        <w:rPr>
          <w:sz w:val="17"/>
          <w:szCs w:val="17"/>
        </w:rPr>
      </w:pPr>
      <w:r>
        <w:rPr>
          <w:sz w:val="17"/>
        </w:rPr>
        <w:t>[Continuación de la nota de la página anterior]</w:t>
      </w:r>
    </w:p>
  </w:footnote>
  <w:footnote w:type="continuationNotice" w:id="1">
    <w:p w:rsidR="0098430D" w:rsidRPr="007E663E" w:rsidRDefault="0098430D" w:rsidP="007E663E">
      <w:pPr>
        <w:spacing w:before="60"/>
        <w:jc w:val="right"/>
        <w:rPr>
          <w:sz w:val="17"/>
          <w:szCs w:val="17"/>
        </w:rPr>
      </w:pPr>
      <w:r w:rsidRPr="007E663E">
        <w:rPr>
          <w:sz w:val="17"/>
          <w:szCs w:val="17"/>
        </w:rPr>
        <w:t>[Sigue la nota en la página siguiente]</w:t>
      </w:r>
    </w:p>
  </w:footnote>
  <w:footnote w:id="2">
    <w:p w:rsidR="008B149B" w:rsidRPr="002A5AA7" w:rsidRDefault="008B149B" w:rsidP="008B149B">
      <w:pPr>
        <w:pStyle w:val="FootnoteText"/>
      </w:pPr>
      <w:r w:rsidRPr="002A5AA7">
        <w:rPr>
          <w:rStyle w:val="FootnoteReference"/>
        </w:rPr>
        <w:footnoteRef/>
      </w:r>
      <w:r w:rsidRPr="002A5AA7">
        <w:t xml:space="preserve"> </w:t>
      </w:r>
      <w:r w:rsidRPr="002A5AA7">
        <w:tab/>
        <w:t>En concreto, la estimación econométrica solo se basa en 78 familias de patentes de instituciones públicas de investigación procedentes de países en desarrollo, el 90% de las cuales tenían un equivalente PCT.</w:t>
      </w:r>
    </w:p>
  </w:footnote>
  <w:footnote w:id="3">
    <w:p w:rsidR="008B149B" w:rsidRPr="002A5AA7" w:rsidRDefault="008B149B" w:rsidP="008B149B">
      <w:pPr>
        <w:pStyle w:val="FootnoteText"/>
      </w:pPr>
      <w:r w:rsidRPr="002A5AA7">
        <w:rPr>
          <w:rStyle w:val="FootnoteReference"/>
        </w:rPr>
        <w:footnoteRef/>
      </w:r>
      <w:r w:rsidRPr="002A5AA7">
        <w:t xml:space="preserve"> </w:t>
      </w:r>
      <w:r w:rsidRPr="002A5AA7">
        <w:tab/>
      </w:r>
      <w:r>
        <w:t xml:space="preserve">Al igual que en el documento PCT/WG/8/11, en el presente documento los países en desarrollo se </w:t>
      </w:r>
      <w:r w:rsidRPr="00764701">
        <w:t>definen con arreglo a la recopilación de notificaciones oficiales (Gaceta del PCT) de 12 de febrero de 2015;  los demás países se definen como países desarrollados</w:t>
      </w:r>
      <w:r>
        <w:t xml:space="preserve">.  Se toman como base los datos de solicitudes PCT presentadas de 2011 a 2015. </w:t>
      </w:r>
    </w:p>
  </w:footnote>
  <w:footnote w:id="4">
    <w:p w:rsidR="008B149B" w:rsidRPr="002A5AA7" w:rsidRDefault="008B149B" w:rsidP="008B149B">
      <w:pPr>
        <w:pStyle w:val="FootnoteText"/>
      </w:pPr>
      <w:r w:rsidRPr="002A5AA7">
        <w:rPr>
          <w:rStyle w:val="FootnoteReference"/>
        </w:rPr>
        <w:footnoteRef/>
      </w:r>
      <w:r w:rsidRPr="002A5AA7">
        <w:t xml:space="preserve"> </w:t>
      </w:r>
      <w:r w:rsidRPr="002A5AA7">
        <w:tab/>
      </w:r>
      <w:r>
        <w:t>El cálculo de distintas elasticidades de tasas para distintos subgrupos de solicitantes (por ejemplo, con arreglo al volumen de solicitudes presentadas anualmente) no resulta sencillo, en parte porque algunos solicitantes cambian de grupo de un año a otro y en parte porque si se divide aún más el grupo de solicitantes de universidades de países en desarrollo se reducirá la inferencia estadística.</w:t>
      </w:r>
    </w:p>
  </w:footnote>
  <w:footnote w:id="5">
    <w:p w:rsidR="008B149B" w:rsidRPr="002A5AA7" w:rsidRDefault="008B149B" w:rsidP="008B149B">
      <w:pPr>
        <w:pStyle w:val="FootnoteText"/>
      </w:pPr>
      <w:r w:rsidRPr="002A5AA7">
        <w:rPr>
          <w:rStyle w:val="FootnoteReference"/>
        </w:rPr>
        <w:footnoteRef/>
      </w:r>
      <w:r w:rsidRPr="002A5AA7">
        <w:t xml:space="preserve"> </w:t>
      </w:r>
      <w:r w:rsidRPr="002A5AA7">
        <w:tab/>
      </w:r>
      <w:r>
        <w:t xml:space="preserve">Cabe señalar que las cifras de las solicitudes expuestas en el presente documento difieren de las indicadas en el documento PCT/WG/8/11, por dos motivos.  En primer lugar, los datos están actualizados y, por lo tanto, reflejan información adicional recibida por la Oficina Internacional, incluida información sobre los cambios en la titularidad.  En segundo lugar, la definición de solicitantes de universidades es distinta.  En concreto, en el estudio complementario anterior, se consideraba que una solicitud PCT era una solicitud presentada por una universidad si al menos uno de los solicitantes era una universidad;  en el presente documento, se considera que una solicitud PCT es una solicitud presentada por una universidad si al menos uno de los solicitantes es una universidad y si ninguno de los </w:t>
      </w:r>
      <w:proofErr w:type="spellStart"/>
      <w:r>
        <w:t>cosolicitantes</w:t>
      </w:r>
      <w:proofErr w:type="spellEnd"/>
      <w:r>
        <w:t xml:space="preserve"> (si los hubiere) es una persona jurídica.  De este modo se refleja la práctica vigente de aplicar únicamente las reducciones de tasas a las solicitudes respecto de las que todos los solicitantes reúnan los criterios aplicables pertinentes.  Por supuesto, esto se hace sin perjuicio de los criterios aplicables en el futuro para la reducción de tasas.</w:t>
      </w:r>
    </w:p>
  </w:footnote>
  <w:footnote w:id="6">
    <w:p w:rsidR="008B149B" w:rsidRPr="002A5AA7" w:rsidRDefault="008B149B" w:rsidP="008B149B">
      <w:pPr>
        <w:pStyle w:val="FootnoteText"/>
      </w:pPr>
      <w:r w:rsidRPr="002A5AA7">
        <w:rPr>
          <w:rStyle w:val="FootnoteReference"/>
        </w:rPr>
        <w:footnoteRef/>
      </w:r>
      <w:r w:rsidRPr="002A5AA7">
        <w:t xml:space="preserve"> </w:t>
      </w:r>
      <w:r w:rsidRPr="002A5AA7">
        <w:tab/>
      </w:r>
      <w:r w:rsidRPr="00724B01">
        <w:t>Cabe señalar que en los datos de ingresos de tasas utilizados en el presente documento se tienen en cuenta las reducciones de tasas en el caso de la presentación electrónica.  Esto explica por qué los promedios anuales de tasas indicados en los cuadros 2a y 2b y las pérdidas de ingresos indicadas</w:t>
      </w:r>
      <w:r>
        <w:t xml:space="preserve"> en</w:t>
      </w:r>
      <w:r w:rsidRPr="00724B01">
        <w:t xml:space="preserve"> </w:t>
      </w:r>
      <w:r>
        <w:t xml:space="preserve">los gráficos </w:t>
      </w:r>
      <w:r w:rsidRPr="00724B01">
        <w:t xml:space="preserve">2a y 2b son en cierta medida inferiores a los del cuadro 4 del </w:t>
      </w:r>
      <w:r>
        <w:t xml:space="preserve"> </w:t>
      </w:r>
      <w:r w:rsidRPr="00724B01">
        <w:t>document</w:t>
      </w:r>
      <w:r>
        <w:t xml:space="preserve">o </w:t>
      </w:r>
      <w:r w:rsidRPr="002A5AA7">
        <w:t xml:space="preserve">PCT/WG/8/11, </w:t>
      </w:r>
      <w:r>
        <w:t>en los que no se tenían en cuenta dichas reducciones</w:t>
      </w:r>
      <w:r w:rsidRPr="002A5AA7">
        <w:t>.</w:t>
      </w:r>
      <w:r>
        <w:t xml:space="preserve"> </w:t>
      </w:r>
    </w:p>
  </w:footnote>
  <w:footnote w:id="7">
    <w:p w:rsidR="008B149B" w:rsidRPr="002A5AA7" w:rsidRDefault="008B149B" w:rsidP="008B149B">
      <w:pPr>
        <w:pStyle w:val="FootnoteText"/>
      </w:pPr>
      <w:r w:rsidRPr="002A5AA7">
        <w:rPr>
          <w:rStyle w:val="FootnoteReference"/>
        </w:rPr>
        <w:footnoteRef/>
      </w:r>
      <w:r>
        <w:t xml:space="preserve"> </w:t>
      </w:r>
      <w:r>
        <w:tab/>
        <w:t>Matemáticamente</w:t>
      </w:r>
      <w:r w:rsidRPr="002A5AA7">
        <w:t xml:space="preserve">, </w:t>
      </w:r>
      <w:r>
        <w:t xml:space="preserve">si </w:t>
      </w:r>
      <w:r w:rsidRPr="002A5AA7">
        <w:rPr>
          <w:i/>
        </w:rPr>
        <w:t>E</w:t>
      </w:r>
      <w:r>
        <w:t xml:space="preserve"> denota el número de solicitudes que tienen derecho a la reducción de tasas,</w:t>
      </w:r>
      <w:r w:rsidRPr="002A5AA7">
        <w:t xml:space="preserve"> </w:t>
      </w:r>
      <w:r w:rsidRPr="002A5AA7">
        <w:rPr>
          <w:i/>
        </w:rPr>
        <w:t>f</w:t>
      </w:r>
      <w:r w:rsidRPr="002A5AA7">
        <w:t xml:space="preserve"> </w:t>
      </w:r>
      <w:r>
        <w:t xml:space="preserve">el porcentaje </w:t>
      </w:r>
      <w:r w:rsidRPr="002A5AA7">
        <w:t xml:space="preserve"> </w:t>
      </w:r>
      <w:r>
        <w:t xml:space="preserve">de reducción de tasas, </w:t>
      </w:r>
      <w:r w:rsidRPr="002A5AA7">
        <w:rPr>
          <w:i/>
        </w:rPr>
        <w:t>ε</w:t>
      </w:r>
      <w:r w:rsidRPr="002A5AA7">
        <w:t xml:space="preserve"> </w:t>
      </w:r>
      <w:r>
        <w:t xml:space="preserve">el cálculo de la elasticidad de las tasas y </w:t>
      </w:r>
      <w:r w:rsidRPr="002A5AA7">
        <w:rPr>
          <w:i/>
        </w:rPr>
        <w:t>a</w:t>
      </w:r>
      <w:r w:rsidRPr="002A5AA7">
        <w:t xml:space="preserve"> </w:t>
      </w:r>
      <w:r>
        <w:t xml:space="preserve">la tasa media, el número de solicitudes adicionales, </w:t>
      </w:r>
      <w:r w:rsidRPr="002A5AA7">
        <w:rPr>
          <w:i/>
        </w:rPr>
        <w:t>X</w:t>
      </w:r>
      <w:r>
        <w:t xml:space="preserve">, generado por la reducción de tasas se obtiene mediante </w:t>
      </w:r>
      <w:r w:rsidRPr="002A5AA7">
        <w:rPr>
          <w:i/>
        </w:rPr>
        <w:t>X</w:t>
      </w:r>
      <w:r w:rsidRPr="002A5AA7">
        <w:t>=</w:t>
      </w:r>
      <w:r w:rsidRPr="002A5AA7">
        <w:rPr>
          <w:i/>
        </w:rPr>
        <w:t>f*E* ε</w:t>
      </w:r>
      <w:r w:rsidRPr="002A5AA7">
        <w:t xml:space="preserve"> </w:t>
      </w:r>
      <w:r>
        <w:t>y la pérdida de ingresos</w:t>
      </w:r>
      <w:r w:rsidRPr="002A5AA7">
        <w:t xml:space="preserve"> (net</w:t>
      </w:r>
      <w:r>
        <w:t>a</w:t>
      </w:r>
      <w:r w:rsidRPr="002A5AA7">
        <w:t xml:space="preserve">), </w:t>
      </w:r>
      <w:r w:rsidRPr="002A5AA7">
        <w:rPr>
          <w:i/>
        </w:rPr>
        <w:t>I</w:t>
      </w:r>
      <w:r w:rsidRPr="002A5AA7">
        <w:t xml:space="preserve">, </w:t>
      </w:r>
      <w:r>
        <w:t>mediante</w:t>
      </w:r>
      <w:r w:rsidRPr="002A5AA7">
        <w:t xml:space="preserve"> I=</w:t>
      </w:r>
      <w:r w:rsidRPr="002A5AA7">
        <w:rPr>
          <w:i/>
        </w:rPr>
        <w:t>f</w:t>
      </w:r>
      <w:r w:rsidRPr="002A5AA7">
        <w:t>*</w:t>
      </w:r>
      <w:r w:rsidRPr="002A5AA7">
        <w:rPr>
          <w:i/>
        </w:rPr>
        <w:t>a</w:t>
      </w:r>
      <w:r w:rsidRPr="002A5AA7">
        <w:t>*</w:t>
      </w:r>
      <w:r w:rsidRPr="002A5AA7">
        <w:rPr>
          <w:i/>
        </w:rPr>
        <w:t>E</w:t>
      </w:r>
      <w:r w:rsidRPr="002A5AA7">
        <w:t xml:space="preserve"> – (1-</w:t>
      </w:r>
      <w:r w:rsidRPr="002A5AA7">
        <w:rPr>
          <w:i/>
        </w:rPr>
        <w:t>f</w:t>
      </w:r>
      <w:r w:rsidRPr="002A5AA7">
        <w:t>)*</w:t>
      </w:r>
      <w:r w:rsidRPr="002A5AA7">
        <w:rPr>
          <w:i/>
        </w:rPr>
        <w:t>a</w:t>
      </w:r>
      <w:r w:rsidRPr="002A5AA7">
        <w:t>*</w:t>
      </w:r>
      <w:r w:rsidRPr="002A5AA7">
        <w:rPr>
          <w:i/>
        </w:rPr>
        <w:t>X</w:t>
      </w:r>
      <w:r w:rsidRPr="002A5AA7">
        <w:t xml:space="preserve">. </w:t>
      </w:r>
      <w:r>
        <w:t xml:space="preserve"> Entonces, resulta fácil indicar que la pérdida de ingresos por solicitud asciende a </w:t>
      </w:r>
      <w:r w:rsidRPr="002A5AA7">
        <w:rPr>
          <w:i/>
        </w:rPr>
        <w:t>I</w:t>
      </w:r>
      <w:r w:rsidRPr="002A5AA7">
        <w:t>/</w:t>
      </w:r>
      <w:r w:rsidRPr="002A5AA7">
        <w:rPr>
          <w:i/>
        </w:rPr>
        <w:t>X</w:t>
      </w:r>
      <w:r w:rsidRPr="002A5AA7">
        <w:t>=</w:t>
      </w:r>
      <w:r w:rsidRPr="002A5AA7">
        <w:rPr>
          <w:i/>
        </w:rPr>
        <w:t>a</w:t>
      </w:r>
      <w:r w:rsidRPr="002A5AA7">
        <w:t>*(1-(1-</w:t>
      </w:r>
      <w:r w:rsidRPr="002A5AA7">
        <w:rPr>
          <w:i/>
        </w:rPr>
        <w:t>f</w:t>
      </w:r>
      <w:r w:rsidRPr="002A5AA7">
        <w:t>)*</w:t>
      </w:r>
      <w:r w:rsidRPr="002A5AA7">
        <w:rPr>
          <w:i/>
        </w:rPr>
        <w:t xml:space="preserve"> ε</w:t>
      </w:r>
      <w:r w:rsidRPr="002A5AA7">
        <w:t>)/</w:t>
      </w:r>
      <w:r w:rsidRPr="002A5AA7">
        <w:rPr>
          <w:i/>
        </w:rPr>
        <w:t xml:space="preserve"> ε</w:t>
      </w:r>
      <w:r w:rsidRPr="002A5AA7">
        <w:t xml:space="preserve">, </w:t>
      </w:r>
      <w:r>
        <w:t xml:space="preserve">que es independiente del número de solicitudes con derecho a reducción, </w:t>
      </w:r>
      <w:r w:rsidRPr="002A5AA7">
        <w:rPr>
          <w:i/>
        </w:rPr>
        <w:t>E</w:t>
      </w:r>
      <w:r w:rsidRPr="002A5AA7">
        <w:t>.</w:t>
      </w:r>
      <w:r>
        <w:t xml:space="preserve"> </w:t>
      </w:r>
    </w:p>
  </w:footnote>
  <w:footnote w:id="8">
    <w:p w:rsidR="008B149B" w:rsidRPr="002A5AA7" w:rsidRDefault="008B149B" w:rsidP="008B149B">
      <w:pPr>
        <w:pStyle w:val="FootnoteText"/>
      </w:pPr>
      <w:r w:rsidRPr="002A5AA7">
        <w:rPr>
          <w:rStyle w:val="FootnoteReference"/>
        </w:rPr>
        <w:footnoteRef/>
      </w:r>
      <w:r w:rsidRPr="002A5AA7">
        <w:t xml:space="preserve"> </w:t>
      </w:r>
      <w:r w:rsidRPr="002A5AA7">
        <w:tab/>
      </w:r>
      <w:r>
        <w:t>Como se indica en la nota precedente, la pérdida de ingresos por solicitud depende de la tasa media en la hipótesis de referencia y del valor de la elasticidad.  Como la tasa media entre los dos grupos de países es parecida, la diferencia principal en la pérdida de ingresos se debe al valor de la elasticidad.</w:t>
      </w:r>
    </w:p>
  </w:footnote>
  <w:footnote w:id="9">
    <w:p w:rsidR="008B149B" w:rsidRPr="002A5AA7" w:rsidRDefault="008B149B" w:rsidP="008B149B">
      <w:pPr>
        <w:pStyle w:val="FootnoteText"/>
      </w:pPr>
      <w:r w:rsidRPr="002A5AA7">
        <w:rPr>
          <w:rStyle w:val="FootnoteReference"/>
        </w:rPr>
        <w:footnoteRef/>
      </w:r>
      <w:r w:rsidRPr="002A5AA7">
        <w:t xml:space="preserve"> </w:t>
      </w:r>
      <w:r w:rsidRPr="002A5AA7">
        <w:tab/>
      </w:r>
      <w:r>
        <w:t xml:space="preserve">Como se describe en el documento PCT/WG/8/11, otra limitación es que el modelo econométrico en que se basa el cálculo de la elasticidad de las tasas </w:t>
      </w:r>
      <w:r w:rsidRPr="00805EF4">
        <w:t>toma en consideración la elección que afrontan los solicitantes entre la vía de París y la del PCT para la presentación de solicitudes d</w:t>
      </w:r>
      <w:r>
        <w:t>e patente a nivel internacional;  e</w:t>
      </w:r>
      <w:r w:rsidRPr="00805EF4">
        <w:t xml:space="preserve">n dicho modelo se pasa por alto que el nivel de las tasas del PCT podría influir en la decisión que, para empezar, deben tomar los solicitantes de presentar solicitudes de </w:t>
      </w:r>
      <w:r>
        <w:t>patente a nivel internacional.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9B" w:rsidRPr="00932DB4" w:rsidRDefault="008B149B" w:rsidP="00E74A2A">
    <w:pPr>
      <w:pStyle w:val="Header"/>
      <w:jc w:val="right"/>
    </w:pPr>
    <w:r w:rsidRPr="00932DB4">
      <w:t>PCT/WG/10/2</w:t>
    </w:r>
  </w:p>
  <w:p w:rsidR="008B149B" w:rsidRPr="00932DB4" w:rsidRDefault="008B149B" w:rsidP="00E74A2A">
    <w:pPr>
      <w:pStyle w:val="Header"/>
      <w:jc w:val="right"/>
      <w:rPr>
        <w:noProof/>
      </w:rPr>
    </w:pPr>
    <w:proofErr w:type="gramStart"/>
    <w:r w:rsidRPr="00932DB4">
      <w:t>página</w:t>
    </w:r>
    <w:proofErr w:type="gramEnd"/>
    <w:r w:rsidRPr="00932DB4">
      <w:t xml:space="preserve"> </w:t>
    </w:r>
    <w:r w:rsidRPr="00932DB4">
      <w:fldChar w:fldCharType="begin"/>
    </w:r>
    <w:r w:rsidRPr="00932DB4">
      <w:instrText xml:space="preserve"> PAGE   \* MERGEFORMAT </w:instrText>
    </w:r>
    <w:r w:rsidRPr="00932DB4">
      <w:fldChar w:fldCharType="separate"/>
    </w:r>
    <w:r w:rsidR="007C2AE4">
      <w:rPr>
        <w:noProof/>
      </w:rPr>
      <w:t>8</w:t>
    </w:r>
    <w:r w:rsidRPr="00932DB4">
      <w:rPr>
        <w:noProof/>
      </w:rPr>
      <w:fldChar w:fldCharType="end"/>
    </w:r>
  </w:p>
  <w:p w:rsidR="008B149B" w:rsidRPr="00932DB4" w:rsidRDefault="008B149B" w:rsidP="00E74A2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98430D" w:rsidP="00477D6B">
    <w:pPr>
      <w:jc w:val="right"/>
    </w:pPr>
    <w:bookmarkStart w:id="6" w:name="Code2"/>
    <w:bookmarkEnd w:id="6"/>
    <w:r>
      <w:t>PCT/WG/10/2</w:t>
    </w:r>
  </w:p>
  <w:p w:rsidR="00AE7F20" w:rsidRDefault="00AE7F20" w:rsidP="00477D6B">
    <w:pPr>
      <w:jc w:val="right"/>
    </w:pPr>
    <w:proofErr w:type="gramStart"/>
    <w:r>
      <w:t>página</w:t>
    </w:r>
    <w:proofErr w:type="gramEnd"/>
    <w:r>
      <w:t xml:space="preserve"> </w:t>
    </w:r>
    <w:r>
      <w:fldChar w:fldCharType="begin"/>
    </w:r>
    <w:r>
      <w:instrText xml:space="preserve"> PAGE  \* MERGEFORMAT </w:instrText>
    </w:r>
    <w:r>
      <w:fldChar w:fldCharType="separate"/>
    </w:r>
    <w:r w:rsidR="007C2AE4">
      <w:rPr>
        <w:noProof/>
      </w:rPr>
      <w:t>12</w:t>
    </w:r>
    <w:r>
      <w:fldChar w:fldCharType="end"/>
    </w:r>
  </w:p>
  <w:p w:rsidR="00AE7F20" w:rsidRDefault="00AE7F2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302" w:rsidRPr="00932DB4" w:rsidRDefault="006C7302" w:rsidP="006C7302">
    <w:pPr>
      <w:pStyle w:val="Header"/>
      <w:jc w:val="right"/>
    </w:pPr>
    <w:r w:rsidRPr="00932DB4">
      <w:t>PCT/WG/10/2</w:t>
    </w:r>
  </w:p>
  <w:p w:rsidR="006C7302" w:rsidRPr="00932DB4" w:rsidRDefault="006C7302" w:rsidP="006C7302">
    <w:pPr>
      <w:pStyle w:val="Header"/>
      <w:jc w:val="right"/>
      <w:rPr>
        <w:noProof/>
      </w:rPr>
    </w:pPr>
    <w:proofErr w:type="gramStart"/>
    <w:r w:rsidRPr="00932DB4">
      <w:t>página</w:t>
    </w:r>
    <w:proofErr w:type="gramEnd"/>
    <w:r w:rsidRPr="00932DB4">
      <w:t xml:space="preserve"> </w:t>
    </w:r>
    <w:r w:rsidRPr="00932DB4">
      <w:fldChar w:fldCharType="begin"/>
    </w:r>
    <w:r w:rsidRPr="00932DB4">
      <w:instrText xml:space="preserve"> PAGE   \* MERGEFORMAT </w:instrText>
    </w:r>
    <w:r w:rsidRPr="00932DB4">
      <w:fldChar w:fldCharType="separate"/>
    </w:r>
    <w:r w:rsidR="007C2AE4">
      <w:rPr>
        <w:noProof/>
      </w:rPr>
      <w:t>9</w:t>
    </w:r>
    <w:r w:rsidRPr="00932DB4">
      <w:rPr>
        <w:noProof/>
      </w:rPr>
      <w:fldChar w:fldCharType="end"/>
    </w:r>
  </w:p>
  <w:p w:rsidR="006C7302" w:rsidRDefault="006C73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7A60D81"/>
    <w:multiLevelType w:val="hybridMultilevel"/>
    <w:tmpl w:val="6EDA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634D7E"/>
    <w:multiLevelType w:val="multilevel"/>
    <w:tmpl w:val="235CD20A"/>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30D"/>
    <w:rsid w:val="00010686"/>
    <w:rsid w:val="00052915"/>
    <w:rsid w:val="000E3BB3"/>
    <w:rsid w:val="000F064B"/>
    <w:rsid w:val="000F5E56"/>
    <w:rsid w:val="001362EE"/>
    <w:rsid w:val="00152CEA"/>
    <w:rsid w:val="001832A6"/>
    <w:rsid w:val="002634C4"/>
    <w:rsid w:val="002E0F47"/>
    <w:rsid w:val="002F4E68"/>
    <w:rsid w:val="00354647"/>
    <w:rsid w:val="00377273"/>
    <w:rsid w:val="003845C1"/>
    <w:rsid w:val="00387287"/>
    <w:rsid w:val="003E48F1"/>
    <w:rsid w:val="003F347A"/>
    <w:rsid w:val="00423E3E"/>
    <w:rsid w:val="00427AF4"/>
    <w:rsid w:val="0045231F"/>
    <w:rsid w:val="004647DA"/>
    <w:rsid w:val="0046793F"/>
    <w:rsid w:val="00477808"/>
    <w:rsid w:val="00477D6B"/>
    <w:rsid w:val="004A6C37"/>
    <w:rsid w:val="004E297D"/>
    <w:rsid w:val="00531B02"/>
    <w:rsid w:val="005332F0"/>
    <w:rsid w:val="0055013B"/>
    <w:rsid w:val="00571B99"/>
    <w:rsid w:val="00605827"/>
    <w:rsid w:val="00675021"/>
    <w:rsid w:val="006A06C6"/>
    <w:rsid w:val="006C7302"/>
    <w:rsid w:val="007224C8"/>
    <w:rsid w:val="00794BE2"/>
    <w:rsid w:val="007A5581"/>
    <w:rsid w:val="007B71FE"/>
    <w:rsid w:val="007C2AE4"/>
    <w:rsid w:val="007D781E"/>
    <w:rsid w:val="007E663E"/>
    <w:rsid w:val="00815082"/>
    <w:rsid w:val="0088395E"/>
    <w:rsid w:val="008B149B"/>
    <w:rsid w:val="008B2CC1"/>
    <w:rsid w:val="008E6BD6"/>
    <w:rsid w:val="0090731E"/>
    <w:rsid w:val="00966A22"/>
    <w:rsid w:val="00972F03"/>
    <w:rsid w:val="0098430D"/>
    <w:rsid w:val="009A0C8B"/>
    <w:rsid w:val="009B6241"/>
    <w:rsid w:val="00A16FC0"/>
    <w:rsid w:val="00A32C9E"/>
    <w:rsid w:val="00AA7798"/>
    <w:rsid w:val="00AB613D"/>
    <w:rsid w:val="00AE7F20"/>
    <w:rsid w:val="00B65A0A"/>
    <w:rsid w:val="00B67CDC"/>
    <w:rsid w:val="00B72D36"/>
    <w:rsid w:val="00BC4164"/>
    <w:rsid w:val="00BD2DCC"/>
    <w:rsid w:val="00C90559"/>
    <w:rsid w:val="00CA2251"/>
    <w:rsid w:val="00D56C7C"/>
    <w:rsid w:val="00D71B4D"/>
    <w:rsid w:val="00D90289"/>
    <w:rsid w:val="00D93D55"/>
    <w:rsid w:val="00DC4C60"/>
    <w:rsid w:val="00E0079A"/>
    <w:rsid w:val="00E444DA"/>
    <w:rsid w:val="00E45C84"/>
    <w:rsid w:val="00E4646A"/>
    <w:rsid w:val="00E504E5"/>
    <w:rsid w:val="00EB7A3E"/>
    <w:rsid w:val="00EC401A"/>
    <w:rsid w:val="00EF530A"/>
    <w:rsid w:val="00EF6622"/>
    <w:rsid w:val="00EF78A9"/>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98430D"/>
    <w:rPr>
      <w:rFonts w:ascii="Tahoma" w:hAnsi="Tahoma" w:cs="Tahoma"/>
      <w:sz w:val="16"/>
      <w:szCs w:val="16"/>
    </w:rPr>
  </w:style>
  <w:style w:type="character" w:customStyle="1" w:styleId="BalloonTextChar">
    <w:name w:val="Balloon Text Char"/>
    <w:basedOn w:val="DefaultParagraphFont"/>
    <w:link w:val="BalloonText"/>
    <w:rsid w:val="0098430D"/>
    <w:rPr>
      <w:rFonts w:ascii="Tahoma" w:eastAsia="SimSun" w:hAnsi="Tahoma" w:cs="Tahoma"/>
      <w:sz w:val="16"/>
      <w:szCs w:val="16"/>
      <w:lang w:val="es-ES" w:eastAsia="zh-CN"/>
    </w:rPr>
  </w:style>
  <w:style w:type="character" w:customStyle="1" w:styleId="ONUMEChar">
    <w:name w:val="ONUM E Char"/>
    <w:basedOn w:val="DefaultParagraphFont"/>
    <w:link w:val="ONUME"/>
    <w:rsid w:val="008B149B"/>
    <w:rPr>
      <w:rFonts w:ascii="Arial" w:eastAsia="SimSun" w:hAnsi="Arial" w:cs="Arial"/>
      <w:sz w:val="22"/>
      <w:lang w:val="es-ES" w:eastAsia="zh-CN"/>
    </w:rPr>
  </w:style>
  <w:style w:type="character" w:styleId="FootnoteReference">
    <w:name w:val="footnote reference"/>
    <w:basedOn w:val="DefaultParagraphFont"/>
    <w:rsid w:val="008B149B"/>
    <w:rPr>
      <w:vertAlign w:val="superscript"/>
    </w:rPr>
  </w:style>
  <w:style w:type="paragraph" w:styleId="ListParagraph">
    <w:name w:val="List Paragraph"/>
    <w:basedOn w:val="Normal"/>
    <w:uiPriority w:val="34"/>
    <w:qFormat/>
    <w:rsid w:val="008B149B"/>
    <w:pPr>
      <w:ind w:left="720"/>
      <w:contextualSpacing/>
    </w:pPr>
    <w:rPr>
      <w:lang w:val="en-US"/>
    </w:rPr>
  </w:style>
  <w:style w:type="character" w:customStyle="1" w:styleId="FooterChar">
    <w:name w:val="Footer Char"/>
    <w:basedOn w:val="DefaultParagraphFont"/>
    <w:link w:val="Footer"/>
    <w:uiPriority w:val="99"/>
    <w:rsid w:val="008B149B"/>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98430D"/>
    <w:rPr>
      <w:rFonts w:ascii="Tahoma" w:hAnsi="Tahoma" w:cs="Tahoma"/>
      <w:sz w:val="16"/>
      <w:szCs w:val="16"/>
    </w:rPr>
  </w:style>
  <w:style w:type="character" w:customStyle="1" w:styleId="BalloonTextChar">
    <w:name w:val="Balloon Text Char"/>
    <w:basedOn w:val="DefaultParagraphFont"/>
    <w:link w:val="BalloonText"/>
    <w:rsid w:val="0098430D"/>
    <w:rPr>
      <w:rFonts w:ascii="Tahoma" w:eastAsia="SimSun" w:hAnsi="Tahoma" w:cs="Tahoma"/>
      <w:sz w:val="16"/>
      <w:szCs w:val="16"/>
      <w:lang w:val="es-ES" w:eastAsia="zh-CN"/>
    </w:rPr>
  </w:style>
  <w:style w:type="character" w:customStyle="1" w:styleId="ONUMEChar">
    <w:name w:val="ONUM E Char"/>
    <w:basedOn w:val="DefaultParagraphFont"/>
    <w:link w:val="ONUME"/>
    <w:rsid w:val="008B149B"/>
    <w:rPr>
      <w:rFonts w:ascii="Arial" w:eastAsia="SimSun" w:hAnsi="Arial" w:cs="Arial"/>
      <w:sz w:val="22"/>
      <w:lang w:val="es-ES" w:eastAsia="zh-CN"/>
    </w:rPr>
  </w:style>
  <w:style w:type="character" w:styleId="FootnoteReference">
    <w:name w:val="footnote reference"/>
    <w:basedOn w:val="DefaultParagraphFont"/>
    <w:rsid w:val="008B149B"/>
    <w:rPr>
      <w:vertAlign w:val="superscript"/>
    </w:rPr>
  </w:style>
  <w:style w:type="paragraph" w:styleId="ListParagraph">
    <w:name w:val="List Paragraph"/>
    <w:basedOn w:val="Normal"/>
    <w:uiPriority w:val="34"/>
    <w:qFormat/>
    <w:rsid w:val="008B149B"/>
    <w:pPr>
      <w:ind w:left="720"/>
      <w:contextualSpacing/>
    </w:pPr>
    <w:rPr>
      <w:lang w:val="en-US"/>
    </w:rPr>
  </w:style>
  <w:style w:type="character" w:customStyle="1" w:styleId="FooterChar">
    <w:name w:val="Footer Char"/>
    <w:basedOn w:val="DefaultParagraphFont"/>
    <w:link w:val="Footer"/>
    <w:uiPriority w:val="99"/>
    <w:rsid w:val="008B149B"/>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1BFF6-D88F-4C03-8935-2C9A32C86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10 (S)</Template>
  <TotalTime>2</TotalTime>
  <Pages>12</Pages>
  <Words>3154</Words>
  <Characters>16572</Characters>
  <Application>Microsoft Office Word</Application>
  <DocSecurity>0</DocSecurity>
  <Lines>138</Lines>
  <Paragraphs>39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PCT/WG/10/</vt:lpstr>
      <vt:lpstr>IntroducCIÓN</vt:lpstr>
      <vt:lpstr>IDENTIFICAR LAS UNIVERSIDADES Y LAS INSTITUCIONES PÚBLICAS DE INVESTIGACIÓN EN L</vt:lpstr>
      <vt:lpstr>SIMULACIONES ADICIONALES DE LOS EFECTOS en el VOLUMEN y los INGRESOS EN PRESENCI</vt:lpstr>
      <vt:lpstr>COMENTARIO FINAL</vt:lpstr>
    </vt:vector>
  </TitlesOfParts>
  <Company>WIPO</Company>
  <LinksUpToDate>false</LinksUpToDate>
  <CharactersWithSpaces>19687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dc:title>
  <dc:subject>Second Supplement to "Estimating a PCT Fee Elasticity" Study</dc:subject>
  <dc:creator>MARLOW Thomas</dc:creator>
  <cp:lastModifiedBy>MARLOW Thomas</cp:lastModifiedBy>
  <cp:revision>5</cp:revision>
  <dcterms:created xsi:type="dcterms:W3CDTF">2017-01-06T14:40:00Z</dcterms:created>
  <dcterms:modified xsi:type="dcterms:W3CDTF">2017-01-11T14:23:00Z</dcterms:modified>
</cp:coreProperties>
</file>