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CDD3" w14:textId="77777777" w:rsidR="008B2CC1" w:rsidRPr="009F0446" w:rsidRDefault="00472A6E" w:rsidP="00761D20">
      <w:pPr>
        <w:pBdr>
          <w:bottom w:val="single" w:sz="4" w:space="11" w:color="auto"/>
        </w:pBdr>
        <w:spacing w:after="120"/>
        <w:ind w:right="-57"/>
        <w:jc w:val="right"/>
        <w:rPr>
          <w:lang w:val="es-ES_tradnl"/>
        </w:rPr>
      </w:pPr>
      <w:r w:rsidRPr="009F0446">
        <w:rPr>
          <w:noProof/>
          <w:lang w:val="es-ES_tradnl" w:eastAsia="en-US"/>
        </w:rPr>
        <w:drawing>
          <wp:inline distT="0" distB="0" distL="0" distR="0" wp14:anchorId="35F46680" wp14:editId="7C0D1E5A">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6C21083" w14:textId="12C9A136" w:rsidR="00472A6E" w:rsidRPr="009F0446" w:rsidRDefault="00927287" w:rsidP="00472A6E">
      <w:pPr>
        <w:jc w:val="right"/>
        <w:rPr>
          <w:rFonts w:ascii="Arial Black" w:hAnsi="Arial Black"/>
          <w:caps/>
          <w:sz w:val="15"/>
          <w:lang w:val="es-ES_tradnl"/>
        </w:rPr>
      </w:pPr>
      <w:r w:rsidRPr="009F0446">
        <w:rPr>
          <w:rFonts w:ascii="Arial Black" w:hAnsi="Arial Black"/>
          <w:caps/>
          <w:sz w:val="15"/>
          <w:lang w:val="es-ES_tradnl"/>
        </w:rPr>
        <w:t>PCT/CTC/3</w:t>
      </w:r>
      <w:r w:rsidR="00611529" w:rsidRPr="009F0446">
        <w:rPr>
          <w:rFonts w:ascii="Arial Black" w:hAnsi="Arial Black"/>
          <w:caps/>
          <w:sz w:val="15"/>
          <w:lang w:val="es-ES_tradnl"/>
        </w:rPr>
        <w:t>3</w:t>
      </w:r>
      <w:r w:rsidRPr="009F0446">
        <w:rPr>
          <w:rFonts w:ascii="Arial Black" w:hAnsi="Arial Black"/>
          <w:caps/>
          <w:sz w:val="15"/>
          <w:lang w:val="es-ES_tradnl"/>
        </w:rPr>
        <w:t>/</w:t>
      </w:r>
      <w:bookmarkStart w:id="0" w:name="Code"/>
      <w:bookmarkEnd w:id="0"/>
      <w:r w:rsidR="009F0446" w:rsidRPr="009F0446">
        <w:rPr>
          <w:rFonts w:ascii="Arial Black" w:hAnsi="Arial Black"/>
          <w:caps/>
          <w:sz w:val="15"/>
          <w:lang w:val="es-ES_tradnl"/>
        </w:rPr>
        <w:t>8</w:t>
      </w:r>
    </w:p>
    <w:p w14:paraId="6E004AE7" w14:textId="48CFD47C" w:rsidR="008B2CC1" w:rsidRPr="009F0446" w:rsidRDefault="00472A6E" w:rsidP="00472A6E">
      <w:pPr>
        <w:jc w:val="right"/>
        <w:rPr>
          <w:lang w:val="es-ES_tradnl"/>
        </w:rPr>
      </w:pPr>
      <w:r w:rsidRPr="009F0446">
        <w:rPr>
          <w:rFonts w:ascii="Arial Black" w:hAnsi="Arial Black"/>
          <w:caps/>
          <w:sz w:val="15"/>
          <w:lang w:val="es-ES_tradnl"/>
        </w:rPr>
        <w:t xml:space="preserve">ORIGINAL: </w:t>
      </w:r>
      <w:bookmarkStart w:id="1" w:name="Original"/>
      <w:r w:rsidR="009F0446" w:rsidRPr="009F0446">
        <w:rPr>
          <w:rFonts w:ascii="Arial Black" w:hAnsi="Arial Black"/>
          <w:caps/>
          <w:sz w:val="15"/>
          <w:lang w:val="es-ES_tradnl"/>
        </w:rPr>
        <w:t>INGLÉS</w:t>
      </w:r>
      <w:r w:rsidR="00916204">
        <w:rPr>
          <w:rFonts w:ascii="Arial Black" w:hAnsi="Arial Black"/>
          <w:caps/>
          <w:sz w:val="15"/>
          <w:lang w:val="es-ES_tradnl"/>
        </w:rPr>
        <w:t xml:space="preserve"> / Ruso</w:t>
      </w:r>
    </w:p>
    <w:bookmarkEnd w:id="1"/>
    <w:p w14:paraId="1C466D8A" w14:textId="41A4E122" w:rsidR="008B2CC1" w:rsidRPr="009F0446" w:rsidRDefault="00472A6E" w:rsidP="00472A6E">
      <w:pPr>
        <w:spacing w:after="1200"/>
        <w:jc w:val="right"/>
        <w:rPr>
          <w:lang w:val="es-ES_tradnl"/>
        </w:rPr>
      </w:pPr>
      <w:r w:rsidRPr="009F0446">
        <w:rPr>
          <w:rFonts w:ascii="Arial Black" w:hAnsi="Arial Black"/>
          <w:caps/>
          <w:sz w:val="15"/>
          <w:lang w:val="es-ES_tradnl"/>
        </w:rPr>
        <w:t xml:space="preserve">fecha: </w:t>
      </w:r>
      <w:bookmarkStart w:id="2" w:name="Date"/>
      <w:r w:rsidR="009F0446" w:rsidRPr="009F0446">
        <w:rPr>
          <w:rFonts w:ascii="Arial Black" w:hAnsi="Arial Black"/>
          <w:caps/>
          <w:sz w:val="15"/>
          <w:lang w:val="es-ES_tradnl"/>
        </w:rPr>
        <w:t>19 DE DICIEMBRE DE 2025</w:t>
      </w:r>
    </w:p>
    <w:bookmarkEnd w:id="2"/>
    <w:p w14:paraId="54E51715" w14:textId="77777777" w:rsidR="00927287" w:rsidRPr="009F0446" w:rsidRDefault="00927287" w:rsidP="00927287">
      <w:pPr>
        <w:rPr>
          <w:b/>
          <w:sz w:val="28"/>
          <w:szCs w:val="28"/>
          <w:lang w:val="es-ES_tradnl"/>
        </w:rPr>
      </w:pPr>
      <w:r w:rsidRPr="009F0446">
        <w:rPr>
          <w:b/>
          <w:sz w:val="28"/>
          <w:szCs w:val="28"/>
          <w:lang w:val="es-ES_tradnl"/>
        </w:rPr>
        <w:t>Tratado de Cooperación en materia de Patentes (PCT)</w:t>
      </w:r>
    </w:p>
    <w:p w14:paraId="73B35332" w14:textId="77777777" w:rsidR="00B67CDC" w:rsidRPr="009F0446" w:rsidRDefault="00927287" w:rsidP="00927287">
      <w:pPr>
        <w:pStyle w:val="Heading1"/>
        <w:spacing w:before="0" w:after="480"/>
        <w:rPr>
          <w:sz w:val="28"/>
          <w:lang w:val="es-ES_tradnl"/>
        </w:rPr>
      </w:pPr>
      <w:r w:rsidRPr="009F0446">
        <w:rPr>
          <w:caps w:val="0"/>
          <w:sz w:val="28"/>
          <w:szCs w:val="28"/>
          <w:lang w:val="es-ES_tradnl"/>
        </w:rPr>
        <w:t>Comité de Cooperación Técnica</w:t>
      </w:r>
      <w:r w:rsidRPr="009F0446">
        <w:rPr>
          <w:caps w:val="0"/>
          <w:sz w:val="28"/>
          <w:lang w:val="es-ES_tradnl"/>
        </w:rPr>
        <w:t xml:space="preserve"> </w:t>
      </w:r>
    </w:p>
    <w:p w14:paraId="418BABCF" w14:textId="77777777" w:rsidR="005B2EAE" w:rsidRPr="009F0446" w:rsidRDefault="00927287" w:rsidP="005B2EAE">
      <w:pPr>
        <w:outlineLvl w:val="1"/>
        <w:rPr>
          <w:b/>
          <w:sz w:val="24"/>
          <w:szCs w:val="24"/>
          <w:lang w:val="es-ES_tradnl"/>
        </w:rPr>
      </w:pPr>
      <w:r w:rsidRPr="009F0446">
        <w:rPr>
          <w:b/>
          <w:sz w:val="24"/>
          <w:szCs w:val="24"/>
          <w:lang w:val="es-ES_tradnl"/>
        </w:rPr>
        <w:t xml:space="preserve">Trigésima </w:t>
      </w:r>
      <w:r w:rsidR="00220365" w:rsidRPr="009F0446">
        <w:rPr>
          <w:b/>
          <w:sz w:val="24"/>
          <w:szCs w:val="24"/>
          <w:lang w:val="es-ES_tradnl"/>
        </w:rPr>
        <w:t>tercer</w:t>
      </w:r>
      <w:r w:rsidRPr="009F0446">
        <w:rPr>
          <w:b/>
          <w:sz w:val="24"/>
          <w:szCs w:val="24"/>
          <w:lang w:val="es-ES_tradnl"/>
        </w:rPr>
        <w:t>a sesión</w:t>
      </w:r>
    </w:p>
    <w:p w14:paraId="264B0DC6" w14:textId="77777777" w:rsidR="00B67CDC" w:rsidRPr="009F0446" w:rsidRDefault="00927287" w:rsidP="00472A6E">
      <w:pPr>
        <w:spacing w:after="720"/>
        <w:outlineLvl w:val="1"/>
        <w:rPr>
          <w:b/>
          <w:sz w:val="24"/>
          <w:szCs w:val="24"/>
          <w:lang w:val="es-ES_tradnl"/>
        </w:rPr>
      </w:pPr>
      <w:r w:rsidRPr="009F0446">
        <w:rPr>
          <w:b/>
          <w:sz w:val="24"/>
          <w:szCs w:val="24"/>
          <w:lang w:val="es-ES_tradnl"/>
        </w:rPr>
        <w:t xml:space="preserve">Ginebra, </w:t>
      </w:r>
      <w:r w:rsidR="00220365" w:rsidRPr="009F0446">
        <w:rPr>
          <w:b/>
          <w:sz w:val="24"/>
          <w:szCs w:val="24"/>
          <w:lang w:val="es-ES_tradnl"/>
        </w:rPr>
        <w:t>2 a 6 de febrero</w:t>
      </w:r>
      <w:r w:rsidRPr="009F0446">
        <w:rPr>
          <w:b/>
          <w:sz w:val="24"/>
          <w:szCs w:val="24"/>
          <w:lang w:val="es-ES_tradnl"/>
        </w:rPr>
        <w:t xml:space="preserve"> de 202</w:t>
      </w:r>
      <w:r w:rsidR="00DB7E59" w:rsidRPr="009F0446">
        <w:rPr>
          <w:b/>
          <w:sz w:val="24"/>
          <w:szCs w:val="24"/>
          <w:lang w:val="es-ES_tradnl"/>
        </w:rPr>
        <w:t>6</w:t>
      </w:r>
    </w:p>
    <w:p w14:paraId="285C3C26" w14:textId="3D28C16D" w:rsidR="008B2CC1" w:rsidRPr="009F0446" w:rsidRDefault="009F0446" w:rsidP="00472A6E">
      <w:pPr>
        <w:spacing w:after="360"/>
        <w:rPr>
          <w:caps/>
          <w:sz w:val="24"/>
          <w:lang w:val="es-ES_tradnl"/>
        </w:rPr>
      </w:pPr>
      <w:bookmarkStart w:id="3" w:name="TitleOfDoc"/>
      <w:r w:rsidRPr="009F0446">
        <w:rPr>
          <w:sz w:val="24"/>
          <w:lang w:val="es-ES_tradnl"/>
        </w:rPr>
        <w:t xml:space="preserve">PRÓRROGA DE LA DESIGNACIÓN DE LA OFICINA EURASIÁTICA DE PATENTES </w:t>
      </w:r>
      <w:r w:rsidR="00F4137E" w:rsidRPr="0013109E">
        <w:rPr>
          <w:caps/>
          <w:sz w:val="24"/>
          <w:lang w:val="es-419"/>
        </w:rPr>
        <w:t>EN CALIDAD DE ADMINISTRACIÓN ENCARGADA DE LA BÚSQUEDA INTERNACIONAL Y DEL EXAMEN PRELIMINAR INTERNACIONAL EN VIRTUD DEL</w:t>
      </w:r>
      <w:r w:rsidR="00F4137E">
        <w:rPr>
          <w:caps/>
          <w:sz w:val="24"/>
          <w:lang w:val="es-419"/>
        </w:rPr>
        <w:t> </w:t>
      </w:r>
      <w:r w:rsidR="00F4137E" w:rsidRPr="0013109E">
        <w:rPr>
          <w:caps/>
          <w:sz w:val="24"/>
          <w:lang w:val="es-419"/>
        </w:rPr>
        <w:t>PCT</w:t>
      </w:r>
    </w:p>
    <w:p w14:paraId="757C41C3" w14:textId="790D45FC" w:rsidR="008B2CC1" w:rsidRPr="009F0446" w:rsidRDefault="009F0446" w:rsidP="00472A6E">
      <w:pPr>
        <w:spacing w:after="1040"/>
        <w:rPr>
          <w:i/>
          <w:lang w:val="es-ES_tradnl"/>
        </w:rPr>
      </w:pPr>
      <w:bookmarkStart w:id="4" w:name="Prepared"/>
      <w:bookmarkEnd w:id="3"/>
      <w:bookmarkEnd w:id="4"/>
      <w:r w:rsidRPr="009F0446">
        <w:rPr>
          <w:i/>
          <w:lang w:val="es-ES_tradnl"/>
        </w:rPr>
        <w:t>Documento preparado por la Oficina Internacional</w:t>
      </w:r>
    </w:p>
    <w:p w14:paraId="6D832813" w14:textId="77777777" w:rsidR="009F0446" w:rsidRPr="009F0446" w:rsidRDefault="009F0446" w:rsidP="009F0446">
      <w:pPr>
        <w:pStyle w:val="ONUMFS"/>
        <w:rPr>
          <w:lang w:val="es-ES_tradnl"/>
        </w:rPr>
      </w:pPr>
      <w:r w:rsidRPr="009F0446">
        <w:rPr>
          <w:lang w:val="es-ES_tradnl"/>
        </w:rPr>
        <w:t>Todas las Administraciones internacionales existentes fueron designadas por la Asamblea de la Unión del PCT por un plazo que expirará el 31 de diciembre de 2027. 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w:t>
      </w:r>
      <w:proofErr w:type="gramStart"/>
      <w:r w:rsidRPr="009F0446">
        <w:rPr>
          <w:lang w:val="es-ES_tradnl"/>
        </w:rPr>
        <w:t>16.3)e</w:t>
      </w:r>
      <w:proofErr w:type="gramEnd"/>
      <w:r w:rsidRPr="009F0446">
        <w:rPr>
          <w:lang w:val="es-ES_tradnl"/>
        </w:rPr>
        <w:t xml:space="preserve">) y 32.3) del PCT). El documento PCT/CTC/33/INF/1 contiene más información sobre este proceso y sobre la función del Comité en el marco </w:t>
      </w:r>
      <w:proofErr w:type="gramStart"/>
      <w:r w:rsidRPr="009F0446">
        <w:rPr>
          <w:lang w:val="es-ES_tradnl"/>
        </w:rPr>
        <w:t>del mismo</w:t>
      </w:r>
      <w:proofErr w:type="gramEnd"/>
      <w:r w:rsidRPr="009F0446">
        <w:rPr>
          <w:lang w:val="es-ES_tradnl"/>
        </w:rPr>
        <w:t>.</w:t>
      </w:r>
    </w:p>
    <w:p w14:paraId="5BA545D4" w14:textId="77777777" w:rsidR="009F0446" w:rsidRPr="009F0446" w:rsidRDefault="009F0446" w:rsidP="009F0446">
      <w:pPr>
        <w:pStyle w:val="ONUMFS"/>
        <w:rPr>
          <w:lang w:val="es-ES_tradnl"/>
        </w:rPr>
      </w:pPr>
      <w:r w:rsidRPr="009F0446">
        <w:rPr>
          <w:lang w:val="es-ES_tradnl"/>
        </w:rPr>
        <w:t>El 24 de noviembre de 2025, la Oficina Eurasiática de Patentes presentó su solicitud de prórroga de la designación, que se reproduce en el Anexo del presente documento.</w:t>
      </w:r>
    </w:p>
    <w:p w14:paraId="6E74C9A1" w14:textId="77777777" w:rsidR="009F0446" w:rsidRPr="009F0446" w:rsidRDefault="009F0446" w:rsidP="009F0446">
      <w:pPr>
        <w:pStyle w:val="ONUMFS"/>
        <w:tabs>
          <w:tab w:val="clear" w:pos="567"/>
        </w:tabs>
        <w:spacing w:after="600"/>
        <w:ind w:left="6095"/>
        <w:rPr>
          <w:i/>
          <w:iCs/>
          <w:lang w:val="es-ES_tradnl"/>
        </w:rPr>
      </w:pPr>
      <w:r w:rsidRPr="009F0446">
        <w:rPr>
          <w:i/>
          <w:iCs/>
          <w:lang w:val="es-ES_tradnl"/>
        </w:rPr>
        <w:t>Se invita al Comité a dar su opinión sobre este asunto.</w:t>
      </w:r>
    </w:p>
    <w:p w14:paraId="15F62896" w14:textId="77777777" w:rsidR="009F0446" w:rsidRPr="009F0446" w:rsidRDefault="009F0446" w:rsidP="009F0446">
      <w:pPr>
        <w:pStyle w:val="Endofdocument-Annex"/>
        <w:rPr>
          <w:lang w:val="es-ES_tradnl"/>
        </w:rPr>
      </w:pPr>
      <w:r w:rsidRPr="009F0446">
        <w:rPr>
          <w:lang w:val="es-ES_tradnl"/>
        </w:rPr>
        <w:t>[Sigue el Anexo]</w:t>
      </w:r>
    </w:p>
    <w:p w14:paraId="57B1F720" w14:textId="77777777" w:rsidR="009F0446" w:rsidRPr="009F0446" w:rsidRDefault="009F0446" w:rsidP="009F0446">
      <w:pPr>
        <w:pStyle w:val="Endofdocument-Annex"/>
        <w:rPr>
          <w:lang w:val="es-ES_tradnl"/>
        </w:rPr>
        <w:sectPr w:rsidR="009F0446" w:rsidRPr="009F0446" w:rsidSect="009F0446">
          <w:headerReference w:type="default" r:id="rId9"/>
          <w:pgSz w:w="11907" w:h="16840" w:code="9"/>
          <w:pgMar w:top="567" w:right="1134" w:bottom="1418" w:left="1418" w:header="510" w:footer="1021" w:gutter="0"/>
          <w:cols w:space="720"/>
          <w:titlePg/>
          <w:docGrid w:linePitch="299"/>
        </w:sectPr>
      </w:pPr>
    </w:p>
    <w:p w14:paraId="2AB0C4CD" w14:textId="77777777" w:rsidR="009F0446" w:rsidRPr="009F0446" w:rsidRDefault="009F0446" w:rsidP="009F0446">
      <w:pPr>
        <w:spacing w:after="100" w:afterAutospacing="1"/>
        <w:jc w:val="center"/>
        <w:outlineLvl w:val="0"/>
        <w:rPr>
          <w:caps/>
          <w:szCs w:val="22"/>
          <w:lang w:val="es-ES_tradnl"/>
        </w:rPr>
      </w:pPr>
      <w:r w:rsidRPr="009F0446">
        <w:rPr>
          <w:caps/>
          <w:lang w:val="es-ES_tradnl"/>
        </w:rPr>
        <w:lastRenderedPageBreak/>
        <w:t>SOLICITUD DE PRÓRROGA DE LA DESIGNACIÓN COMO ADMINISTRACIÓN ENCARGADA DE LA BÚSQUEDA Y DEL EXAMEN PRELIMINAR INTERNACIONALES EN VIRTUD DEL PCT</w:t>
      </w:r>
    </w:p>
    <w:p w14:paraId="5A7AC70F" w14:textId="77777777" w:rsidR="009F0446" w:rsidRPr="009F0446" w:rsidRDefault="009F0446" w:rsidP="009F0446">
      <w:pPr>
        <w:pStyle w:val="SectionHeading"/>
        <w:rPr>
          <w:lang w:val="es-ES_tradnl"/>
        </w:rPr>
      </w:pPr>
      <w:r w:rsidRPr="009F0446">
        <w:rPr>
          <w:lang w:val="es-ES_tradnl"/>
        </w:rPr>
        <w:t>1- Información general</w:t>
      </w:r>
    </w:p>
    <w:p w14:paraId="33337B71" w14:textId="77777777" w:rsidR="009F0446" w:rsidRPr="009F0446" w:rsidRDefault="009F0446" w:rsidP="009F0446">
      <w:pPr>
        <w:pStyle w:val="Question"/>
        <w:spacing w:after="480"/>
        <w:rPr>
          <w:lang w:val="es-ES_tradnl"/>
        </w:rPr>
      </w:pPr>
      <w:r w:rsidRPr="009F0446">
        <w:rPr>
          <w:lang w:val="es-ES_tradnl"/>
        </w:rPr>
        <w:t>a)</w:t>
      </w:r>
      <w:r w:rsidRPr="009F0446">
        <w:rPr>
          <w:lang w:val="es-ES_tradnl"/>
        </w:rPr>
        <w:tab/>
        <w:t>Nombre de la Oficina u organización intergubernamental:</w:t>
      </w:r>
    </w:p>
    <w:p w14:paraId="59137497" w14:textId="77777777" w:rsidR="009F0446" w:rsidRPr="009F0446" w:rsidRDefault="009F0446" w:rsidP="009F0446">
      <w:pPr>
        <w:pStyle w:val="Answer"/>
        <w:ind w:left="0"/>
        <w:rPr>
          <w:lang w:val="es-ES_tradnl"/>
        </w:rPr>
      </w:pPr>
      <w:r w:rsidRPr="009F0446">
        <w:rPr>
          <w:lang w:val="es-ES_tradnl"/>
        </w:rPr>
        <w:t>Oficina Eurasiática de Patentes de la Organización Eurasiática de Patentes (EAPO)</w:t>
      </w:r>
    </w:p>
    <w:p w14:paraId="5A6CBD30" w14:textId="77777777" w:rsidR="009F0446" w:rsidRPr="009F0446" w:rsidRDefault="009F0446" w:rsidP="009F0446">
      <w:pPr>
        <w:pStyle w:val="Question"/>
        <w:spacing w:after="480"/>
        <w:rPr>
          <w:lang w:val="es-ES_tradnl"/>
        </w:rPr>
      </w:pPr>
      <w:r w:rsidRPr="009F0446">
        <w:rPr>
          <w:lang w:val="es-ES_tradnl"/>
        </w:rPr>
        <w:t>b)</w:t>
      </w:r>
      <w:r w:rsidRPr="009F0446">
        <w:rPr>
          <w:lang w:val="es-ES_tradnl"/>
        </w:rPr>
        <w:tab/>
        <w:t>Nombre y datos de contacto para consultas sobre esta solicitud:</w:t>
      </w:r>
    </w:p>
    <w:p w14:paraId="18A2CFB4" w14:textId="77777777" w:rsidR="009F0446" w:rsidRPr="009F0446" w:rsidRDefault="009F0446" w:rsidP="009F0446">
      <w:pPr>
        <w:pStyle w:val="Answer"/>
        <w:ind w:left="0"/>
        <w:rPr>
          <w:lang w:val="es-ES_tradnl"/>
        </w:rPr>
      </w:pPr>
      <w:r w:rsidRPr="009F0446">
        <w:rPr>
          <w:lang w:val="es-ES_tradnl"/>
        </w:rPr>
        <w:t xml:space="preserve">Sra. </w:t>
      </w:r>
      <w:proofErr w:type="spellStart"/>
      <w:r w:rsidRPr="009F0446">
        <w:rPr>
          <w:lang w:val="es-ES_tradnl"/>
        </w:rPr>
        <w:t>Galina</w:t>
      </w:r>
      <w:proofErr w:type="spellEnd"/>
      <w:r w:rsidRPr="009F0446">
        <w:rPr>
          <w:lang w:val="es-ES_tradnl"/>
        </w:rPr>
        <w:t xml:space="preserve"> </w:t>
      </w:r>
      <w:proofErr w:type="spellStart"/>
      <w:r w:rsidRPr="009F0446">
        <w:rPr>
          <w:lang w:val="es-ES_tradnl"/>
        </w:rPr>
        <w:t>Alekseevna</w:t>
      </w:r>
      <w:proofErr w:type="spellEnd"/>
      <w:r w:rsidRPr="009F0446">
        <w:rPr>
          <w:lang w:val="es-ES_tradnl"/>
        </w:rPr>
        <w:t xml:space="preserve"> </w:t>
      </w:r>
      <w:proofErr w:type="spellStart"/>
      <w:r w:rsidRPr="009F0446">
        <w:rPr>
          <w:lang w:val="es-ES_tradnl"/>
        </w:rPr>
        <w:t>Mikheeva</w:t>
      </w:r>
      <w:proofErr w:type="spellEnd"/>
      <w:r w:rsidRPr="009F0446">
        <w:rPr>
          <w:lang w:val="es-ES_tradnl"/>
        </w:rPr>
        <w:t>, subdirectora del Departamento de Asuntos Jurídicos y de Organización y jefa de la División de Relaciones Internacionales,</w:t>
      </w:r>
    </w:p>
    <w:p w14:paraId="3906EA22" w14:textId="77777777" w:rsidR="009F0446" w:rsidRPr="009F0446" w:rsidRDefault="009F0446" w:rsidP="009F0446">
      <w:pPr>
        <w:pStyle w:val="Answer"/>
        <w:ind w:left="0"/>
        <w:rPr>
          <w:lang w:val="es-ES_tradnl"/>
        </w:rPr>
      </w:pPr>
      <w:r w:rsidRPr="009F0446">
        <w:rPr>
          <w:lang w:val="es-ES_tradnl"/>
        </w:rPr>
        <w:t xml:space="preserve">correo-e: </w:t>
      </w:r>
      <w:r w:rsidRPr="009F0446">
        <w:rPr>
          <w:rStyle w:val="Hyperlink"/>
          <w:lang w:val="es-ES_tradnl"/>
        </w:rPr>
        <w:t>gmikheeva@eapo.org</w:t>
      </w:r>
    </w:p>
    <w:p w14:paraId="5950E79A" w14:textId="77777777" w:rsidR="009F0446" w:rsidRPr="009F0446" w:rsidRDefault="009F0446" w:rsidP="009F0446">
      <w:pPr>
        <w:pStyle w:val="Answer"/>
        <w:ind w:left="0"/>
        <w:rPr>
          <w:lang w:val="es-ES_tradnl"/>
        </w:rPr>
      </w:pPr>
      <w:r w:rsidRPr="009F0446">
        <w:rPr>
          <w:lang w:val="es-ES_tradnl"/>
        </w:rPr>
        <w:t>Teléfono: +7 495 4116161 (108)</w:t>
      </w:r>
    </w:p>
    <w:p w14:paraId="0FD1E334" w14:textId="77777777" w:rsidR="009F0446" w:rsidRPr="009F0446" w:rsidRDefault="009F0446" w:rsidP="009F0446">
      <w:pPr>
        <w:pStyle w:val="Question"/>
        <w:rPr>
          <w:lang w:val="es-ES_tradnl"/>
        </w:rPr>
      </w:pPr>
      <w:r w:rsidRPr="009F0446">
        <w:rPr>
          <w:lang w:val="es-ES_tradnl"/>
        </w:rPr>
        <w:t>c)</w:t>
      </w:r>
      <w:r w:rsidRPr="009F0446">
        <w:rPr>
          <w:lang w:val="es-ES_tradnl"/>
        </w:rPr>
        <w:tab/>
        <w:t>Fecha en que el director general recibió la solicitud de prórroga de la designación:</w:t>
      </w:r>
    </w:p>
    <w:p w14:paraId="0205F6B8" w14:textId="77777777" w:rsidR="009F0446" w:rsidRPr="009F0446" w:rsidRDefault="009F0446" w:rsidP="009F0446">
      <w:pPr>
        <w:pStyle w:val="Answer"/>
        <w:rPr>
          <w:i/>
          <w:lang w:val="es-ES_tradnl"/>
        </w:rPr>
      </w:pPr>
      <w:bookmarkStart w:id="6" w:name="_Hlk215569136"/>
      <w:r w:rsidRPr="009F0446">
        <w:rPr>
          <w:lang w:val="es-ES_tradnl"/>
        </w:rPr>
        <w:t>24 de noviembre de 2025</w:t>
      </w:r>
      <w:bookmarkEnd w:id="6"/>
    </w:p>
    <w:p w14:paraId="39D6A67E" w14:textId="77777777" w:rsidR="009F0446" w:rsidRPr="009F0446" w:rsidRDefault="009F0446" w:rsidP="009F0446">
      <w:pPr>
        <w:pStyle w:val="SectionHeading"/>
        <w:rPr>
          <w:lang w:val="es-ES_tradnl"/>
        </w:rPr>
      </w:pPr>
      <w:r w:rsidRPr="009F0446">
        <w:rPr>
          <w:lang w:val="es-ES_tradnl"/>
        </w:rPr>
        <w:t>2. Requisitos mínimos para la designación</w:t>
      </w:r>
    </w:p>
    <w:p w14:paraId="7ABE0BB6" w14:textId="6616FDF9" w:rsidR="009F0446" w:rsidRPr="009F0446" w:rsidRDefault="009F0446" w:rsidP="009F0446">
      <w:pPr>
        <w:rPr>
          <w:lang w:val="es-ES_tradnl"/>
        </w:rPr>
      </w:pPr>
      <w:r w:rsidRPr="009F0446">
        <w:rPr>
          <w:lang w:val="es-ES_tradnl"/>
        </w:rPr>
        <w:t xml:space="preserve">Además del informe anual sobre el sistema de gestión de la calidad (SGC) de la Oficina u organización para 2025 (“el informe SGC” </w:t>
      </w:r>
      <w:hyperlink r:id="rId10" w:anchor="#EA" w:history="1">
        <w:r w:rsidRPr="009F0446">
          <w:rPr>
            <w:rStyle w:val="Hyperlink"/>
            <w:lang w:val="es-ES_tradnl"/>
          </w:rPr>
          <w:t>https://www.wipo.int/en/web/pct-system/quality/authorities#EA</w:t>
        </w:r>
      </w:hyperlink>
      <w:r w:rsidRPr="009F0446">
        <w:rPr>
          <w:lang w:val="es-ES_tradnl"/>
        </w:rPr>
        <w:t>) elaborado de conformidad con los párrafos 21.31 y 21.32 de las Directrices de búsqueda y examen preliminar internacionales, la Administración presenta la siguiente información.</w:t>
      </w:r>
    </w:p>
    <w:p w14:paraId="67D43116" w14:textId="77777777" w:rsidR="009F0446" w:rsidRPr="009F0446" w:rsidRDefault="009F0446" w:rsidP="009F0446">
      <w:pPr>
        <w:pStyle w:val="SectionHeading"/>
        <w:rPr>
          <w:lang w:val="es-ES_tradnl"/>
        </w:rPr>
      </w:pPr>
      <w:r w:rsidRPr="009F0446">
        <w:rPr>
          <w:lang w:val="es-ES_tradnl"/>
        </w:rPr>
        <w:lastRenderedPageBreak/>
        <w:t>2.1- Capacidad de búsqueda y examen</w:t>
      </w:r>
    </w:p>
    <w:p w14:paraId="526C0F74" w14:textId="77777777" w:rsidR="009F0446" w:rsidRPr="009F0446" w:rsidRDefault="009F0446" w:rsidP="009F0446">
      <w:pPr>
        <w:pStyle w:val="RuleQuote"/>
        <w:rPr>
          <w:lang w:val="es-ES_tradnl"/>
        </w:rPr>
      </w:pPr>
      <w:r w:rsidRPr="009F0446">
        <w:rPr>
          <w:lang w:val="es-ES_tradnl"/>
        </w:rPr>
        <w:t>Reglas 36.1.i) y 63.1.i): La Oficina nacional o la organización intergubernamental deberá tener, por lo menos, 100 empleados con plena dedicación, con cualificaciones técnicas suficientes para efectuar las búsquedas y los exámenes.</w:t>
      </w:r>
    </w:p>
    <w:p w14:paraId="1699B5A7" w14:textId="3E12D831" w:rsidR="009F0446" w:rsidRPr="009F0446" w:rsidRDefault="009F0446" w:rsidP="009F0446">
      <w:pPr>
        <w:pStyle w:val="RuleQuote"/>
        <w:ind w:left="0"/>
        <w:rPr>
          <w:i w:val="0"/>
          <w:iCs w:val="0"/>
          <w:lang w:val="es-ES_tradnl"/>
        </w:rPr>
      </w:pPr>
      <w:r w:rsidRPr="009F0446">
        <w:rPr>
          <w:i w:val="0"/>
          <w:lang w:val="es-ES_tradnl"/>
        </w:rPr>
        <w:t>El informe SGC proporciona información de la Oficina sobre la infraestructura existente para garantizar un número suficiente de personal técnicamente cualificado, según el párrafo 21.</w:t>
      </w:r>
      <w:proofErr w:type="gramStart"/>
      <w:r w:rsidRPr="009F0446">
        <w:rPr>
          <w:i w:val="0"/>
          <w:lang w:val="es-ES_tradnl"/>
        </w:rPr>
        <w:t>15.i</w:t>
      </w:r>
      <w:proofErr w:type="gramEnd"/>
      <w:r w:rsidRPr="009F0446">
        <w:rPr>
          <w:i w:val="0"/>
          <w:lang w:val="es-ES_tradnl"/>
        </w:rPr>
        <w:t xml:space="preserve">) de las Directrices, y sobre los programas de formación y desarrollo del personal implicado en el proceso de búsqueda y examen, según el párrafo 21.15.vi). La Oficina también incluye la siguiente información sobre el número de empleados cualificados para llevar a cabo búsquedas y exámenes. </w:t>
      </w:r>
    </w:p>
    <w:p w14:paraId="21DA7959" w14:textId="77777777" w:rsidR="009F0446" w:rsidRPr="009F0446" w:rsidRDefault="009F0446" w:rsidP="009F0446">
      <w:pPr>
        <w:pStyle w:val="Question"/>
        <w:spacing w:after="480"/>
        <w:rPr>
          <w:lang w:val="es-ES_tradnl"/>
        </w:rPr>
      </w:pPr>
      <w:r w:rsidRPr="009F0446">
        <w:rPr>
          <w:lang w:val="es-ES_tradnl"/>
        </w:rPr>
        <w:t>Empleados cualificados para realizar búsquedas y exámenes:</w:t>
      </w:r>
    </w:p>
    <w:tbl>
      <w:tblPr>
        <w:tblpPr w:leftFromText="180" w:rightFromText="180" w:bottomFromText="200" w:vertAnchor="text" w:horzAnchor="margin" w:tblpX="216" w:tblpY="123"/>
        <w:tblW w:w="8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1"/>
        <w:gridCol w:w="2499"/>
        <w:gridCol w:w="2855"/>
      </w:tblGrid>
      <w:tr w:rsidR="009F0446" w:rsidRPr="009F0446" w14:paraId="759EDC80" w14:textId="77777777" w:rsidTr="00C21EA1">
        <w:trPr>
          <w:cantSplit/>
          <w:trHeight w:val="1167"/>
        </w:trPr>
        <w:tc>
          <w:tcPr>
            <w:tcW w:w="2991" w:type="dxa"/>
            <w:tcBorders>
              <w:top w:val="single" w:sz="4" w:space="0" w:color="auto"/>
              <w:left w:val="single" w:sz="4" w:space="0" w:color="auto"/>
              <w:bottom w:val="single" w:sz="4" w:space="0" w:color="auto"/>
              <w:right w:val="single" w:sz="4" w:space="0" w:color="auto"/>
            </w:tcBorders>
            <w:vAlign w:val="center"/>
            <w:hideMark/>
          </w:tcPr>
          <w:p w14:paraId="556E0F37" w14:textId="77777777" w:rsidR="009F0446" w:rsidRPr="009F0446" w:rsidRDefault="009F0446" w:rsidP="00C21EA1">
            <w:pPr>
              <w:pStyle w:val="Answer"/>
              <w:rPr>
                <w:b/>
                <w:bCs/>
                <w:lang w:val="es-ES_tradnl"/>
              </w:rPr>
            </w:pPr>
            <w:r w:rsidRPr="009F0446">
              <w:rPr>
                <w:b/>
                <w:lang w:val="es-ES_tradnl"/>
              </w:rPr>
              <w:t>Campo técnico</w:t>
            </w:r>
          </w:p>
        </w:tc>
        <w:tc>
          <w:tcPr>
            <w:tcW w:w="2499" w:type="dxa"/>
            <w:tcBorders>
              <w:top w:val="single" w:sz="4" w:space="0" w:color="auto"/>
              <w:left w:val="single" w:sz="4" w:space="0" w:color="auto"/>
              <w:bottom w:val="single" w:sz="4" w:space="0" w:color="auto"/>
              <w:right w:val="single" w:sz="4" w:space="0" w:color="auto"/>
            </w:tcBorders>
            <w:vAlign w:val="center"/>
            <w:hideMark/>
          </w:tcPr>
          <w:p w14:paraId="7A4AA08C" w14:textId="77777777" w:rsidR="009F0446" w:rsidRPr="009F0446" w:rsidRDefault="009F0446" w:rsidP="00C21EA1">
            <w:pPr>
              <w:pStyle w:val="Answer"/>
              <w:ind w:left="0"/>
              <w:rPr>
                <w:b/>
                <w:lang w:val="es-ES_tradnl"/>
              </w:rPr>
            </w:pPr>
            <w:r w:rsidRPr="009F0446">
              <w:rPr>
                <w:b/>
                <w:lang w:val="es-ES_tradnl"/>
              </w:rPr>
              <w:t>Número (en equivalente a tiempo completo)</w:t>
            </w:r>
          </w:p>
          <w:p w14:paraId="1BFE0675" w14:textId="77777777" w:rsidR="009F0446" w:rsidRPr="009F0446" w:rsidRDefault="009F0446" w:rsidP="00C21EA1">
            <w:pPr>
              <w:pStyle w:val="Answer"/>
              <w:ind w:left="0"/>
              <w:rPr>
                <w:b/>
                <w:bCs/>
                <w:lang w:val="es-ES_tradnl"/>
              </w:rPr>
            </w:pPr>
          </w:p>
        </w:tc>
        <w:tc>
          <w:tcPr>
            <w:tcW w:w="2855" w:type="dxa"/>
            <w:tcBorders>
              <w:top w:val="single" w:sz="4" w:space="0" w:color="auto"/>
              <w:left w:val="single" w:sz="4" w:space="0" w:color="auto"/>
              <w:bottom w:val="single" w:sz="4" w:space="0" w:color="auto"/>
              <w:right w:val="single" w:sz="4" w:space="0" w:color="auto"/>
            </w:tcBorders>
            <w:hideMark/>
          </w:tcPr>
          <w:p w14:paraId="7B4A8A0C" w14:textId="77777777" w:rsidR="009F0446" w:rsidRPr="009F0446" w:rsidRDefault="009F0446" w:rsidP="00C21EA1">
            <w:pPr>
              <w:pStyle w:val="Answer"/>
              <w:ind w:left="0"/>
              <w:rPr>
                <w:b/>
                <w:lang w:val="es-ES_tradnl"/>
              </w:rPr>
            </w:pPr>
            <w:r w:rsidRPr="009F0446">
              <w:rPr>
                <w:b/>
                <w:lang w:val="es-ES_tradnl"/>
              </w:rPr>
              <w:t>Representación de género (hombres/mujeres)</w:t>
            </w:r>
          </w:p>
        </w:tc>
      </w:tr>
      <w:tr w:rsidR="009F0446" w:rsidRPr="009F0446" w14:paraId="6A854CA1" w14:textId="77777777" w:rsidTr="00C21EA1">
        <w:trPr>
          <w:cantSplit/>
          <w:trHeight w:val="491"/>
        </w:trPr>
        <w:tc>
          <w:tcPr>
            <w:tcW w:w="2991" w:type="dxa"/>
            <w:tcBorders>
              <w:top w:val="single" w:sz="4" w:space="0" w:color="auto"/>
              <w:left w:val="single" w:sz="4" w:space="0" w:color="auto"/>
              <w:bottom w:val="single" w:sz="4" w:space="0" w:color="auto"/>
              <w:right w:val="single" w:sz="4" w:space="0" w:color="auto"/>
            </w:tcBorders>
            <w:vAlign w:val="center"/>
            <w:hideMark/>
          </w:tcPr>
          <w:p w14:paraId="6A7E1B4D" w14:textId="77777777" w:rsidR="009F0446" w:rsidRPr="009F0446" w:rsidRDefault="009F0446" w:rsidP="00C21EA1">
            <w:pPr>
              <w:pStyle w:val="Answer"/>
              <w:ind w:left="0"/>
              <w:rPr>
                <w:lang w:val="es-ES_tradnl"/>
              </w:rPr>
            </w:pPr>
            <w:r w:rsidRPr="009F0446">
              <w:rPr>
                <w:lang w:val="es-ES_tradnl"/>
              </w:rPr>
              <w:t>Química</w:t>
            </w:r>
          </w:p>
        </w:tc>
        <w:tc>
          <w:tcPr>
            <w:tcW w:w="2499" w:type="dxa"/>
            <w:tcBorders>
              <w:top w:val="single" w:sz="4" w:space="0" w:color="auto"/>
              <w:left w:val="single" w:sz="4" w:space="0" w:color="auto"/>
              <w:bottom w:val="single" w:sz="4" w:space="0" w:color="auto"/>
              <w:right w:val="single" w:sz="4" w:space="0" w:color="auto"/>
            </w:tcBorders>
            <w:vAlign w:val="center"/>
            <w:hideMark/>
          </w:tcPr>
          <w:p w14:paraId="02EA3C1B" w14:textId="77777777" w:rsidR="009F0446" w:rsidRPr="009F0446" w:rsidRDefault="009F0446" w:rsidP="00C21EA1">
            <w:pPr>
              <w:pStyle w:val="Answer"/>
              <w:ind w:left="0"/>
              <w:rPr>
                <w:lang w:val="es-ES_tradnl"/>
              </w:rPr>
            </w:pPr>
            <w:r w:rsidRPr="009F0446">
              <w:rPr>
                <w:lang w:val="es-ES_tradnl"/>
              </w:rPr>
              <w:t>34</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F109732" w14:textId="77777777" w:rsidR="009F0446" w:rsidRPr="009F0446" w:rsidRDefault="009F0446" w:rsidP="00C21EA1">
            <w:pPr>
              <w:pStyle w:val="Answer"/>
              <w:ind w:left="0"/>
              <w:rPr>
                <w:lang w:val="es-ES_tradnl"/>
              </w:rPr>
            </w:pPr>
            <w:r w:rsidRPr="009F0446">
              <w:rPr>
                <w:lang w:val="es-ES_tradnl"/>
              </w:rPr>
              <w:t>13/21</w:t>
            </w:r>
          </w:p>
        </w:tc>
      </w:tr>
      <w:tr w:rsidR="009F0446" w:rsidRPr="009F0446" w14:paraId="769C3FF5" w14:textId="77777777" w:rsidTr="00C21EA1">
        <w:trPr>
          <w:cantSplit/>
          <w:trHeight w:val="498"/>
        </w:trPr>
        <w:tc>
          <w:tcPr>
            <w:tcW w:w="2991" w:type="dxa"/>
            <w:tcBorders>
              <w:top w:val="single" w:sz="4" w:space="0" w:color="auto"/>
              <w:left w:val="single" w:sz="4" w:space="0" w:color="auto"/>
              <w:bottom w:val="single" w:sz="4" w:space="0" w:color="auto"/>
              <w:right w:val="single" w:sz="4" w:space="0" w:color="auto"/>
            </w:tcBorders>
            <w:vAlign w:val="center"/>
            <w:hideMark/>
          </w:tcPr>
          <w:p w14:paraId="16D9A9D0" w14:textId="77777777" w:rsidR="009F0446" w:rsidRPr="009F0446" w:rsidRDefault="009F0446" w:rsidP="00C21EA1">
            <w:pPr>
              <w:pStyle w:val="Answer"/>
              <w:ind w:left="0"/>
              <w:rPr>
                <w:lang w:val="es-ES_tradnl"/>
              </w:rPr>
            </w:pPr>
            <w:r w:rsidRPr="009F0446">
              <w:rPr>
                <w:lang w:val="es-ES_tradnl"/>
              </w:rPr>
              <w:t>Biotecnología</w:t>
            </w:r>
          </w:p>
        </w:tc>
        <w:tc>
          <w:tcPr>
            <w:tcW w:w="2499" w:type="dxa"/>
            <w:tcBorders>
              <w:top w:val="single" w:sz="4" w:space="0" w:color="auto"/>
              <w:left w:val="single" w:sz="4" w:space="0" w:color="auto"/>
              <w:bottom w:val="single" w:sz="4" w:space="0" w:color="auto"/>
              <w:right w:val="single" w:sz="4" w:space="0" w:color="auto"/>
            </w:tcBorders>
            <w:vAlign w:val="center"/>
            <w:hideMark/>
          </w:tcPr>
          <w:p w14:paraId="37544490" w14:textId="77777777" w:rsidR="009F0446" w:rsidRPr="009F0446" w:rsidRDefault="009F0446" w:rsidP="00C21EA1">
            <w:pPr>
              <w:pStyle w:val="Answer"/>
              <w:ind w:left="0"/>
              <w:rPr>
                <w:lang w:val="es-ES_tradnl"/>
              </w:rPr>
            </w:pPr>
            <w:r w:rsidRPr="009F0446">
              <w:rPr>
                <w:lang w:val="es-ES_tradnl"/>
              </w:rPr>
              <w:t>14</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6D72466" w14:textId="77777777" w:rsidR="009F0446" w:rsidRPr="009F0446" w:rsidRDefault="009F0446" w:rsidP="00C21EA1">
            <w:pPr>
              <w:pStyle w:val="Answer"/>
              <w:ind w:left="0"/>
              <w:rPr>
                <w:lang w:val="es-ES_tradnl"/>
              </w:rPr>
            </w:pPr>
            <w:r w:rsidRPr="009F0446">
              <w:rPr>
                <w:lang w:val="es-ES_tradnl"/>
              </w:rPr>
              <w:t>5/9</w:t>
            </w:r>
          </w:p>
        </w:tc>
      </w:tr>
      <w:tr w:rsidR="009F0446" w:rsidRPr="009F0446" w14:paraId="275F7832" w14:textId="77777777" w:rsidTr="00C21EA1">
        <w:trPr>
          <w:cantSplit/>
          <w:trHeight w:val="664"/>
        </w:trPr>
        <w:tc>
          <w:tcPr>
            <w:tcW w:w="2991" w:type="dxa"/>
            <w:tcBorders>
              <w:top w:val="single" w:sz="4" w:space="0" w:color="auto"/>
              <w:left w:val="single" w:sz="4" w:space="0" w:color="auto"/>
              <w:bottom w:val="single" w:sz="4" w:space="0" w:color="auto"/>
              <w:right w:val="single" w:sz="4" w:space="0" w:color="auto"/>
            </w:tcBorders>
            <w:vAlign w:val="center"/>
            <w:hideMark/>
          </w:tcPr>
          <w:p w14:paraId="634E9137" w14:textId="77777777" w:rsidR="009F0446" w:rsidRPr="009F0446" w:rsidRDefault="009F0446" w:rsidP="00C21EA1">
            <w:pPr>
              <w:pStyle w:val="Answer"/>
              <w:ind w:left="0"/>
              <w:rPr>
                <w:lang w:val="es-ES_tradnl"/>
              </w:rPr>
            </w:pPr>
            <w:r w:rsidRPr="009F0446">
              <w:rPr>
                <w:lang w:val="es-ES_tradnl"/>
              </w:rPr>
              <w:t>Productos farmacéuticos y medicina</w:t>
            </w:r>
          </w:p>
        </w:tc>
        <w:tc>
          <w:tcPr>
            <w:tcW w:w="2499" w:type="dxa"/>
            <w:tcBorders>
              <w:top w:val="single" w:sz="4" w:space="0" w:color="auto"/>
              <w:left w:val="single" w:sz="4" w:space="0" w:color="auto"/>
              <w:bottom w:val="single" w:sz="4" w:space="0" w:color="auto"/>
              <w:right w:val="single" w:sz="4" w:space="0" w:color="auto"/>
            </w:tcBorders>
            <w:vAlign w:val="center"/>
            <w:hideMark/>
          </w:tcPr>
          <w:p w14:paraId="5825C485" w14:textId="77777777" w:rsidR="009F0446" w:rsidRPr="009F0446" w:rsidRDefault="009F0446" w:rsidP="00C21EA1">
            <w:pPr>
              <w:pStyle w:val="Answer"/>
              <w:ind w:left="0"/>
              <w:rPr>
                <w:lang w:val="es-ES_tradnl"/>
              </w:rPr>
            </w:pPr>
            <w:r w:rsidRPr="009F0446">
              <w:rPr>
                <w:lang w:val="es-ES_tradnl"/>
              </w:rPr>
              <w:t>16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BF0FE7B" w14:textId="77777777" w:rsidR="009F0446" w:rsidRPr="009F0446" w:rsidRDefault="009F0446" w:rsidP="00C21EA1">
            <w:pPr>
              <w:pStyle w:val="Answer"/>
              <w:ind w:left="0"/>
              <w:rPr>
                <w:lang w:val="es-ES_tradnl"/>
              </w:rPr>
            </w:pPr>
            <w:r w:rsidRPr="009F0446">
              <w:rPr>
                <w:lang w:val="es-ES_tradnl"/>
              </w:rPr>
              <w:t>7/9</w:t>
            </w:r>
          </w:p>
        </w:tc>
      </w:tr>
      <w:tr w:rsidR="009F0446" w:rsidRPr="009F0446" w14:paraId="2434E023" w14:textId="77777777" w:rsidTr="00C21EA1">
        <w:trPr>
          <w:cantSplit/>
          <w:trHeight w:val="896"/>
        </w:trPr>
        <w:tc>
          <w:tcPr>
            <w:tcW w:w="2991" w:type="dxa"/>
            <w:tcBorders>
              <w:top w:val="single" w:sz="4" w:space="0" w:color="auto"/>
              <w:left w:val="single" w:sz="4" w:space="0" w:color="auto"/>
              <w:bottom w:val="single" w:sz="4" w:space="0" w:color="auto"/>
              <w:right w:val="single" w:sz="4" w:space="0" w:color="auto"/>
            </w:tcBorders>
            <w:vAlign w:val="center"/>
            <w:hideMark/>
          </w:tcPr>
          <w:p w14:paraId="1492E2E5" w14:textId="77777777" w:rsidR="009F0446" w:rsidRPr="009F0446" w:rsidRDefault="009F0446" w:rsidP="00C21EA1">
            <w:pPr>
              <w:pStyle w:val="Answer"/>
              <w:ind w:left="0"/>
              <w:rPr>
                <w:lang w:val="es-ES_tradnl"/>
              </w:rPr>
            </w:pPr>
            <w:r w:rsidRPr="009F0446">
              <w:rPr>
                <w:lang w:val="es-ES_tradnl"/>
              </w:rPr>
              <w:t>Tecnologías de la información y las comunicaciones (TIC)</w:t>
            </w:r>
          </w:p>
        </w:tc>
        <w:tc>
          <w:tcPr>
            <w:tcW w:w="2499" w:type="dxa"/>
            <w:tcBorders>
              <w:top w:val="single" w:sz="4" w:space="0" w:color="auto"/>
              <w:left w:val="single" w:sz="4" w:space="0" w:color="auto"/>
              <w:bottom w:val="single" w:sz="4" w:space="0" w:color="auto"/>
              <w:right w:val="single" w:sz="4" w:space="0" w:color="auto"/>
            </w:tcBorders>
            <w:vAlign w:val="center"/>
            <w:hideMark/>
          </w:tcPr>
          <w:p w14:paraId="62171EAA" w14:textId="77777777" w:rsidR="009F0446" w:rsidRPr="009F0446" w:rsidRDefault="009F0446" w:rsidP="00C21EA1">
            <w:pPr>
              <w:pStyle w:val="Answer"/>
              <w:ind w:left="0"/>
              <w:rPr>
                <w:lang w:val="es-ES_tradnl"/>
              </w:rPr>
            </w:pPr>
            <w:r w:rsidRPr="009F0446">
              <w:rPr>
                <w:lang w:val="es-ES_tradnl"/>
              </w:rPr>
              <w:t>15</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C0057CB" w14:textId="77777777" w:rsidR="009F0446" w:rsidRPr="009F0446" w:rsidRDefault="009F0446" w:rsidP="00C21EA1">
            <w:pPr>
              <w:pStyle w:val="Answer"/>
              <w:ind w:left="0"/>
              <w:rPr>
                <w:lang w:val="es-ES_tradnl"/>
              </w:rPr>
            </w:pPr>
            <w:r w:rsidRPr="009F0446">
              <w:rPr>
                <w:lang w:val="es-ES_tradnl"/>
              </w:rPr>
              <w:t>12/3</w:t>
            </w:r>
          </w:p>
        </w:tc>
      </w:tr>
      <w:tr w:rsidR="009F0446" w:rsidRPr="009F0446" w14:paraId="3BD6F6F2" w14:textId="77777777" w:rsidTr="00C21EA1">
        <w:trPr>
          <w:cantSplit/>
          <w:trHeight w:val="664"/>
        </w:trPr>
        <w:tc>
          <w:tcPr>
            <w:tcW w:w="2991" w:type="dxa"/>
            <w:tcBorders>
              <w:top w:val="single" w:sz="4" w:space="0" w:color="auto"/>
              <w:left w:val="single" w:sz="4" w:space="0" w:color="auto"/>
              <w:bottom w:val="single" w:sz="4" w:space="0" w:color="auto"/>
              <w:right w:val="single" w:sz="4" w:space="0" w:color="auto"/>
            </w:tcBorders>
            <w:vAlign w:val="center"/>
            <w:hideMark/>
          </w:tcPr>
          <w:p w14:paraId="1B876CF1" w14:textId="73FCACD2" w:rsidR="009F0446" w:rsidRPr="009F0446" w:rsidRDefault="009F0446" w:rsidP="00C21EA1">
            <w:pPr>
              <w:pStyle w:val="Answer"/>
              <w:ind w:left="0"/>
              <w:rPr>
                <w:lang w:val="es-ES_tradnl"/>
              </w:rPr>
            </w:pPr>
            <w:r w:rsidRPr="009F0446">
              <w:rPr>
                <w:lang w:val="es-ES_tradnl"/>
              </w:rPr>
              <w:t>Mecánica, electrónica</w:t>
            </w:r>
          </w:p>
        </w:tc>
        <w:tc>
          <w:tcPr>
            <w:tcW w:w="2499" w:type="dxa"/>
            <w:tcBorders>
              <w:top w:val="single" w:sz="4" w:space="0" w:color="auto"/>
              <w:left w:val="single" w:sz="4" w:space="0" w:color="auto"/>
              <w:bottom w:val="single" w:sz="4" w:space="0" w:color="auto"/>
              <w:right w:val="single" w:sz="4" w:space="0" w:color="auto"/>
            </w:tcBorders>
            <w:vAlign w:val="center"/>
            <w:hideMark/>
          </w:tcPr>
          <w:p w14:paraId="356B254E" w14:textId="77777777" w:rsidR="009F0446" w:rsidRPr="009F0446" w:rsidRDefault="009F0446" w:rsidP="00C21EA1">
            <w:pPr>
              <w:pStyle w:val="Answer"/>
              <w:ind w:left="0"/>
              <w:rPr>
                <w:lang w:val="es-ES_tradnl"/>
              </w:rPr>
            </w:pPr>
            <w:r w:rsidRPr="009F0446">
              <w:rPr>
                <w:lang w:val="es-ES_tradnl"/>
              </w:rPr>
              <w:t>26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6A82ED50" w14:textId="77777777" w:rsidR="009F0446" w:rsidRPr="009F0446" w:rsidRDefault="009F0446" w:rsidP="00C21EA1">
            <w:pPr>
              <w:pStyle w:val="Answer"/>
              <w:ind w:left="0"/>
              <w:rPr>
                <w:lang w:val="es-ES_tradnl"/>
              </w:rPr>
            </w:pPr>
            <w:r w:rsidRPr="009F0446">
              <w:rPr>
                <w:lang w:val="es-ES_tradnl"/>
              </w:rPr>
              <w:t>19/7</w:t>
            </w:r>
          </w:p>
        </w:tc>
      </w:tr>
      <w:tr w:rsidR="009F0446" w:rsidRPr="009F0446" w14:paraId="7CC3301F" w14:textId="77777777" w:rsidTr="00C21EA1">
        <w:trPr>
          <w:cantSplit/>
          <w:trHeight w:val="469"/>
        </w:trPr>
        <w:tc>
          <w:tcPr>
            <w:tcW w:w="2991" w:type="dxa"/>
            <w:tcBorders>
              <w:top w:val="single" w:sz="4" w:space="0" w:color="auto"/>
              <w:left w:val="single" w:sz="4" w:space="0" w:color="auto"/>
              <w:bottom w:val="single" w:sz="4" w:space="0" w:color="auto"/>
              <w:right w:val="single" w:sz="4" w:space="0" w:color="auto"/>
            </w:tcBorders>
            <w:vAlign w:val="center"/>
            <w:hideMark/>
          </w:tcPr>
          <w:p w14:paraId="40CC766F" w14:textId="77777777" w:rsidR="009F0446" w:rsidRPr="009F0446" w:rsidRDefault="009F0446" w:rsidP="00C21EA1">
            <w:pPr>
              <w:pStyle w:val="Answer"/>
              <w:ind w:left="0"/>
              <w:rPr>
                <w:b/>
                <w:iCs/>
                <w:lang w:val="es-ES_tradnl"/>
              </w:rPr>
            </w:pPr>
            <w:r w:rsidRPr="009F0446">
              <w:rPr>
                <w:b/>
                <w:lang w:val="es-ES_tradnl"/>
              </w:rPr>
              <w:t>Total</w:t>
            </w:r>
          </w:p>
        </w:tc>
        <w:tc>
          <w:tcPr>
            <w:tcW w:w="2499" w:type="dxa"/>
            <w:tcBorders>
              <w:top w:val="single" w:sz="4" w:space="0" w:color="auto"/>
              <w:left w:val="single" w:sz="4" w:space="0" w:color="auto"/>
              <w:bottom w:val="single" w:sz="4" w:space="0" w:color="auto"/>
              <w:right w:val="single" w:sz="4" w:space="0" w:color="auto"/>
            </w:tcBorders>
            <w:vAlign w:val="center"/>
            <w:hideMark/>
          </w:tcPr>
          <w:p w14:paraId="7EE855F7" w14:textId="77777777" w:rsidR="009F0446" w:rsidRPr="009F0446" w:rsidRDefault="009F0446" w:rsidP="00C21EA1">
            <w:pPr>
              <w:pStyle w:val="Answer"/>
              <w:ind w:left="0"/>
              <w:rPr>
                <w:b/>
                <w:iCs/>
                <w:lang w:val="es-ES_tradnl"/>
              </w:rPr>
            </w:pPr>
            <w:r w:rsidRPr="009F0446">
              <w:rPr>
                <w:b/>
                <w:lang w:val="es-ES_tradnl"/>
              </w:rPr>
              <w:t>105</w:t>
            </w:r>
          </w:p>
        </w:tc>
        <w:tc>
          <w:tcPr>
            <w:tcW w:w="2855" w:type="dxa"/>
            <w:tcBorders>
              <w:top w:val="single" w:sz="4" w:space="0" w:color="auto"/>
              <w:left w:val="single" w:sz="4" w:space="0" w:color="auto"/>
              <w:bottom w:val="single" w:sz="4" w:space="0" w:color="auto"/>
              <w:right w:val="single" w:sz="4" w:space="0" w:color="auto"/>
            </w:tcBorders>
          </w:tcPr>
          <w:p w14:paraId="3236D62C" w14:textId="77777777" w:rsidR="009F0446" w:rsidRPr="009F0446" w:rsidRDefault="009F0446" w:rsidP="00C21EA1">
            <w:pPr>
              <w:pStyle w:val="Answer"/>
              <w:ind w:left="0"/>
              <w:rPr>
                <w:b/>
                <w:lang w:val="es-ES_tradnl"/>
              </w:rPr>
            </w:pPr>
            <w:r w:rsidRPr="009F0446">
              <w:rPr>
                <w:b/>
                <w:lang w:val="es-ES_tradnl"/>
              </w:rPr>
              <w:t>56/49</w:t>
            </w:r>
          </w:p>
        </w:tc>
      </w:tr>
    </w:tbl>
    <w:p w14:paraId="671A02CE" w14:textId="77777777" w:rsidR="009F0446" w:rsidRPr="009F0446" w:rsidRDefault="009F0446" w:rsidP="009F0446">
      <w:pPr>
        <w:pStyle w:val="RuleQuote"/>
        <w:ind w:left="0"/>
        <w:rPr>
          <w:i w:val="0"/>
          <w:iCs w:val="0"/>
          <w:lang w:val="es-ES_tradnl"/>
        </w:rPr>
      </w:pPr>
      <w:r w:rsidRPr="009F0446">
        <w:rPr>
          <w:i w:val="0"/>
          <w:lang w:val="es-ES_tradnl"/>
        </w:rPr>
        <w:lastRenderedPageBreak/>
        <w:t>Otra información además de la que figura en el informe SGC y en el cuadro anterior (opcional):</w:t>
      </w:r>
    </w:p>
    <w:p w14:paraId="6BEA8840" w14:textId="77777777" w:rsidR="009F0446" w:rsidRPr="009F0446" w:rsidRDefault="009F0446" w:rsidP="009F0446">
      <w:pPr>
        <w:pStyle w:val="Question"/>
        <w:spacing w:before="240" w:after="480"/>
        <w:rPr>
          <w:rFonts w:eastAsia="Times New Roman"/>
          <w:b w:val="0"/>
          <w:kern w:val="32"/>
          <w:szCs w:val="32"/>
          <w:lang w:val="es-ES_tradnl"/>
        </w:rPr>
      </w:pPr>
      <w:r w:rsidRPr="009F0446">
        <w:rPr>
          <w:b w:val="0"/>
          <w:lang w:val="es-ES_tradnl"/>
        </w:rPr>
        <w:t>El sistema de gestión de la calidad de la Oficina está garantizado por un equipo inclusivo de profesionales de los Estados miembros de la EAPO. Con el fin de fomentar la diversidad del personal, cada año se lleva a cabo un programa de becas para atraer a expertos de países que están infrarrepresentados entre el personal de la Oficina.</w:t>
      </w:r>
    </w:p>
    <w:p w14:paraId="1F7A0347" w14:textId="77777777" w:rsidR="009F0446" w:rsidRPr="009F0446" w:rsidRDefault="009F0446" w:rsidP="009F0446">
      <w:pPr>
        <w:pStyle w:val="SectionHeading"/>
        <w:rPr>
          <w:lang w:val="es-ES_tradnl"/>
        </w:rPr>
      </w:pPr>
      <w:r w:rsidRPr="009F0446">
        <w:rPr>
          <w:lang w:val="es-ES_tradnl"/>
        </w:rPr>
        <w:t>2.2- Documentación mínima puesta a disposición para consulta</w:t>
      </w:r>
    </w:p>
    <w:p w14:paraId="26DC705E" w14:textId="047EF736" w:rsidR="009F0446" w:rsidRPr="009F0446" w:rsidRDefault="009F0446" w:rsidP="009F0446">
      <w:pPr>
        <w:pStyle w:val="RuleQuote"/>
        <w:rPr>
          <w:lang w:val="es-ES_tradnl"/>
        </w:rPr>
      </w:pPr>
      <w:r w:rsidRPr="009F0446">
        <w:rPr>
          <w:lang w:val="es-ES_tradnl"/>
        </w:rPr>
        <w:t>Reglas 36.</w:t>
      </w:r>
      <w:proofErr w:type="gramStart"/>
      <w:r w:rsidRPr="009F0446">
        <w:rPr>
          <w:lang w:val="es-ES_tradnl"/>
        </w:rPr>
        <w:t>1.ii</w:t>
      </w:r>
      <w:proofErr w:type="gramEnd"/>
      <w:r w:rsidRPr="009F0446">
        <w:rPr>
          <w:lang w:val="es-ES_tradnl"/>
        </w:rPr>
        <w:t>) y 63.1.ii):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71CF9B1D" w14:textId="5656EEC2" w:rsidR="009F0446" w:rsidRPr="009F0446" w:rsidRDefault="009F0446" w:rsidP="009F0446">
      <w:pPr>
        <w:pStyle w:val="RuleQuote"/>
        <w:rPr>
          <w:lang w:val="es-ES_tradnl"/>
        </w:rPr>
      </w:pPr>
      <w:r w:rsidRPr="009F0446">
        <w:rPr>
          <w:lang w:val="es-ES_tradnl"/>
        </w:rPr>
        <w:t xml:space="preserve">Los requisitos especificados en las Instrucciones Administrativas figuran en la circular </w:t>
      </w:r>
      <w:hyperlink r:id="rId11" w:history="1">
        <w:r w:rsidRPr="009F0446">
          <w:rPr>
            <w:rStyle w:val="Hyperlink"/>
            <w:lang w:val="es-ES_tradnl"/>
          </w:rPr>
          <w:t>C. PCT 1672</w:t>
        </w:r>
      </w:hyperlink>
      <w:r w:rsidRPr="009F0446">
        <w:rPr>
          <w:lang w:val="es-ES_tradnl"/>
        </w:rPr>
        <w:t>, de 19 de junio de 2024.</w:t>
      </w:r>
    </w:p>
    <w:p w14:paraId="0D04CACF" w14:textId="14F63674" w:rsidR="009F0446" w:rsidRPr="009F0446" w:rsidRDefault="009F0446" w:rsidP="009F0446">
      <w:pPr>
        <w:pStyle w:val="RuleQuote"/>
        <w:ind w:left="0"/>
        <w:rPr>
          <w:i w:val="0"/>
          <w:color w:val="000000" w:themeColor="text1"/>
          <w:lang w:val="es-ES_tradnl"/>
        </w:rPr>
      </w:pPr>
      <w:r w:rsidRPr="009F0446">
        <w:rPr>
          <w:i w:val="0"/>
          <w:color w:val="000000" w:themeColor="text1"/>
          <w:lang w:val="es-ES_tradnl"/>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p>
    <w:p w14:paraId="447EA6FD" w14:textId="7298A9D9" w:rsidR="009F0446" w:rsidRPr="009F0446" w:rsidRDefault="009F0446" w:rsidP="009F0446">
      <w:pPr>
        <w:pStyle w:val="RuleQuote"/>
        <w:ind w:left="0"/>
        <w:rPr>
          <w:lang w:val="es-ES_tradnl"/>
        </w:rPr>
      </w:pPr>
      <w:r w:rsidRPr="009F0446">
        <w:rPr>
          <w:i w:val="0"/>
          <w:color w:val="000000" w:themeColor="text1"/>
          <w:lang w:val="es-ES_tradnl"/>
        </w:rPr>
        <w:t>O bien:</w:t>
      </w:r>
    </w:p>
    <w:p w14:paraId="49D910B3" w14:textId="3D554375" w:rsidR="009F0446" w:rsidRPr="009F0446" w:rsidRDefault="00EF63B4" w:rsidP="009F0446">
      <w:pPr>
        <w:pStyle w:val="Question"/>
        <w:spacing w:after="0"/>
        <w:rPr>
          <w:b w:val="0"/>
          <w:lang w:val="es-ES_tradnl"/>
        </w:rPr>
      </w:pPr>
      <w:sdt>
        <w:sdtPr>
          <w:rPr>
            <w:b w:val="0"/>
            <w:bCs w:val="0"/>
            <w:lang w:val="es-ES_tradnl"/>
          </w:rPr>
          <w:id w:val="-178122316"/>
          <w14:checkbox>
            <w14:checked w14:val="1"/>
            <w14:checkedState w14:val="2612" w14:font="MS Gothic"/>
            <w14:uncheckedState w14:val="2610" w14:font="MS Gothic"/>
          </w14:checkbox>
        </w:sdtPr>
        <w:sdtEndPr/>
        <w:sdtContent>
          <w:r w:rsidR="009F0446" w:rsidRPr="009F0446">
            <w:rPr>
              <w:rFonts w:ascii="MS Gothic" w:eastAsia="MS Gothic" w:hAnsi="MS Gothic"/>
              <w:b w:val="0"/>
              <w:bCs w:val="0"/>
              <w:lang w:val="es-ES_tradnl"/>
            </w:rPr>
            <w:t>☒</w:t>
          </w:r>
        </w:sdtContent>
      </w:sdt>
      <w:r w:rsidR="009F0446" w:rsidRPr="009F0446">
        <w:rPr>
          <w:b w:val="0"/>
          <w:lang w:val="es-ES_tradnl"/>
        </w:rPr>
        <w:t xml:space="preserve"> El Equipo Técnico sobre Documentación Mínima del PCT ha comprobado la disponibilidad de las colecciones de documentación sobre patentes antes del 1 de noviembre de 2025 y certifica que se han cumplido los requisitos. El alcance y el formato de los documentos que la Administración ha puesto a disposición para su consulta han sido publicados en la Gaceta del PCT el 23 de octubre de 2025, en: </w:t>
      </w:r>
      <w:hyperlink r:id="rId12" w:anchor="# page=190" w:history="1">
        <w:r w:rsidR="009F0446" w:rsidRPr="009F0446">
          <w:rPr>
            <w:rStyle w:val="Hyperlink"/>
            <w:b w:val="0"/>
            <w:lang w:val="es-ES_tradnl"/>
          </w:rPr>
          <w:t>https://www.wipo.int/documents/d/pct-system/docs-en-official-notices-officialnotices.pdf#page=190</w:t>
        </w:r>
      </w:hyperlink>
      <w:r w:rsidR="009F0446" w:rsidRPr="009F0446">
        <w:rPr>
          <w:b w:val="0"/>
          <w:lang w:val="es-ES_tradnl"/>
        </w:rPr>
        <w:t>.</w:t>
      </w:r>
    </w:p>
    <w:p w14:paraId="2762863C" w14:textId="77777777" w:rsidR="009F0446" w:rsidRPr="009F0446" w:rsidRDefault="009F0446" w:rsidP="009F0446">
      <w:pPr>
        <w:pStyle w:val="Answer"/>
        <w:rPr>
          <w:lang w:val="es-ES_tradnl"/>
        </w:rPr>
      </w:pPr>
    </w:p>
    <w:p w14:paraId="09C47228" w14:textId="77777777" w:rsidR="009F0446" w:rsidRPr="009F0446" w:rsidRDefault="009F0446" w:rsidP="009F0446">
      <w:pPr>
        <w:pStyle w:val="Answer"/>
        <w:ind w:left="0"/>
        <w:rPr>
          <w:color w:val="000000" w:themeColor="text1"/>
          <w:lang w:val="es-ES_tradnl"/>
        </w:rPr>
      </w:pPr>
      <w:r w:rsidRPr="009F0446">
        <w:rPr>
          <w:color w:val="000000" w:themeColor="text1"/>
          <w:lang w:val="es-ES_tradnl"/>
        </w:rPr>
        <w:t>O bien:</w:t>
      </w:r>
    </w:p>
    <w:p w14:paraId="505C3183" w14:textId="77777777" w:rsidR="009F0446" w:rsidRPr="009F0446" w:rsidRDefault="00EF63B4" w:rsidP="009F0446">
      <w:pPr>
        <w:rPr>
          <w:lang w:val="es-ES_tradnl"/>
        </w:rPr>
      </w:pPr>
      <w:sdt>
        <w:sdtPr>
          <w:rPr>
            <w:color w:val="000000" w:themeColor="text1"/>
            <w:lang w:val="es-ES_tradnl"/>
          </w:rPr>
          <w:id w:val="229279132"/>
          <w14:checkbox>
            <w14:checked w14:val="0"/>
            <w14:checkedState w14:val="2612" w14:font="MS Gothic"/>
            <w14:uncheckedState w14:val="2610" w14:font="MS Gothic"/>
          </w14:checkbox>
        </w:sdtPr>
        <w:sdtEndPr/>
        <w:sdtContent>
          <w:r w:rsidR="009F0446" w:rsidRPr="009F0446">
            <w:rPr>
              <w:rFonts w:ascii="MS Gothic" w:eastAsia="MS Gothic" w:hAnsi="MS Gothic"/>
              <w:color w:val="000000" w:themeColor="text1"/>
              <w:lang w:val="es-ES_tradnl"/>
            </w:rPr>
            <w:t>☐</w:t>
          </w:r>
        </w:sdtContent>
      </w:sdt>
      <w:r w:rsidR="009F0446" w:rsidRPr="009F0446">
        <w:rPr>
          <w:lang w:val="es-ES_tradnl"/>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 (véase más adelante</w:t>
      </w:r>
      <w:proofErr w:type="gramStart"/>
      <w:r w:rsidR="009F0446" w:rsidRPr="009F0446">
        <w:rPr>
          <w:lang w:val="es-ES_tradnl"/>
        </w:rPr>
        <w:t>).</w:t>
      </w:r>
      <w:r w:rsidR="009F0446" w:rsidRPr="009F0446">
        <w:rPr>
          <w:color w:val="000000" w:themeColor="text1"/>
          <w:lang w:val="es-ES_tradnl"/>
        </w:rPr>
        <w:t>Introduzca</w:t>
      </w:r>
      <w:proofErr w:type="gramEnd"/>
      <w:r w:rsidR="009F0446" w:rsidRPr="009F0446">
        <w:rPr>
          <w:color w:val="000000" w:themeColor="text1"/>
          <w:lang w:val="es-ES_tradnl"/>
        </w:rPr>
        <w:t xml:space="preserve"> asimismo información detallada de su fichero de referencia junto con los enlaces, según proceda.</w:t>
      </w:r>
    </w:p>
    <w:p w14:paraId="7BE44547" w14:textId="77777777" w:rsidR="009F0446" w:rsidRPr="009F0446" w:rsidRDefault="009F0446" w:rsidP="009F0446">
      <w:pPr>
        <w:pStyle w:val="SectionHeading"/>
        <w:keepNext w:val="0"/>
        <w:rPr>
          <w:lang w:val="es-ES_tradnl"/>
        </w:rPr>
      </w:pPr>
      <w:r w:rsidRPr="009F0446">
        <w:rPr>
          <w:lang w:val="es-ES_tradnl"/>
        </w:rPr>
        <w:t>2.3- Acceso a la documentación mínima</w:t>
      </w:r>
    </w:p>
    <w:p w14:paraId="7F42BB10" w14:textId="77777777" w:rsidR="009F0446" w:rsidRPr="009F0446" w:rsidRDefault="009F0446" w:rsidP="009F0446">
      <w:pPr>
        <w:pStyle w:val="RuleQuote"/>
        <w:keepNext w:val="0"/>
        <w:rPr>
          <w:i w:val="0"/>
          <w:iCs w:val="0"/>
          <w:lang w:val="es-ES_tradnl"/>
        </w:rPr>
      </w:pPr>
      <w:r w:rsidRPr="009F0446">
        <w:rPr>
          <w:lang w:val="es-ES_tradnl"/>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3E0F41D5" w14:textId="73894D1C" w:rsidR="009F0446" w:rsidRPr="009F0446" w:rsidRDefault="009F0446" w:rsidP="009F0446">
      <w:pPr>
        <w:pStyle w:val="RuleQuote"/>
        <w:keepNext w:val="0"/>
        <w:ind w:left="0"/>
        <w:rPr>
          <w:i w:val="0"/>
          <w:lang w:val="es-ES_tradnl"/>
        </w:rPr>
      </w:pPr>
      <w:r w:rsidRPr="009F0446">
        <w:rPr>
          <w:i w:val="0"/>
          <w:lang w:val="es-ES_tradnl"/>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p>
    <w:p w14:paraId="6A5D6D4E" w14:textId="75600ED3" w:rsidR="009F0446" w:rsidRPr="009F0446" w:rsidRDefault="009F0446" w:rsidP="009F0446">
      <w:pPr>
        <w:pStyle w:val="RuleQuote"/>
        <w:ind w:hanging="567"/>
        <w:rPr>
          <w:i w:val="0"/>
          <w:lang w:val="es-ES_tradnl"/>
        </w:rPr>
      </w:pPr>
      <w:r w:rsidRPr="009F0446">
        <w:rPr>
          <w:i w:val="0"/>
          <w:lang w:val="es-ES_tradnl"/>
        </w:rPr>
        <w:t>Otra información además del informe SGC:</w:t>
      </w:r>
    </w:p>
    <w:p w14:paraId="1D373CE1" w14:textId="77777777" w:rsidR="009F0446" w:rsidRPr="009F0446" w:rsidRDefault="009F0446" w:rsidP="009F0446">
      <w:pPr>
        <w:pStyle w:val="RuleQuote"/>
        <w:ind w:left="0"/>
        <w:rPr>
          <w:i w:val="0"/>
          <w:lang w:val="es-ES_tradnl"/>
        </w:rPr>
      </w:pPr>
      <w:r w:rsidRPr="009F0446">
        <w:rPr>
          <w:i w:val="0"/>
          <w:lang w:val="es-ES_tradnl"/>
        </w:rPr>
        <w:t>La Oficina tiene acceso completo a la documentación mínima requerida por el PCT para llevar a cabo búsquedas internacionales. Trabaja con colecciones de documentación de patentes en formato electrónico, utilizando su propio sistema de búsqueda, el Sistema Eurasiático de Información sobre Patentes (EAPATIS). EAPATIS contiene más de 94 millones de documentos de patentes, incluidas las colecciones estipuladas por la documentación mínima del PCT, y una base de datos exclusiva de documentación sobre patentes en posesión de la Oficina y los países de la región euroasiática en ruso.</w:t>
      </w:r>
      <w:bookmarkStart w:id="7" w:name="OLE_LINK7"/>
      <w:r w:rsidRPr="009F0446">
        <w:rPr>
          <w:i w:val="0"/>
          <w:lang w:val="es-ES_tradnl"/>
        </w:rPr>
        <w:t xml:space="preserve"> EAPATIS utiliza el sistema de traducción automática WIPO </w:t>
      </w:r>
      <w:proofErr w:type="spellStart"/>
      <w:r w:rsidRPr="009F0446">
        <w:rPr>
          <w:i w:val="0"/>
          <w:lang w:val="es-ES_tradnl"/>
        </w:rPr>
        <w:t>Translate</w:t>
      </w:r>
      <w:proofErr w:type="spellEnd"/>
      <w:r w:rsidRPr="009F0446">
        <w:rPr>
          <w:i w:val="0"/>
          <w:lang w:val="es-ES_tradnl"/>
        </w:rPr>
        <w:t xml:space="preserve"> para facilitar la traducción de documentos en masa y la traducción en línea de información procedente de documentos individuales para su examen.</w:t>
      </w:r>
      <w:bookmarkEnd w:id="7"/>
      <w:r w:rsidRPr="009F0446">
        <w:rPr>
          <w:i w:val="0"/>
          <w:lang w:val="es-ES_tradnl"/>
        </w:rPr>
        <w:t xml:space="preserve"> La Oficina ha desarrollado su propio motor de búsqueda, dotado de amplias capacidades de búsqueda, para las solicitudes y patentes eurasiáticas que contienen secuencias de aminoácidos o nucleótidos. También se utiliza la plataforma de búsqueda </w:t>
      </w:r>
      <w:proofErr w:type="spellStart"/>
      <w:r w:rsidRPr="009F0446">
        <w:rPr>
          <w:i w:val="0"/>
          <w:lang w:val="es-ES_tradnl"/>
        </w:rPr>
        <w:t>PatSearch</w:t>
      </w:r>
      <w:proofErr w:type="spellEnd"/>
      <w:r w:rsidRPr="009F0446">
        <w:rPr>
          <w:i w:val="0"/>
          <w:lang w:val="es-ES_tradnl"/>
        </w:rPr>
        <w:t xml:space="preserve"> de </w:t>
      </w:r>
      <w:proofErr w:type="spellStart"/>
      <w:r w:rsidRPr="009F0446">
        <w:rPr>
          <w:i w:val="0"/>
          <w:lang w:val="es-ES_tradnl"/>
        </w:rPr>
        <w:t>Rospatent</w:t>
      </w:r>
      <w:proofErr w:type="spellEnd"/>
      <w:r w:rsidRPr="009F0446">
        <w:rPr>
          <w:i w:val="0"/>
          <w:lang w:val="es-ES_tradnl"/>
        </w:rPr>
        <w:t xml:space="preserve"> y sistemas de acceso gratuito como PATENTSCOPE, </w:t>
      </w:r>
      <w:proofErr w:type="spellStart"/>
      <w:r w:rsidRPr="009F0446">
        <w:rPr>
          <w:i w:val="0"/>
          <w:lang w:val="es-ES_tradnl"/>
        </w:rPr>
        <w:t>Espacenet</w:t>
      </w:r>
      <w:proofErr w:type="spellEnd"/>
      <w:r w:rsidRPr="009F0446">
        <w:rPr>
          <w:i w:val="0"/>
          <w:lang w:val="es-ES_tradnl"/>
        </w:rPr>
        <w:t xml:space="preserve">, Google </w:t>
      </w:r>
      <w:proofErr w:type="spellStart"/>
      <w:r w:rsidRPr="009F0446">
        <w:rPr>
          <w:i w:val="0"/>
          <w:lang w:val="es-ES_tradnl"/>
        </w:rPr>
        <w:t>Patents</w:t>
      </w:r>
      <w:proofErr w:type="spellEnd"/>
      <w:r w:rsidRPr="009F0446">
        <w:rPr>
          <w:i w:val="0"/>
          <w:lang w:val="es-ES_tradnl"/>
        </w:rPr>
        <w:t xml:space="preserve">, NCBI y EBI. Asimismo, la Oficina proporciona acceso a bases de datos especializadas como CAS </w:t>
      </w:r>
      <w:proofErr w:type="spellStart"/>
      <w:r w:rsidRPr="009F0446">
        <w:rPr>
          <w:i w:val="0"/>
          <w:lang w:val="es-ES_tradnl"/>
        </w:rPr>
        <w:t>STNext</w:t>
      </w:r>
      <w:proofErr w:type="spellEnd"/>
      <w:r w:rsidRPr="009F0446">
        <w:rPr>
          <w:i w:val="0"/>
          <w:lang w:val="es-ES_tradnl"/>
        </w:rPr>
        <w:t xml:space="preserve">, </w:t>
      </w:r>
      <w:proofErr w:type="spellStart"/>
      <w:r w:rsidRPr="009F0446">
        <w:rPr>
          <w:i w:val="0"/>
          <w:lang w:val="es-ES_tradnl"/>
        </w:rPr>
        <w:t>The</w:t>
      </w:r>
      <w:proofErr w:type="spellEnd"/>
      <w:r w:rsidRPr="009F0446">
        <w:rPr>
          <w:i w:val="0"/>
          <w:lang w:val="es-ES_tradnl"/>
        </w:rPr>
        <w:t xml:space="preserve"> Lens, PubMed y TKDL (una base de datos de conocimientos tradicionales). Estamos trabajando en nuestras propias bases de datos de búsqueda y herramientas de traducción automática para colecciones ampliadas de documentos de patente que formarán parte de la documentación mínima del PCT a partir de principios de 2026. La Oficina, basándose en la lista de literatura distinta de la de patentes prevista en la Regla </w:t>
      </w:r>
      <w:proofErr w:type="gramStart"/>
      <w:r w:rsidRPr="009F0446">
        <w:rPr>
          <w:i w:val="0"/>
          <w:lang w:val="es-ES_tradnl"/>
        </w:rPr>
        <w:t>34.1.b)</w:t>
      </w:r>
      <w:proofErr w:type="spellStart"/>
      <w:r w:rsidRPr="009F0446">
        <w:rPr>
          <w:i w:val="0"/>
          <w:lang w:val="es-ES_tradnl"/>
        </w:rPr>
        <w:t>iii</w:t>
      </w:r>
      <w:proofErr w:type="spellEnd"/>
      <w:proofErr w:type="gramEnd"/>
      <w:r w:rsidRPr="009F0446">
        <w:rPr>
          <w:i w:val="0"/>
          <w:lang w:val="es-ES_tradnl"/>
        </w:rPr>
        <w:t>) del Reglamento del PCT, ha creado un catálogo de recursos de Internet, ordenados por campos tecnológicos, para su uso en las búsquedas. El catálogo pone de relieve los recursos del portal (documentación sobre diversos campos de la tecnología), así como recursos esenciales sobre ramas específicas del conocimiento, como la química, la medicina, la biotecnología, la física y otras, con un total de más de 30 categorías. La Oficina también mantiene y actualiza constantemente su propia colección de literatura distinta de la de patentes (alrededor de 4 millones de revistas y artículos) y está trabajando para ofrecer la posibilidad de realizar búsquedas de texto completo en ella mediante el sistema EAPATIS. En 2025, la Oficina puso a disposición más de 150 fuentes de literatura especializada distinta de la de patentes en diversos campos de la tecnología por medio de la plataforma de la Biblioteca Científica y Técnica Pública de la Federación de Rusia.</w:t>
      </w:r>
    </w:p>
    <w:p w14:paraId="6B273AA9" w14:textId="77777777" w:rsidR="009F0446" w:rsidRPr="009F0446" w:rsidRDefault="009F0446" w:rsidP="009F0446">
      <w:pPr>
        <w:pStyle w:val="SectionHeading"/>
        <w:keepNext w:val="0"/>
        <w:rPr>
          <w:lang w:val="es-ES_tradnl"/>
        </w:rPr>
      </w:pPr>
      <w:r w:rsidRPr="009F0446">
        <w:rPr>
          <w:lang w:val="es-ES_tradnl"/>
        </w:rPr>
        <w:t>2.4. Gestión de la calidad</w:t>
      </w:r>
    </w:p>
    <w:p w14:paraId="5B0244B4" w14:textId="77777777" w:rsidR="009F0446" w:rsidRPr="009F0446" w:rsidRDefault="009F0446" w:rsidP="009F0446">
      <w:pPr>
        <w:pStyle w:val="RuleQuote"/>
        <w:keepNext w:val="0"/>
        <w:rPr>
          <w:lang w:val="es-ES_tradnl"/>
        </w:rPr>
      </w:pPr>
      <w:r w:rsidRPr="009F0446">
        <w:rPr>
          <w:lang w:val="es-ES_tradnl"/>
        </w:rPr>
        <w:t>Reglas 36.</w:t>
      </w:r>
      <w:proofErr w:type="gramStart"/>
      <w:r w:rsidRPr="009F0446">
        <w:rPr>
          <w:lang w:val="es-ES_tradnl"/>
        </w:rPr>
        <w:t>1.iv</w:t>
      </w:r>
      <w:proofErr w:type="gramEnd"/>
      <w:r w:rsidRPr="009F0446">
        <w:rPr>
          <w:lang w:val="es-ES_tradnl"/>
        </w:rPr>
        <w:t>) y 63.1.iv): Esa Oficina u organización deberá disponer de un sistema de gestión de calidad y un sistema de revisión interna, conforme a las reglas comunes de la búsqueda internacional.</w:t>
      </w:r>
    </w:p>
    <w:p w14:paraId="01128908" w14:textId="58C9E648" w:rsidR="009F0446" w:rsidRPr="009F0446" w:rsidRDefault="009F0446" w:rsidP="009F0446">
      <w:pPr>
        <w:pStyle w:val="RuleQuote"/>
        <w:keepNext w:val="0"/>
        <w:ind w:left="0"/>
        <w:rPr>
          <w:i w:val="0"/>
          <w:lang w:val="es-ES_tradnl"/>
        </w:rPr>
      </w:pPr>
      <w:r w:rsidRPr="009F0446">
        <w:rPr>
          <w:i w:val="0"/>
          <w:lang w:val="es-ES_tradnl"/>
        </w:rPr>
        <w:t>El informe SGC proporciona información de la Oficina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3F1FB101" w14:textId="77777777" w:rsidR="009F0446" w:rsidRPr="009F0446" w:rsidRDefault="009F0446" w:rsidP="009F0446">
      <w:pPr>
        <w:pStyle w:val="RuleQuote"/>
        <w:keepNext w:val="0"/>
        <w:spacing w:after="120"/>
        <w:ind w:left="0"/>
        <w:rPr>
          <w:i w:val="0"/>
          <w:lang w:val="es-ES_tradnl"/>
        </w:rPr>
      </w:pPr>
      <w:r w:rsidRPr="009F0446">
        <w:rPr>
          <w:i w:val="0"/>
          <w:lang w:val="es-ES_tradnl"/>
        </w:rPr>
        <w:t>Otra información además del informe SGC:</w:t>
      </w:r>
    </w:p>
    <w:p w14:paraId="3DD63693" w14:textId="62B19040" w:rsidR="009F0446" w:rsidRPr="009F0446" w:rsidRDefault="009F0446" w:rsidP="009F0446">
      <w:pPr>
        <w:pStyle w:val="RuleQuote"/>
        <w:keepNext w:val="0"/>
        <w:ind w:left="0"/>
        <w:rPr>
          <w:i w:val="0"/>
          <w:lang w:val="es-ES_tradnl"/>
        </w:rPr>
      </w:pPr>
      <w:r w:rsidRPr="009F0446">
        <w:rPr>
          <w:i w:val="0"/>
          <w:lang w:val="es-ES_tradnl"/>
        </w:rPr>
        <w:t xml:space="preserve">En 2024, los procedimientos llevados a cabo por la Oficina, desde la presentación de solicitudes euroasiáticas hasta la publicación de patentes, fueron certificados, tal y como lo confirma el certificado de conformidad de su sistema de gestión de calidad con la norma ISO 9001:2015. El certificado fue expedido por el organismo de certificación TÜV de Austria (Viena), con el número de registro 20100243019787. En el periodo previo a la certificación, veinte jefes de departamento de la Oficina y sus adjuntos asistieron a un curso sobre los requisitos y la aplicación de la norma ISO 9001, impartido por la Academia TÜV de Austria. Once de esos miembros del </w:t>
      </w:r>
      <w:proofErr w:type="spellStart"/>
      <w:r w:rsidRPr="009F0446">
        <w:rPr>
          <w:i w:val="0"/>
          <w:lang w:val="es-ES_tradnl"/>
        </w:rPr>
        <w:t>personal</w:t>
      </w:r>
      <w:proofErr w:type="spellEnd"/>
      <w:r w:rsidRPr="009F0446">
        <w:rPr>
          <w:i w:val="0"/>
          <w:lang w:val="es-ES_tradnl"/>
        </w:rPr>
        <w:t xml:space="preserve"> también obtuvieron la certificación tras asistir a un curso especializado sobre la realización de auditorías internas conforme a la norma ISO 9001. El sistema de gestión de calidad de la Oficina cumple plenamente los requisitos del capítulo 21 de las Directrices de búsqueda internacional y de examen preliminar internacional. Se aplica a la labor de la Oficina en calidad de Oficina receptora y elegida como ISA/IPEA.</w:t>
      </w:r>
    </w:p>
    <w:p w14:paraId="5DF88815" w14:textId="77777777" w:rsidR="009F0446" w:rsidRPr="009F0446" w:rsidRDefault="009F0446" w:rsidP="009F0446">
      <w:pPr>
        <w:pStyle w:val="RuleQuote"/>
        <w:ind w:left="0"/>
        <w:rPr>
          <w:i w:val="0"/>
          <w:iCs w:val="0"/>
          <w:lang w:val="es-ES_tradnl"/>
        </w:rPr>
      </w:pPr>
      <w:r w:rsidRPr="009F0446">
        <w:rPr>
          <w:i w:val="0"/>
          <w:lang w:val="es-ES_tradnl"/>
        </w:rPr>
        <w:t>Como parte de los esfuerzos continuos por mejorar su labor de búsqueda y examen de patentes, se creó un grupo de trabajo interdepartamental sobre el examen de invenciones a propuesta de la Oficina, mediante una decisión del Consejo de Administración de la EAPO de 15 de octubre de 2025. Entre los miembros figuran representantes de los Estados miembros de la EAPO. El objetivo del grupo es garantizar búsquedas de alta calidad y procedimientos de examen eficaces, entre otras cosas mediante el desarrollo de herramientas de IA que faciliten la labor de los examinadores y la administración de los procedimientos de patentes.</w:t>
      </w:r>
    </w:p>
    <w:p w14:paraId="22896FF0" w14:textId="77777777" w:rsidR="009F0446" w:rsidRPr="009F0446" w:rsidRDefault="009F0446" w:rsidP="009F0446">
      <w:pPr>
        <w:pStyle w:val="SectionHeading"/>
        <w:keepNext w:val="0"/>
        <w:rPr>
          <w:lang w:val="es-ES_tradnl"/>
        </w:rPr>
      </w:pPr>
      <w:r w:rsidRPr="009F0446">
        <w:rPr>
          <w:lang w:val="es-ES_tradnl"/>
        </w:rPr>
        <w:t>3. Ámbito de actuación</w:t>
      </w:r>
    </w:p>
    <w:p w14:paraId="0D9809A8" w14:textId="77777777" w:rsidR="009F0446" w:rsidRPr="009F0446" w:rsidRDefault="009F0446" w:rsidP="009F0446">
      <w:pPr>
        <w:pStyle w:val="Question"/>
        <w:keepNext w:val="0"/>
        <w:spacing w:after="480"/>
        <w:rPr>
          <w:lang w:val="es-ES_tradnl"/>
        </w:rPr>
      </w:pPr>
      <w:r w:rsidRPr="009F0446">
        <w:rPr>
          <w:lang w:val="es-ES_tradnl"/>
        </w:rPr>
        <w:t>a)</w:t>
      </w:r>
      <w:r w:rsidRPr="009F0446">
        <w:rPr>
          <w:lang w:val="es-ES_tradnl"/>
        </w:rPr>
        <w:tab/>
        <w:t>Ámbito de actuación actual</w:t>
      </w:r>
    </w:p>
    <w:p w14:paraId="1CB71FBD" w14:textId="2695FB93" w:rsidR="009F0446" w:rsidRPr="009F0446" w:rsidRDefault="009F0446" w:rsidP="009F0446">
      <w:pPr>
        <w:pStyle w:val="Question"/>
        <w:keepNext w:val="0"/>
        <w:spacing w:after="480"/>
        <w:rPr>
          <w:lang w:val="es-ES_tradnl"/>
        </w:rPr>
      </w:pPr>
      <w:r w:rsidRPr="009F0446">
        <w:rPr>
          <w:b w:val="0"/>
          <w:lang w:val="es-ES_tradnl"/>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Guía del Solicitante del PCT, en los siguientes enlaces: </w:t>
      </w:r>
      <w:bookmarkStart w:id="8" w:name="_Hlk215085102"/>
      <w:r w:rsidRPr="009F0446">
        <w:rPr>
          <w:rStyle w:val="Hyperlink"/>
          <w:lang w:val="es-ES_tradnl"/>
        </w:rPr>
        <w:fldChar w:fldCharType="begin"/>
      </w:r>
      <w:r w:rsidRPr="009F0446">
        <w:rPr>
          <w:rStyle w:val="Hyperlink"/>
          <w:lang w:val="es-ES_tradnl"/>
        </w:rPr>
        <w:instrText>HYPERLINK "https://pctlegal.wipo.int/eGuide/view-doc.xhtml?doc-code=EA&amp;amp;doc-lang=en%23ISA."</w:instrText>
      </w:r>
      <w:r w:rsidR="0020485C" w:rsidRPr="009F0446">
        <w:rPr>
          <w:rStyle w:val="Hyperlink"/>
          <w:lang w:val="es-ES_tradnl"/>
        </w:rPr>
      </w:r>
      <w:r w:rsidRPr="009F0446">
        <w:rPr>
          <w:rStyle w:val="Hyperlink"/>
          <w:lang w:val="es-ES_tradnl"/>
        </w:rPr>
        <w:fldChar w:fldCharType="separate"/>
      </w:r>
      <w:r w:rsidRPr="009F0446">
        <w:rPr>
          <w:rStyle w:val="Hyperlink"/>
          <w:b w:val="0"/>
          <w:lang w:val="es-ES_tradnl"/>
        </w:rPr>
        <w:t>https://pctlegal.wipo.int/eGuide/view-doc.xhtml?doc-code=EA&amp;amp;doc-lang=en#ISA.</w:t>
      </w:r>
      <w:r w:rsidRPr="009F0446">
        <w:rPr>
          <w:rStyle w:val="Hyperlink"/>
          <w:lang w:val="es-ES_tradnl"/>
        </w:rPr>
        <w:fldChar w:fldCharType="end"/>
      </w:r>
      <w:r w:rsidRPr="009F0446">
        <w:rPr>
          <w:b w:val="0"/>
          <w:lang w:val="es-ES_tradnl"/>
        </w:rPr>
        <w:t xml:space="preserve"> </w:t>
      </w:r>
      <w:hyperlink r:id="rId13" w:anchor="IPEA" w:history="1">
        <w:r w:rsidRPr="009F0446">
          <w:rPr>
            <w:rStyle w:val="Hyperlink"/>
            <w:b w:val="0"/>
            <w:lang w:val="es-ES_tradnl"/>
          </w:rPr>
          <w:t>https://pctlegal.wipo.int/eGuide/view-doc.xhtml?doc-code=EA&amp;amp;doc-lang=en#IPEA</w:t>
        </w:r>
      </w:hyperlink>
      <w:bookmarkEnd w:id="8"/>
      <w:r w:rsidRPr="009F0446">
        <w:rPr>
          <w:b w:val="0"/>
          <w:lang w:val="es-ES_tradnl"/>
        </w:rPr>
        <w:t xml:space="preserve"> y</w:t>
      </w:r>
    </w:p>
    <w:p w14:paraId="384967DB" w14:textId="77777777" w:rsidR="009F0446" w:rsidRPr="009F0446" w:rsidRDefault="009F0446" w:rsidP="009F0446">
      <w:pPr>
        <w:pStyle w:val="Question"/>
        <w:keepNext w:val="0"/>
        <w:spacing w:after="480"/>
        <w:rPr>
          <w:lang w:val="es-ES_tradnl"/>
        </w:rPr>
      </w:pPr>
      <w:r w:rsidRPr="009F0446">
        <w:rPr>
          <w:lang w:val="es-ES_tradnl"/>
        </w:rPr>
        <w:t>b)</w:t>
      </w:r>
      <w:r w:rsidRPr="009F0446">
        <w:rPr>
          <w:lang w:val="es-ES_tradnl"/>
        </w:rPr>
        <w:tab/>
        <w:t>Cambios previstos en el ámbito de actuación como Administración, tales como las Oficinas receptoras para las que la Administración es competente y las lenguas ofrecidas (si procede):</w:t>
      </w:r>
    </w:p>
    <w:p w14:paraId="7322205C" w14:textId="77777777" w:rsidR="009F0446" w:rsidRPr="009F0446" w:rsidRDefault="009F0446" w:rsidP="009F0446">
      <w:pPr>
        <w:pStyle w:val="SectionHeading"/>
        <w:rPr>
          <w:lang w:val="es-ES_tradnl"/>
        </w:rPr>
      </w:pPr>
      <w:r w:rsidRPr="009F0446">
        <w:rPr>
          <w:lang w:val="es-ES_tradnl"/>
        </w:rPr>
        <w:t>4 - Otra información</w:t>
      </w:r>
    </w:p>
    <w:p w14:paraId="7F406786" w14:textId="77777777" w:rsidR="009F0446" w:rsidRPr="009F0446" w:rsidRDefault="009F0446" w:rsidP="009F0446">
      <w:pPr>
        <w:spacing w:after="120"/>
        <w:rPr>
          <w:lang w:val="es-ES_tradnl"/>
        </w:rPr>
      </w:pPr>
      <w:r w:rsidRPr="009F0446">
        <w:rPr>
          <w:lang w:val="es-ES_tradnl"/>
        </w:rPr>
        <w:t>Demás información pertinente para la prórroga de la designación como Administración encargada de la búsqueda y del examen preliminar internacionales:</w:t>
      </w:r>
    </w:p>
    <w:p w14:paraId="2C11E682" w14:textId="77777777" w:rsidR="009F0446" w:rsidRPr="009F0446" w:rsidRDefault="009F0446" w:rsidP="009F0446">
      <w:pPr>
        <w:spacing w:after="240"/>
        <w:rPr>
          <w:lang w:val="es-ES_tradnl"/>
        </w:rPr>
      </w:pPr>
      <w:r w:rsidRPr="009F0446">
        <w:rPr>
          <w:lang w:val="es-ES_tradnl"/>
        </w:rPr>
        <w:t xml:space="preserve">La Oficina es la ISA/IPEA competente para todas las Oficinas receptoras de los Estados miembros de la EAPO: Turkmenistán (TM), </w:t>
      </w:r>
      <w:proofErr w:type="spellStart"/>
      <w:r w:rsidRPr="009F0446">
        <w:rPr>
          <w:lang w:val="es-ES_tradnl"/>
        </w:rPr>
        <w:t>Belarús</w:t>
      </w:r>
      <w:proofErr w:type="spellEnd"/>
      <w:r w:rsidRPr="009F0446">
        <w:rPr>
          <w:lang w:val="es-ES_tradnl"/>
        </w:rPr>
        <w:t xml:space="preserve"> (BY), Tayikistán (TJ), Federación de Rusia (RU), Kazajstán (KZ), Azerbaiyán (AZ), Kirguistán (KG) y Armenia (AM</w:t>
      </w:r>
      <w:proofErr w:type="gramStart"/>
      <w:r w:rsidRPr="009F0446">
        <w:rPr>
          <w:lang w:val="es-ES_tradnl"/>
        </w:rPr>
        <w:t>).Asimismo</w:t>
      </w:r>
      <w:proofErr w:type="gramEnd"/>
      <w:r w:rsidRPr="009F0446">
        <w:rPr>
          <w:lang w:val="es-ES_tradnl"/>
        </w:rPr>
        <w:t>, tramita las solicitudes internacionales PCT presentadas ante la Oficina en su calidad de Oficina receptora.</w:t>
      </w:r>
    </w:p>
    <w:p w14:paraId="2A651616" w14:textId="77777777" w:rsidR="009F0446" w:rsidRPr="009F0446" w:rsidRDefault="009F0446" w:rsidP="009F0446">
      <w:pPr>
        <w:rPr>
          <w:lang w:val="es-ES_tradnl"/>
        </w:rPr>
      </w:pPr>
      <w:r w:rsidRPr="009F0446">
        <w:rPr>
          <w:lang w:val="es-ES_tradnl"/>
        </w:rPr>
        <w:t>La Oficina participa en las actividades de la OMPI destinadas a promover y fomentar la sensibilización del sistema del PCT en la región eurasiática. En 2025, por ejemplo, representantes de la Oficina presentaron ponencias en una serie de webinarios de la OMPI sobre diversos aspectos del sistema del PCT, entre otros, los procedimientos de búsqueda y examen preliminar internacional.</w:t>
      </w:r>
    </w:p>
    <w:p w14:paraId="030D1453" w14:textId="77777777" w:rsidR="009F0446" w:rsidRPr="009F0446" w:rsidRDefault="009F0446" w:rsidP="009F0446">
      <w:pPr>
        <w:pStyle w:val="SectionHeading"/>
        <w:spacing w:before="120" w:after="600"/>
        <w:jc w:val="both"/>
        <w:rPr>
          <w:b w:val="0"/>
          <w:bCs w:val="0"/>
          <w:lang w:val="es-ES_tradnl"/>
        </w:rPr>
      </w:pPr>
    </w:p>
    <w:p w14:paraId="27D16ED3" w14:textId="3493C02C" w:rsidR="009F0446" w:rsidRPr="009F0446" w:rsidRDefault="009F0446" w:rsidP="009F0446">
      <w:pPr>
        <w:pStyle w:val="Endofdocument-Annex"/>
        <w:rPr>
          <w:lang w:val="es-ES_tradnl"/>
        </w:rPr>
      </w:pPr>
      <w:r w:rsidRPr="009F0446">
        <w:rPr>
          <w:lang w:val="es-ES_tradnl"/>
        </w:rPr>
        <w:t>[Fin del Anexo y del documento]</w:t>
      </w:r>
    </w:p>
    <w:sectPr w:rsidR="009F0446" w:rsidRPr="009F0446" w:rsidSect="009F0446">
      <w:headerReference w:type="default" r:id="rId14"/>
      <w:footerReference w:type="even" r:id="rId15"/>
      <w:footerReference w:type="default" r:id="rId16"/>
      <w:headerReference w:type="first" r:id="rId17"/>
      <w:footerReference w:type="first" r:id="rId18"/>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3B44" w14:textId="77777777" w:rsidR="002E4482" w:rsidRDefault="002E4482">
      <w:r>
        <w:separator/>
      </w:r>
    </w:p>
  </w:endnote>
  <w:endnote w:type="continuationSeparator" w:id="0">
    <w:p w14:paraId="57106879" w14:textId="77777777" w:rsidR="002E4482" w:rsidRPr="009D30E6" w:rsidRDefault="002E4482" w:rsidP="007E663E">
      <w:pPr>
        <w:rPr>
          <w:sz w:val="17"/>
          <w:szCs w:val="17"/>
        </w:rPr>
      </w:pPr>
      <w:r w:rsidRPr="009D30E6">
        <w:rPr>
          <w:sz w:val="17"/>
          <w:szCs w:val="17"/>
        </w:rPr>
        <w:separator/>
      </w:r>
    </w:p>
    <w:p w14:paraId="2B84BF27" w14:textId="77777777" w:rsidR="002E4482" w:rsidRPr="007E663E" w:rsidRDefault="002E4482" w:rsidP="007E663E">
      <w:pPr>
        <w:spacing w:after="60"/>
        <w:rPr>
          <w:sz w:val="17"/>
          <w:szCs w:val="17"/>
        </w:rPr>
      </w:pPr>
      <w:r>
        <w:rPr>
          <w:sz w:val="17"/>
        </w:rPr>
        <w:t>[Continuación de la nota de la página anterior]</w:t>
      </w:r>
    </w:p>
  </w:endnote>
  <w:endnote w:type="continuationNotice" w:id="1">
    <w:p w14:paraId="61C63ED3" w14:textId="77777777" w:rsidR="002E4482" w:rsidRPr="007E663E" w:rsidRDefault="002E448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B7C6" w14:textId="77777777" w:rsidR="009F0446" w:rsidRDefault="009F0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4B02" w14:textId="77777777" w:rsidR="009F0446" w:rsidRDefault="009F0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4985" w14:textId="77777777" w:rsidR="009F0446" w:rsidRDefault="009F0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B877" w14:textId="77777777" w:rsidR="002E4482" w:rsidRDefault="002E4482">
      <w:r>
        <w:separator/>
      </w:r>
    </w:p>
  </w:footnote>
  <w:footnote w:type="continuationSeparator" w:id="0">
    <w:p w14:paraId="37E5A51C" w14:textId="77777777" w:rsidR="002E4482" w:rsidRPr="009D30E6" w:rsidRDefault="002E4482" w:rsidP="007E663E">
      <w:pPr>
        <w:rPr>
          <w:sz w:val="17"/>
          <w:szCs w:val="17"/>
        </w:rPr>
      </w:pPr>
      <w:r w:rsidRPr="009D30E6">
        <w:rPr>
          <w:sz w:val="17"/>
          <w:szCs w:val="17"/>
        </w:rPr>
        <w:separator/>
      </w:r>
    </w:p>
    <w:p w14:paraId="7FFBE75A" w14:textId="77777777" w:rsidR="002E4482" w:rsidRPr="007E663E" w:rsidRDefault="002E4482" w:rsidP="007E663E">
      <w:pPr>
        <w:spacing w:after="60"/>
        <w:rPr>
          <w:sz w:val="17"/>
          <w:szCs w:val="17"/>
        </w:rPr>
      </w:pPr>
      <w:r>
        <w:rPr>
          <w:sz w:val="17"/>
        </w:rPr>
        <w:t>[Continuación de la nota de la página anterior]</w:t>
      </w:r>
    </w:p>
  </w:footnote>
  <w:footnote w:type="continuationNotice" w:id="1">
    <w:p w14:paraId="3338E0E7" w14:textId="77777777" w:rsidR="002E4482" w:rsidRPr="007E663E" w:rsidRDefault="002E448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01BE" w14:textId="670E47A1" w:rsidR="00AE7F20" w:rsidRPr="00EB0D93" w:rsidRDefault="009F0446" w:rsidP="00477D6B">
    <w:pPr>
      <w:jc w:val="right"/>
      <w:rPr>
        <w:caps/>
      </w:rPr>
    </w:pPr>
    <w:bookmarkStart w:id="5" w:name="Code2"/>
    <w:bookmarkEnd w:id="5"/>
    <w:r>
      <w:rPr>
        <w:caps/>
      </w:rPr>
      <w:t>PCT/CTC/33/8</w:t>
    </w:r>
  </w:p>
  <w:p w14:paraId="7EC4AB5D"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59EF0AB7" w14:textId="77777777" w:rsidR="00AE7F20" w:rsidRDefault="00AE7F20" w:rsidP="00477D6B">
    <w:pPr>
      <w:jc w:val="right"/>
    </w:pPr>
  </w:p>
  <w:p w14:paraId="427AF91B" w14:textId="77777777"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9581" w14:textId="77777777" w:rsidR="009F0446" w:rsidRPr="002D7CC3" w:rsidRDefault="009F0446" w:rsidP="00916DFA">
    <w:pPr>
      <w:jc w:val="right"/>
    </w:pPr>
    <w:r>
      <w:t>PCT/CTC/33/8</w:t>
    </w:r>
  </w:p>
  <w:p w14:paraId="7A5D6FFF" w14:textId="77777777" w:rsidR="009F0446" w:rsidRDefault="009F0446" w:rsidP="009F0446">
    <w:pPr>
      <w:pStyle w:val="Header"/>
      <w:spacing w:after="480"/>
      <w:jc w:val="right"/>
    </w:pPr>
    <w:r>
      <w:t xml:space="preserve">Anexo, página </w:t>
    </w:r>
    <w:sdt>
      <w:sdtPr>
        <w:id w:val="4876065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68F9" w14:textId="77777777" w:rsidR="009F0446" w:rsidRDefault="009F0446" w:rsidP="008956A4">
    <w:pPr>
      <w:pStyle w:val="Header"/>
      <w:jc w:val="right"/>
    </w:pPr>
    <w:r>
      <w:t>PCT/CTC/33/8</w:t>
    </w:r>
  </w:p>
  <w:p w14:paraId="4038DE71" w14:textId="77777777" w:rsidR="009F0446" w:rsidRDefault="009F0446" w:rsidP="008956A4">
    <w:pPr>
      <w:pStyle w:val="Header"/>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2"/>
  </w:num>
  <w:num w:numId="2" w16cid:durableId="935676022">
    <w:abstractNumId w:val="4"/>
  </w:num>
  <w:num w:numId="3" w16cid:durableId="1849903877">
    <w:abstractNumId w:val="0"/>
  </w:num>
  <w:num w:numId="4" w16cid:durableId="593898791">
    <w:abstractNumId w:val="5"/>
  </w:num>
  <w:num w:numId="5" w16cid:durableId="443039048">
    <w:abstractNumId w:val="1"/>
  </w:num>
  <w:num w:numId="6" w16cid:durableId="1262756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46"/>
    <w:rsid w:val="00010686"/>
    <w:rsid w:val="00052915"/>
    <w:rsid w:val="000E3BB3"/>
    <w:rsid w:val="000F5E56"/>
    <w:rsid w:val="001362EE"/>
    <w:rsid w:val="00152CEA"/>
    <w:rsid w:val="001832A6"/>
    <w:rsid w:val="001C56F9"/>
    <w:rsid w:val="0020485C"/>
    <w:rsid w:val="00220365"/>
    <w:rsid w:val="002634C4"/>
    <w:rsid w:val="002C2E2F"/>
    <w:rsid w:val="002D23B5"/>
    <w:rsid w:val="002E0F47"/>
    <w:rsid w:val="002E4482"/>
    <w:rsid w:val="002F4E68"/>
    <w:rsid w:val="00310826"/>
    <w:rsid w:val="00354647"/>
    <w:rsid w:val="0036589B"/>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11529"/>
    <w:rsid w:val="00675021"/>
    <w:rsid w:val="006A06C6"/>
    <w:rsid w:val="006B1C46"/>
    <w:rsid w:val="007224C8"/>
    <w:rsid w:val="00761D20"/>
    <w:rsid w:val="00794BE2"/>
    <w:rsid w:val="007A5581"/>
    <w:rsid w:val="007A663C"/>
    <w:rsid w:val="007B71FE"/>
    <w:rsid w:val="007D781E"/>
    <w:rsid w:val="007E663E"/>
    <w:rsid w:val="00807244"/>
    <w:rsid w:val="00815082"/>
    <w:rsid w:val="0088395E"/>
    <w:rsid w:val="008B2CC1"/>
    <w:rsid w:val="008E6BD6"/>
    <w:rsid w:val="0090731E"/>
    <w:rsid w:val="00916204"/>
    <w:rsid w:val="00927287"/>
    <w:rsid w:val="00966A22"/>
    <w:rsid w:val="00972F03"/>
    <w:rsid w:val="0098367F"/>
    <w:rsid w:val="009A0C8B"/>
    <w:rsid w:val="009A20CD"/>
    <w:rsid w:val="009B6241"/>
    <w:rsid w:val="009F0446"/>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B7E59"/>
    <w:rsid w:val="00DC4C60"/>
    <w:rsid w:val="00DD6CF4"/>
    <w:rsid w:val="00E0079A"/>
    <w:rsid w:val="00E444DA"/>
    <w:rsid w:val="00E45C84"/>
    <w:rsid w:val="00E504E5"/>
    <w:rsid w:val="00EB0D93"/>
    <w:rsid w:val="00EB7A3E"/>
    <w:rsid w:val="00EC1AA7"/>
    <w:rsid w:val="00EC401A"/>
    <w:rsid w:val="00EF3F2D"/>
    <w:rsid w:val="00EF530A"/>
    <w:rsid w:val="00EF63B4"/>
    <w:rsid w:val="00EF6622"/>
    <w:rsid w:val="00EF78A9"/>
    <w:rsid w:val="00F4137E"/>
    <w:rsid w:val="00F55408"/>
    <w:rsid w:val="00F66152"/>
    <w:rsid w:val="00F80845"/>
    <w:rsid w:val="00F84474"/>
    <w:rsid w:val="00FA0F0D"/>
    <w:rsid w:val="00FD42BF"/>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2D588"/>
  <w15:docId w15:val="{DF4D00EE-90B0-46E3-BB33-D4C37049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uiPriority w:val="99"/>
    <w:locked/>
    <w:rsid w:val="009F0446"/>
    <w:rPr>
      <w:rFonts w:ascii="Arial" w:eastAsia="SimSun" w:hAnsi="Arial" w:cs="Arial"/>
      <w:sz w:val="22"/>
      <w:lang w:val="es-ES" w:eastAsia="zh-CN"/>
    </w:rPr>
  </w:style>
  <w:style w:type="character" w:customStyle="1" w:styleId="SectionHeadingChar">
    <w:name w:val="Section Heading Char"/>
    <w:link w:val="SectionHeading"/>
    <w:locked/>
    <w:rsid w:val="009F0446"/>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9F0446"/>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F0446"/>
    <w:pPr>
      <w:keepNext/>
      <w:keepLines/>
      <w:spacing w:after="240"/>
      <w:ind w:left="567" w:right="567"/>
    </w:pPr>
    <w:rPr>
      <w:bCs/>
      <w:i/>
      <w:iCs/>
    </w:rPr>
  </w:style>
  <w:style w:type="paragraph" w:customStyle="1" w:styleId="Question">
    <w:name w:val="Question"/>
    <w:basedOn w:val="BodyText"/>
    <w:next w:val="Answer"/>
    <w:qFormat/>
    <w:rsid w:val="009F0446"/>
    <w:pPr>
      <w:keepNext/>
      <w:keepLines/>
    </w:pPr>
    <w:rPr>
      <w:b/>
      <w:bCs/>
      <w:szCs w:val="22"/>
    </w:rPr>
  </w:style>
  <w:style w:type="paragraph" w:customStyle="1" w:styleId="Answer">
    <w:name w:val="Answer"/>
    <w:basedOn w:val="BodyText"/>
    <w:qFormat/>
    <w:rsid w:val="009F0446"/>
    <w:pPr>
      <w:ind w:left="567"/>
    </w:pPr>
  </w:style>
  <w:style w:type="character" w:styleId="Hyperlink">
    <w:name w:val="Hyperlink"/>
    <w:basedOn w:val="DefaultParagraphFont"/>
    <w:uiPriority w:val="99"/>
    <w:unhideWhenUsed/>
    <w:rsid w:val="009F0446"/>
    <w:rPr>
      <w:color w:val="0000FF" w:themeColor="hyperlink"/>
      <w:u w:val="single"/>
    </w:rPr>
  </w:style>
  <w:style w:type="character" w:customStyle="1" w:styleId="HeaderChar">
    <w:name w:val="Header Char"/>
    <w:basedOn w:val="DefaultParagraphFont"/>
    <w:link w:val="Header"/>
    <w:uiPriority w:val="99"/>
    <w:rsid w:val="009F0446"/>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EA&amp;amp;doc-lang=en"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documents/d/pct-system/docs-en-official-notices-officialnotice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es/docs/circulars/2024/167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po.int/en/web/pct-system/quality/authori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1</TotalTime>
  <Pages>7</Pages>
  <Words>1990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PCT/CTC/33/8</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PCT/CTC/33/8</dc:title>
  <dc:subject>PRÓRROGA DE LA DESIGNACIÓN DE LA OFICINA EURASIÁTICA DE PATENTES EN CALIDAD DE ADMINISTRACIÓN ENCARGADA DE LA BÚSQUEDA INTERNACIONAL Y DEL EXAMEN PRELIMINAR INTERNACIONAL EN VIRTUD DEL PCT</dc:subject>
  <dc:creator>MARLOW Thomas</dc:creator>
  <cp:keywords/>
  <cp:lastModifiedBy>MARLOW Thomas</cp:lastModifiedBy>
  <cp:revision>3</cp:revision>
  <dcterms:created xsi:type="dcterms:W3CDTF">2026-01-13T16:32:00Z</dcterms:created>
  <dcterms:modified xsi:type="dcterms:W3CDTF">2026-01-13T16:32:00Z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2026-01-05T14:43:57Z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782ad354-2de2-4e47-bdb6-b038e4ed5945</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