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7066" w14:textId="77777777" w:rsidR="008B2CC1" w:rsidRPr="00A4021F" w:rsidRDefault="00472A6E" w:rsidP="00761D20">
      <w:pPr>
        <w:pBdr>
          <w:bottom w:val="single" w:sz="4" w:space="11" w:color="auto"/>
        </w:pBdr>
        <w:spacing w:after="120"/>
        <w:ind w:right="-57"/>
        <w:jc w:val="right"/>
        <w:rPr>
          <w:lang w:val="es-419"/>
        </w:rPr>
      </w:pPr>
      <w:r w:rsidRPr="00A4021F">
        <w:rPr>
          <w:noProof/>
          <w:lang w:val="es-419" w:eastAsia="en-US"/>
        </w:rPr>
        <w:drawing>
          <wp:inline distT="0" distB="0" distL="0" distR="0" wp14:anchorId="7FCA6BE5" wp14:editId="139A2D4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E60AB08" w14:textId="5ADF5496" w:rsidR="00472A6E" w:rsidRPr="00A4021F" w:rsidRDefault="00927287" w:rsidP="00472A6E">
      <w:pPr>
        <w:jc w:val="right"/>
        <w:rPr>
          <w:rFonts w:ascii="Arial Black" w:hAnsi="Arial Black"/>
          <w:caps/>
          <w:sz w:val="15"/>
          <w:lang w:val="es-419"/>
        </w:rPr>
      </w:pPr>
      <w:r w:rsidRPr="00A4021F">
        <w:rPr>
          <w:rFonts w:ascii="Arial Black" w:hAnsi="Arial Black"/>
          <w:caps/>
          <w:sz w:val="15"/>
          <w:lang w:val="es-419"/>
        </w:rPr>
        <w:t>PCT/CTC/3</w:t>
      </w:r>
      <w:r w:rsidR="00611529" w:rsidRPr="00A4021F">
        <w:rPr>
          <w:rFonts w:ascii="Arial Black" w:hAnsi="Arial Black"/>
          <w:caps/>
          <w:sz w:val="15"/>
          <w:lang w:val="es-419"/>
        </w:rPr>
        <w:t>3</w:t>
      </w:r>
      <w:r w:rsidRPr="00A4021F">
        <w:rPr>
          <w:rFonts w:ascii="Arial Black" w:hAnsi="Arial Black"/>
          <w:caps/>
          <w:sz w:val="15"/>
          <w:lang w:val="es-419"/>
        </w:rPr>
        <w:t>/</w:t>
      </w:r>
      <w:bookmarkStart w:id="0" w:name="Code"/>
      <w:bookmarkEnd w:id="0"/>
      <w:r w:rsidR="005152D6" w:rsidRPr="00A4021F">
        <w:rPr>
          <w:rFonts w:ascii="Arial Black" w:hAnsi="Arial Black"/>
          <w:caps/>
          <w:sz w:val="15"/>
          <w:lang w:val="es-419"/>
        </w:rPr>
        <w:t>4</w:t>
      </w:r>
    </w:p>
    <w:p w14:paraId="6D8E31AA" w14:textId="44BCEBF6" w:rsidR="008B2CC1" w:rsidRPr="00A4021F" w:rsidRDefault="00472A6E" w:rsidP="00472A6E">
      <w:pPr>
        <w:jc w:val="right"/>
        <w:rPr>
          <w:lang w:val="es-419"/>
        </w:rPr>
      </w:pPr>
      <w:r w:rsidRPr="00A4021F">
        <w:rPr>
          <w:rFonts w:ascii="Arial Black" w:hAnsi="Arial Black"/>
          <w:caps/>
          <w:sz w:val="15"/>
          <w:lang w:val="es-419"/>
        </w:rPr>
        <w:t xml:space="preserve">ORIGINAL: </w:t>
      </w:r>
      <w:bookmarkStart w:id="1" w:name="Original"/>
      <w:r w:rsidR="005152D6" w:rsidRPr="00A4021F">
        <w:rPr>
          <w:rFonts w:ascii="Arial Black" w:hAnsi="Arial Black"/>
          <w:caps/>
          <w:sz w:val="15"/>
          <w:lang w:val="es-419"/>
        </w:rPr>
        <w:t>INGLÉS</w:t>
      </w:r>
    </w:p>
    <w:bookmarkEnd w:id="1"/>
    <w:p w14:paraId="031425D9" w14:textId="1EB524AB" w:rsidR="008B2CC1" w:rsidRPr="00A4021F" w:rsidRDefault="00472A6E" w:rsidP="00472A6E">
      <w:pPr>
        <w:spacing w:after="1200"/>
        <w:jc w:val="right"/>
        <w:rPr>
          <w:lang w:val="es-419"/>
        </w:rPr>
      </w:pPr>
      <w:r w:rsidRPr="00A4021F">
        <w:rPr>
          <w:rFonts w:ascii="Arial Black" w:hAnsi="Arial Black"/>
          <w:caps/>
          <w:sz w:val="15"/>
          <w:lang w:val="es-419"/>
        </w:rPr>
        <w:t xml:space="preserve">fecha: </w:t>
      </w:r>
      <w:bookmarkStart w:id="2" w:name="Date"/>
      <w:r w:rsidR="005152D6" w:rsidRPr="00A4021F">
        <w:rPr>
          <w:rFonts w:ascii="Arial Black" w:hAnsi="Arial Black"/>
          <w:caps/>
          <w:sz w:val="15"/>
          <w:lang w:val="es-419"/>
        </w:rPr>
        <w:t>19 DE DICIEMBRE DE 2025</w:t>
      </w:r>
    </w:p>
    <w:bookmarkEnd w:id="2"/>
    <w:p w14:paraId="36FC9647" w14:textId="77777777" w:rsidR="00927287" w:rsidRPr="00A4021F" w:rsidRDefault="00927287" w:rsidP="00927287">
      <w:pPr>
        <w:rPr>
          <w:b/>
          <w:sz w:val="28"/>
          <w:szCs w:val="28"/>
          <w:lang w:val="es-419"/>
        </w:rPr>
      </w:pPr>
      <w:r w:rsidRPr="00A4021F">
        <w:rPr>
          <w:b/>
          <w:sz w:val="28"/>
          <w:szCs w:val="28"/>
          <w:lang w:val="es-419"/>
        </w:rPr>
        <w:t>Tratado de Cooperación en materia de Patentes (PCT)</w:t>
      </w:r>
    </w:p>
    <w:p w14:paraId="131DEE3A" w14:textId="77777777" w:rsidR="00B67CDC" w:rsidRPr="00A4021F" w:rsidRDefault="00927287" w:rsidP="00927287">
      <w:pPr>
        <w:pStyle w:val="Heading1"/>
        <w:spacing w:before="0" w:after="480"/>
        <w:rPr>
          <w:sz w:val="28"/>
          <w:lang w:val="es-419"/>
        </w:rPr>
      </w:pPr>
      <w:r w:rsidRPr="00A4021F">
        <w:rPr>
          <w:caps w:val="0"/>
          <w:sz w:val="28"/>
          <w:szCs w:val="28"/>
          <w:lang w:val="es-419"/>
        </w:rPr>
        <w:t>Comité de Cooperación Técnica</w:t>
      </w:r>
      <w:r w:rsidRPr="00A4021F">
        <w:rPr>
          <w:caps w:val="0"/>
          <w:sz w:val="28"/>
          <w:lang w:val="es-419"/>
        </w:rPr>
        <w:t xml:space="preserve"> </w:t>
      </w:r>
    </w:p>
    <w:p w14:paraId="7E48D5AC" w14:textId="77777777" w:rsidR="005B2EAE" w:rsidRPr="00A4021F" w:rsidRDefault="00927287" w:rsidP="005B2EAE">
      <w:pPr>
        <w:outlineLvl w:val="1"/>
        <w:rPr>
          <w:b/>
          <w:sz w:val="24"/>
          <w:szCs w:val="24"/>
          <w:lang w:val="es-419"/>
        </w:rPr>
      </w:pPr>
      <w:r w:rsidRPr="00A4021F">
        <w:rPr>
          <w:b/>
          <w:sz w:val="24"/>
          <w:szCs w:val="24"/>
          <w:lang w:val="es-419"/>
        </w:rPr>
        <w:t xml:space="preserve">Trigésima </w:t>
      </w:r>
      <w:r w:rsidR="00220365" w:rsidRPr="00A4021F">
        <w:rPr>
          <w:b/>
          <w:sz w:val="24"/>
          <w:szCs w:val="24"/>
          <w:lang w:val="es-419"/>
        </w:rPr>
        <w:t>tercer</w:t>
      </w:r>
      <w:r w:rsidRPr="00A4021F">
        <w:rPr>
          <w:b/>
          <w:sz w:val="24"/>
          <w:szCs w:val="24"/>
          <w:lang w:val="es-419"/>
        </w:rPr>
        <w:t>a sesión</w:t>
      </w:r>
    </w:p>
    <w:p w14:paraId="4B3A26F0" w14:textId="77777777" w:rsidR="00B67CDC" w:rsidRPr="00A4021F" w:rsidRDefault="00927287" w:rsidP="00472A6E">
      <w:pPr>
        <w:spacing w:after="720"/>
        <w:outlineLvl w:val="1"/>
        <w:rPr>
          <w:b/>
          <w:sz w:val="24"/>
          <w:szCs w:val="24"/>
          <w:lang w:val="es-419"/>
        </w:rPr>
      </w:pPr>
      <w:r w:rsidRPr="00A4021F">
        <w:rPr>
          <w:b/>
          <w:sz w:val="24"/>
          <w:szCs w:val="24"/>
          <w:lang w:val="es-419"/>
        </w:rPr>
        <w:t xml:space="preserve">Ginebra, </w:t>
      </w:r>
      <w:r w:rsidR="00220365" w:rsidRPr="00A4021F">
        <w:rPr>
          <w:b/>
          <w:sz w:val="24"/>
          <w:szCs w:val="24"/>
          <w:lang w:val="es-419"/>
        </w:rPr>
        <w:t>2 a 6 de febrero</w:t>
      </w:r>
      <w:r w:rsidRPr="00A4021F">
        <w:rPr>
          <w:b/>
          <w:sz w:val="24"/>
          <w:szCs w:val="24"/>
          <w:lang w:val="es-419"/>
        </w:rPr>
        <w:t xml:space="preserve"> de 202</w:t>
      </w:r>
      <w:r w:rsidR="00DB7E59" w:rsidRPr="00A4021F">
        <w:rPr>
          <w:b/>
          <w:sz w:val="24"/>
          <w:szCs w:val="24"/>
          <w:lang w:val="es-419"/>
        </w:rPr>
        <w:t>6</w:t>
      </w:r>
    </w:p>
    <w:p w14:paraId="10F49DFB" w14:textId="322AFBA5" w:rsidR="008B2CC1" w:rsidRPr="00A4021F" w:rsidRDefault="005152D6" w:rsidP="00472A6E">
      <w:pPr>
        <w:spacing w:after="360"/>
        <w:rPr>
          <w:caps/>
          <w:sz w:val="24"/>
          <w:lang w:val="es-419"/>
        </w:rPr>
      </w:pPr>
      <w:bookmarkStart w:id="3" w:name="TitleOfDoc"/>
      <w:r w:rsidRPr="00A4021F">
        <w:rPr>
          <w:caps/>
          <w:sz w:val="24"/>
          <w:lang w:val="es-419"/>
        </w:rPr>
        <w:t xml:space="preserve">PRÓRROGA DE LA DESIGNACIÓN DEL INSTITUTO NACIONAL DE LA PROPIEDAD INDUSTRIAL (BRASIL) </w:t>
      </w:r>
      <w:r w:rsidR="00CD6264">
        <w:rPr>
          <w:caps/>
          <w:sz w:val="24"/>
          <w:lang w:val="es-419"/>
        </w:rPr>
        <w:t>EN CALIDAD DE</w:t>
      </w:r>
      <w:r w:rsidRPr="00A4021F">
        <w:rPr>
          <w:caps/>
          <w:sz w:val="24"/>
          <w:lang w:val="es-419"/>
        </w:rPr>
        <w:t xml:space="preserve"> ADMINISTRACIÓN ENCARGADA DE LA </w:t>
      </w:r>
      <w:r w:rsidR="00CD6264" w:rsidRPr="0013109E">
        <w:rPr>
          <w:caps/>
          <w:sz w:val="24"/>
          <w:lang w:val="es-419"/>
        </w:rPr>
        <w:t>BÚSQUEDA INTERNACIONAL Y DEL EXAMEN PRELIMINAR INTERNACIONAL EN VIRTUD DEL PCT</w:t>
      </w:r>
    </w:p>
    <w:p w14:paraId="135D6307" w14:textId="446103DE" w:rsidR="008B2CC1" w:rsidRPr="00A4021F" w:rsidRDefault="005152D6" w:rsidP="00472A6E">
      <w:pPr>
        <w:spacing w:after="1040"/>
        <w:rPr>
          <w:i/>
          <w:lang w:val="es-419"/>
        </w:rPr>
      </w:pPr>
      <w:bookmarkStart w:id="4" w:name="Prepared"/>
      <w:bookmarkEnd w:id="3"/>
      <w:bookmarkEnd w:id="4"/>
      <w:r w:rsidRPr="00A4021F">
        <w:rPr>
          <w:i/>
          <w:lang w:val="es-419"/>
        </w:rPr>
        <w:t>Documento preparado por la Oficina Internacional</w:t>
      </w:r>
    </w:p>
    <w:p w14:paraId="1E244ED1" w14:textId="3CD5CB6C" w:rsidR="005152D6" w:rsidRPr="00A4021F" w:rsidRDefault="005152D6" w:rsidP="005152D6">
      <w:pPr>
        <w:spacing w:after="220"/>
        <w:rPr>
          <w:lang w:val="es-419"/>
        </w:rPr>
      </w:pPr>
      <w:r w:rsidRPr="00A4021F">
        <w:rPr>
          <w:lang w:val="es-419"/>
        </w:rPr>
        <w:t>1.</w:t>
      </w:r>
      <w:r w:rsidRPr="00A4021F">
        <w:rPr>
          <w:lang w:val="es-419"/>
        </w:rPr>
        <w:tab/>
        <w:t>Todas las Administraciones internacionales existentes fueron designadas por la Asamblea de la Unión del PCT por un plazo que expirará el 31 de diciembre de 2027</w:t>
      </w:r>
      <w:r w:rsidR="0052700D" w:rsidRPr="00A4021F">
        <w:rPr>
          <w:lang w:val="es-419"/>
        </w:rPr>
        <w:t xml:space="preserve">. </w:t>
      </w:r>
      <w:r w:rsidRPr="00A4021F">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A4021F">
        <w:rPr>
          <w:lang w:val="es-419"/>
        </w:rPr>
        <w:t>16.3)e</w:t>
      </w:r>
      <w:proofErr w:type="gramEnd"/>
      <w:r w:rsidRPr="00A4021F">
        <w:rPr>
          <w:lang w:val="es-419"/>
        </w:rPr>
        <w:t>) y 32.3) del PCT)</w:t>
      </w:r>
      <w:r w:rsidR="0052700D" w:rsidRPr="00A4021F">
        <w:rPr>
          <w:lang w:val="es-419"/>
        </w:rPr>
        <w:t xml:space="preserve">. </w:t>
      </w:r>
      <w:r w:rsidRPr="00A4021F">
        <w:rPr>
          <w:lang w:val="es-419"/>
        </w:rPr>
        <w:t xml:space="preserve">El documento PCT/CTC/33/INF/1 contiene más información sobre este proceso y sobre la función del Comité en el marco </w:t>
      </w:r>
      <w:proofErr w:type="gramStart"/>
      <w:r w:rsidRPr="00A4021F">
        <w:rPr>
          <w:lang w:val="es-419"/>
        </w:rPr>
        <w:t>del mismo</w:t>
      </w:r>
      <w:proofErr w:type="gramEnd"/>
      <w:r w:rsidRPr="00A4021F">
        <w:rPr>
          <w:lang w:val="es-419"/>
        </w:rPr>
        <w:t>.</w:t>
      </w:r>
    </w:p>
    <w:p w14:paraId="71F067B0" w14:textId="77777777" w:rsidR="005152D6" w:rsidRPr="00A4021F" w:rsidRDefault="005152D6" w:rsidP="005152D6">
      <w:pPr>
        <w:spacing w:after="220"/>
        <w:rPr>
          <w:lang w:val="es-419"/>
        </w:rPr>
      </w:pPr>
      <w:r w:rsidRPr="00A4021F">
        <w:rPr>
          <w:lang w:val="es-419"/>
        </w:rPr>
        <w:t>2.</w:t>
      </w:r>
      <w:r w:rsidRPr="00A4021F">
        <w:rPr>
          <w:lang w:val="es-419"/>
        </w:rPr>
        <w:tab/>
        <w:t>El 28 de noviembre de 2025, el Instituto Nacional de la Propiedad Industrial (Brasil) presentó su solicitud de prórroga de la designación, que se reproduce en el Anexo del presente documento.</w:t>
      </w:r>
    </w:p>
    <w:p w14:paraId="2EC6BAE2" w14:textId="77777777" w:rsidR="005152D6" w:rsidRPr="00A4021F" w:rsidRDefault="005152D6" w:rsidP="005152D6">
      <w:pPr>
        <w:spacing w:after="220"/>
        <w:ind w:left="5533"/>
        <w:rPr>
          <w:i/>
          <w:lang w:val="es-419"/>
        </w:rPr>
      </w:pPr>
      <w:r w:rsidRPr="00A4021F">
        <w:rPr>
          <w:i/>
          <w:lang w:val="es-419"/>
        </w:rPr>
        <w:t>3.</w:t>
      </w:r>
      <w:r w:rsidRPr="00A4021F">
        <w:rPr>
          <w:i/>
          <w:lang w:val="es-419"/>
        </w:rPr>
        <w:tab/>
        <w:t>Se invita al Comité a dar su opinión sobre este asunto.</w:t>
      </w:r>
    </w:p>
    <w:p w14:paraId="00ACC9E8" w14:textId="1E159D9C" w:rsidR="00152CEA" w:rsidRPr="00A4021F" w:rsidRDefault="005152D6" w:rsidP="005152D6">
      <w:pPr>
        <w:pStyle w:val="Endofdocument-Annex"/>
        <w:spacing w:before="720"/>
        <w:rPr>
          <w:lang w:val="es-419"/>
        </w:rPr>
      </w:pPr>
      <w:r w:rsidRPr="00A4021F">
        <w:rPr>
          <w:lang w:val="es-419"/>
        </w:rPr>
        <w:t>[Sigue el Anexo]</w:t>
      </w:r>
    </w:p>
    <w:p w14:paraId="25D4BB11" w14:textId="77777777" w:rsidR="005152D6" w:rsidRPr="00A4021F" w:rsidRDefault="005152D6" w:rsidP="005152D6">
      <w:pPr>
        <w:rPr>
          <w:lang w:val="es-419"/>
        </w:rPr>
        <w:sectPr w:rsidR="005152D6" w:rsidRPr="00A4021F" w:rsidSect="005152D6">
          <w:headerReference w:type="default" r:id="rId9"/>
          <w:pgSz w:w="11907" w:h="16840" w:code="9"/>
          <w:pgMar w:top="567" w:right="1134" w:bottom="1418" w:left="1418" w:header="510" w:footer="1021" w:gutter="0"/>
          <w:cols w:space="720"/>
          <w:titlePg/>
          <w:docGrid w:linePitch="299"/>
        </w:sectPr>
      </w:pPr>
    </w:p>
    <w:p w14:paraId="3B5E03E7" w14:textId="77777777" w:rsidR="005152D6" w:rsidRPr="00A4021F" w:rsidRDefault="005152D6" w:rsidP="005152D6">
      <w:pPr>
        <w:pStyle w:val="Heading2"/>
        <w:jc w:val="center"/>
        <w:rPr>
          <w:lang w:val="es-419"/>
        </w:rPr>
      </w:pPr>
      <w:r w:rsidRPr="00A4021F">
        <w:rPr>
          <w:lang w:val="es-419"/>
        </w:rPr>
        <w:lastRenderedPageBreak/>
        <w:t>Solicitud de prórroga de la designación como Administración encargada de la búsqueda y del examen preliminar internacionales en virtud del PCT</w:t>
      </w:r>
    </w:p>
    <w:p w14:paraId="20C88A7D" w14:textId="77777777" w:rsidR="005152D6" w:rsidRPr="00A4021F" w:rsidRDefault="005152D6" w:rsidP="005152D6">
      <w:pPr>
        <w:pStyle w:val="SectionHeading"/>
        <w:rPr>
          <w:lang w:val="es-419"/>
        </w:rPr>
      </w:pPr>
      <w:r w:rsidRPr="00A4021F">
        <w:rPr>
          <w:lang w:val="es-419"/>
        </w:rPr>
        <w:t>1. Información general</w:t>
      </w:r>
    </w:p>
    <w:p w14:paraId="4875A185" w14:textId="77777777" w:rsidR="005152D6" w:rsidRPr="00A4021F" w:rsidRDefault="005152D6" w:rsidP="005152D6">
      <w:pPr>
        <w:pStyle w:val="Question"/>
        <w:spacing w:after="480"/>
        <w:rPr>
          <w:lang w:val="es-419"/>
        </w:rPr>
      </w:pPr>
      <w:r w:rsidRPr="00A4021F">
        <w:rPr>
          <w:lang w:val="es-419"/>
        </w:rPr>
        <w:t>a)</w:t>
      </w:r>
      <w:r w:rsidRPr="00A4021F">
        <w:rPr>
          <w:lang w:val="es-419"/>
        </w:rPr>
        <w:tab/>
        <w:t xml:space="preserve">Nombre de la Oficina u organización intergubernamental: </w:t>
      </w:r>
    </w:p>
    <w:p w14:paraId="63C2496D" w14:textId="77777777" w:rsidR="005152D6" w:rsidRPr="00A4021F" w:rsidRDefault="005152D6" w:rsidP="005152D6">
      <w:pPr>
        <w:pStyle w:val="Question"/>
        <w:spacing w:after="480"/>
        <w:rPr>
          <w:b w:val="0"/>
          <w:lang w:val="es-419"/>
        </w:rPr>
      </w:pPr>
      <w:r w:rsidRPr="00A4021F">
        <w:rPr>
          <w:b w:val="0"/>
          <w:lang w:val="es-419"/>
        </w:rPr>
        <w:t>Instituto Nacional de la Propiedad Industrial del Brasil</w:t>
      </w:r>
    </w:p>
    <w:p w14:paraId="2F87B9D5" w14:textId="1B7C1DB8" w:rsidR="005152D6" w:rsidRPr="00A4021F" w:rsidRDefault="005152D6" w:rsidP="005152D6">
      <w:pPr>
        <w:pStyle w:val="Question"/>
        <w:spacing w:after="480"/>
        <w:rPr>
          <w:lang w:val="es-419"/>
        </w:rPr>
      </w:pPr>
      <w:r w:rsidRPr="00A4021F">
        <w:rPr>
          <w:lang w:val="es-419"/>
        </w:rPr>
        <w:t>b)</w:t>
      </w:r>
      <w:r w:rsidRPr="00A4021F">
        <w:rPr>
          <w:lang w:val="es-419"/>
        </w:rPr>
        <w:tab/>
        <w:t>Nombre y datos de contacto para consultas sobre esta solicitud</w:t>
      </w:r>
      <w:r w:rsidR="0052700D" w:rsidRPr="00A4021F">
        <w:rPr>
          <w:lang w:val="es-419"/>
        </w:rPr>
        <w:t xml:space="preserve">: </w:t>
      </w:r>
      <w:r w:rsidRPr="00A4021F">
        <w:rPr>
          <w:b w:val="0"/>
          <w:lang w:val="es-419"/>
        </w:rPr>
        <w:t xml:space="preserve">Leopoldo Nascimento Coutinho, coordinador, Coordinación de Relaciones Internacionales, </w:t>
      </w:r>
      <w:r w:rsidRPr="00A4021F">
        <w:rPr>
          <w:rStyle w:val="Hyperlink"/>
          <w:b w:val="0"/>
          <w:lang w:val="es-419"/>
        </w:rPr>
        <w:t>coint@inpi.br</w:t>
      </w:r>
    </w:p>
    <w:p w14:paraId="04F0F50D" w14:textId="77777777" w:rsidR="005152D6" w:rsidRPr="00A4021F" w:rsidRDefault="005152D6" w:rsidP="005152D6">
      <w:pPr>
        <w:pStyle w:val="Question"/>
        <w:spacing w:after="480"/>
        <w:rPr>
          <w:b w:val="0"/>
          <w:bCs w:val="0"/>
          <w:lang w:val="es-419"/>
        </w:rPr>
      </w:pPr>
      <w:r w:rsidRPr="00A4021F">
        <w:rPr>
          <w:b w:val="0"/>
          <w:lang w:val="es-419"/>
        </w:rPr>
        <w:t xml:space="preserve">Gisela Aparecida Silva Nogueira, coordinadora general, Coordinación General del PCT, </w:t>
      </w:r>
      <w:r w:rsidRPr="00A4021F">
        <w:rPr>
          <w:rStyle w:val="Hyperlink"/>
          <w:b w:val="0"/>
          <w:lang w:val="es-419"/>
        </w:rPr>
        <w:t>cgpct@inpi.gov.br</w:t>
      </w:r>
    </w:p>
    <w:p w14:paraId="2AF5B0F1" w14:textId="77777777" w:rsidR="005152D6" w:rsidRPr="00A4021F" w:rsidRDefault="005152D6" w:rsidP="005152D6">
      <w:pPr>
        <w:pStyle w:val="Question"/>
        <w:rPr>
          <w:lang w:val="es-419"/>
        </w:rPr>
      </w:pPr>
      <w:r w:rsidRPr="00A4021F">
        <w:rPr>
          <w:lang w:val="es-419"/>
        </w:rPr>
        <w:t>c)</w:t>
      </w:r>
      <w:r w:rsidRPr="00A4021F">
        <w:rPr>
          <w:lang w:val="es-419"/>
        </w:rPr>
        <w:tab/>
        <w:t>Fecha en que el director general recibió la solicitud de prórroga de la designación:</w:t>
      </w:r>
    </w:p>
    <w:p w14:paraId="2E91D063" w14:textId="77777777" w:rsidR="005152D6" w:rsidRPr="00A4021F" w:rsidRDefault="005152D6" w:rsidP="005152D6">
      <w:pPr>
        <w:pStyle w:val="Answer"/>
        <w:rPr>
          <w:lang w:val="es-419"/>
        </w:rPr>
      </w:pPr>
      <w:r w:rsidRPr="00A4021F">
        <w:rPr>
          <w:lang w:val="es-419"/>
        </w:rPr>
        <w:t>28 de noviembre de 2025</w:t>
      </w:r>
    </w:p>
    <w:p w14:paraId="2AF440B4" w14:textId="77777777" w:rsidR="005152D6" w:rsidRPr="00A4021F" w:rsidRDefault="005152D6" w:rsidP="005152D6">
      <w:pPr>
        <w:pStyle w:val="SectionHeading"/>
        <w:rPr>
          <w:lang w:val="es-419"/>
        </w:rPr>
      </w:pPr>
      <w:r w:rsidRPr="00A4021F">
        <w:rPr>
          <w:lang w:val="es-419"/>
        </w:rPr>
        <w:t>2. Requisitos mínimos para la designación</w:t>
      </w:r>
    </w:p>
    <w:p w14:paraId="776311F4" w14:textId="5883AEDF" w:rsidR="005152D6" w:rsidRPr="00A4021F" w:rsidRDefault="005152D6" w:rsidP="005152D6">
      <w:pPr>
        <w:rPr>
          <w:lang w:val="es-419"/>
        </w:rPr>
      </w:pPr>
      <w:r w:rsidRPr="00A4021F">
        <w:rPr>
          <w:lang w:val="es-419"/>
        </w:rPr>
        <w:t>Además del informe anual sobre el sistema de gestión de la calidad (("el informe SGC”</w:t>
      </w:r>
      <w:hyperlink r:id="rId10" w:anchor="BRI" w:history="1">
        <w:r w:rsidRPr="00A4021F">
          <w:rPr>
            <w:rStyle w:val="Hyperlink"/>
            <w:lang w:val="es-419"/>
          </w:rPr>
          <w:t>https://www.wipo.int/en/web/pct-system/quality/authorities#BR</w:t>
        </w:r>
      </w:hyperlink>
      <w:r w:rsidRPr="00A4021F">
        <w:rPr>
          <w:lang w:val="es-419"/>
        </w:rPr>
        <w:t>) de la Oficina u organización para 2025 elaborado de conformidad con los párrafos 21.31 y 21.32 de las Directrices de búsqueda y examen preliminar internacionales (“las Directrices”</w:t>
      </w:r>
      <w:proofErr w:type="gramStart"/>
      <w:r w:rsidRPr="00A4021F">
        <w:rPr>
          <w:lang w:val="es-419"/>
        </w:rPr>
        <w:t>) ,</w:t>
      </w:r>
      <w:proofErr w:type="gramEnd"/>
      <w:r w:rsidRPr="00A4021F">
        <w:rPr>
          <w:lang w:val="es-419"/>
        </w:rPr>
        <w:t xml:space="preserve"> la Administración presenta la siguiente información.</w:t>
      </w:r>
    </w:p>
    <w:p w14:paraId="2EB4B24E" w14:textId="77777777" w:rsidR="005152D6" w:rsidRPr="00A4021F" w:rsidRDefault="005152D6" w:rsidP="005152D6">
      <w:pPr>
        <w:pStyle w:val="SectionHeading"/>
        <w:rPr>
          <w:lang w:val="es-419"/>
        </w:rPr>
      </w:pPr>
      <w:r w:rsidRPr="00A4021F">
        <w:rPr>
          <w:lang w:val="es-419"/>
        </w:rPr>
        <w:t>2.1. Capacidad de búsqueda y examen</w:t>
      </w:r>
    </w:p>
    <w:p w14:paraId="65292D21" w14:textId="77777777" w:rsidR="005152D6" w:rsidRPr="00A4021F" w:rsidRDefault="005152D6" w:rsidP="005152D6">
      <w:pPr>
        <w:pStyle w:val="RuleQuote"/>
        <w:rPr>
          <w:lang w:val="es-419"/>
        </w:rPr>
      </w:pPr>
      <w:r w:rsidRPr="00A4021F">
        <w:rPr>
          <w:lang w:val="es-419"/>
        </w:rPr>
        <w:t>Reglas 36.1.i) y 63.1.i): La Oficina nacional o la organización intergubernamental deberá tener, por lo menos, 100 empleados con plena dedicación, con cualificaciones técnicas suficientes para efectuar las búsquedas y los exámenes.</w:t>
      </w:r>
    </w:p>
    <w:p w14:paraId="77B5402C" w14:textId="5A4520DA" w:rsidR="005152D6" w:rsidRPr="00A4021F" w:rsidRDefault="005152D6" w:rsidP="005152D6">
      <w:pPr>
        <w:pStyle w:val="RuleQuote"/>
        <w:ind w:left="0" w:right="53"/>
        <w:rPr>
          <w:i w:val="0"/>
          <w:iCs w:val="0"/>
          <w:lang w:val="es-419"/>
        </w:rPr>
      </w:pPr>
      <w:r w:rsidRPr="00A4021F">
        <w:rPr>
          <w:i w:val="0"/>
          <w:lang w:val="es-419"/>
        </w:rPr>
        <w:t>El informe SGC proporciona información de la Administración sobre la infraestructura existente para garantizar un número suficiente de personal técnicamente cualificado, según el párrafo</w:t>
      </w:r>
      <w:r w:rsidR="00A4021F" w:rsidRPr="00A4021F">
        <w:rPr>
          <w:i w:val="0"/>
          <w:lang w:val="es-419"/>
        </w:rPr>
        <w:t> </w:t>
      </w:r>
      <w:r w:rsidRPr="00A4021F">
        <w:rPr>
          <w:i w:val="0"/>
          <w:lang w:val="es-419"/>
        </w:rPr>
        <w:t>21.</w:t>
      </w:r>
      <w:proofErr w:type="gramStart"/>
      <w:r w:rsidRPr="00A4021F">
        <w:rPr>
          <w:i w:val="0"/>
          <w:lang w:val="es-419"/>
        </w:rPr>
        <w:t>15.i</w:t>
      </w:r>
      <w:proofErr w:type="gramEnd"/>
      <w:r w:rsidRPr="00A4021F">
        <w:rPr>
          <w:i w:val="0"/>
          <w:lang w:val="es-419"/>
        </w:rPr>
        <w:t>) de las Directrices, y sobre los programas de formación y desarrollo del personal implicado en el proceso de búsqueda y examen, según el párrafo 21.15.vi)</w:t>
      </w:r>
      <w:r w:rsidR="0052700D" w:rsidRPr="00A4021F">
        <w:rPr>
          <w:i w:val="0"/>
          <w:lang w:val="es-419"/>
        </w:rPr>
        <w:t xml:space="preserve">. </w:t>
      </w:r>
      <w:r w:rsidRPr="00A4021F">
        <w:rPr>
          <w:i w:val="0"/>
          <w:lang w:val="es-419"/>
        </w:rPr>
        <w:t>La Administración también incluye la siguiente información sobre el número de empleados cualificados para llevar a cabo búsquedas y exámenes</w:t>
      </w:r>
      <w:r w:rsidR="0052700D" w:rsidRPr="00A4021F">
        <w:rPr>
          <w:i w:val="0"/>
          <w:lang w:val="es-419"/>
        </w:rPr>
        <w:t xml:space="preserve">. </w:t>
      </w:r>
    </w:p>
    <w:p w14:paraId="7F6BDB7B" w14:textId="77777777" w:rsidR="005152D6" w:rsidRPr="00A4021F" w:rsidRDefault="005152D6" w:rsidP="005152D6">
      <w:pPr>
        <w:ind w:left="540"/>
        <w:jc w:val="both"/>
        <w:rPr>
          <w:rFonts w:ascii="Helvetica" w:hAnsi="Helvetica" w:cs="Helvetica"/>
          <w:color w:val="000000" w:themeColor="text1"/>
          <w:szCs w:val="22"/>
          <w:lang w:val="es-419"/>
        </w:rPr>
      </w:pPr>
    </w:p>
    <w:p w14:paraId="67CFF57E" w14:textId="77777777" w:rsidR="005152D6" w:rsidRPr="00A4021F" w:rsidRDefault="005152D6" w:rsidP="005152D6">
      <w:pPr>
        <w:ind w:left="540"/>
        <w:jc w:val="both"/>
        <w:rPr>
          <w:rFonts w:ascii="Helvetica" w:hAnsi="Helvetica" w:cs="Helvetica"/>
          <w:i/>
          <w:iCs/>
          <w:color w:val="000000" w:themeColor="text1"/>
          <w:szCs w:val="22"/>
          <w:lang w:val="es-419"/>
        </w:rPr>
      </w:pPr>
    </w:p>
    <w:p w14:paraId="3009CDB3" w14:textId="77777777" w:rsidR="005152D6" w:rsidRPr="00A4021F" w:rsidRDefault="005152D6" w:rsidP="005152D6">
      <w:pPr>
        <w:pStyle w:val="Question"/>
        <w:spacing w:after="480"/>
        <w:rPr>
          <w:lang w:val="es-419"/>
        </w:rPr>
      </w:pPr>
      <w:r w:rsidRPr="00A4021F">
        <w:rPr>
          <w:lang w:val="es-419"/>
        </w:rPr>
        <w:lastRenderedPageBreak/>
        <w:t>Empleados cualificados para realizar búsquedas y exámenes: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762"/>
        <w:gridCol w:w="2172"/>
        <w:gridCol w:w="2452"/>
        <w:gridCol w:w="1965"/>
      </w:tblGrid>
      <w:tr w:rsidR="005152D6" w:rsidRPr="00A4021F" w14:paraId="0B1EED52"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hideMark/>
          </w:tcPr>
          <w:p w14:paraId="0325073A" w14:textId="77777777" w:rsidR="005152D6" w:rsidRPr="00A4021F" w:rsidRDefault="005152D6" w:rsidP="00642A5A">
            <w:pPr>
              <w:keepNext/>
              <w:keepLines/>
              <w:suppressAutoHyphens/>
              <w:rPr>
                <w:rFonts w:eastAsia="Times New Roman"/>
                <w:b/>
                <w:bCs/>
                <w:szCs w:val="22"/>
                <w:lang w:val="es-419"/>
              </w:rPr>
            </w:pPr>
            <w:r w:rsidRPr="00A4021F">
              <w:rPr>
                <w:b/>
                <w:lang w:val="es-419"/>
              </w:rPr>
              <w:t>Campo técnico</w:t>
            </w:r>
          </w:p>
        </w:tc>
        <w:tc>
          <w:tcPr>
            <w:tcW w:w="2217" w:type="dxa"/>
            <w:tcBorders>
              <w:top w:val="single" w:sz="4" w:space="0" w:color="auto"/>
              <w:left w:val="single" w:sz="4" w:space="0" w:color="auto"/>
              <w:bottom w:val="single" w:sz="4" w:space="0" w:color="auto"/>
              <w:right w:val="single" w:sz="4" w:space="0" w:color="auto"/>
            </w:tcBorders>
            <w:hideMark/>
          </w:tcPr>
          <w:p w14:paraId="3E92DC37" w14:textId="77777777" w:rsidR="005152D6" w:rsidRPr="00A4021F" w:rsidRDefault="005152D6" w:rsidP="00642A5A">
            <w:pPr>
              <w:keepNext/>
              <w:keepLines/>
              <w:suppressAutoHyphens/>
              <w:rPr>
                <w:rFonts w:eastAsia="Times New Roman"/>
                <w:b/>
                <w:bCs/>
                <w:szCs w:val="22"/>
                <w:lang w:val="es-419"/>
              </w:rPr>
            </w:pPr>
            <w:r w:rsidRPr="00A4021F">
              <w:rPr>
                <w:b/>
                <w:lang w:val="es-419"/>
              </w:rPr>
              <w:t>Número (en equivalente a tiempo completo)</w:t>
            </w:r>
          </w:p>
        </w:tc>
        <w:tc>
          <w:tcPr>
            <w:tcW w:w="2497" w:type="dxa"/>
            <w:tcBorders>
              <w:top w:val="single" w:sz="4" w:space="0" w:color="auto"/>
              <w:left w:val="single" w:sz="4" w:space="0" w:color="auto"/>
              <w:bottom w:val="single" w:sz="4" w:space="0" w:color="auto"/>
              <w:right w:val="single" w:sz="4" w:space="0" w:color="auto"/>
            </w:tcBorders>
            <w:hideMark/>
          </w:tcPr>
          <w:p w14:paraId="231700E7" w14:textId="77777777" w:rsidR="005152D6" w:rsidRPr="00A4021F" w:rsidRDefault="005152D6" w:rsidP="00642A5A">
            <w:pPr>
              <w:suppressAutoHyphens/>
              <w:rPr>
                <w:rFonts w:eastAsia="Times New Roman"/>
                <w:b/>
                <w:bCs/>
                <w:szCs w:val="24"/>
                <w:lang w:val="es-419"/>
              </w:rPr>
            </w:pPr>
            <w:r w:rsidRPr="00A4021F">
              <w:rPr>
                <w:b/>
                <w:lang w:val="es-419"/>
              </w:rPr>
              <w:t>Experiencia media como examinadores (años)</w:t>
            </w:r>
          </w:p>
        </w:tc>
        <w:tc>
          <w:tcPr>
            <w:tcW w:w="1843" w:type="dxa"/>
            <w:tcBorders>
              <w:top w:val="single" w:sz="4" w:space="0" w:color="auto"/>
              <w:left w:val="single" w:sz="4" w:space="0" w:color="auto"/>
              <w:bottom w:val="single" w:sz="4" w:space="0" w:color="auto"/>
              <w:right w:val="single" w:sz="4" w:space="0" w:color="auto"/>
            </w:tcBorders>
            <w:hideMark/>
          </w:tcPr>
          <w:p w14:paraId="448A5D02" w14:textId="77777777" w:rsidR="005152D6" w:rsidRPr="00A4021F" w:rsidRDefault="005152D6" w:rsidP="00642A5A">
            <w:pPr>
              <w:suppressAutoHyphens/>
              <w:rPr>
                <w:rFonts w:eastAsia="Times New Roman"/>
                <w:b/>
                <w:bCs/>
                <w:szCs w:val="24"/>
                <w:lang w:val="es-419"/>
              </w:rPr>
            </w:pPr>
            <w:r w:rsidRPr="00A4021F">
              <w:rPr>
                <w:b/>
                <w:lang w:val="es-419"/>
              </w:rPr>
              <w:t>Desglose de las cualificaciones</w:t>
            </w:r>
          </w:p>
        </w:tc>
      </w:tr>
      <w:tr w:rsidR="005152D6" w:rsidRPr="00A4021F" w14:paraId="0A80630E"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3C83233A" w14:textId="77777777" w:rsidR="005152D6" w:rsidRPr="00A4021F" w:rsidRDefault="005152D6" w:rsidP="00642A5A">
            <w:pPr>
              <w:keepNext/>
              <w:keepLines/>
              <w:suppressAutoHyphens/>
              <w:rPr>
                <w:b/>
                <w:bCs/>
                <w:szCs w:val="22"/>
                <w:lang w:val="es-419"/>
              </w:rPr>
            </w:pPr>
            <w:r w:rsidRPr="00A4021F">
              <w:rPr>
                <w:lang w:val="es-419"/>
              </w:rPr>
              <w:t>Productos farmacéuticos</w:t>
            </w:r>
          </w:p>
        </w:tc>
        <w:tc>
          <w:tcPr>
            <w:tcW w:w="2217" w:type="dxa"/>
            <w:tcBorders>
              <w:top w:val="single" w:sz="4" w:space="0" w:color="auto"/>
              <w:left w:val="single" w:sz="4" w:space="0" w:color="auto"/>
              <w:bottom w:val="single" w:sz="4" w:space="0" w:color="auto"/>
              <w:right w:val="single" w:sz="4" w:space="0" w:color="auto"/>
            </w:tcBorders>
          </w:tcPr>
          <w:p w14:paraId="0DEB4A01" w14:textId="77777777" w:rsidR="005152D6" w:rsidRPr="00A4021F" w:rsidRDefault="005152D6" w:rsidP="00642A5A">
            <w:pPr>
              <w:keepNext/>
              <w:keepLines/>
              <w:suppressAutoHyphens/>
              <w:rPr>
                <w:b/>
                <w:bCs/>
                <w:szCs w:val="22"/>
                <w:lang w:val="es-419"/>
              </w:rPr>
            </w:pPr>
            <w:r w:rsidRPr="00A4021F">
              <w:rPr>
                <w:lang w:val="es-419"/>
              </w:rPr>
              <w:t>21</w:t>
            </w:r>
          </w:p>
        </w:tc>
        <w:tc>
          <w:tcPr>
            <w:tcW w:w="2497" w:type="dxa"/>
            <w:tcBorders>
              <w:top w:val="single" w:sz="4" w:space="0" w:color="auto"/>
              <w:left w:val="single" w:sz="4" w:space="0" w:color="auto"/>
              <w:bottom w:val="single" w:sz="4" w:space="0" w:color="auto"/>
              <w:right w:val="single" w:sz="4" w:space="0" w:color="auto"/>
            </w:tcBorders>
          </w:tcPr>
          <w:p w14:paraId="1682CB5A" w14:textId="77777777" w:rsidR="005152D6" w:rsidRPr="00A4021F" w:rsidRDefault="005152D6" w:rsidP="00642A5A">
            <w:pPr>
              <w:suppressAutoHyphens/>
              <w:rPr>
                <w:b/>
                <w:bCs/>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32BFFE02" w14:textId="77777777" w:rsidR="005152D6" w:rsidRPr="00A4021F" w:rsidRDefault="005152D6" w:rsidP="00642A5A">
            <w:pPr>
              <w:suppressAutoHyphens/>
              <w:rPr>
                <w:b/>
                <w:bCs/>
                <w:lang w:val="es-419"/>
              </w:rPr>
            </w:pPr>
            <w:r w:rsidRPr="00A4021F">
              <w:rPr>
                <w:lang w:val="es-419"/>
              </w:rPr>
              <w:t>Doctorado/máster</w:t>
            </w:r>
          </w:p>
        </w:tc>
      </w:tr>
      <w:tr w:rsidR="005152D6" w:rsidRPr="00A4021F" w14:paraId="735A95E7"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7A64B8C5" w14:textId="77777777" w:rsidR="005152D6" w:rsidRPr="00A4021F" w:rsidRDefault="005152D6" w:rsidP="00642A5A">
            <w:pPr>
              <w:keepNext/>
              <w:keepLines/>
              <w:suppressAutoHyphens/>
              <w:rPr>
                <w:szCs w:val="22"/>
                <w:lang w:val="es-419"/>
              </w:rPr>
            </w:pPr>
            <w:r w:rsidRPr="00A4021F">
              <w:rPr>
                <w:lang w:val="es-419"/>
              </w:rPr>
              <w:t>Química inorgánica</w:t>
            </w:r>
          </w:p>
        </w:tc>
        <w:tc>
          <w:tcPr>
            <w:tcW w:w="2217" w:type="dxa"/>
            <w:tcBorders>
              <w:top w:val="single" w:sz="4" w:space="0" w:color="auto"/>
              <w:left w:val="single" w:sz="4" w:space="0" w:color="auto"/>
              <w:bottom w:val="single" w:sz="4" w:space="0" w:color="auto"/>
              <w:right w:val="single" w:sz="4" w:space="0" w:color="auto"/>
            </w:tcBorders>
          </w:tcPr>
          <w:p w14:paraId="05114F9C" w14:textId="77777777" w:rsidR="005152D6" w:rsidRPr="00A4021F" w:rsidRDefault="005152D6" w:rsidP="00642A5A">
            <w:pPr>
              <w:keepNext/>
              <w:keepLines/>
              <w:suppressAutoHyphens/>
              <w:rPr>
                <w:rFonts w:eastAsia="Times New Roman"/>
                <w:szCs w:val="22"/>
                <w:lang w:val="es-419"/>
              </w:rPr>
            </w:pPr>
            <w:r w:rsidRPr="00A4021F">
              <w:rPr>
                <w:lang w:val="es-419"/>
              </w:rPr>
              <w:t>17</w:t>
            </w:r>
          </w:p>
        </w:tc>
        <w:tc>
          <w:tcPr>
            <w:tcW w:w="2497" w:type="dxa"/>
            <w:tcBorders>
              <w:top w:val="single" w:sz="4" w:space="0" w:color="auto"/>
              <w:left w:val="single" w:sz="4" w:space="0" w:color="auto"/>
              <w:bottom w:val="single" w:sz="4" w:space="0" w:color="auto"/>
              <w:right w:val="single" w:sz="4" w:space="0" w:color="auto"/>
            </w:tcBorders>
          </w:tcPr>
          <w:p w14:paraId="0427D8D6" w14:textId="77777777" w:rsidR="005152D6" w:rsidRPr="00A4021F" w:rsidRDefault="005152D6" w:rsidP="00642A5A">
            <w:pPr>
              <w:suppressAutoHyphens/>
              <w:rPr>
                <w:rFonts w:eastAsia="Times New Roman"/>
                <w:szCs w:val="22"/>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07B62FF6" w14:textId="77777777" w:rsidR="005152D6" w:rsidRPr="00A4021F" w:rsidRDefault="005152D6" w:rsidP="00642A5A">
            <w:pPr>
              <w:suppressAutoHyphens/>
              <w:rPr>
                <w:rFonts w:eastAsia="Times New Roman"/>
                <w:szCs w:val="22"/>
                <w:lang w:val="es-419"/>
              </w:rPr>
            </w:pPr>
            <w:r w:rsidRPr="00A4021F">
              <w:rPr>
                <w:lang w:val="es-419"/>
              </w:rPr>
              <w:t>Doctorado/máster</w:t>
            </w:r>
          </w:p>
        </w:tc>
      </w:tr>
      <w:tr w:rsidR="005152D6" w:rsidRPr="00A4021F" w14:paraId="41621144"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7535BF31" w14:textId="77777777" w:rsidR="005152D6" w:rsidRPr="00A4021F" w:rsidRDefault="005152D6" w:rsidP="00642A5A">
            <w:pPr>
              <w:keepNext/>
              <w:keepLines/>
              <w:suppressAutoHyphens/>
              <w:rPr>
                <w:szCs w:val="22"/>
                <w:lang w:val="es-419"/>
              </w:rPr>
            </w:pPr>
            <w:r w:rsidRPr="00A4021F">
              <w:rPr>
                <w:lang w:val="es-419"/>
              </w:rPr>
              <w:t>Polímeros y productos relacionados</w:t>
            </w:r>
          </w:p>
        </w:tc>
        <w:tc>
          <w:tcPr>
            <w:tcW w:w="2217" w:type="dxa"/>
            <w:tcBorders>
              <w:top w:val="single" w:sz="4" w:space="0" w:color="auto"/>
              <w:left w:val="single" w:sz="4" w:space="0" w:color="auto"/>
              <w:bottom w:val="single" w:sz="4" w:space="0" w:color="auto"/>
              <w:right w:val="single" w:sz="4" w:space="0" w:color="auto"/>
            </w:tcBorders>
          </w:tcPr>
          <w:p w14:paraId="29F4B9CE" w14:textId="77777777" w:rsidR="005152D6" w:rsidRPr="00A4021F" w:rsidRDefault="005152D6" w:rsidP="00642A5A">
            <w:pPr>
              <w:keepNext/>
              <w:keepLines/>
              <w:suppressAutoHyphens/>
              <w:rPr>
                <w:rFonts w:eastAsia="Times New Roman"/>
                <w:szCs w:val="22"/>
                <w:lang w:val="es-419"/>
              </w:rPr>
            </w:pPr>
            <w:r w:rsidRPr="00A4021F">
              <w:rPr>
                <w:lang w:val="es-419"/>
              </w:rPr>
              <w:t>14</w:t>
            </w:r>
          </w:p>
        </w:tc>
        <w:tc>
          <w:tcPr>
            <w:tcW w:w="2497" w:type="dxa"/>
            <w:tcBorders>
              <w:top w:val="single" w:sz="4" w:space="0" w:color="auto"/>
              <w:left w:val="single" w:sz="4" w:space="0" w:color="auto"/>
              <w:bottom w:val="single" w:sz="4" w:space="0" w:color="auto"/>
              <w:right w:val="single" w:sz="4" w:space="0" w:color="auto"/>
            </w:tcBorders>
          </w:tcPr>
          <w:p w14:paraId="2C88E92E" w14:textId="77777777" w:rsidR="005152D6" w:rsidRPr="00A4021F" w:rsidRDefault="005152D6" w:rsidP="00642A5A">
            <w:pPr>
              <w:suppressAutoHyphens/>
              <w:rPr>
                <w:rFonts w:eastAsia="Times New Roman"/>
                <w:szCs w:val="22"/>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1B665F48" w14:textId="77777777" w:rsidR="005152D6" w:rsidRPr="00A4021F" w:rsidRDefault="005152D6" w:rsidP="00642A5A">
            <w:pPr>
              <w:suppressAutoHyphens/>
              <w:rPr>
                <w:rFonts w:eastAsia="Times New Roman"/>
                <w:szCs w:val="22"/>
                <w:lang w:val="es-419"/>
              </w:rPr>
            </w:pPr>
            <w:r w:rsidRPr="00A4021F">
              <w:rPr>
                <w:lang w:val="es-419"/>
              </w:rPr>
              <w:t>Doctorado/máster</w:t>
            </w:r>
          </w:p>
        </w:tc>
      </w:tr>
      <w:tr w:rsidR="005152D6" w:rsidRPr="00A4021F" w14:paraId="36578836"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6A3D3BD0" w14:textId="77777777" w:rsidR="005152D6" w:rsidRPr="00A4021F" w:rsidRDefault="005152D6" w:rsidP="00642A5A">
            <w:pPr>
              <w:keepNext/>
              <w:keepLines/>
              <w:suppressAutoHyphens/>
              <w:rPr>
                <w:szCs w:val="22"/>
                <w:lang w:val="es-419"/>
              </w:rPr>
            </w:pPr>
            <w:r w:rsidRPr="00A4021F">
              <w:rPr>
                <w:lang w:val="es-419"/>
              </w:rPr>
              <w:t>Textiles y productos relacionados</w:t>
            </w:r>
          </w:p>
        </w:tc>
        <w:tc>
          <w:tcPr>
            <w:tcW w:w="2217" w:type="dxa"/>
            <w:tcBorders>
              <w:top w:val="single" w:sz="4" w:space="0" w:color="auto"/>
              <w:left w:val="single" w:sz="4" w:space="0" w:color="auto"/>
              <w:bottom w:val="single" w:sz="4" w:space="0" w:color="auto"/>
              <w:right w:val="single" w:sz="4" w:space="0" w:color="auto"/>
            </w:tcBorders>
          </w:tcPr>
          <w:p w14:paraId="4A2C79CC" w14:textId="77777777" w:rsidR="005152D6" w:rsidRPr="00A4021F" w:rsidRDefault="005152D6" w:rsidP="00642A5A">
            <w:pPr>
              <w:keepNext/>
              <w:keepLines/>
              <w:suppressAutoHyphens/>
              <w:rPr>
                <w:rFonts w:eastAsia="Times New Roman"/>
                <w:szCs w:val="22"/>
                <w:lang w:val="es-419"/>
              </w:rPr>
            </w:pPr>
            <w:r w:rsidRPr="00A4021F">
              <w:rPr>
                <w:lang w:val="es-419"/>
              </w:rPr>
              <w:t>14</w:t>
            </w:r>
          </w:p>
        </w:tc>
        <w:tc>
          <w:tcPr>
            <w:tcW w:w="2497" w:type="dxa"/>
            <w:tcBorders>
              <w:top w:val="single" w:sz="4" w:space="0" w:color="auto"/>
              <w:left w:val="single" w:sz="4" w:space="0" w:color="auto"/>
              <w:bottom w:val="single" w:sz="4" w:space="0" w:color="auto"/>
              <w:right w:val="single" w:sz="4" w:space="0" w:color="auto"/>
            </w:tcBorders>
          </w:tcPr>
          <w:p w14:paraId="27495BC8" w14:textId="77777777" w:rsidR="005152D6" w:rsidRPr="00A4021F" w:rsidRDefault="005152D6" w:rsidP="00642A5A">
            <w:pPr>
              <w:suppressAutoHyphens/>
              <w:rPr>
                <w:rFonts w:eastAsia="Times New Roman"/>
                <w:szCs w:val="22"/>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4452C4DF" w14:textId="77777777" w:rsidR="005152D6" w:rsidRPr="00A4021F" w:rsidRDefault="005152D6" w:rsidP="00642A5A">
            <w:pPr>
              <w:suppressAutoHyphens/>
              <w:rPr>
                <w:rFonts w:eastAsia="Times New Roman"/>
                <w:szCs w:val="22"/>
                <w:lang w:val="es-419"/>
              </w:rPr>
            </w:pPr>
            <w:r w:rsidRPr="00A4021F">
              <w:rPr>
                <w:lang w:val="es-419"/>
              </w:rPr>
              <w:t>Doctorado/máster</w:t>
            </w:r>
          </w:p>
        </w:tc>
      </w:tr>
      <w:tr w:rsidR="005152D6" w:rsidRPr="00A4021F" w14:paraId="612682A5"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57115A5B" w14:textId="77777777" w:rsidR="005152D6" w:rsidRPr="00A4021F" w:rsidRDefault="005152D6" w:rsidP="00642A5A">
            <w:pPr>
              <w:keepNext/>
              <w:keepLines/>
              <w:suppressAutoHyphens/>
              <w:rPr>
                <w:szCs w:val="22"/>
                <w:lang w:val="es-419"/>
              </w:rPr>
            </w:pPr>
            <w:r w:rsidRPr="00A4021F">
              <w:rPr>
                <w:lang w:val="es-419"/>
              </w:rPr>
              <w:t>Alimentos, plantas y productos relacionados</w:t>
            </w:r>
          </w:p>
        </w:tc>
        <w:tc>
          <w:tcPr>
            <w:tcW w:w="2217" w:type="dxa"/>
            <w:tcBorders>
              <w:top w:val="single" w:sz="4" w:space="0" w:color="auto"/>
              <w:left w:val="single" w:sz="4" w:space="0" w:color="auto"/>
              <w:bottom w:val="single" w:sz="4" w:space="0" w:color="auto"/>
              <w:right w:val="single" w:sz="4" w:space="0" w:color="auto"/>
            </w:tcBorders>
          </w:tcPr>
          <w:p w14:paraId="4FC42DA0"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2497" w:type="dxa"/>
            <w:tcBorders>
              <w:top w:val="single" w:sz="4" w:space="0" w:color="auto"/>
              <w:left w:val="single" w:sz="4" w:space="0" w:color="auto"/>
              <w:bottom w:val="single" w:sz="4" w:space="0" w:color="auto"/>
              <w:right w:val="single" w:sz="4" w:space="0" w:color="auto"/>
            </w:tcBorders>
          </w:tcPr>
          <w:p w14:paraId="3417216D" w14:textId="77777777" w:rsidR="005152D6" w:rsidRPr="00A4021F" w:rsidRDefault="005152D6" w:rsidP="00642A5A">
            <w:pPr>
              <w:suppressAutoHyphens/>
              <w:rPr>
                <w:rFonts w:eastAsia="Times New Roman"/>
                <w:szCs w:val="22"/>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766A2551" w14:textId="77777777" w:rsidR="005152D6" w:rsidRPr="00A4021F" w:rsidRDefault="005152D6" w:rsidP="00642A5A">
            <w:pPr>
              <w:suppressAutoHyphens/>
              <w:rPr>
                <w:rFonts w:eastAsia="Times New Roman"/>
                <w:szCs w:val="22"/>
                <w:lang w:val="es-419"/>
              </w:rPr>
            </w:pPr>
            <w:r w:rsidRPr="00A4021F">
              <w:rPr>
                <w:lang w:val="es-419"/>
              </w:rPr>
              <w:t>Doctorado/máster</w:t>
            </w:r>
          </w:p>
        </w:tc>
      </w:tr>
      <w:tr w:rsidR="005152D6" w:rsidRPr="00A4021F" w14:paraId="3069E7E1"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1D6ED547" w14:textId="77777777" w:rsidR="005152D6" w:rsidRPr="00A4021F" w:rsidRDefault="005152D6" w:rsidP="00642A5A">
            <w:pPr>
              <w:keepNext/>
              <w:keepLines/>
              <w:suppressAutoHyphens/>
              <w:rPr>
                <w:szCs w:val="22"/>
                <w:lang w:val="es-419"/>
              </w:rPr>
            </w:pPr>
            <w:r w:rsidRPr="00A4021F">
              <w:rPr>
                <w:lang w:val="es-419"/>
              </w:rPr>
              <w:t>Bioquímica y productos relacionados</w:t>
            </w:r>
          </w:p>
        </w:tc>
        <w:tc>
          <w:tcPr>
            <w:tcW w:w="2217" w:type="dxa"/>
            <w:tcBorders>
              <w:top w:val="single" w:sz="4" w:space="0" w:color="auto"/>
              <w:left w:val="single" w:sz="4" w:space="0" w:color="auto"/>
              <w:bottom w:val="single" w:sz="4" w:space="0" w:color="auto"/>
              <w:right w:val="single" w:sz="4" w:space="0" w:color="auto"/>
            </w:tcBorders>
          </w:tcPr>
          <w:p w14:paraId="3FF8B665" w14:textId="77777777" w:rsidR="005152D6" w:rsidRPr="00A4021F" w:rsidRDefault="005152D6" w:rsidP="00642A5A">
            <w:pPr>
              <w:keepNext/>
              <w:keepLines/>
              <w:suppressAutoHyphens/>
              <w:rPr>
                <w:rFonts w:eastAsia="Times New Roman"/>
                <w:szCs w:val="22"/>
                <w:lang w:val="es-419"/>
              </w:rPr>
            </w:pPr>
            <w:r w:rsidRPr="00A4021F">
              <w:rPr>
                <w:lang w:val="es-419"/>
              </w:rPr>
              <w:t>9</w:t>
            </w:r>
          </w:p>
        </w:tc>
        <w:tc>
          <w:tcPr>
            <w:tcW w:w="2497" w:type="dxa"/>
            <w:tcBorders>
              <w:top w:val="single" w:sz="4" w:space="0" w:color="auto"/>
              <w:left w:val="single" w:sz="4" w:space="0" w:color="auto"/>
              <w:bottom w:val="single" w:sz="4" w:space="0" w:color="auto"/>
              <w:right w:val="single" w:sz="4" w:space="0" w:color="auto"/>
            </w:tcBorders>
          </w:tcPr>
          <w:p w14:paraId="437A23F9" w14:textId="77777777" w:rsidR="005152D6" w:rsidRPr="00A4021F" w:rsidRDefault="005152D6" w:rsidP="00642A5A">
            <w:pPr>
              <w:suppressAutoHyphens/>
              <w:rPr>
                <w:rFonts w:eastAsia="Times New Roman"/>
                <w:szCs w:val="22"/>
                <w:lang w:val="es-419"/>
              </w:rPr>
            </w:pPr>
            <w:r w:rsidRPr="00A4021F">
              <w:rPr>
                <w:lang w:val="es-419"/>
              </w:rPr>
              <w:t>12</w:t>
            </w:r>
          </w:p>
        </w:tc>
        <w:tc>
          <w:tcPr>
            <w:tcW w:w="1843" w:type="dxa"/>
            <w:tcBorders>
              <w:top w:val="single" w:sz="4" w:space="0" w:color="auto"/>
              <w:left w:val="single" w:sz="4" w:space="0" w:color="auto"/>
              <w:bottom w:val="single" w:sz="4" w:space="0" w:color="auto"/>
              <w:right w:val="single" w:sz="4" w:space="0" w:color="auto"/>
            </w:tcBorders>
          </w:tcPr>
          <w:p w14:paraId="3FC2D4C9" w14:textId="77777777" w:rsidR="005152D6" w:rsidRPr="00A4021F" w:rsidRDefault="005152D6" w:rsidP="00642A5A">
            <w:pPr>
              <w:suppressAutoHyphens/>
              <w:rPr>
                <w:rFonts w:eastAsia="Times New Roman"/>
                <w:szCs w:val="22"/>
                <w:lang w:val="es-419"/>
              </w:rPr>
            </w:pPr>
            <w:r w:rsidRPr="00A4021F">
              <w:rPr>
                <w:lang w:val="es-419"/>
              </w:rPr>
              <w:t>Doctorado/máster</w:t>
            </w:r>
          </w:p>
        </w:tc>
      </w:tr>
      <w:tr w:rsidR="005152D6" w:rsidRPr="00A4021F" w14:paraId="0EDB6EE0" w14:textId="77777777" w:rsidTr="00A4021F">
        <w:trPr>
          <w:cantSplit/>
          <w:tblHeader/>
        </w:trPr>
        <w:tc>
          <w:tcPr>
            <w:tcW w:w="2794" w:type="dxa"/>
            <w:tcBorders>
              <w:top w:val="single" w:sz="4" w:space="0" w:color="auto"/>
              <w:left w:val="single" w:sz="4" w:space="0" w:color="auto"/>
              <w:bottom w:val="single" w:sz="4" w:space="0" w:color="auto"/>
              <w:right w:val="single" w:sz="4" w:space="0" w:color="auto"/>
            </w:tcBorders>
          </w:tcPr>
          <w:p w14:paraId="69F179CD" w14:textId="77777777" w:rsidR="005152D6" w:rsidRPr="00A4021F" w:rsidRDefault="005152D6" w:rsidP="00642A5A">
            <w:pPr>
              <w:keepNext/>
              <w:keepLines/>
              <w:suppressAutoHyphens/>
              <w:rPr>
                <w:szCs w:val="22"/>
                <w:lang w:val="es-419"/>
              </w:rPr>
            </w:pPr>
            <w:r w:rsidRPr="00A4021F">
              <w:rPr>
                <w:lang w:val="es-419"/>
              </w:rPr>
              <w:t>Biología molecular y productos relacionados</w:t>
            </w:r>
          </w:p>
        </w:tc>
        <w:tc>
          <w:tcPr>
            <w:tcW w:w="2217" w:type="dxa"/>
            <w:tcBorders>
              <w:top w:val="single" w:sz="4" w:space="0" w:color="auto"/>
              <w:left w:val="single" w:sz="4" w:space="0" w:color="auto"/>
              <w:bottom w:val="single" w:sz="4" w:space="0" w:color="auto"/>
              <w:right w:val="single" w:sz="4" w:space="0" w:color="auto"/>
            </w:tcBorders>
          </w:tcPr>
          <w:p w14:paraId="6FDAB038" w14:textId="77777777" w:rsidR="005152D6" w:rsidRPr="00A4021F" w:rsidRDefault="005152D6" w:rsidP="00642A5A">
            <w:pPr>
              <w:keepNext/>
              <w:keepLines/>
              <w:suppressAutoHyphens/>
              <w:rPr>
                <w:rFonts w:eastAsia="Times New Roman"/>
                <w:szCs w:val="22"/>
                <w:lang w:val="es-419"/>
              </w:rPr>
            </w:pPr>
            <w:r w:rsidRPr="00A4021F">
              <w:rPr>
                <w:lang w:val="es-419"/>
              </w:rPr>
              <w:t>27</w:t>
            </w:r>
          </w:p>
        </w:tc>
        <w:tc>
          <w:tcPr>
            <w:tcW w:w="2497" w:type="dxa"/>
            <w:tcBorders>
              <w:top w:val="single" w:sz="4" w:space="0" w:color="auto"/>
              <w:left w:val="single" w:sz="4" w:space="0" w:color="auto"/>
              <w:bottom w:val="single" w:sz="4" w:space="0" w:color="auto"/>
              <w:right w:val="single" w:sz="4" w:space="0" w:color="auto"/>
            </w:tcBorders>
          </w:tcPr>
          <w:p w14:paraId="33A75320" w14:textId="77777777" w:rsidR="005152D6" w:rsidRPr="00A4021F" w:rsidRDefault="005152D6" w:rsidP="00642A5A">
            <w:pPr>
              <w:suppressAutoHyphens/>
              <w:rPr>
                <w:rFonts w:eastAsia="Times New Roman"/>
                <w:szCs w:val="22"/>
                <w:lang w:val="es-419"/>
              </w:rPr>
            </w:pPr>
            <w:r w:rsidRPr="00A4021F">
              <w:rPr>
                <w:lang w:val="es-419"/>
              </w:rPr>
              <w:t>12</w:t>
            </w:r>
          </w:p>
        </w:tc>
        <w:tc>
          <w:tcPr>
            <w:tcW w:w="1843" w:type="dxa"/>
            <w:tcBorders>
              <w:top w:val="single" w:sz="4" w:space="0" w:color="auto"/>
              <w:left w:val="single" w:sz="4" w:space="0" w:color="auto"/>
              <w:bottom w:val="single" w:sz="4" w:space="0" w:color="auto"/>
              <w:right w:val="single" w:sz="4" w:space="0" w:color="auto"/>
            </w:tcBorders>
          </w:tcPr>
          <w:p w14:paraId="352CB2FD" w14:textId="77777777" w:rsidR="005152D6" w:rsidRPr="00A4021F" w:rsidRDefault="005152D6" w:rsidP="00642A5A">
            <w:pPr>
              <w:suppressAutoHyphens/>
              <w:rPr>
                <w:rFonts w:eastAsia="Times New Roman"/>
                <w:szCs w:val="22"/>
                <w:lang w:val="es-419"/>
              </w:rPr>
            </w:pPr>
            <w:r w:rsidRPr="00A4021F">
              <w:rPr>
                <w:lang w:val="es-419"/>
              </w:rPr>
              <w:t>Doctorado/máster</w:t>
            </w:r>
          </w:p>
        </w:tc>
      </w:tr>
      <w:tr w:rsidR="005152D6" w:rsidRPr="00A4021F" w14:paraId="59977B5A" w14:textId="77777777" w:rsidTr="00A4021F">
        <w:trPr>
          <w:cantSplit/>
        </w:trPr>
        <w:tc>
          <w:tcPr>
            <w:tcW w:w="2794" w:type="dxa"/>
            <w:tcBorders>
              <w:top w:val="single" w:sz="4" w:space="0" w:color="auto"/>
              <w:left w:val="single" w:sz="4" w:space="0" w:color="auto"/>
              <w:bottom w:val="single" w:sz="4" w:space="0" w:color="auto"/>
              <w:right w:val="single" w:sz="4" w:space="0" w:color="auto"/>
            </w:tcBorders>
            <w:hideMark/>
          </w:tcPr>
          <w:p w14:paraId="13394E7C" w14:textId="77777777" w:rsidR="005152D6" w:rsidRPr="00A4021F" w:rsidRDefault="005152D6" w:rsidP="00642A5A">
            <w:pPr>
              <w:keepNext/>
              <w:keepLines/>
              <w:suppressAutoHyphens/>
              <w:rPr>
                <w:rFonts w:eastAsia="Times New Roman"/>
                <w:szCs w:val="22"/>
                <w:lang w:val="es-419"/>
              </w:rPr>
            </w:pPr>
            <w:r w:rsidRPr="00A4021F">
              <w:rPr>
                <w:lang w:val="es-419"/>
              </w:rPr>
              <w:t>Elementos agrícolas y de ingeniería</w:t>
            </w:r>
          </w:p>
        </w:tc>
        <w:tc>
          <w:tcPr>
            <w:tcW w:w="2217" w:type="dxa"/>
            <w:tcBorders>
              <w:top w:val="single" w:sz="4" w:space="0" w:color="auto"/>
              <w:left w:val="single" w:sz="4" w:space="0" w:color="auto"/>
              <w:bottom w:val="single" w:sz="4" w:space="0" w:color="auto"/>
              <w:right w:val="single" w:sz="4" w:space="0" w:color="auto"/>
            </w:tcBorders>
          </w:tcPr>
          <w:p w14:paraId="1884ACFD" w14:textId="77777777" w:rsidR="005152D6" w:rsidRPr="00A4021F" w:rsidRDefault="005152D6" w:rsidP="00642A5A">
            <w:pPr>
              <w:keepNext/>
              <w:keepLines/>
              <w:suppressAutoHyphens/>
              <w:rPr>
                <w:rFonts w:eastAsia="Times New Roman"/>
                <w:szCs w:val="22"/>
                <w:lang w:val="es-419"/>
              </w:rPr>
            </w:pPr>
            <w:r w:rsidRPr="00A4021F">
              <w:rPr>
                <w:lang w:val="es-419"/>
              </w:rPr>
              <w:t>16</w:t>
            </w:r>
          </w:p>
        </w:tc>
        <w:tc>
          <w:tcPr>
            <w:tcW w:w="2497" w:type="dxa"/>
            <w:tcBorders>
              <w:top w:val="single" w:sz="4" w:space="0" w:color="auto"/>
              <w:left w:val="single" w:sz="4" w:space="0" w:color="auto"/>
              <w:bottom w:val="single" w:sz="4" w:space="0" w:color="auto"/>
              <w:right w:val="single" w:sz="4" w:space="0" w:color="auto"/>
            </w:tcBorders>
          </w:tcPr>
          <w:p w14:paraId="34ED1365"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060DC6FD"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73D2C5AD"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23640251" w14:textId="77777777" w:rsidR="005152D6" w:rsidRPr="00A4021F" w:rsidRDefault="005152D6" w:rsidP="00642A5A">
            <w:pPr>
              <w:keepNext/>
              <w:keepLines/>
              <w:suppressAutoHyphens/>
              <w:rPr>
                <w:szCs w:val="22"/>
                <w:lang w:val="es-419"/>
              </w:rPr>
            </w:pPr>
            <w:r w:rsidRPr="00A4021F">
              <w:rPr>
                <w:lang w:val="es-419"/>
              </w:rPr>
              <w:t>Productos agroquímicos y relacionados</w:t>
            </w:r>
          </w:p>
        </w:tc>
        <w:tc>
          <w:tcPr>
            <w:tcW w:w="2217" w:type="dxa"/>
            <w:tcBorders>
              <w:top w:val="single" w:sz="4" w:space="0" w:color="auto"/>
              <w:left w:val="single" w:sz="4" w:space="0" w:color="auto"/>
              <w:bottom w:val="single" w:sz="4" w:space="0" w:color="auto"/>
              <w:right w:val="single" w:sz="4" w:space="0" w:color="auto"/>
            </w:tcBorders>
          </w:tcPr>
          <w:p w14:paraId="4EB99000" w14:textId="77777777" w:rsidR="005152D6" w:rsidRPr="00A4021F" w:rsidRDefault="005152D6" w:rsidP="00642A5A">
            <w:pPr>
              <w:keepNext/>
              <w:keepLines/>
              <w:suppressAutoHyphens/>
              <w:rPr>
                <w:rFonts w:eastAsia="Times New Roman"/>
                <w:szCs w:val="22"/>
                <w:lang w:val="es-419"/>
              </w:rPr>
            </w:pPr>
            <w:r w:rsidRPr="00A4021F">
              <w:rPr>
                <w:lang w:val="es-419"/>
              </w:rPr>
              <w:t>12</w:t>
            </w:r>
          </w:p>
        </w:tc>
        <w:tc>
          <w:tcPr>
            <w:tcW w:w="2497" w:type="dxa"/>
            <w:tcBorders>
              <w:top w:val="single" w:sz="4" w:space="0" w:color="auto"/>
              <w:left w:val="single" w:sz="4" w:space="0" w:color="auto"/>
              <w:bottom w:val="single" w:sz="4" w:space="0" w:color="auto"/>
              <w:right w:val="single" w:sz="4" w:space="0" w:color="auto"/>
            </w:tcBorders>
          </w:tcPr>
          <w:p w14:paraId="3FD64124"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198DE68F"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2988C239" w14:textId="77777777" w:rsidTr="00A4021F">
        <w:trPr>
          <w:cantSplit/>
        </w:trPr>
        <w:tc>
          <w:tcPr>
            <w:tcW w:w="2794" w:type="dxa"/>
            <w:tcBorders>
              <w:top w:val="single" w:sz="4" w:space="0" w:color="auto"/>
              <w:left w:val="single" w:sz="4" w:space="0" w:color="auto"/>
              <w:bottom w:val="single" w:sz="4" w:space="0" w:color="auto"/>
              <w:right w:val="single" w:sz="4" w:space="0" w:color="auto"/>
            </w:tcBorders>
            <w:hideMark/>
          </w:tcPr>
          <w:p w14:paraId="77F673DB" w14:textId="77777777" w:rsidR="005152D6" w:rsidRPr="00A4021F" w:rsidRDefault="005152D6" w:rsidP="00642A5A">
            <w:pPr>
              <w:keepNext/>
              <w:keepLines/>
              <w:suppressAutoHyphens/>
              <w:rPr>
                <w:rFonts w:eastAsia="Times New Roman"/>
                <w:szCs w:val="22"/>
                <w:lang w:val="es-419"/>
              </w:rPr>
            </w:pPr>
            <w:r w:rsidRPr="00A4021F">
              <w:rPr>
                <w:lang w:val="es-419"/>
              </w:rPr>
              <w:t>Informática y electrónica</w:t>
            </w:r>
          </w:p>
        </w:tc>
        <w:tc>
          <w:tcPr>
            <w:tcW w:w="2217" w:type="dxa"/>
            <w:tcBorders>
              <w:top w:val="single" w:sz="4" w:space="0" w:color="auto"/>
              <w:left w:val="single" w:sz="4" w:space="0" w:color="auto"/>
              <w:bottom w:val="single" w:sz="4" w:space="0" w:color="auto"/>
              <w:right w:val="single" w:sz="4" w:space="0" w:color="auto"/>
            </w:tcBorders>
          </w:tcPr>
          <w:p w14:paraId="44C79C0F"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2497" w:type="dxa"/>
            <w:tcBorders>
              <w:top w:val="single" w:sz="4" w:space="0" w:color="auto"/>
              <w:left w:val="single" w:sz="4" w:space="0" w:color="auto"/>
              <w:bottom w:val="single" w:sz="4" w:space="0" w:color="auto"/>
              <w:right w:val="single" w:sz="4" w:space="0" w:color="auto"/>
            </w:tcBorders>
          </w:tcPr>
          <w:p w14:paraId="38BABCE6" w14:textId="77777777" w:rsidR="005152D6" w:rsidRPr="00A4021F" w:rsidRDefault="005152D6" w:rsidP="00642A5A">
            <w:pPr>
              <w:keepNext/>
              <w:keepLines/>
              <w:suppressAutoHyphens/>
              <w:rPr>
                <w:rFonts w:eastAsia="Times New Roman"/>
                <w:szCs w:val="22"/>
                <w:lang w:val="es-419"/>
              </w:rPr>
            </w:pPr>
            <w:r w:rsidRPr="00A4021F">
              <w:rPr>
                <w:lang w:val="es-419"/>
              </w:rPr>
              <w:t>15</w:t>
            </w:r>
          </w:p>
        </w:tc>
        <w:tc>
          <w:tcPr>
            <w:tcW w:w="1843" w:type="dxa"/>
            <w:tcBorders>
              <w:top w:val="single" w:sz="4" w:space="0" w:color="auto"/>
              <w:left w:val="single" w:sz="4" w:space="0" w:color="auto"/>
              <w:bottom w:val="single" w:sz="4" w:space="0" w:color="auto"/>
              <w:right w:val="single" w:sz="4" w:space="0" w:color="auto"/>
            </w:tcBorders>
          </w:tcPr>
          <w:p w14:paraId="6EED8809"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52EC4254"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7E8FCF68" w14:textId="77777777" w:rsidR="005152D6" w:rsidRPr="00A4021F" w:rsidRDefault="005152D6" w:rsidP="00642A5A">
            <w:pPr>
              <w:keepNext/>
              <w:keepLines/>
              <w:suppressAutoHyphens/>
              <w:rPr>
                <w:rFonts w:eastAsia="Times New Roman"/>
                <w:szCs w:val="22"/>
                <w:lang w:val="es-419"/>
              </w:rPr>
            </w:pPr>
            <w:r w:rsidRPr="00A4021F">
              <w:rPr>
                <w:lang w:val="es-419"/>
              </w:rPr>
              <w:t>Ingeniería civil</w:t>
            </w:r>
          </w:p>
        </w:tc>
        <w:tc>
          <w:tcPr>
            <w:tcW w:w="2217" w:type="dxa"/>
            <w:tcBorders>
              <w:top w:val="single" w:sz="4" w:space="0" w:color="auto"/>
              <w:left w:val="single" w:sz="4" w:space="0" w:color="auto"/>
              <w:bottom w:val="single" w:sz="4" w:space="0" w:color="auto"/>
              <w:right w:val="single" w:sz="4" w:space="0" w:color="auto"/>
            </w:tcBorders>
          </w:tcPr>
          <w:p w14:paraId="6E14CCA7" w14:textId="77777777" w:rsidR="005152D6" w:rsidRPr="00A4021F" w:rsidRDefault="005152D6" w:rsidP="00642A5A">
            <w:pPr>
              <w:keepNext/>
              <w:keepLines/>
              <w:suppressAutoHyphens/>
              <w:rPr>
                <w:rFonts w:eastAsia="Times New Roman"/>
                <w:szCs w:val="22"/>
                <w:lang w:val="es-419"/>
              </w:rPr>
            </w:pPr>
            <w:r w:rsidRPr="00A4021F">
              <w:rPr>
                <w:lang w:val="es-419"/>
              </w:rPr>
              <w:t>12</w:t>
            </w:r>
          </w:p>
        </w:tc>
        <w:tc>
          <w:tcPr>
            <w:tcW w:w="2497" w:type="dxa"/>
            <w:tcBorders>
              <w:top w:val="single" w:sz="4" w:space="0" w:color="auto"/>
              <w:left w:val="single" w:sz="4" w:space="0" w:color="auto"/>
              <w:bottom w:val="single" w:sz="4" w:space="0" w:color="auto"/>
              <w:right w:val="single" w:sz="4" w:space="0" w:color="auto"/>
            </w:tcBorders>
          </w:tcPr>
          <w:p w14:paraId="2EFC16E2"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1806AB74"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3B2A958B"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4CB96B67" w14:textId="77777777" w:rsidR="005152D6" w:rsidRPr="00A4021F" w:rsidRDefault="005152D6" w:rsidP="00642A5A">
            <w:pPr>
              <w:keepNext/>
              <w:keepLines/>
              <w:suppressAutoHyphens/>
              <w:rPr>
                <w:rFonts w:eastAsia="Times New Roman"/>
                <w:szCs w:val="22"/>
                <w:lang w:val="es-419"/>
              </w:rPr>
            </w:pPr>
            <w:r w:rsidRPr="00A4021F">
              <w:rPr>
                <w:lang w:val="es-419"/>
              </w:rPr>
              <w:t>Física y electricidad</w:t>
            </w:r>
          </w:p>
        </w:tc>
        <w:tc>
          <w:tcPr>
            <w:tcW w:w="2217" w:type="dxa"/>
            <w:tcBorders>
              <w:top w:val="single" w:sz="4" w:space="0" w:color="auto"/>
              <w:left w:val="single" w:sz="4" w:space="0" w:color="auto"/>
              <w:bottom w:val="single" w:sz="4" w:space="0" w:color="auto"/>
              <w:right w:val="single" w:sz="4" w:space="0" w:color="auto"/>
            </w:tcBorders>
          </w:tcPr>
          <w:p w14:paraId="005A34ED" w14:textId="77777777" w:rsidR="005152D6" w:rsidRPr="00A4021F" w:rsidRDefault="005152D6" w:rsidP="00642A5A">
            <w:pPr>
              <w:keepNext/>
              <w:keepLines/>
              <w:suppressAutoHyphens/>
              <w:rPr>
                <w:rFonts w:eastAsia="Times New Roman"/>
                <w:szCs w:val="22"/>
                <w:lang w:val="es-419"/>
              </w:rPr>
            </w:pPr>
            <w:r w:rsidRPr="00A4021F">
              <w:rPr>
                <w:lang w:val="es-419"/>
              </w:rPr>
              <w:t>15</w:t>
            </w:r>
          </w:p>
        </w:tc>
        <w:tc>
          <w:tcPr>
            <w:tcW w:w="2497" w:type="dxa"/>
            <w:tcBorders>
              <w:top w:val="single" w:sz="4" w:space="0" w:color="auto"/>
              <w:left w:val="single" w:sz="4" w:space="0" w:color="auto"/>
              <w:bottom w:val="single" w:sz="4" w:space="0" w:color="auto"/>
              <w:right w:val="single" w:sz="4" w:space="0" w:color="auto"/>
            </w:tcBorders>
          </w:tcPr>
          <w:p w14:paraId="1FAD07CB"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4C10CA38"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05F411B2"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6BB7CF1C" w14:textId="77777777" w:rsidR="005152D6" w:rsidRPr="00A4021F" w:rsidRDefault="005152D6" w:rsidP="00642A5A">
            <w:pPr>
              <w:keepNext/>
              <w:keepLines/>
              <w:suppressAutoHyphens/>
              <w:rPr>
                <w:szCs w:val="22"/>
                <w:lang w:val="es-419"/>
              </w:rPr>
            </w:pPr>
            <w:r w:rsidRPr="00A4021F">
              <w:rPr>
                <w:lang w:val="es-419"/>
              </w:rPr>
              <w:t>Petróleo e ingeniería química</w:t>
            </w:r>
          </w:p>
        </w:tc>
        <w:tc>
          <w:tcPr>
            <w:tcW w:w="2217" w:type="dxa"/>
            <w:tcBorders>
              <w:top w:val="single" w:sz="4" w:space="0" w:color="auto"/>
              <w:left w:val="single" w:sz="4" w:space="0" w:color="auto"/>
              <w:bottom w:val="single" w:sz="4" w:space="0" w:color="auto"/>
              <w:right w:val="single" w:sz="4" w:space="0" w:color="auto"/>
            </w:tcBorders>
          </w:tcPr>
          <w:p w14:paraId="0591484E"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2497" w:type="dxa"/>
            <w:tcBorders>
              <w:top w:val="single" w:sz="4" w:space="0" w:color="auto"/>
              <w:left w:val="single" w:sz="4" w:space="0" w:color="auto"/>
              <w:bottom w:val="single" w:sz="4" w:space="0" w:color="auto"/>
              <w:right w:val="single" w:sz="4" w:space="0" w:color="auto"/>
            </w:tcBorders>
          </w:tcPr>
          <w:p w14:paraId="318F97CD"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6CBF678A"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5F48C088"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7F57972D" w14:textId="77777777" w:rsidR="005152D6" w:rsidRPr="00A4021F" w:rsidRDefault="005152D6" w:rsidP="00642A5A">
            <w:pPr>
              <w:keepNext/>
              <w:keepLines/>
              <w:suppressAutoHyphens/>
              <w:rPr>
                <w:szCs w:val="22"/>
                <w:lang w:val="es-419"/>
              </w:rPr>
            </w:pPr>
            <w:r w:rsidRPr="00A4021F">
              <w:rPr>
                <w:lang w:val="es-419"/>
              </w:rPr>
              <w:t>Telecomunicaciones</w:t>
            </w:r>
          </w:p>
        </w:tc>
        <w:tc>
          <w:tcPr>
            <w:tcW w:w="2217" w:type="dxa"/>
            <w:tcBorders>
              <w:top w:val="single" w:sz="4" w:space="0" w:color="auto"/>
              <w:left w:val="single" w:sz="4" w:space="0" w:color="auto"/>
              <w:bottom w:val="single" w:sz="4" w:space="0" w:color="auto"/>
              <w:right w:val="single" w:sz="4" w:space="0" w:color="auto"/>
            </w:tcBorders>
          </w:tcPr>
          <w:p w14:paraId="5E4F9E6B" w14:textId="77777777" w:rsidR="005152D6" w:rsidRPr="00A4021F" w:rsidRDefault="005152D6" w:rsidP="00642A5A">
            <w:pPr>
              <w:keepNext/>
              <w:keepLines/>
              <w:suppressAutoHyphens/>
              <w:rPr>
                <w:rFonts w:eastAsia="Times New Roman"/>
                <w:szCs w:val="22"/>
                <w:lang w:val="es-419"/>
              </w:rPr>
            </w:pPr>
            <w:r w:rsidRPr="00A4021F">
              <w:rPr>
                <w:lang w:val="es-419"/>
              </w:rPr>
              <w:t>20</w:t>
            </w:r>
          </w:p>
        </w:tc>
        <w:tc>
          <w:tcPr>
            <w:tcW w:w="2497" w:type="dxa"/>
            <w:tcBorders>
              <w:top w:val="single" w:sz="4" w:space="0" w:color="auto"/>
              <w:left w:val="single" w:sz="4" w:space="0" w:color="auto"/>
              <w:bottom w:val="single" w:sz="4" w:space="0" w:color="auto"/>
              <w:right w:val="single" w:sz="4" w:space="0" w:color="auto"/>
            </w:tcBorders>
          </w:tcPr>
          <w:p w14:paraId="2F7D5F7D" w14:textId="77777777" w:rsidR="005152D6" w:rsidRPr="00A4021F" w:rsidRDefault="005152D6" w:rsidP="00642A5A">
            <w:pPr>
              <w:keepNext/>
              <w:keepLines/>
              <w:suppressAutoHyphens/>
              <w:rPr>
                <w:rFonts w:eastAsia="Times New Roman"/>
                <w:szCs w:val="22"/>
                <w:lang w:val="es-419"/>
              </w:rPr>
            </w:pPr>
            <w:r w:rsidRPr="00A4021F">
              <w:rPr>
                <w:lang w:val="es-419"/>
              </w:rPr>
              <w:t>12</w:t>
            </w:r>
          </w:p>
        </w:tc>
        <w:tc>
          <w:tcPr>
            <w:tcW w:w="1843" w:type="dxa"/>
            <w:tcBorders>
              <w:top w:val="single" w:sz="4" w:space="0" w:color="auto"/>
              <w:left w:val="single" w:sz="4" w:space="0" w:color="auto"/>
              <w:bottom w:val="single" w:sz="4" w:space="0" w:color="auto"/>
              <w:right w:val="single" w:sz="4" w:space="0" w:color="auto"/>
            </w:tcBorders>
          </w:tcPr>
          <w:p w14:paraId="77C51879"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12E57E55"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050F14E0" w14:textId="77777777" w:rsidR="005152D6" w:rsidRPr="00A4021F" w:rsidRDefault="005152D6" w:rsidP="00642A5A">
            <w:pPr>
              <w:keepNext/>
              <w:keepLines/>
              <w:suppressAutoHyphens/>
              <w:rPr>
                <w:szCs w:val="22"/>
                <w:lang w:val="es-419"/>
              </w:rPr>
            </w:pPr>
            <w:r w:rsidRPr="00A4021F">
              <w:rPr>
                <w:lang w:val="es-419"/>
              </w:rPr>
              <w:t>Metalurgia y materiales</w:t>
            </w:r>
          </w:p>
        </w:tc>
        <w:tc>
          <w:tcPr>
            <w:tcW w:w="2217" w:type="dxa"/>
            <w:tcBorders>
              <w:top w:val="single" w:sz="4" w:space="0" w:color="auto"/>
              <w:left w:val="single" w:sz="4" w:space="0" w:color="auto"/>
              <w:bottom w:val="single" w:sz="4" w:space="0" w:color="auto"/>
              <w:right w:val="single" w:sz="4" w:space="0" w:color="auto"/>
            </w:tcBorders>
          </w:tcPr>
          <w:p w14:paraId="2EA08555" w14:textId="77777777" w:rsidR="005152D6" w:rsidRPr="00A4021F" w:rsidRDefault="005152D6" w:rsidP="00642A5A">
            <w:pPr>
              <w:keepNext/>
              <w:keepLines/>
              <w:suppressAutoHyphens/>
              <w:rPr>
                <w:rFonts w:eastAsia="Times New Roman"/>
                <w:szCs w:val="22"/>
                <w:lang w:val="es-419"/>
              </w:rPr>
            </w:pPr>
            <w:r w:rsidRPr="00A4021F">
              <w:rPr>
                <w:lang w:val="es-419"/>
              </w:rPr>
              <w:t>14</w:t>
            </w:r>
          </w:p>
        </w:tc>
        <w:tc>
          <w:tcPr>
            <w:tcW w:w="2497" w:type="dxa"/>
            <w:tcBorders>
              <w:top w:val="single" w:sz="4" w:space="0" w:color="auto"/>
              <w:left w:val="single" w:sz="4" w:space="0" w:color="auto"/>
              <w:bottom w:val="single" w:sz="4" w:space="0" w:color="auto"/>
              <w:right w:val="single" w:sz="4" w:space="0" w:color="auto"/>
            </w:tcBorders>
          </w:tcPr>
          <w:p w14:paraId="5F27CAF2"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14A1812E"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353A54C5"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092C3456" w14:textId="77777777" w:rsidR="005152D6" w:rsidRPr="00A4021F" w:rsidRDefault="005152D6" w:rsidP="00642A5A">
            <w:pPr>
              <w:keepNext/>
              <w:keepLines/>
              <w:suppressAutoHyphens/>
              <w:rPr>
                <w:szCs w:val="22"/>
                <w:lang w:val="es-419"/>
              </w:rPr>
            </w:pPr>
            <w:r w:rsidRPr="00A4021F">
              <w:rPr>
                <w:lang w:val="es-419"/>
              </w:rPr>
              <w:t>Mecánica</w:t>
            </w:r>
          </w:p>
        </w:tc>
        <w:tc>
          <w:tcPr>
            <w:tcW w:w="2217" w:type="dxa"/>
            <w:tcBorders>
              <w:top w:val="single" w:sz="4" w:space="0" w:color="auto"/>
              <w:left w:val="single" w:sz="4" w:space="0" w:color="auto"/>
              <w:bottom w:val="single" w:sz="4" w:space="0" w:color="auto"/>
              <w:right w:val="single" w:sz="4" w:space="0" w:color="auto"/>
            </w:tcBorders>
          </w:tcPr>
          <w:p w14:paraId="7FE07638" w14:textId="77777777" w:rsidR="005152D6" w:rsidRPr="00A4021F" w:rsidRDefault="005152D6" w:rsidP="00642A5A">
            <w:pPr>
              <w:keepNext/>
              <w:keepLines/>
              <w:suppressAutoHyphens/>
              <w:rPr>
                <w:rFonts w:eastAsia="Times New Roman"/>
                <w:szCs w:val="22"/>
                <w:lang w:val="es-419"/>
              </w:rPr>
            </w:pPr>
            <w:r w:rsidRPr="00A4021F">
              <w:rPr>
                <w:lang w:val="es-419"/>
              </w:rPr>
              <w:t>21</w:t>
            </w:r>
          </w:p>
        </w:tc>
        <w:tc>
          <w:tcPr>
            <w:tcW w:w="2497" w:type="dxa"/>
            <w:tcBorders>
              <w:top w:val="single" w:sz="4" w:space="0" w:color="auto"/>
              <w:left w:val="single" w:sz="4" w:space="0" w:color="auto"/>
              <w:bottom w:val="single" w:sz="4" w:space="0" w:color="auto"/>
              <w:right w:val="single" w:sz="4" w:space="0" w:color="auto"/>
            </w:tcBorders>
          </w:tcPr>
          <w:p w14:paraId="61243E46"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4675EE0D"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741ED694"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19D2E090" w14:textId="77777777" w:rsidR="005152D6" w:rsidRPr="00A4021F" w:rsidRDefault="005152D6" w:rsidP="00642A5A">
            <w:pPr>
              <w:keepNext/>
              <w:keepLines/>
              <w:suppressAutoHyphens/>
              <w:rPr>
                <w:szCs w:val="22"/>
                <w:lang w:val="es-419"/>
              </w:rPr>
            </w:pPr>
            <w:r w:rsidRPr="00A4021F">
              <w:rPr>
                <w:lang w:val="es-419"/>
              </w:rPr>
              <w:t>Modelo de utilidad</w:t>
            </w:r>
          </w:p>
        </w:tc>
        <w:tc>
          <w:tcPr>
            <w:tcW w:w="2217" w:type="dxa"/>
            <w:tcBorders>
              <w:top w:val="single" w:sz="4" w:space="0" w:color="auto"/>
              <w:left w:val="single" w:sz="4" w:space="0" w:color="auto"/>
              <w:bottom w:val="single" w:sz="4" w:space="0" w:color="auto"/>
              <w:right w:val="single" w:sz="4" w:space="0" w:color="auto"/>
            </w:tcBorders>
          </w:tcPr>
          <w:p w14:paraId="49FDA35E" w14:textId="77777777" w:rsidR="005152D6" w:rsidRPr="00A4021F" w:rsidRDefault="005152D6" w:rsidP="00642A5A">
            <w:pPr>
              <w:keepNext/>
              <w:keepLines/>
              <w:suppressAutoHyphens/>
              <w:rPr>
                <w:rFonts w:eastAsia="Times New Roman"/>
                <w:szCs w:val="22"/>
                <w:lang w:val="es-419"/>
              </w:rPr>
            </w:pPr>
            <w:r w:rsidRPr="00A4021F">
              <w:rPr>
                <w:lang w:val="es-419"/>
              </w:rPr>
              <w:t>13</w:t>
            </w:r>
          </w:p>
        </w:tc>
        <w:tc>
          <w:tcPr>
            <w:tcW w:w="2497" w:type="dxa"/>
            <w:tcBorders>
              <w:top w:val="single" w:sz="4" w:space="0" w:color="auto"/>
              <w:left w:val="single" w:sz="4" w:space="0" w:color="auto"/>
              <w:bottom w:val="single" w:sz="4" w:space="0" w:color="auto"/>
              <w:right w:val="single" w:sz="4" w:space="0" w:color="auto"/>
            </w:tcBorders>
          </w:tcPr>
          <w:p w14:paraId="227129B0" w14:textId="77777777" w:rsidR="005152D6" w:rsidRPr="00A4021F" w:rsidRDefault="005152D6" w:rsidP="00642A5A">
            <w:pPr>
              <w:keepNext/>
              <w:keepLines/>
              <w:suppressAutoHyphens/>
              <w:rPr>
                <w:rFonts w:eastAsia="Times New Roman"/>
                <w:szCs w:val="22"/>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6A5904ED"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29F4C465"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5E1AEDD7" w14:textId="77777777" w:rsidR="005152D6" w:rsidRPr="00A4021F" w:rsidRDefault="005152D6" w:rsidP="00642A5A">
            <w:pPr>
              <w:keepNext/>
              <w:keepLines/>
              <w:suppressAutoHyphens/>
              <w:rPr>
                <w:szCs w:val="22"/>
                <w:lang w:val="es-419"/>
              </w:rPr>
            </w:pPr>
            <w:r w:rsidRPr="00A4021F">
              <w:rPr>
                <w:lang w:val="es-419"/>
              </w:rPr>
              <w:t>Necesidades humanas</w:t>
            </w:r>
          </w:p>
        </w:tc>
        <w:tc>
          <w:tcPr>
            <w:tcW w:w="2217" w:type="dxa"/>
            <w:tcBorders>
              <w:top w:val="single" w:sz="4" w:space="0" w:color="auto"/>
              <w:left w:val="single" w:sz="4" w:space="0" w:color="auto"/>
              <w:bottom w:val="single" w:sz="4" w:space="0" w:color="auto"/>
              <w:right w:val="single" w:sz="4" w:space="0" w:color="auto"/>
            </w:tcBorders>
          </w:tcPr>
          <w:p w14:paraId="4A233788" w14:textId="77777777" w:rsidR="005152D6" w:rsidRPr="00A4021F" w:rsidRDefault="005152D6" w:rsidP="00642A5A">
            <w:pPr>
              <w:keepNext/>
              <w:keepLines/>
              <w:suppressAutoHyphens/>
              <w:rPr>
                <w:rFonts w:eastAsia="Times New Roman"/>
                <w:szCs w:val="22"/>
                <w:lang w:val="es-419"/>
              </w:rPr>
            </w:pPr>
            <w:r w:rsidRPr="00A4021F">
              <w:rPr>
                <w:lang w:val="es-419"/>
              </w:rPr>
              <w:t>13</w:t>
            </w:r>
          </w:p>
        </w:tc>
        <w:tc>
          <w:tcPr>
            <w:tcW w:w="2497" w:type="dxa"/>
            <w:tcBorders>
              <w:top w:val="single" w:sz="4" w:space="0" w:color="auto"/>
              <w:left w:val="single" w:sz="4" w:space="0" w:color="auto"/>
              <w:bottom w:val="single" w:sz="4" w:space="0" w:color="auto"/>
              <w:right w:val="single" w:sz="4" w:space="0" w:color="auto"/>
            </w:tcBorders>
          </w:tcPr>
          <w:p w14:paraId="441641DC" w14:textId="77777777" w:rsidR="005152D6" w:rsidRPr="00A4021F" w:rsidRDefault="005152D6" w:rsidP="00642A5A">
            <w:pPr>
              <w:keepNext/>
              <w:keepLines/>
              <w:suppressAutoHyphens/>
              <w:rPr>
                <w:rFonts w:eastAsia="Times New Roman"/>
                <w:szCs w:val="22"/>
                <w:lang w:val="es-419"/>
              </w:rPr>
            </w:pPr>
            <w:r w:rsidRPr="00A4021F">
              <w:rPr>
                <w:lang w:val="es-419"/>
              </w:rPr>
              <w:t>17</w:t>
            </w:r>
          </w:p>
        </w:tc>
        <w:tc>
          <w:tcPr>
            <w:tcW w:w="1843" w:type="dxa"/>
            <w:tcBorders>
              <w:top w:val="single" w:sz="4" w:space="0" w:color="auto"/>
              <w:left w:val="single" w:sz="4" w:space="0" w:color="auto"/>
              <w:bottom w:val="single" w:sz="4" w:space="0" w:color="auto"/>
              <w:right w:val="single" w:sz="4" w:space="0" w:color="auto"/>
            </w:tcBorders>
          </w:tcPr>
          <w:p w14:paraId="24E96C84"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7380A486" w14:textId="77777777" w:rsidTr="00A4021F">
        <w:trPr>
          <w:cantSplit/>
        </w:trPr>
        <w:tc>
          <w:tcPr>
            <w:tcW w:w="2794" w:type="dxa"/>
            <w:tcBorders>
              <w:top w:val="single" w:sz="4" w:space="0" w:color="auto"/>
              <w:left w:val="single" w:sz="4" w:space="0" w:color="auto"/>
              <w:bottom w:val="single" w:sz="4" w:space="0" w:color="auto"/>
              <w:right w:val="single" w:sz="4" w:space="0" w:color="auto"/>
            </w:tcBorders>
          </w:tcPr>
          <w:p w14:paraId="2E1F1243" w14:textId="77777777" w:rsidR="005152D6" w:rsidRPr="00A4021F" w:rsidRDefault="005152D6" w:rsidP="00642A5A">
            <w:pPr>
              <w:keepNext/>
              <w:keepLines/>
              <w:suppressAutoHyphens/>
              <w:rPr>
                <w:szCs w:val="22"/>
                <w:lang w:val="es-419"/>
              </w:rPr>
            </w:pPr>
            <w:r w:rsidRPr="00A4021F">
              <w:rPr>
                <w:lang w:val="es-419"/>
              </w:rPr>
              <w:t>Tecnología de envasado</w:t>
            </w:r>
          </w:p>
        </w:tc>
        <w:tc>
          <w:tcPr>
            <w:tcW w:w="2217" w:type="dxa"/>
            <w:tcBorders>
              <w:top w:val="single" w:sz="4" w:space="0" w:color="auto"/>
              <w:left w:val="single" w:sz="4" w:space="0" w:color="auto"/>
              <w:bottom w:val="single" w:sz="4" w:space="0" w:color="auto"/>
              <w:right w:val="single" w:sz="4" w:space="0" w:color="auto"/>
            </w:tcBorders>
          </w:tcPr>
          <w:p w14:paraId="790C5753" w14:textId="77777777" w:rsidR="005152D6" w:rsidRPr="00A4021F" w:rsidRDefault="005152D6" w:rsidP="00642A5A">
            <w:pPr>
              <w:keepNext/>
              <w:keepLines/>
              <w:suppressAutoHyphens/>
              <w:rPr>
                <w:rFonts w:eastAsia="Times New Roman"/>
                <w:szCs w:val="22"/>
                <w:lang w:val="es-419"/>
              </w:rPr>
            </w:pPr>
            <w:r w:rsidRPr="00A4021F">
              <w:rPr>
                <w:lang w:val="es-419"/>
              </w:rPr>
              <w:t>11</w:t>
            </w:r>
          </w:p>
        </w:tc>
        <w:tc>
          <w:tcPr>
            <w:tcW w:w="2497" w:type="dxa"/>
            <w:tcBorders>
              <w:top w:val="single" w:sz="4" w:space="0" w:color="auto"/>
              <w:left w:val="single" w:sz="4" w:space="0" w:color="auto"/>
              <w:bottom w:val="single" w:sz="4" w:space="0" w:color="auto"/>
              <w:right w:val="single" w:sz="4" w:space="0" w:color="auto"/>
            </w:tcBorders>
          </w:tcPr>
          <w:p w14:paraId="697EF3D3" w14:textId="77777777" w:rsidR="005152D6" w:rsidRPr="00A4021F" w:rsidRDefault="005152D6" w:rsidP="00642A5A">
            <w:pPr>
              <w:keepNext/>
              <w:keepLines/>
              <w:suppressAutoHyphens/>
              <w:rPr>
                <w:rFonts w:eastAsia="Times New Roman"/>
                <w:szCs w:val="22"/>
                <w:lang w:val="es-419"/>
              </w:rPr>
            </w:pPr>
            <w:r w:rsidRPr="00A4021F">
              <w:rPr>
                <w:lang w:val="es-419"/>
              </w:rPr>
              <w:t>19</w:t>
            </w:r>
          </w:p>
        </w:tc>
        <w:tc>
          <w:tcPr>
            <w:tcW w:w="1843" w:type="dxa"/>
            <w:tcBorders>
              <w:top w:val="single" w:sz="4" w:space="0" w:color="auto"/>
              <w:left w:val="single" w:sz="4" w:space="0" w:color="auto"/>
              <w:bottom w:val="single" w:sz="4" w:space="0" w:color="auto"/>
              <w:right w:val="single" w:sz="4" w:space="0" w:color="auto"/>
            </w:tcBorders>
          </w:tcPr>
          <w:p w14:paraId="465CDC6A" w14:textId="77777777" w:rsidR="005152D6" w:rsidRPr="00A4021F" w:rsidRDefault="005152D6" w:rsidP="00642A5A">
            <w:pPr>
              <w:keepNext/>
              <w:keepLines/>
              <w:suppressAutoHyphens/>
              <w:rPr>
                <w:rFonts w:eastAsia="Times New Roman"/>
                <w:szCs w:val="22"/>
                <w:lang w:val="es-419"/>
              </w:rPr>
            </w:pPr>
            <w:r w:rsidRPr="00A4021F">
              <w:rPr>
                <w:lang w:val="es-419"/>
              </w:rPr>
              <w:t>Doctorado/máster</w:t>
            </w:r>
          </w:p>
        </w:tc>
      </w:tr>
      <w:tr w:rsidR="005152D6" w:rsidRPr="00A4021F" w14:paraId="6384275F" w14:textId="77777777" w:rsidTr="00A4021F">
        <w:trPr>
          <w:cantSplit/>
        </w:trPr>
        <w:tc>
          <w:tcPr>
            <w:tcW w:w="2794" w:type="dxa"/>
            <w:tcBorders>
              <w:top w:val="single" w:sz="4" w:space="0" w:color="auto"/>
              <w:left w:val="single" w:sz="4" w:space="0" w:color="auto"/>
              <w:bottom w:val="single" w:sz="4" w:space="0" w:color="auto"/>
              <w:right w:val="single" w:sz="4" w:space="0" w:color="auto"/>
            </w:tcBorders>
            <w:hideMark/>
          </w:tcPr>
          <w:p w14:paraId="2934969A" w14:textId="77777777" w:rsidR="005152D6" w:rsidRPr="00A4021F" w:rsidRDefault="005152D6" w:rsidP="00642A5A">
            <w:pPr>
              <w:suppressAutoHyphens/>
              <w:rPr>
                <w:rFonts w:eastAsia="Times New Roman"/>
                <w:i/>
                <w:iCs/>
                <w:szCs w:val="22"/>
                <w:lang w:val="es-419"/>
              </w:rPr>
            </w:pPr>
            <w:r w:rsidRPr="00A4021F">
              <w:rPr>
                <w:i/>
                <w:lang w:val="es-419"/>
              </w:rPr>
              <w:t>Total</w:t>
            </w:r>
          </w:p>
        </w:tc>
        <w:tc>
          <w:tcPr>
            <w:tcW w:w="2217" w:type="dxa"/>
            <w:tcBorders>
              <w:top w:val="single" w:sz="4" w:space="0" w:color="auto"/>
              <w:left w:val="single" w:sz="4" w:space="0" w:color="auto"/>
              <w:bottom w:val="single" w:sz="4" w:space="0" w:color="auto"/>
              <w:right w:val="single" w:sz="4" w:space="0" w:color="auto"/>
            </w:tcBorders>
          </w:tcPr>
          <w:p w14:paraId="61825767" w14:textId="77777777" w:rsidR="005152D6" w:rsidRPr="00A4021F" w:rsidRDefault="005152D6" w:rsidP="00642A5A">
            <w:pPr>
              <w:suppressAutoHyphens/>
              <w:rPr>
                <w:rFonts w:eastAsia="Times New Roman"/>
                <w:i/>
                <w:iCs/>
                <w:szCs w:val="22"/>
                <w:lang w:val="es-419"/>
              </w:rPr>
            </w:pPr>
            <w:r w:rsidRPr="00A4021F">
              <w:rPr>
                <w:i/>
                <w:lang w:val="es-419"/>
              </w:rPr>
              <w:t>306</w:t>
            </w:r>
          </w:p>
        </w:tc>
        <w:tc>
          <w:tcPr>
            <w:tcW w:w="2497" w:type="dxa"/>
            <w:tcBorders>
              <w:top w:val="single" w:sz="4" w:space="0" w:color="auto"/>
              <w:left w:val="single" w:sz="4" w:space="0" w:color="auto"/>
              <w:bottom w:val="single" w:sz="4" w:space="0" w:color="auto"/>
              <w:right w:val="single" w:sz="4" w:space="0" w:color="auto"/>
            </w:tcBorders>
          </w:tcPr>
          <w:p w14:paraId="605FF2DE" w14:textId="77777777" w:rsidR="005152D6" w:rsidRPr="00A4021F" w:rsidRDefault="005152D6" w:rsidP="00642A5A">
            <w:pPr>
              <w:suppressAutoHyphens/>
              <w:rPr>
                <w:rFonts w:eastAsia="Times New Roman"/>
                <w:i/>
                <w:iCs/>
                <w:szCs w:val="22"/>
                <w:lang w:val="es-419" w:eastAsia="en-US" w:bidi="he-IL"/>
              </w:rPr>
            </w:pPr>
          </w:p>
        </w:tc>
        <w:tc>
          <w:tcPr>
            <w:tcW w:w="1843" w:type="dxa"/>
            <w:tcBorders>
              <w:top w:val="single" w:sz="4" w:space="0" w:color="auto"/>
              <w:left w:val="single" w:sz="4" w:space="0" w:color="auto"/>
              <w:bottom w:val="single" w:sz="4" w:space="0" w:color="auto"/>
              <w:right w:val="single" w:sz="4" w:space="0" w:color="auto"/>
            </w:tcBorders>
          </w:tcPr>
          <w:p w14:paraId="5BF5106E" w14:textId="77777777" w:rsidR="005152D6" w:rsidRPr="00A4021F" w:rsidRDefault="005152D6" w:rsidP="00642A5A">
            <w:pPr>
              <w:suppressAutoHyphens/>
              <w:rPr>
                <w:rFonts w:eastAsia="Times New Roman"/>
                <w:i/>
                <w:iCs/>
                <w:szCs w:val="22"/>
                <w:lang w:val="es-419" w:eastAsia="en-US" w:bidi="he-IL"/>
              </w:rPr>
            </w:pPr>
          </w:p>
        </w:tc>
      </w:tr>
    </w:tbl>
    <w:p w14:paraId="5FE7586D" w14:textId="77777777" w:rsidR="005152D6" w:rsidRPr="00A4021F" w:rsidRDefault="005152D6" w:rsidP="005152D6">
      <w:pPr>
        <w:rPr>
          <w:lang w:val="es-419"/>
        </w:rPr>
      </w:pPr>
    </w:p>
    <w:p w14:paraId="49384389" w14:textId="27BDA6ED" w:rsidR="005152D6" w:rsidRPr="00A4021F" w:rsidRDefault="005152D6" w:rsidP="005152D6">
      <w:pPr>
        <w:pStyle w:val="RuleQuote"/>
        <w:ind w:left="0"/>
        <w:rPr>
          <w:i w:val="0"/>
          <w:iCs w:val="0"/>
          <w:lang w:val="es-419"/>
        </w:rPr>
      </w:pPr>
      <w:r w:rsidRPr="00A4021F">
        <w:rPr>
          <w:i w:val="0"/>
          <w:lang w:val="es-419"/>
        </w:rPr>
        <w:lastRenderedPageBreak/>
        <w:t>Otra información además del informe SGC y el cuadro anterior (opcional)</w:t>
      </w:r>
      <w:r w:rsidR="0052700D" w:rsidRPr="00A4021F">
        <w:rPr>
          <w:i w:val="0"/>
          <w:lang w:val="es-419"/>
        </w:rPr>
        <w:t xml:space="preserve">: </w:t>
      </w:r>
    </w:p>
    <w:p w14:paraId="0E83B4DE" w14:textId="77777777" w:rsidR="005152D6" w:rsidRPr="00A4021F" w:rsidRDefault="005152D6" w:rsidP="005152D6">
      <w:pPr>
        <w:pStyle w:val="RuleQuote"/>
        <w:ind w:left="0"/>
        <w:rPr>
          <w:i w:val="0"/>
          <w:iCs w:val="0"/>
          <w:lang w:val="es-419"/>
        </w:rPr>
      </w:pPr>
    </w:p>
    <w:p w14:paraId="6DBE50CF" w14:textId="77777777" w:rsidR="005152D6" w:rsidRPr="00A4021F" w:rsidRDefault="005152D6" w:rsidP="005152D6">
      <w:pPr>
        <w:pStyle w:val="SectionHeading"/>
        <w:rPr>
          <w:lang w:val="es-419"/>
        </w:rPr>
      </w:pPr>
      <w:bookmarkStart w:id="6" w:name="_Hlk215578481"/>
      <w:r w:rsidRPr="00A4021F">
        <w:rPr>
          <w:lang w:val="es-419"/>
        </w:rPr>
        <w:t>2.2. Documentación mínima puesta a disposición para consulta</w:t>
      </w:r>
    </w:p>
    <w:p w14:paraId="392EFCD3" w14:textId="33C7A822" w:rsidR="005152D6" w:rsidRPr="00A4021F" w:rsidRDefault="005152D6" w:rsidP="005152D6">
      <w:pPr>
        <w:pStyle w:val="RuleQuote"/>
        <w:rPr>
          <w:lang w:val="es-419"/>
        </w:rPr>
      </w:pPr>
      <w:r w:rsidRPr="00A4021F">
        <w:rPr>
          <w:lang w:val="es-419"/>
        </w:rPr>
        <w:t>Reglas 36.</w:t>
      </w:r>
      <w:proofErr w:type="gramStart"/>
      <w:r w:rsidRPr="00A4021F">
        <w:rPr>
          <w:lang w:val="es-419"/>
        </w:rPr>
        <w:t>1.ii</w:t>
      </w:r>
      <w:proofErr w:type="gramEnd"/>
      <w:r w:rsidRPr="00A4021F">
        <w:rPr>
          <w:lang w:val="es-419"/>
        </w:rPr>
        <w:t>) y 63.1.ii): Esa Oficina u organización deberá poner a disposición para su consulta, como parte de la documentación mínima mencionada en la Regla</w:t>
      </w:r>
      <w:r w:rsidR="00A4021F" w:rsidRPr="00A4021F">
        <w:rPr>
          <w:lang w:val="es-419"/>
        </w:rPr>
        <w:t> </w:t>
      </w:r>
      <w:r w:rsidRPr="00A4021F">
        <w:rPr>
          <w:lang w:val="es-419"/>
        </w:rPr>
        <w:t>34, de conformidad con los requisitos especificados en las Instrucciones Administrativas, toda patente concedida y toda solicitud de patente publicada por ella y, en su caso, por su antecesor jurídico.</w:t>
      </w:r>
    </w:p>
    <w:p w14:paraId="5AA60C95" w14:textId="66041FCA" w:rsidR="005152D6" w:rsidRPr="00A4021F" w:rsidRDefault="005152D6" w:rsidP="005152D6">
      <w:pPr>
        <w:pStyle w:val="RuleQuote"/>
        <w:rPr>
          <w:szCs w:val="24"/>
          <w:lang w:val="es-419"/>
        </w:rPr>
      </w:pPr>
      <w:r w:rsidRPr="00A4021F">
        <w:rPr>
          <w:lang w:val="es-419"/>
        </w:rPr>
        <w:t xml:space="preserve">Los requisitos especificados en las Instrucciones Administrativas figuran en la circular </w:t>
      </w:r>
      <w:hyperlink r:id="rId11" w:history="1">
        <w:r w:rsidRPr="00A4021F">
          <w:rPr>
            <w:rStyle w:val="Hyperlink"/>
            <w:lang w:val="es-419"/>
          </w:rPr>
          <w:t>C. PCT 1672</w:t>
        </w:r>
      </w:hyperlink>
      <w:r w:rsidRPr="00A4021F">
        <w:rPr>
          <w:lang w:val="es-419"/>
        </w:rPr>
        <w:t>, de 19 de junio de 2024.</w:t>
      </w:r>
    </w:p>
    <w:p w14:paraId="2F3D997B" w14:textId="2A91FBAB" w:rsidR="005152D6" w:rsidRPr="00A4021F" w:rsidRDefault="005152D6" w:rsidP="005152D6">
      <w:pPr>
        <w:pStyle w:val="Question"/>
        <w:spacing w:after="0"/>
        <w:rPr>
          <w:b w:val="0"/>
          <w:bCs w:val="0"/>
          <w:lang w:val="es-419"/>
        </w:rPr>
      </w:pPr>
      <w:r w:rsidRPr="00A4021F">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A4021F">
        <w:rPr>
          <w:b w:val="0"/>
          <w:lang w:val="es-419"/>
        </w:rPr>
        <w:br/>
      </w:r>
      <w:r w:rsidRPr="00A4021F">
        <w:rPr>
          <w:b w:val="0"/>
          <w:lang w:val="es-419"/>
        </w:rPr>
        <w:br/>
        <w:t>O bien:</w:t>
      </w:r>
      <w:r w:rsidRPr="00A4021F">
        <w:rPr>
          <w:b w:val="0"/>
          <w:lang w:val="es-419"/>
        </w:rPr>
        <w:br/>
      </w:r>
      <w:r w:rsidRPr="00A4021F">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A4021F">
            <w:rPr>
              <w:rFonts w:ascii="MS Gothic" w:eastAsia="MS Gothic" w:hAnsi="MS Gothic"/>
              <w:b w:val="0"/>
              <w:bCs w:val="0"/>
              <w:lang w:val="es-419"/>
            </w:rPr>
            <w:t>☒</w:t>
          </w:r>
        </w:sdtContent>
      </w:sdt>
      <w:r w:rsidRPr="00A4021F">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52700D" w:rsidRPr="00A4021F">
        <w:rPr>
          <w:b w:val="0"/>
          <w:lang w:val="es-419"/>
        </w:rPr>
        <w:t xml:space="preserve">. </w:t>
      </w:r>
      <w:r w:rsidRPr="00A4021F">
        <w:rPr>
          <w:b w:val="0"/>
          <w:lang w:val="es-419"/>
        </w:rPr>
        <w:t>El alcance y el formato de los documentos que la Administración ha puesto a disposición para su consulta han sido publicados en la Gaceta del PCT el 23 de octubre de 2025 en:</w:t>
      </w:r>
      <w:r w:rsidRPr="00A4021F">
        <w:rPr>
          <w:lang w:val="es-419"/>
        </w:rPr>
        <w:t xml:space="preserve"> </w:t>
      </w:r>
      <w:hyperlink r:id="rId12" w:anchor="page=179" w:history="1">
        <w:r w:rsidRPr="00A4021F">
          <w:rPr>
            <w:rStyle w:val="Hyperlink"/>
            <w:b w:val="0"/>
            <w:lang w:val="es-419"/>
          </w:rPr>
          <w:t>https://www.wipo.int/documents/d/pct-system/docs-en-official-notices-officialnotices.pdf#page=179</w:t>
        </w:r>
      </w:hyperlink>
      <w:r w:rsidRPr="00A4021F">
        <w:rPr>
          <w:b w:val="0"/>
          <w:lang w:val="es-419"/>
        </w:rPr>
        <w:t>.</w:t>
      </w:r>
    </w:p>
    <w:p w14:paraId="6935C5FE" w14:textId="77777777" w:rsidR="005152D6" w:rsidRPr="00A4021F" w:rsidRDefault="005152D6" w:rsidP="005152D6">
      <w:pPr>
        <w:pStyle w:val="Answer"/>
        <w:rPr>
          <w:lang w:val="es-419"/>
        </w:rPr>
      </w:pPr>
    </w:p>
    <w:p w14:paraId="4EF997F6" w14:textId="77777777" w:rsidR="005152D6" w:rsidRPr="00A4021F" w:rsidRDefault="005152D6" w:rsidP="005152D6">
      <w:pPr>
        <w:pStyle w:val="Answer"/>
        <w:ind w:left="0"/>
        <w:rPr>
          <w:lang w:val="es-419"/>
        </w:rPr>
      </w:pPr>
      <w:r w:rsidRPr="00A4021F">
        <w:rPr>
          <w:lang w:val="es-419"/>
        </w:rPr>
        <w:t>O bien:</w:t>
      </w:r>
    </w:p>
    <w:p w14:paraId="5847876A" w14:textId="77777777" w:rsidR="005152D6" w:rsidRPr="00A4021F" w:rsidRDefault="005152D6" w:rsidP="005152D6">
      <w:pPr>
        <w:pStyle w:val="Answer"/>
        <w:ind w:left="0"/>
        <w:rPr>
          <w:lang w:val="es-419"/>
        </w:rPr>
      </w:pPr>
    </w:p>
    <w:p w14:paraId="4B22DF8C" w14:textId="38BF1EC9" w:rsidR="005152D6" w:rsidRPr="00A4021F" w:rsidRDefault="005E52BD" w:rsidP="005152D6">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5152D6" w:rsidRPr="00A4021F">
            <w:rPr>
              <w:rFonts w:ascii="MS Gothic" w:eastAsia="MS Gothic" w:hAnsi="MS Gothic"/>
              <w:lang w:val="es-419"/>
            </w:rPr>
            <w:t>☐</w:t>
          </w:r>
        </w:sdtContent>
      </w:sdt>
      <w:r w:rsidR="005152D6" w:rsidRPr="00A4021F">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52700D" w:rsidRPr="00A4021F">
        <w:rPr>
          <w:lang w:val="es-419"/>
        </w:rPr>
        <w:t xml:space="preserve">. </w:t>
      </w:r>
      <w:r w:rsidR="005152D6" w:rsidRPr="00A4021F">
        <w:rPr>
          <w:lang w:val="es-419"/>
        </w:rPr>
        <w:t>Introduzca asimismo información detallada de su fichero de referencia junto con los enlaces, según proceda.</w:t>
      </w:r>
    </w:p>
    <w:bookmarkEnd w:id="6"/>
    <w:p w14:paraId="13E6E93C" w14:textId="77777777" w:rsidR="005152D6" w:rsidRPr="00A4021F" w:rsidRDefault="005152D6" w:rsidP="005152D6">
      <w:pPr>
        <w:pStyle w:val="Answer"/>
        <w:ind w:left="0"/>
        <w:rPr>
          <w:lang w:val="es-419"/>
        </w:rPr>
      </w:pPr>
    </w:p>
    <w:p w14:paraId="1C8E6170" w14:textId="77777777" w:rsidR="005152D6" w:rsidRPr="00A4021F" w:rsidRDefault="005152D6" w:rsidP="005152D6">
      <w:pPr>
        <w:pStyle w:val="SectionHeading"/>
        <w:rPr>
          <w:lang w:val="es-419"/>
        </w:rPr>
      </w:pPr>
      <w:r w:rsidRPr="00A4021F">
        <w:rPr>
          <w:lang w:val="es-419"/>
        </w:rPr>
        <w:lastRenderedPageBreak/>
        <w:t>2.3. Acceso a la documentación mínima</w:t>
      </w:r>
    </w:p>
    <w:p w14:paraId="1D3CD9D6" w14:textId="77777777" w:rsidR="005152D6" w:rsidRPr="00A4021F" w:rsidRDefault="005152D6" w:rsidP="005152D6">
      <w:pPr>
        <w:pStyle w:val="RuleQuote"/>
        <w:rPr>
          <w:i w:val="0"/>
          <w:iCs w:val="0"/>
          <w:lang w:val="es-419"/>
        </w:rPr>
      </w:pPr>
      <w:r w:rsidRPr="00A4021F">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427D998B" w14:textId="33A80A7A" w:rsidR="005152D6" w:rsidRPr="00A4021F" w:rsidRDefault="005152D6" w:rsidP="005152D6">
      <w:pPr>
        <w:pStyle w:val="RuleQuote"/>
        <w:ind w:left="0"/>
        <w:rPr>
          <w:i w:val="0"/>
          <w:iCs w:val="0"/>
          <w:lang w:val="es-419"/>
        </w:rPr>
      </w:pPr>
      <w:r w:rsidRPr="00A4021F">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52700D" w:rsidRPr="00A4021F">
        <w:rPr>
          <w:i w:val="0"/>
          <w:lang w:val="es-419"/>
        </w:rPr>
        <w:t xml:space="preserve">. </w:t>
      </w:r>
    </w:p>
    <w:p w14:paraId="6778492D" w14:textId="140890B3" w:rsidR="005152D6" w:rsidRPr="00A4021F" w:rsidRDefault="005152D6" w:rsidP="005152D6">
      <w:pPr>
        <w:pStyle w:val="RuleQuote"/>
        <w:ind w:left="0"/>
        <w:rPr>
          <w:i w:val="0"/>
          <w:iCs w:val="0"/>
          <w:lang w:val="es-419"/>
        </w:rPr>
      </w:pPr>
      <w:r w:rsidRPr="00A4021F">
        <w:rPr>
          <w:i w:val="0"/>
          <w:lang w:val="es-419"/>
        </w:rPr>
        <w:t>Otra información además del informe SGC (opcional)</w:t>
      </w:r>
      <w:r w:rsidR="0052700D" w:rsidRPr="00A4021F">
        <w:rPr>
          <w:i w:val="0"/>
          <w:lang w:val="es-419"/>
        </w:rPr>
        <w:t xml:space="preserve">: </w:t>
      </w:r>
    </w:p>
    <w:p w14:paraId="0C9C41D4" w14:textId="77777777" w:rsidR="005152D6" w:rsidRPr="00A4021F" w:rsidRDefault="005152D6" w:rsidP="005152D6">
      <w:pPr>
        <w:pStyle w:val="RuleQuote"/>
        <w:keepNext w:val="0"/>
        <w:ind w:left="0"/>
        <w:rPr>
          <w:i w:val="0"/>
          <w:iCs w:val="0"/>
          <w:lang w:val="es-419"/>
        </w:rPr>
      </w:pPr>
      <w:r w:rsidRPr="00A4021F">
        <w:rPr>
          <w:i w:val="0"/>
          <w:lang w:val="es-419"/>
        </w:rPr>
        <w:t>Los documentos publicados por el Instituto de la Propiedad Industrial del Brasil pueden consultarse y descargarse utilizando la interfaz de búsqueda proporcionada en (es necesario registrarse y iniciar sesión de forma gratuita para descargar los archivos PDF):</w:t>
      </w:r>
    </w:p>
    <w:p w14:paraId="61962CDE" w14:textId="40D98216" w:rsidR="005152D6" w:rsidRPr="00A4021F" w:rsidRDefault="005152D6" w:rsidP="005152D6">
      <w:pPr>
        <w:pStyle w:val="RuleQuote"/>
        <w:keepNext w:val="0"/>
        <w:ind w:left="0"/>
        <w:rPr>
          <w:rStyle w:val="Hyperlink"/>
          <w:lang w:val="es-419"/>
        </w:rPr>
      </w:pPr>
      <w:hyperlink r:id="rId13" w:history="1">
        <w:r w:rsidRPr="00A4021F">
          <w:rPr>
            <w:rStyle w:val="Hyperlink"/>
            <w:i w:val="0"/>
            <w:lang w:val="es-419"/>
          </w:rPr>
          <w:t>https://busca.inpi.gov.br/pePI/jsp/patentes/PatenteSearchBasico.jsp</w:t>
        </w:r>
      </w:hyperlink>
    </w:p>
    <w:p w14:paraId="59442C18" w14:textId="77777777" w:rsidR="005152D6" w:rsidRPr="00A4021F" w:rsidRDefault="005152D6" w:rsidP="005152D6">
      <w:pPr>
        <w:pStyle w:val="RuleQuote"/>
        <w:keepNext w:val="0"/>
        <w:ind w:left="0"/>
        <w:rPr>
          <w:i w:val="0"/>
          <w:iCs w:val="0"/>
          <w:lang w:val="es-419"/>
        </w:rPr>
      </w:pPr>
      <w:r w:rsidRPr="00A4021F">
        <w:rPr>
          <w:i w:val="0"/>
          <w:lang w:val="es-419"/>
        </w:rPr>
        <w:t>Previa solicitud, se puede proporcionar a las demás Administraciones internacionales un repositorio FTP que permita la descarga masiva de datos.</w:t>
      </w:r>
    </w:p>
    <w:p w14:paraId="275C80B1" w14:textId="77777777" w:rsidR="005152D6" w:rsidRPr="00A4021F" w:rsidRDefault="005152D6" w:rsidP="005152D6">
      <w:pPr>
        <w:pStyle w:val="RuleQuote"/>
        <w:ind w:left="0"/>
        <w:rPr>
          <w:i w:val="0"/>
          <w:iCs w:val="0"/>
          <w:lang w:val="es-419"/>
        </w:rPr>
      </w:pPr>
    </w:p>
    <w:p w14:paraId="22C1D654" w14:textId="77777777" w:rsidR="005152D6" w:rsidRPr="00A4021F" w:rsidRDefault="005152D6" w:rsidP="005152D6">
      <w:pPr>
        <w:pStyle w:val="SectionHeading"/>
        <w:rPr>
          <w:lang w:val="es-419"/>
        </w:rPr>
      </w:pPr>
      <w:r w:rsidRPr="00A4021F">
        <w:rPr>
          <w:lang w:val="es-419"/>
        </w:rPr>
        <w:t>2.4. Gestión de la calidad</w:t>
      </w:r>
    </w:p>
    <w:p w14:paraId="014807B2" w14:textId="77777777" w:rsidR="005152D6" w:rsidRPr="00A4021F" w:rsidRDefault="005152D6" w:rsidP="005152D6">
      <w:pPr>
        <w:pStyle w:val="RuleQuote"/>
        <w:rPr>
          <w:lang w:val="es-419"/>
        </w:rPr>
      </w:pPr>
      <w:r w:rsidRPr="00A4021F">
        <w:rPr>
          <w:lang w:val="es-419"/>
        </w:rPr>
        <w:t>Reglas 36.</w:t>
      </w:r>
      <w:proofErr w:type="gramStart"/>
      <w:r w:rsidRPr="00A4021F">
        <w:rPr>
          <w:lang w:val="es-419"/>
        </w:rPr>
        <w:t>1.iv</w:t>
      </w:r>
      <w:proofErr w:type="gramEnd"/>
      <w:r w:rsidRPr="00A4021F">
        <w:rPr>
          <w:lang w:val="es-419"/>
        </w:rPr>
        <w:t>) y 63.1.iv): Esa Oficina u organización deberá disponer de un sistema de gestión de calidad y un sistema de revisión interna, conforme a las reglas comunes de la búsqueda internacional.</w:t>
      </w:r>
    </w:p>
    <w:p w14:paraId="435BED76" w14:textId="77777777" w:rsidR="005152D6" w:rsidRPr="00A4021F" w:rsidRDefault="005152D6" w:rsidP="005152D6">
      <w:pPr>
        <w:pStyle w:val="RuleQuote"/>
        <w:ind w:left="0"/>
        <w:rPr>
          <w:i w:val="0"/>
          <w:iCs w:val="0"/>
          <w:lang w:val="es-419"/>
        </w:rPr>
      </w:pPr>
      <w:r w:rsidRPr="00A4021F">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38B1B1BE" w14:textId="533526DD" w:rsidR="005152D6" w:rsidRPr="00A4021F" w:rsidRDefault="005152D6" w:rsidP="005152D6">
      <w:pPr>
        <w:pStyle w:val="RuleQuote"/>
        <w:ind w:left="0"/>
        <w:rPr>
          <w:i w:val="0"/>
          <w:iCs w:val="0"/>
          <w:lang w:val="es-419"/>
        </w:rPr>
      </w:pPr>
      <w:r w:rsidRPr="00A4021F">
        <w:rPr>
          <w:i w:val="0"/>
          <w:lang w:val="es-419"/>
        </w:rPr>
        <w:t>Otra información además del informe SGC (opcional)</w:t>
      </w:r>
      <w:r w:rsidR="0052700D" w:rsidRPr="00A4021F">
        <w:rPr>
          <w:i w:val="0"/>
          <w:lang w:val="es-419"/>
        </w:rPr>
        <w:t xml:space="preserve">: </w:t>
      </w:r>
    </w:p>
    <w:p w14:paraId="13FC9E38" w14:textId="77777777" w:rsidR="005152D6" w:rsidRPr="00A4021F" w:rsidRDefault="005152D6" w:rsidP="005152D6">
      <w:pPr>
        <w:pStyle w:val="RuleQuote"/>
        <w:ind w:left="0"/>
        <w:rPr>
          <w:i w:val="0"/>
          <w:iCs w:val="0"/>
          <w:lang w:val="es-419"/>
        </w:rPr>
      </w:pPr>
    </w:p>
    <w:p w14:paraId="5D4E75CD" w14:textId="77777777" w:rsidR="005152D6" w:rsidRPr="00A4021F" w:rsidRDefault="005152D6" w:rsidP="005152D6">
      <w:pPr>
        <w:pStyle w:val="SectionHeading"/>
        <w:rPr>
          <w:lang w:val="es-419"/>
        </w:rPr>
      </w:pPr>
      <w:r w:rsidRPr="00A4021F">
        <w:rPr>
          <w:lang w:val="es-419"/>
        </w:rPr>
        <w:t>3. Ámbito de actuación</w:t>
      </w:r>
    </w:p>
    <w:p w14:paraId="260A20CD" w14:textId="1D3B270E" w:rsidR="005152D6" w:rsidRPr="00A4021F" w:rsidRDefault="005152D6" w:rsidP="00A4021F">
      <w:pPr>
        <w:pStyle w:val="Question"/>
        <w:numPr>
          <w:ilvl w:val="0"/>
          <w:numId w:val="7"/>
        </w:numPr>
        <w:spacing w:after="240"/>
        <w:ind w:left="567" w:hanging="567"/>
        <w:rPr>
          <w:i/>
          <w:iCs/>
          <w:lang w:val="es-419"/>
        </w:rPr>
      </w:pPr>
      <w:r w:rsidRPr="00A4021F">
        <w:rPr>
          <w:lang w:val="es-419"/>
        </w:rPr>
        <w:t>Ámbito de actuación actual</w:t>
      </w:r>
    </w:p>
    <w:p w14:paraId="6D991E74" w14:textId="01E1AD59" w:rsidR="005152D6" w:rsidRPr="00A4021F" w:rsidRDefault="005152D6" w:rsidP="005152D6">
      <w:pPr>
        <w:pStyle w:val="Question"/>
        <w:keepNext w:val="0"/>
        <w:spacing w:after="480"/>
        <w:rPr>
          <w:lang w:val="es-419"/>
        </w:rPr>
      </w:pPr>
      <w:r w:rsidRPr="00A4021F">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A4021F">
        <w:rPr>
          <w:b w:val="0"/>
          <w:i/>
          <w:iCs/>
          <w:lang w:val="es-419"/>
        </w:rPr>
        <w:t xml:space="preserve">Guía del Solicitante del PCT, </w:t>
      </w:r>
      <w:r w:rsidRPr="00A4021F">
        <w:rPr>
          <w:b w:val="0"/>
          <w:lang w:val="es-419"/>
        </w:rPr>
        <w:t>en los siguientes enlaces</w:t>
      </w:r>
      <w:bookmarkStart w:id="7" w:name="_Hlk214637647"/>
      <w:r w:rsidR="0052700D" w:rsidRPr="00A4021F">
        <w:rPr>
          <w:rStyle w:val="Hyperlink"/>
          <w:lang w:val="es-419"/>
        </w:rPr>
        <w:t xml:space="preserve">: </w:t>
      </w:r>
      <w:hyperlink r:id="rId14" w:history="1">
        <w:r w:rsidRPr="00A4021F">
          <w:rPr>
            <w:rStyle w:val="Hyperlink"/>
            <w:b w:val="0"/>
            <w:lang w:val="es-419"/>
          </w:rPr>
          <w:t>https://pctlegal.wipo.int/eGuide/view-doc.xhtml?doc-code=BR&amp;doc-lang=en#ISA</w:t>
        </w:r>
      </w:hyperlink>
      <w:r w:rsidRPr="00A4021F">
        <w:rPr>
          <w:b w:val="0"/>
          <w:lang w:val="es-419"/>
        </w:rPr>
        <w:t xml:space="preserve"> y </w:t>
      </w:r>
      <w:bookmarkEnd w:id="7"/>
      <w:r w:rsidRPr="00A4021F">
        <w:rPr>
          <w:b w:val="0"/>
          <w:lang w:val="es-419"/>
        </w:rPr>
        <w:t xml:space="preserve"> </w:t>
      </w:r>
      <w:hyperlink r:id="rId15" w:history="1">
        <w:r w:rsidRPr="00A4021F">
          <w:rPr>
            <w:rStyle w:val="Hyperlink"/>
            <w:b w:val="0"/>
            <w:lang w:val="es-419"/>
          </w:rPr>
          <w:t>https://pctlegal.wipo.int/eGuide/view-doc.xhtml?doc-code=BR&amp;doc-lang=en#IPEA</w:t>
        </w:r>
      </w:hyperlink>
      <w:r w:rsidRPr="00A4021F">
        <w:rPr>
          <w:b w:val="0"/>
          <w:i/>
          <w:lang w:val="es-419"/>
        </w:rPr>
        <w:t>.</w:t>
      </w:r>
    </w:p>
    <w:p w14:paraId="26323B02" w14:textId="557ECC04" w:rsidR="005152D6" w:rsidRPr="00A4021F" w:rsidRDefault="005152D6" w:rsidP="00A4021F">
      <w:pPr>
        <w:pStyle w:val="Question"/>
        <w:numPr>
          <w:ilvl w:val="0"/>
          <w:numId w:val="7"/>
        </w:numPr>
        <w:spacing w:after="240"/>
        <w:ind w:left="567" w:hanging="567"/>
        <w:rPr>
          <w:lang w:val="es-419"/>
        </w:rPr>
      </w:pPr>
      <w:r w:rsidRPr="00A4021F">
        <w:rPr>
          <w:lang w:val="es-419"/>
        </w:rPr>
        <w:lastRenderedPageBreak/>
        <w:t>Cambios previstos en el ámbito de actuación como Administración, tales como las Oficinas receptoras para las que la Administración es competente y los idiomas ofrecidos (si procede)</w:t>
      </w:r>
      <w:r w:rsidR="0052700D" w:rsidRPr="00A4021F">
        <w:rPr>
          <w:lang w:val="es-419"/>
        </w:rPr>
        <w:t xml:space="preserve">: </w:t>
      </w:r>
    </w:p>
    <w:p w14:paraId="700E80BC" w14:textId="77777777" w:rsidR="005152D6" w:rsidRPr="00A4021F" w:rsidRDefault="005152D6" w:rsidP="005152D6">
      <w:pPr>
        <w:pStyle w:val="Answer"/>
        <w:rPr>
          <w:lang w:val="es-419"/>
        </w:rPr>
      </w:pPr>
    </w:p>
    <w:p w14:paraId="776D914C" w14:textId="77777777" w:rsidR="005152D6" w:rsidRPr="00A4021F" w:rsidRDefault="005152D6" w:rsidP="005152D6">
      <w:pPr>
        <w:pStyle w:val="SectionHeading"/>
        <w:rPr>
          <w:lang w:val="es-419"/>
        </w:rPr>
      </w:pPr>
      <w:r w:rsidRPr="00A4021F">
        <w:rPr>
          <w:lang w:val="es-419"/>
        </w:rPr>
        <w:t>4. Otra información</w:t>
      </w:r>
    </w:p>
    <w:p w14:paraId="416C0B1E" w14:textId="7280C088" w:rsidR="005152D6" w:rsidRPr="00A4021F" w:rsidRDefault="005152D6" w:rsidP="005152D6">
      <w:pPr>
        <w:rPr>
          <w:lang w:val="es-419"/>
        </w:rPr>
      </w:pPr>
      <w:r w:rsidRPr="00A4021F">
        <w:rPr>
          <w:lang w:val="es-419"/>
        </w:rPr>
        <w:t>Demás información pertinente para la prórroga de la designación como Administración encargada de la búsqueda y del examen preliminar internacionales</w:t>
      </w:r>
      <w:r w:rsidR="0052700D" w:rsidRPr="00A4021F">
        <w:rPr>
          <w:lang w:val="es-419"/>
        </w:rPr>
        <w:t xml:space="preserve">: </w:t>
      </w:r>
    </w:p>
    <w:p w14:paraId="68F35723" w14:textId="77777777" w:rsidR="005152D6" w:rsidRPr="00A4021F" w:rsidRDefault="005152D6" w:rsidP="005152D6">
      <w:pPr>
        <w:rPr>
          <w:lang w:val="es-419"/>
        </w:rPr>
      </w:pPr>
    </w:p>
    <w:p w14:paraId="5A62C05E" w14:textId="77777777" w:rsidR="005152D6" w:rsidRPr="00A4021F" w:rsidRDefault="005152D6" w:rsidP="005152D6">
      <w:pPr>
        <w:rPr>
          <w:lang w:val="es-419"/>
        </w:rPr>
      </w:pPr>
      <w:r w:rsidRPr="00A4021F">
        <w:rPr>
          <w:lang w:val="es-419"/>
        </w:rPr>
        <w:t>Como Administración encargada de la búsqueda internacional y del examen preliminar internacional, el Instituto de la Propiedad Industrial del Brasil solo acepta solicitudes internacionales en formato electrónico.</w:t>
      </w:r>
    </w:p>
    <w:p w14:paraId="197AAA25" w14:textId="77777777" w:rsidR="005152D6" w:rsidRPr="00A4021F" w:rsidRDefault="005152D6" w:rsidP="005152D6">
      <w:pPr>
        <w:rPr>
          <w:lang w:val="es-419"/>
        </w:rPr>
      </w:pPr>
    </w:p>
    <w:p w14:paraId="11DE18AC" w14:textId="77777777" w:rsidR="005152D6" w:rsidRPr="00A4021F" w:rsidRDefault="005152D6" w:rsidP="005152D6">
      <w:pPr>
        <w:pStyle w:val="SectionHeading"/>
        <w:rPr>
          <w:lang w:val="es-419"/>
        </w:rPr>
      </w:pPr>
    </w:p>
    <w:p w14:paraId="2CD04AB3" w14:textId="23C8B79F" w:rsidR="005152D6" w:rsidRPr="00A4021F" w:rsidRDefault="005152D6" w:rsidP="00A4021F">
      <w:pPr>
        <w:pStyle w:val="Endofdocument-Annex"/>
        <w:spacing w:before="720"/>
        <w:rPr>
          <w:lang w:val="es-419"/>
        </w:rPr>
      </w:pPr>
      <w:r w:rsidRPr="00A4021F">
        <w:rPr>
          <w:lang w:val="es-419"/>
        </w:rPr>
        <w:t>[Fin del Anexo y del documento]</w:t>
      </w:r>
    </w:p>
    <w:sectPr w:rsidR="005152D6" w:rsidRPr="00A4021F" w:rsidSect="005152D6">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5878" w14:textId="77777777" w:rsidR="005152D6" w:rsidRDefault="005152D6">
      <w:r>
        <w:separator/>
      </w:r>
    </w:p>
  </w:endnote>
  <w:endnote w:type="continuationSeparator" w:id="0">
    <w:p w14:paraId="148DBC51" w14:textId="77777777" w:rsidR="005152D6" w:rsidRPr="009D30E6" w:rsidRDefault="005152D6" w:rsidP="007E663E">
      <w:pPr>
        <w:rPr>
          <w:sz w:val="17"/>
          <w:szCs w:val="17"/>
        </w:rPr>
      </w:pPr>
      <w:r w:rsidRPr="009D30E6">
        <w:rPr>
          <w:sz w:val="17"/>
          <w:szCs w:val="17"/>
        </w:rPr>
        <w:separator/>
      </w:r>
    </w:p>
    <w:p w14:paraId="1C7E27ED" w14:textId="77777777" w:rsidR="005152D6" w:rsidRPr="007E663E" w:rsidRDefault="005152D6" w:rsidP="007E663E">
      <w:pPr>
        <w:spacing w:after="60"/>
        <w:rPr>
          <w:sz w:val="17"/>
          <w:szCs w:val="17"/>
        </w:rPr>
      </w:pPr>
      <w:r>
        <w:rPr>
          <w:sz w:val="17"/>
        </w:rPr>
        <w:t>[Continuación de la nota de la página anterior]</w:t>
      </w:r>
    </w:p>
  </w:endnote>
  <w:endnote w:type="continuationNotice" w:id="1">
    <w:p w14:paraId="40751655" w14:textId="77777777" w:rsidR="005152D6" w:rsidRPr="007E663E" w:rsidRDefault="005152D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49BA" w14:textId="77777777" w:rsidR="005152D6" w:rsidRDefault="005152D6">
      <w:r>
        <w:separator/>
      </w:r>
    </w:p>
  </w:footnote>
  <w:footnote w:type="continuationSeparator" w:id="0">
    <w:p w14:paraId="4A9FAE16" w14:textId="77777777" w:rsidR="005152D6" w:rsidRPr="009D30E6" w:rsidRDefault="005152D6" w:rsidP="007E663E">
      <w:pPr>
        <w:rPr>
          <w:sz w:val="17"/>
          <w:szCs w:val="17"/>
        </w:rPr>
      </w:pPr>
      <w:r w:rsidRPr="009D30E6">
        <w:rPr>
          <w:sz w:val="17"/>
          <w:szCs w:val="17"/>
        </w:rPr>
        <w:separator/>
      </w:r>
    </w:p>
    <w:p w14:paraId="6AE65AA1" w14:textId="77777777" w:rsidR="005152D6" w:rsidRPr="007E663E" w:rsidRDefault="005152D6" w:rsidP="007E663E">
      <w:pPr>
        <w:spacing w:after="60"/>
        <w:rPr>
          <w:sz w:val="17"/>
          <w:szCs w:val="17"/>
        </w:rPr>
      </w:pPr>
      <w:r>
        <w:rPr>
          <w:sz w:val="17"/>
        </w:rPr>
        <w:t>[Continuación de la nota de la página anterior]</w:t>
      </w:r>
    </w:p>
  </w:footnote>
  <w:footnote w:type="continuationNotice" w:id="1">
    <w:p w14:paraId="1F034A04" w14:textId="77777777" w:rsidR="005152D6" w:rsidRPr="007E663E" w:rsidRDefault="005152D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5702" w14:textId="667D212E" w:rsidR="00AE7F20" w:rsidRPr="00EB0D93" w:rsidRDefault="005152D6" w:rsidP="00477D6B">
    <w:pPr>
      <w:jc w:val="right"/>
      <w:rPr>
        <w:caps/>
      </w:rPr>
    </w:pPr>
    <w:bookmarkStart w:id="5" w:name="Code2"/>
    <w:bookmarkEnd w:id="5"/>
    <w:r>
      <w:rPr>
        <w:caps/>
      </w:rPr>
      <w:t>PCT/CTC/33/4</w:t>
    </w:r>
  </w:p>
  <w:p w14:paraId="0214D0A1"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73946F5A" w14:textId="77777777" w:rsidR="00AE7F20" w:rsidRDefault="00AE7F20" w:rsidP="00477D6B">
    <w:pPr>
      <w:jc w:val="right"/>
    </w:pPr>
  </w:p>
  <w:p w14:paraId="2080B8C0"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7B6B2877" w14:textId="56D3513F" w:rsidR="005152D6" w:rsidRPr="00346ECC" w:rsidRDefault="005152D6" w:rsidP="009A31F1">
        <w:pPr>
          <w:jc w:val="right"/>
          <w:rPr>
            <w:caps/>
          </w:rPr>
        </w:pPr>
        <w:r>
          <w:rPr>
            <w:caps/>
          </w:rPr>
          <w:t>PCT/CTC/33/4</w:t>
        </w:r>
      </w:p>
      <w:p w14:paraId="61EA3BE7" w14:textId="792160E7" w:rsidR="005152D6" w:rsidRDefault="005152D6" w:rsidP="005152D6">
        <w:pPr>
          <w:pStyle w:val="Header"/>
          <w:spacing w:after="480"/>
          <w:jc w:val="right"/>
        </w:pPr>
        <w:r>
          <w:t xml:space="preserve">Anexo, página </w:t>
        </w:r>
        <w:r>
          <w:fldChar w:fldCharType="begin"/>
        </w:r>
        <w:r>
          <w:instrText xml:space="preserve"> PAGE   \* MERGEFORMAT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2E34" w14:textId="48A2BFA0" w:rsidR="005152D6" w:rsidRDefault="005152D6" w:rsidP="009A31F1">
    <w:pPr>
      <w:pStyle w:val="Header"/>
      <w:jc w:val="right"/>
    </w:pPr>
    <w:r>
      <w:t>PCT/CTC/33/4</w:t>
    </w:r>
  </w:p>
  <w:p w14:paraId="6CF45D0F" w14:textId="269E370A" w:rsidR="005152D6" w:rsidRPr="009A31F1" w:rsidRDefault="005152D6" w:rsidP="005152D6">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D6"/>
    <w:rsid w:val="00010686"/>
    <w:rsid w:val="00052915"/>
    <w:rsid w:val="000A32E9"/>
    <w:rsid w:val="000E3BB3"/>
    <w:rsid w:val="000F5E56"/>
    <w:rsid w:val="001362EE"/>
    <w:rsid w:val="00152CEA"/>
    <w:rsid w:val="001832A6"/>
    <w:rsid w:val="001C56F9"/>
    <w:rsid w:val="001E1EEA"/>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152D6"/>
    <w:rsid w:val="0052700D"/>
    <w:rsid w:val="00531B02"/>
    <w:rsid w:val="005332F0"/>
    <w:rsid w:val="0055013B"/>
    <w:rsid w:val="00571B99"/>
    <w:rsid w:val="005B2EAE"/>
    <w:rsid w:val="00605827"/>
    <w:rsid w:val="00611529"/>
    <w:rsid w:val="00675021"/>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66A22"/>
    <w:rsid w:val="00972F03"/>
    <w:rsid w:val="0098367F"/>
    <w:rsid w:val="009A0C8B"/>
    <w:rsid w:val="009A20CD"/>
    <w:rsid w:val="009B6241"/>
    <w:rsid w:val="00A16FC0"/>
    <w:rsid w:val="00A32C9E"/>
    <w:rsid w:val="00A4021F"/>
    <w:rsid w:val="00AA61BC"/>
    <w:rsid w:val="00AB613D"/>
    <w:rsid w:val="00AE7F20"/>
    <w:rsid w:val="00B534D5"/>
    <w:rsid w:val="00B65A0A"/>
    <w:rsid w:val="00B67CDC"/>
    <w:rsid w:val="00B72D36"/>
    <w:rsid w:val="00BC4164"/>
    <w:rsid w:val="00BD2DCC"/>
    <w:rsid w:val="00BF5A8E"/>
    <w:rsid w:val="00C90559"/>
    <w:rsid w:val="00CA0500"/>
    <w:rsid w:val="00CA2251"/>
    <w:rsid w:val="00CD6264"/>
    <w:rsid w:val="00D56C7C"/>
    <w:rsid w:val="00D71B4D"/>
    <w:rsid w:val="00D90289"/>
    <w:rsid w:val="00D93D55"/>
    <w:rsid w:val="00DB7E59"/>
    <w:rsid w:val="00DC4C60"/>
    <w:rsid w:val="00DD6CF4"/>
    <w:rsid w:val="00E0079A"/>
    <w:rsid w:val="00E33C6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F1894"/>
  <w15:docId w15:val="{69EA6F22-F9C1-4E1F-9E33-3D5A2D8D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5152D6"/>
    <w:rPr>
      <w:rFonts w:ascii="Arial" w:eastAsia="SimSun" w:hAnsi="Arial" w:cs="Arial"/>
      <w:sz w:val="22"/>
      <w:lang w:val="es-ES" w:eastAsia="zh-CN"/>
    </w:rPr>
  </w:style>
  <w:style w:type="character" w:customStyle="1" w:styleId="SectionHeadingChar">
    <w:name w:val="Section Heading Char"/>
    <w:link w:val="SectionHeading"/>
    <w:qFormat/>
    <w:locked/>
    <w:rsid w:val="005152D6"/>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5152D6"/>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5152D6"/>
    <w:pPr>
      <w:keepNext/>
      <w:keepLines/>
      <w:spacing w:after="240"/>
      <w:ind w:left="567" w:right="567"/>
    </w:pPr>
    <w:rPr>
      <w:bCs/>
      <w:i/>
      <w:iCs/>
    </w:rPr>
  </w:style>
  <w:style w:type="paragraph" w:customStyle="1" w:styleId="Question">
    <w:name w:val="Question"/>
    <w:basedOn w:val="BodyText"/>
    <w:next w:val="Answer"/>
    <w:qFormat/>
    <w:rsid w:val="005152D6"/>
    <w:pPr>
      <w:keepNext/>
      <w:keepLines/>
    </w:pPr>
    <w:rPr>
      <w:b/>
      <w:bCs/>
      <w:szCs w:val="22"/>
    </w:rPr>
  </w:style>
  <w:style w:type="paragraph" w:customStyle="1" w:styleId="Answer">
    <w:name w:val="Answer"/>
    <w:basedOn w:val="BodyText"/>
    <w:qFormat/>
    <w:rsid w:val="005152D6"/>
    <w:pPr>
      <w:ind w:left="567"/>
    </w:pPr>
  </w:style>
  <w:style w:type="character" w:styleId="Hyperlink">
    <w:name w:val="Hyperlink"/>
    <w:basedOn w:val="DefaultParagraphFont"/>
    <w:uiPriority w:val="99"/>
    <w:unhideWhenUsed/>
    <w:rsid w:val="0051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sca.inpi.gov.br/pePI/jsp/patentes/PatenteSearchBasico.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hyperlink" Target="file:///C:\Users\shousha\Downloads\pct_ctc_33_3%20draft%20BR.docx" TargetMode="External"/><Relationship Id="rId10" Type="http://schemas.openxmlformats.org/officeDocument/2006/relationships/hyperlink" Target="https://www.wipo.int/es/web/pct-system/quality/author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shousha\Downloads\pct_ctc_33_3%20draft%20BR.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6</Pages>
  <Words>1310</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PCT/CTC/33/4</dc:title>
  <dc:creator>CEVALLOS DUQUE Nilo</dc:creator>
  <cp:keywords>FOR OFFICIAL USE ONLY</cp:keywords>
  <cp:lastModifiedBy>SAKR Sally</cp:lastModifiedBy>
  <cp:revision>3</cp:revision>
  <cp:lastPrinted>2026-01-06T15:08:00Z</cp:lastPrinted>
  <dcterms:created xsi:type="dcterms:W3CDTF">2026-01-06T15:07:00Z</dcterms:created>
  <dcterms:modified xsi:type="dcterms:W3CDTF">2026-01-06T15:08:00Z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2025-12-29T11:20:13Z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2831ccaa-d035-4017-a7e1-7158e759f5e4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