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D1BD2" w14:textId="77777777" w:rsidR="008B2CC1" w:rsidRPr="008B2CC1" w:rsidRDefault="00472A6E" w:rsidP="00761D20">
      <w:pPr>
        <w:pBdr>
          <w:bottom w:val="single" w:sz="4" w:space="11" w:color="auto"/>
        </w:pBdr>
        <w:spacing w:after="120"/>
        <w:ind w:right="-57"/>
        <w:jc w:val="right"/>
      </w:pPr>
      <w:r>
        <w:rPr>
          <w:noProof/>
          <w:lang w:val="en-US" w:eastAsia="en-US"/>
        </w:rPr>
        <w:drawing>
          <wp:inline distT="0" distB="0" distL="0" distR="0" wp14:anchorId="3ED50026" wp14:editId="0C7375D8">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4B30ED94" w14:textId="492ED458" w:rsidR="00472A6E" w:rsidRDefault="00927287" w:rsidP="00472A6E">
      <w:pPr>
        <w:jc w:val="right"/>
        <w:rPr>
          <w:rFonts w:ascii="Arial Black" w:hAnsi="Arial Black"/>
          <w:caps/>
          <w:sz w:val="15"/>
        </w:rPr>
      </w:pPr>
      <w:r>
        <w:rPr>
          <w:rFonts w:ascii="Arial Black" w:hAnsi="Arial Black"/>
          <w:caps/>
          <w:sz w:val="15"/>
        </w:rPr>
        <w:t>PCT/CTC/3</w:t>
      </w:r>
      <w:r w:rsidR="00611529">
        <w:rPr>
          <w:rFonts w:ascii="Arial Black" w:hAnsi="Arial Black"/>
          <w:caps/>
          <w:sz w:val="15"/>
        </w:rPr>
        <w:t>3</w:t>
      </w:r>
      <w:r>
        <w:rPr>
          <w:rFonts w:ascii="Arial Black" w:hAnsi="Arial Black"/>
          <w:caps/>
          <w:sz w:val="15"/>
        </w:rPr>
        <w:t>/</w:t>
      </w:r>
      <w:bookmarkStart w:id="0" w:name="Code"/>
      <w:bookmarkEnd w:id="0"/>
      <w:r w:rsidR="00A5115E">
        <w:rPr>
          <w:rFonts w:ascii="Arial Black" w:hAnsi="Arial Black"/>
          <w:caps/>
          <w:sz w:val="15"/>
        </w:rPr>
        <w:t>27</w:t>
      </w:r>
    </w:p>
    <w:p w14:paraId="2F1719A3" w14:textId="79994AC1" w:rsidR="008B2CC1" w:rsidRPr="008B2CC1" w:rsidRDefault="00472A6E" w:rsidP="00472A6E">
      <w:pPr>
        <w:jc w:val="right"/>
      </w:pPr>
      <w:r w:rsidRPr="0090731E">
        <w:rPr>
          <w:rFonts w:ascii="Arial Black" w:hAnsi="Arial Black"/>
          <w:caps/>
          <w:sz w:val="15"/>
        </w:rPr>
        <w:t>ORIGINAL:</w:t>
      </w:r>
      <w:r>
        <w:rPr>
          <w:rFonts w:ascii="Arial Black" w:hAnsi="Arial Black"/>
          <w:caps/>
          <w:sz w:val="15"/>
        </w:rPr>
        <w:t xml:space="preserve"> </w:t>
      </w:r>
      <w:bookmarkStart w:id="1" w:name="Original"/>
      <w:r w:rsidR="00A5115E">
        <w:rPr>
          <w:rFonts w:ascii="Arial Black" w:hAnsi="Arial Black"/>
          <w:caps/>
          <w:sz w:val="15"/>
        </w:rPr>
        <w:t>INGLÉS</w:t>
      </w:r>
      <w:r w:rsidR="00C43D68">
        <w:rPr>
          <w:rFonts w:ascii="Arial Black" w:hAnsi="Arial Black"/>
          <w:caps/>
          <w:sz w:val="15"/>
        </w:rPr>
        <w:t xml:space="preserve"> /</w:t>
      </w:r>
      <w:r w:rsidR="00C43D68" w:rsidRPr="00C43D68">
        <w:rPr>
          <w:rFonts w:ascii="Arial Black" w:hAnsi="Arial Black"/>
          <w:caps/>
          <w:color w:val="000000" w:themeColor="text1"/>
          <w:sz w:val="15"/>
          <w:lang w:val="es-ES_tradnl"/>
        </w:rPr>
        <w:t xml:space="preserve"> </w:t>
      </w:r>
      <w:r w:rsidR="00C43D68" w:rsidRPr="000F0E92">
        <w:rPr>
          <w:rFonts w:ascii="Arial Black" w:hAnsi="Arial Black"/>
          <w:caps/>
          <w:color w:val="000000" w:themeColor="text1"/>
          <w:sz w:val="15"/>
          <w:lang w:val="es-ES_tradnl"/>
        </w:rPr>
        <w:t>EspaÑol</w:t>
      </w:r>
    </w:p>
    <w:bookmarkEnd w:id="1"/>
    <w:p w14:paraId="243F5802" w14:textId="0F193700" w:rsidR="008B2CC1" w:rsidRPr="008B2CC1" w:rsidRDefault="00472A6E" w:rsidP="00472A6E">
      <w:pPr>
        <w:spacing w:after="1200"/>
        <w:jc w:val="right"/>
      </w:pPr>
      <w:r>
        <w:rPr>
          <w:rFonts w:ascii="Arial Black" w:hAnsi="Arial Black"/>
          <w:caps/>
          <w:sz w:val="15"/>
        </w:rPr>
        <w:t>fecha</w:t>
      </w:r>
      <w:r w:rsidRPr="0090731E">
        <w:rPr>
          <w:rFonts w:ascii="Arial Black" w:hAnsi="Arial Black"/>
          <w:caps/>
          <w:sz w:val="15"/>
        </w:rPr>
        <w:t>:</w:t>
      </w:r>
      <w:r>
        <w:rPr>
          <w:rFonts w:ascii="Arial Black" w:hAnsi="Arial Black"/>
          <w:caps/>
          <w:sz w:val="15"/>
        </w:rPr>
        <w:t xml:space="preserve"> </w:t>
      </w:r>
      <w:bookmarkStart w:id="2" w:name="Date"/>
      <w:r w:rsidR="00A5115E">
        <w:rPr>
          <w:rFonts w:ascii="Arial Black" w:hAnsi="Arial Black"/>
          <w:caps/>
          <w:sz w:val="15"/>
        </w:rPr>
        <w:t>1</w:t>
      </w:r>
      <w:r w:rsidR="00C43D68">
        <w:rPr>
          <w:rFonts w:ascii="Arial Black" w:hAnsi="Arial Black"/>
          <w:caps/>
          <w:sz w:val="15"/>
        </w:rPr>
        <w:t>8</w:t>
      </w:r>
      <w:r w:rsidR="00A5115E">
        <w:rPr>
          <w:rFonts w:ascii="Arial Black" w:hAnsi="Arial Black"/>
          <w:caps/>
          <w:sz w:val="15"/>
        </w:rPr>
        <w:t xml:space="preserve"> DE DICIEMBRE DE 2025</w:t>
      </w:r>
    </w:p>
    <w:bookmarkEnd w:id="2"/>
    <w:p w14:paraId="2D201DBE" w14:textId="77777777" w:rsidR="00927287" w:rsidRPr="00340193" w:rsidRDefault="00927287" w:rsidP="00927287">
      <w:pPr>
        <w:rPr>
          <w:b/>
          <w:sz w:val="28"/>
          <w:szCs w:val="28"/>
        </w:rPr>
      </w:pPr>
      <w:r w:rsidRPr="00340193">
        <w:rPr>
          <w:b/>
          <w:sz w:val="28"/>
          <w:szCs w:val="28"/>
        </w:rPr>
        <w:t>Tratado de Cooperación en materia de Patentes (PCT)</w:t>
      </w:r>
    </w:p>
    <w:p w14:paraId="4421D3C5" w14:textId="77777777" w:rsidR="00B67CDC" w:rsidRPr="00BF5A8E" w:rsidRDefault="00927287" w:rsidP="00927287">
      <w:pPr>
        <w:pStyle w:val="Heading1"/>
        <w:spacing w:before="0" w:after="480"/>
        <w:rPr>
          <w:sz w:val="28"/>
        </w:rPr>
      </w:pPr>
      <w:r>
        <w:rPr>
          <w:caps w:val="0"/>
          <w:sz w:val="28"/>
          <w:szCs w:val="28"/>
        </w:rPr>
        <w:t>C</w:t>
      </w:r>
      <w:r w:rsidRPr="00340193">
        <w:rPr>
          <w:caps w:val="0"/>
          <w:sz w:val="28"/>
          <w:szCs w:val="28"/>
        </w:rPr>
        <w:t xml:space="preserve">omité de </w:t>
      </w:r>
      <w:r>
        <w:rPr>
          <w:caps w:val="0"/>
          <w:sz w:val="28"/>
          <w:szCs w:val="28"/>
        </w:rPr>
        <w:t>C</w:t>
      </w:r>
      <w:r w:rsidRPr="00340193">
        <w:rPr>
          <w:caps w:val="0"/>
          <w:sz w:val="28"/>
          <w:szCs w:val="28"/>
        </w:rPr>
        <w:t xml:space="preserve">ooperación </w:t>
      </w:r>
      <w:r>
        <w:rPr>
          <w:caps w:val="0"/>
          <w:sz w:val="28"/>
          <w:szCs w:val="28"/>
        </w:rPr>
        <w:t>T</w:t>
      </w:r>
      <w:r w:rsidRPr="00340193">
        <w:rPr>
          <w:caps w:val="0"/>
          <w:sz w:val="28"/>
          <w:szCs w:val="28"/>
        </w:rPr>
        <w:t>écnica</w:t>
      </w:r>
      <w:r w:rsidRPr="00BF5A8E">
        <w:rPr>
          <w:caps w:val="0"/>
          <w:sz w:val="28"/>
        </w:rPr>
        <w:t xml:space="preserve"> </w:t>
      </w:r>
    </w:p>
    <w:p w14:paraId="60C60CEC" w14:textId="77777777" w:rsidR="005B2EAE" w:rsidRDefault="00927287" w:rsidP="005B2EAE">
      <w:pPr>
        <w:outlineLvl w:val="1"/>
        <w:rPr>
          <w:b/>
          <w:sz w:val="24"/>
          <w:szCs w:val="24"/>
        </w:rPr>
      </w:pPr>
      <w:r>
        <w:rPr>
          <w:b/>
          <w:sz w:val="24"/>
          <w:szCs w:val="24"/>
          <w:lang w:val="es-UY"/>
        </w:rPr>
        <w:t>T</w:t>
      </w:r>
      <w:r w:rsidRPr="00A76735">
        <w:rPr>
          <w:b/>
          <w:sz w:val="24"/>
          <w:szCs w:val="24"/>
          <w:lang w:val="es-UY"/>
        </w:rPr>
        <w:t>rigésima</w:t>
      </w:r>
      <w:r>
        <w:rPr>
          <w:b/>
          <w:sz w:val="24"/>
          <w:szCs w:val="24"/>
          <w:lang w:val="es-UY"/>
        </w:rPr>
        <w:t xml:space="preserve"> </w:t>
      </w:r>
      <w:r w:rsidR="00220365">
        <w:rPr>
          <w:b/>
          <w:sz w:val="24"/>
          <w:szCs w:val="24"/>
          <w:lang w:val="es-UY"/>
        </w:rPr>
        <w:t>tercer</w:t>
      </w:r>
      <w:r w:rsidRPr="00A941B4">
        <w:rPr>
          <w:b/>
          <w:sz w:val="24"/>
          <w:szCs w:val="24"/>
          <w:lang w:val="es-UY"/>
        </w:rPr>
        <w:t>a</w:t>
      </w:r>
      <w:r w:rsidRPr="00A76735">
        <w:rPr>
          <w:b/>
          <w:sz w:val="24"/>
          <w:szCs w:val="24"/>
          <w:lang w:val="es-UY"/>
        </w:rPr>
        <w:t xml:space="preserve"> </w:t>
      </w:r>
      <w:r>
        <w:rPr>
          <w:b/>
          <w:sz w:val="24"/>
          <w:szCs w:val="24"/>
        </w:rPr>
        <w:t>sesión</w:t>
      </w:r>
    </w:p>
    <w:p w14:paraId="28EAAA34" w14:textId="77777777" w:rsidR="00B67CDC" w:rsidRPr="00B67CDC" w:rsidRDefault="00927287" w:rsidP="00472A6E">
      <w:pPr>
        <w:spacing w:after="720"/>
        <w:outlineLvl w:val="1"/>
        <w:rPr>
          <w:b/>
          <w:sz w:val="24"/>
          <w:szCs w:val="24"/>
        </w:rPr>
      </w:pPr>
      <w:r>
        <w:rPr>
          <w:b/>
          <w:sz w:val="24"/>
          <w:szCs w:val="24"/>
        </w:rPr>
        <w:t>Gi</w:t>
      </w:r>
      <w:r w:rsidRPr="00340193">
        <w:rPr>
          <w:b/>
          <w:sz w:val="24"/>
          <w:szCs w:val="24"/>
        </w:rPr>
        <w:t>ne</w:t>
      </w:r>
      <w:r>
        <w:rPr>
          <w:b/>
          <w:sz w:val="24"/>
          <w:szCs w:val="24"/>
        </w:rPr>
        <w:t>br</w:t>
      </w:r>
      <w:r w:rsidRPr="00340193">
        <w:rPr>
          <w:b/>
          <w:sz w:val="24"/>
          <w:szCs w:val="24"/>
        </w:rPr>
        <w:t xml:space="preserve">a, </w:t>
      </w:r>
      <w:r w:rsidR="00220365">
        <w:rPr>
          <w:b/>
          <w:sz w:val="24"/>
          <w:szCs w:val="24"/>
        </w:rPr>
        <w:t>2 a 6 de febrero</w:t>
      </w:r>
      <w:r w:rsidRPr="00B92598">
        <w:rPr>
          <w:b/>
          <w:sz w:val="24"/>
          <w:szCs w:val="24"/>
        </w:rPr>
        <w:t xml:space="preserve"> de </w:t>
      </w:r>
      <w:r>
        <w:rPr>
          <w:b/>
          <w:sz w:val="24"/>
          <w:szCs w:val="24"/>
        </w:rPr>
        <w:t>202</w:t>
      </w:r>
      <w:r w:rsidR="00DB7E59">
        <w:rPr>
          <w:b/>
          <w:sz w:val="24"/>
          <w:szCs w:val="24"/>
        </w:rPr>
        <w:t>6</w:t>
      </w:r>
    </w:p>
    <w:p w14:paraId="4D905904" w14:textId="2ACB4862" w:rsidR="008B2CC1" w:rsidRPr="003845C1" w:rsidRDefault="00A5115E" w:rsidP="00472A6E">
      <w:pPr>
        <w:spacing w:after="360"/>
        <w:rPr>
          <w:caps/>
          <w:sz w:val="24"/>
        </w:rPr>
      </w:pPr>
      <w:bookmarkStart w:id="3" w:name="TitleOfDoc"/>
      <w:r>
        <w:rPr>
          <w:caps/>
          <w:sz w:val="24"/>
        </w:rPr>
        <w:t xml:space="preserve">Designación del Instituto Mexicano de la Propiedad Industrial </w:t>
      </w:r>
      <w:r w:rsidR="003D7287" w:rsidRPr="0013109E">
        <w:rPr>
          <w:caps/>
          <w:sz w:val="24"/>
          <w:lang w:val="es-419"/>
        </w:rPr>
        <w:t>EN CALIDAD DE ADMINISTRACIÓN ENCARGADA DE LA BÚSQUEDA INTERNACIONAL Y DEL EXAMEN PRELIMINAR INTERNACIONAL EN VIRTUD DEL</w:t>
      </w:r>
      <w:r w:rsidR="003D7287">
        <w:rPr>
          <w:caps/>
          <w:sz w:val="24"/>
          <w:lang w:val="es-419"/>
        </w:rPr>
        <w:t> </w:t>
      </w:r>
      <w:r w:rsidR="003D7287" w:rsidRPr="0013109E">
        <w:rPr>
          <w:caps/>
          <w:sz w:val="24"/>
          <w:lang w:val="es-419"/>
        </w:rPr>
        <w:t>PCT</w:t>
      </w:r>
    </w:p>
    <w:p w14:paraId="35B3DD46" w14:textId="6AA97D8B" w:rsidR="008B2CC1" w:rsidRPr="008B2CC1" w:rsidRDefault="00A5115E" w:rsidP="00472A6E">
      <w:pPr>
        <w:spacing w:after="1040"/>
        <w:rPr>
          <w:i/>
        </w:rPr>
      </w:pPr>
      <w:bookmarkStart w:id="4" w:name="Prepared"/>
      <w:bookmarkEnd w:id="3"/>
      <w:bookmarkEnd w:id="4"/>
      <w:r>
        <w:rPr>
          <w:i/>
        </w:rPr>
        <w:t>Documento preparado por la Oficina Internacional</w:t>
      </w:r>
    </w:p>
    <w:p w14:paraId="3E845F18" w14:textId="16A818B7" w:rsidR="00A5115E" w:rsidRDefault="00A5115E" w:rsidP="00A86B20">
      <w:pPr>
        <w:pStyle w:val="ONUMFS"/>
      </w:pPr>
      <w:r>
        <w:t>El 2 de diciembre de 2025, de conformidad con el párrafo e) de los procedimientos establecidos en las pautas acordadas para la designación de las Administraciones internacionales, aprobadas por la Asamblea del PCT en su cuadragésimo sexto período de sesiones, celebrado en 2014, y modificadas por la Asamblea en su quincuagésimo período de sesiones, celebrado en 2018, el Instituto Mexicano de la Propiedad Industrial (IMPI) presentó su solicitud de designación como Administración encargada de la búsqueda internacional y del examen preliminar internacional (ISA/IPEA)</w:t>
      </w:r>
      <w:r w:rsidR="00A86B20">
        <w:t xml:space="preserve">. </w:t>
      </w:r>
      <w:r>
        <w:t>La documentación que respalda la solicitud figura en los anexos del presente documento</w:t>
      </w:r>
      <w:r w:rsidR="00A86B20">
        <w:t xml:space="preserve">. </w:t>
      </w:r>
      <w:r>
        <w:t>En el Anexo I consta la solicitud presentada por el IMPI para ser designado ISA/IPEA; en el Anexo II consta un informe de la Oficina Española de Patentes y Marcas sobre la solicitud presentada por el IMPI para ser designado ISA/IPEA.</w:t>
      </w:r>
    </w:p>
    <w:p w14:paraId="7740E239" w14:textId="3814AF0F" w:rsidR="00A5115E" w:rsidRDefault="00A5115E" w:rsidP="00A86B20">
      <w:pPr>
        <w:pStyle w:val="ONUMFS"/>
      </w:pPr>
      <w:r>
        <w:t>De conformidad con lo dispuesto en los artículos 16.3)e) y 32.3) del PCT, antes de que la Asamblea del PCT adopte una decisión sobre la designación de una Oficina como ISA e IPEA, debe solicitar la opinión del Comité de Cooperación Técnica</w:t>
      </w:r>
      <w:r w:rsidR="00A86B20">
        <w:t xml:space="preserve">. </w:t>
      </w:r>
      <w:r>
        <w:t xml:space="preserve">El documento PCT/CTC/33/INF/1 contiene información sobre este proceso y sobre la función del Comité en el marco </w:t>
      </w:r>
      <w:proofErr w:type="gramStart"/>
      <w:r>
        <w:t>del mismo</w:t>
      </w:r>
      <w:proofErr w:type="gramEnd"/>
      <w:r>
        <w:t>.</w:t>
      </w:r>
    </w:p>
    <w:p w14:paraId="0F33A1FE" w14:textId="77777777" w:rsidR="00A5115E" w:rsidRPr="008E61D3" w:rsidRDefault="00A5115E" w:rsidP="00352636">
      <w:pPr>
        <w:pStyle w:val="ONUMFS"/>
        <w:tabs>
          <w:tab w:val="left" w:pos="6096"/>
        </w:tabs>
        <w:ind w:left="5534"/>
        <w:rPr>
          <w:i/>
        </w:rPr>
      </w:pPr>
      <w:r>
        <w:rPr>
          <w:i/>
        </w:rPr>
        <w:t>Se invita al Comité a dar su opinión sobre este asunto.</w:t>
      </w:r>
    </w:p>
    <w:p w14:paraId="34322C8B" w14:textId="20F72D4A" w:rsidR="00352636" w:rsidRPr="000C6E93" w:rsidRDefault="00806136" w:rsidP="00806136">
      <w:pPr>
        <w:pStyle w:val="Endofdocument-Annex"/>
        <w:rPr>
          <w:lang w:val="es-ES_tradnl"/>
        </w:rPr>
        <w:sectPr w:rsidR="00352636" w:rsidRPr="000C6E93" w:rsidSect="00A5115E">
          <w:headerReference w:type="default" r:id="rId9"/>
          <w:footerReference w:type="even" r:id="rId10"/>
          <w:footerReference w:type="default" r:id="rId11"/>
          <w:footerReference w:type="first" r:id="rId12"/>
          <w:pgSz w:w="11907" w:h="16840" w:code="9"/>
          <w:pgMar w:top="567" w:right="1134" w:bottom="1418" w:left="1418" w:header="510" w:footer="1021" w:gutter="0"/>
          <w:cols w:space="720"/>
          <w:titlePg/>
          <w:docGrid w:linePitch="299"/>
        </w:sectPr>
      </w:pPr>
      <w:r>
        <w:rPr>
          <w:lang w:val="es-ES_tradnl"/>
        </w:rPr>
        <w:br/>
      </w:r>
      <w:r w:rsidR="00A5115E" w:rsidRPr="000C6E93">
        <w:rPr>
          <w:lang w:val="es-ES_tradnl"/>
        </w:rPr>
        <w:t>[Sigue el Anexo I</w:t>
      </w:r>
      <w:r w:rsidR="005706CA" w:rsidRPr="000C6E93">
        <w:rPr>
          <w:lang w:val="es-ES_tradnl"/>
        </w:rPr>
        <w:t>]</w:t>
      </w:r>
    </w:p>
    <w:p w14:paraId="06BE653B" w14:textId="5999A2CC" w:rsidR="00331A82" w:rsidRPr="00595DCA" w:rsidRDefault="00331A82" w:rsidP="00331A82">
      <w:pPr>
        <w:pStyle w:val="Heading2"/>
        <w:spacing w:before="0" w:after="0"/>
        <w:jc w:val="center"/>
        <w:rPr>
          <w:lang w:val="es-ES_tradnl"/>
        </w:rPr>
      </w:pPr>
      <w:r w:rsidRPr="00595DCA">
        <w:rPr>
          <w:lang w:val="es-ES_tradnl"/>
        </w:rPr>
        <w:lastRenderedPageBreak/>
        <w:t>Solicitud de designación como Administración encargada de la búsqueda y del examen preliminar internacionales en virtud del PCT</w:t>
      </w:r>
    </w:p>
    <w:p w14:paraId="513E2E0C" w14:textId="77777777" w:rsidR="00331A82" w:rsidRPr="00595DCA" w:rsidRDefault="00331A82" w:rsidP="00331A82">
      <w:pPr>
        <w:pStyle w:val="SectionHeading"/>
        <w:spacing w:before="0" w:after="0" w:line="240" w:lineRule="auto"/>
        <w:rPr>
          <w:lang w:val="es-ES_tradnl"/>
        </w:rPr>
      </w:pPr>
    </w:p>
    <w:p w14:paraId="229A523B" w14:textId="781DD2B6" w:rsidR="00331A82" w:rsidRPr="00595DCA" w:rsidRDefault="00331A82" w:rsidP="000C6E93">
      <w:pPr>
        <w:pStyle w:val="SectionHeading"/>
        <w:spacing w:before="0" w:after="0" w:line="240" w:lineRule="auto"/>
        <w:rPr>
          <w:lang w:val="es-ES_tradnl"/>
        </w:rPr>
      </w:pPr>
      <w:r w:rsidRPr="00595DCA">
        <w:rPr>
          <w:lang w:val="es-ES_tradnl"/>
        </w:rPr>
        <w:t>1. General</w:t>
      </w:r>
    </w:p>
    <w:p w14:paraId="155167CB" w14:textId="77777777" w:rsidR="00331A82" w:rsidRPr="00595DCA" w:rsidRDefault="00331A82" w:rsidP="00331A82">
      <w:pPr>
        <w:pStyle w:val="Question"/>
        <w:spacing w:after="0"/>
        <w:rPr>
          <w:lang w:val="es-ES_tradnl"/>
        </w:rPr>
      </w:pPr>
      <w:r w:rsidRPr="00595DCA">
        <w:rPr>
          <w:lang w:val="es-ES_tradnl"/>
        </w:rPr>
        <w:t>a)</w:t>
      </w:r>
      <w:r w:rsidRPr="00595DCA">
        <w:rPr>
          <w:lang w:val="es-ES_tradnl"/>
        </w:rPr>
        <w:tab/>
        <w:t xml:space="preserve">Nombre de la Oficina u organización intergubernamental: </w:t>
      </w:r>
    </w:p>
    <w:p w14:paraId="6F079FB9" w14:textId="77777777" w:rsidR="00331A82" w:rsidRDefault="00331A82" w:rsidP="00331A82">
      <w:pPr>
        <w:pStyle w:val="Question"/>
        <w:spacing w:after="0"/>
        <w:jc w:val="both"/>
        <w:rPr>
          <w:b w:val="0"/>
          <w:bCs w:val="0"/>
          <w:i/>
          <w:iCs/>
          <w:lang w:val="es-ES_tradnl"/>
        </w:rPr>
      </w:pPr>
      <w:r w:rsidRPr="00595DCA">
        <w:rPr>
          <w:b w:val="0"/>
          <w:bCs w:val="0"/>
          <w:lang w:val="es-ES_tradnl"/>
        </w:rPr>
        <w:t xml:space="preserve">Instituto Mexicano de la Propiedad Industrial (IMPI) / </w:t>
      </w:r>
      <w:proofErr w:type="spellStart"/>
      <w:r w:rsidRPr="00595DCA">
        <w:rPr>
          <w:b w:val="0"/>
          <w:bCs w:val="0"/>
          <w:i/>
          <w:iCs/>
          <w:lang w:val="es-ES_tradnl"/>
        </w:rPr>
        <w:t>Mexican</w:t>
      </w:r>
      <w:proofErr w:type="spellEnd"/>
      <w:r w:rsidRPr="00595DCA">
        <w:rPr>
          <w:b w:val="0"/>
          <w:bCs w:val="0"/>
          <w:i/>
          <w:iCs/>
          <w:lang w:val="es-ES_tradnl"/>
        </w:rPr>
        <w:t xml:space="preserve"> Institute </w:t>
      </w:r>
      <w:proofErr w:type="spellStart"/>
      <w:r w:rsidRPr="00595DCA">
        <w:rPr>
          <w:b w:val="0"/>
          <w:bCs w:val="0"/>
          <w:i/>
          <w:iCs/>
          <w:lang w:val="es-ES_tradnl"/>
        </w:rPr>
        <w:t>of</w:t>
      </w:r>
      <w:proofErr w:type="spellEnd"/>
      <w:r w:rsidRPr="00595DCA">
        <w:rPr>
          <w:b w:val="0"/>
          <w:bCs w:val="0"/>
          <w:i/>
          <w:iCs/>
          <w:lang w:val="es-ES_tradnl"/>
        </w:rPr>
        <w:t xml:space="preserve"> Industrial </w:t>
      </w:r>
      <w:proofErr w:type="spellStart"/>
      <w:r w:rsidRPr="00595DCA">
        <w:rPr>
          <w:b w:val="0"/>
          <w:bCs w:val="0"/>
          <w:i/>
          <w:iCs/>
          <w:lang w:val="es-ES_tradnl"/>
        </w:rPr>
        <w:t>Property</w:t>
      </w:r>
      <w:proofErr w:type="spellEnd"/>
    </w:p>
    <w:p w14:paraId="12877944" w14:textId="34163941" w:rsidR="00331A82" w:rsidRPr="00595DCA" w:rsidRDefault="00331A82" w:rsidP="00331A82">
      <w:pPr>
        <w:pStyle w:val="Question"/>
        <w:spacing w:after="0"/>
        <w:jc w:val="both"/>
        <w:rPr>
          <w:b w:val="0"/>
          <w:bCs w:val="0"/>
          <w:i/>
          <w:iCs/>
          <w:lang w:val="es-ES_tradnl"/>
        </w:rPr>
      </w:pPr>
      <w:r w:rsidRPr="00595DCA">
        <w:rPr>
          <w:b w:val="0"/>
          <w:bCs w:val="0"/>
          <w:lang w:val="es-ES_tradnl"/>
        </w:rPr>
        <w:t>El 10 de diciembre de 1993 se publicó en el Diario Oficial de la Federación el Decreto por el que se creó el Instituto Mexicano de la Propiedad Industrial (IMPI), organismo público descentralizado con personalidad jurídica y patrimonio propio.</w:t>
      </w:r>
    </w:p>
    <w:p w14:paraId="7243DF52" w14:textId="77777777" w:rsidR="00331A82" w:rsidRPr="00595DCA" w:rsidRDefault="00331A82" w:rsidP="00331A82">
      <w:pPr>
        <w:pStyle w:val="Question"/>
        <w:spacing w:after="0"/>
        <w:jc w:val="both"/>
        <w:rPr>
          <w:b w:val="0"/>
          <w:bCs w:val="0"/>
          <w:lang w:val="es-ES_tradnl"/>
        </w:rPr>
      </w:pPr>
    </w:p>
    <w:p w14:paraId="30DB40C8" w14:textId="77777777" w:rsidR="00331A82" w:rsidRPr="00595DCA" w:rsidRDefault="00331A82" w:rsidP="00331A82">
      <w:pPr>
        <w:pStyle w:val="Question"/>
        <w:spacing w:after="0"/>
        <w:jc w:val="both"/>
        <w:rPr>
          <w:b w:val="0"/>
          <w:bCs w:val="0"/>
          <w:lang w:val="es-ES_tradnl"/>
        </w:rPr>
      </w:pPr>
      <w:r w:rsidRPr="00595DCA">
        <w:rPr>
          <w:b w:val="0"/>
          <w:bCs w:val="0"/>
          <w:lang w:val="es-ES_tradnl"/>
        </w:rPr>
        <w:t>Desde esa fecha, el IMPI se ha profesionalizado para atender los retos de la protección de la innovación en México; aumentar y asegurar la promoción de la propiedad industrial; así como mejorar sus servicios en beneficio de los inventores y creadores mexicanos.</w:t>
      </w:r>
    </w:p>
    <w:p w14:paraId="6650F306" w14:textId="77777777" w:rsidR="00331A82" w:rsidRPr="00595DCA" w:rsidRDefault="00331A82" w:rsidP="00331A82">
      <w:pPr>
        <w:pStyle w:val="Answer"/>
        <w:spacing w:after="0"/>
        <w:ind w:left="0"/>
        <w:jc w:val="both"/>
        <w:rPr>
          <w:lang w:val="es-ES_tradnl"/>
        </w:rPr>
      </w:pPr>
    </w:p>
    <w:p w14:paraId="4A881A20" w14:textId="77777777" w:rsidR="00331A82" w:rsidRPr="00595DCA" w:rsidRDefault="00331A82" w:rsidP="00331A82">
      <w:pPr>
        <w:pStyle w:val="Question"/>
        <w:spacing w:after="0"/>
        <w:jc w:val="both"/>
        <w:rPr>
          <w:b w:val="0"/>
          <w:bCs w:val="0"/>
          <w:lang w:val="es-ES_tradnl"/>
        </w:rPr>
      </w:pPr>
      <w:r w:rsidRPr="00595DCA">
        <w:rPr>
          <w:b w:val="0"/>
          <w:bCs w:val="0"/>
          <w:lang w:val="es-ES_tradnl"/>
        </w:rPr>
        <w:t>El IMPI se ha posicionado como una oficina de referencia a nivel internacional, al fomentar un mayor acceso de herramientas en beneficio de los usuarios. México forma parte de los cuatro sistemas internacionales de protección de la propiedad industrial: el Protocolo de Madrid (marcas), el Tratado de Cooperación en materia de Patentes (PCT), el Arreglo de Lisboa (denominaciones de origen) y el Arreglo de La Haya (dibujos o modelos industriales).</w:t>
      </w:r>
    </w:p>
    <w:p w14:paraId="625F1B82" w14:textId="77777777" w:rsidR="00331A82" w:rsidRPr="00595DCA" w:rsidRDefault="00331A82" w:rsidP="00331A82">
      <w:pPr>
        <w:pStyle w:val="Answer"/>
        <w:spacing w:after="0"/>
        <w:ind w:left="0"/>
        <w:rPr>
          <w:b/>
          <w:bCs/>
          <w:lang w:val="es-ES_tradnl"/>
        </w:rPr>
      </w:pPr>
    </w:p>
    <w:p w14:paraId="75AF3AEA" w14:textId="77777777" w:rsidR="00331A82" w:rsidRPr="00595DCA" w:rsidRDefault="00331A82" w:rsidP="00331A82">
      <w:pPr>
        <w:pStyle w:val="Question"/>
        <w:spacing w:after="0"/>
        <w:rPr>
          <w:lang w:val="es-ES_tradnl"/>
        </w:rPr>
      </w:pPr>
      <w:r w:rsidRPr="00595DCA">
        <w:rPr>
          <w:lang w:val="es-ES_tradnl"/>
        </w:rPr>
        <w:t>b)</w:t>
      </w:r>
      <w:r w:rsidRPr="00595DCA">
        <w:rPr>
          <w:lang w:val="es-ES_tradnl"/>
        </w:rPr>
        <w:tab/>
        <w:t>Fecha en que la solicitud de designación fue recibida por el director general:</w:t>
      </w:r>
    </w:p>
    <w:p w14:paraId="5E742A67" w14:textId="77777777" w:rsidR="00331A82" w:rsidRPr="00595DCA" w:rsidRDefault="00331A82" w:rsidP="00331A82">
      <w:pPr>
        <w:pStyle w:val="Answer"/>
        <w:spacing w:after="0"/>
        <w:ind w:left="0"/>
        <w:rPr>
          <w:i/>
          <w:lang w:val="es-ES_tradnl"/>
        </w:rPr>
      </w:pPr>
    </w:p>
    <w:p w14:paraId="298B93F3" w14:textId="77777777" w:rsidR="00331A82" w:rsidRPr="0007717F" w:rsidRDefault="00331A82" w:rsidP="00331A82">
      <w:pPr>
        <w:pStyle w:val="Answer"/>
        <w:spacing w:after="0"/>
        <w:ind w:left="0"/>
        <w:rPr>
          <w:iCs/>
          <w:lang w:val="es-ES_tradnl"/>
        </w:rPr>
      </w:pPr>
      <w:r>
        <w:rPr>
          <w:iCs/>
          <w:lang w:val="es-ES_tradnl"/>
        </w:rPr>
        <w:t>2 de diciembre de 2025.</w:t>
      </w:r>
    </w:p>
    <w:p w14:paraId="6AB7A5A5" w14:textId="77777777" w:rsidR="00331A82" w:rsidRPr="00595DCA" w:rsidRDefault="00331A82" w:rsidP="00331A82">
      <w:pPr>
        <w:pStyle w:val="Answer"/>
        <w:spacing w:after="0"/>
        <w:ind w:left="0"/>
        <w:rPr>
          <w:i/>
          <w:lang w:val="es-ES_tradnl"/>
        </w:rPr>
      </w:pPr>
    </w:p>
    <w:p w14:paraId="225A9903" w14:textId="77777777" w:rsidR="00331A82" w:rsidRPr="00595DCA" w:rsidRDefault="00331A82" w:rsidP="00331A82">
      <w:pPr>
        <w:pStyle w:val="Question"/>
        <w:spacing w:after="0"/>
        <w:rPr>
          <w:lang w:val="es-ES_tradnl"/>
        </w:rPr>
      </w:pPr>
      <w:r w:rsidRPr="00595DCA">
        <w:rPr>
          <w:lang w:val="es-ES_tradnl"/>
        </w:rPr>
        <w:t>c)</w:t>
      </w:r>
      <w:r w:rsidRPr="00595DCA">
        <w:rPr>
          <w:lang w:val="es-ES_tradnl"/>
        </w:rPr>
        <w:tab/>
        <w:t>Período de sesiones de la Asamblea en que se solicita la designación:</w:t>
      </w:r>
    </w:p>
    <w:p w14:paraId="08ACDB6A" w14:textId="77777777" w:rsidR="00331A82" w:rsidRPr="00595DCA" w:rsidRDefault="00331A82" w:rsidP="00331A82">
      <w:pPr>
        <w:pStyle w:val="Answer"/>
        <w:spacing w:after="0"/>
        <w:rPr>
          <w:lang w:val="es-ES_tradnl"/>
        </w:rPr>
      </w:pPr>
    </w:p>
    <w:p w14:paraId="6A6A2462" w14:textId="77777777" w:rsidR="00331A82" w:rsidRPr="00595DCA" w:rsidRDefault="00331A82" w:rsidP="00331A82">
      <w:pPr>
        <w:pStyle w:val="Answer"/>
        <w:spacing w:after="0"/>
        <w:ind w:left="0"/>
        <w:rPr>
          <w:lang w:val="es-ES_tradnl"/>
        </w:rPr>
      </w:pPr>
      <w:r w:rsidRPr="00595DCA">
        <w:rPr>
          <w:lang w:val="es-ES_tradnl"/>
        </w:rPr>
        <w:t>Sexagésima octava serie de reuniones (julio 2026).</w:t>
      </w:r>
    </w:p>
    <w:p w14:paraId="0502AA42" w14:textId="77777777" w:rsidR="00331A82" w:rsidRPr="00595DCA" w:rsidRDefault="00331A82" w:rsidP="00331A82">
      <w:pPr>
        <w:pStyle w:val="Answer"/>
        <w:spacing w:after="0"/>
        <w:rPr>
          <w:lang w:val="es-ES_tradnl"/>
        </w:rPr>
      </w:pPr>
    </w:p>
    <w:p w14:paraId="524A539B" w14:textId="77777777" w:rsidR="00331A82" w:rsidRPr="00595DCA" w:rsidRDefault="00331A82" w:rsidP="00331A82">
      <w:pPr>
        <w:pStyle w:val="Question"/>
        <w:spacing w:after="0"/>
        <w:rPr>
          <w:lang w:val="es-ES_tradnl"/>
        </w:rPr>
      </w:pPr>
      <w:r w:rsidRPr="00595DCA">
        <w:rPr>
          <w:lang w:val="es-ES_tradnl"/>
        </w:rPr>
        <w:t>d)</w:t>
      </w:r>
      <w:r w:rsidRPr="00595DCA">
        <w:rPr>
          <w:lang w:val="es-ES_tradnl"/>
        </w:rPr>
        <w:tab/>
        <w:t>Fecha prevista en que podría comenzar la actividad en calidad de ISA/IPEA:</w:t>
      </w:r>
    </w:p>
    <w:p w14:paraId="087652E7" w14:textId="77777777" w:rsidR="00331A82" w:rsidRPr="00595DCA" w:rsidRDefault="00331A82" w:rsidP="00331A82">
      <w:pPr>
        <w:pStyle w:val="Answer"/>
        <w:spacing w:after="0"/>
        <w:ind w:left="0"/>
        <w:rPr>
          <w:b/>
          <w:bCs/>
          <w:lang w:val="es-ES_tradnl"/>
        </w:rPr>
      </w:pPr>
    </w:p>
    <w:p w14:paraId="3E57297B" w14:textId="10B4F831" w:rsidR="00331A82" w:rsidRPr="00595DCA" w:rsidRDefault="00331A82" w:rsidP="00331A82">
      <w:pPr>
        <w:pStyle w:val="Answer"/>
        <w:spacing w:after="0"/>
        <w:ind w:left="0"/>
        <w:rPr>
          <w:lang w:val="es-ES_tradnl"/>
        </w:rPr>
      </w:pPr>
      <w:r w:rsidRPr="00595DCA">
        <w:rPr>
          <w:lang w:val="es-ES_tradnl"/>
        </w:rPr>
        <w:t>Enero de 2027 (fecha tentativa para IMPI)</w:t>
      </w:r>
      <w:r w:rsidR="004F24DD">
        <w:rPr>
          <w:lang w:val="es-ES_tradnl"/>
        </w:rPr>
        <w:t>.</w:t>
      </w:r>
    </w:p>
    <w:p w14:paraId="30DF2B0D" w14:textId="77777777" w:rsidR="00331A82" w:rsidRPr="00595DCA" w:rsidRDefault="00331A82" w:rsidP="00331A82">
      <w:pPr>
        <w:pStyle w:val="Answer"/>
        <w:spacing w:after="0"/>
        <w:ind w:left="0"/>
        <w:rPr>
          <w:b/>
          <w:bCs/>
          <w:lang w:val="es-ES_tradnl"/>
        </w:rPr>
      </w:pPr>
    </w:p>
    <w:p w14:paraId="7C83639E" w14:textId="77777777" w:rsidR="00331A82" w:rsidRPr="00595DCA" w:rsidRDefault="00331A82" w:rsidP="00331A82">
      <w:pPr>
        <w:pStyle w:val="Answer"/>
        <w:spacing w:after="0"/>
        <w:ind w:left="0"/>
        <w:rPr>
          <w:b/>
          <w:bCs/>
          <w:lang w:val="es-ES_tradnl"/>
        </w:rPr>
      </w:pPr>
      <w:r w:rsidRPr="00595DCA">
        <w:rPr>
          <w:b/>
          <w:bCs/>
          <w:lang w:val="es-ES_tradnl"/>
        </w:rPr>
        <w:t>e)</w:t>
      </w:r>
      <w:r w:rsidRPr="00595DCA">
        <w:rPr>
          <w:b/>
          <w:bCs/>
          <w:lang w:val="es-ES_tradnl"/>
        </w:rPr>
        <w:tab/>
        <w:t xml:space="preserve">ISA/IPEA existentes que ayudan a evaluar el grado de cumplimiento de los criterios: </w:t>
      </w:r>
    </w:p>
    <w:p w14:paraId="579192B1" w14:textId="77777777" w:rsidR="00331A82" w:rsidRPr="00595DCA" w:rsidRDefault="00331A82" w:rsidP="00331A82">
      <w:pPr>
        <w:pStyle w:val="Answer"/>
        <w:spacing w:after="0"/>
        <w:ind w:left="0"/>
        <w:rPr>
          <w:b/>
          <w:bCs/>
          <w:lang w:val="es-ES_tradnl"/>
        </w:rPr>
      </w:pPr>
    </w:p>
    <w:p w14:paraId="234CE226" w14:textId="539F4AF4" w:rsidR="00331A82" w:rsidRPr="000C6E93" w:rsidRDefault="00331A82" w:rsidP="00331A82">
      <w:pPr>
        <w:pStyle w:val="Answer"/>
        <w:spacing w:after="0"/>
        <w:ind w:left="0"/>
        <w:rPr>
          <w:lang w:val="es-ES_tradnl"/>
        </w:rPr>
      </w:pPr>
      <w:r w:rsidRPr="00595DCA">
        <w:rPr>
          <w:lang w:val="es-ES_tradnl"/>
        </w:rPr>
        <w:t>Oficina Española de Patentes y Marcas (OEPM).</w:t>
      </w:r>
    </w:p>
    <w:p w14:paraId="578C954F" w14:textId="2B29950B" w:rsidR="00331A82" w:rsidRPr="00595DCA" w:rsidRDefault="000C6E93" w:rsidP="00331A82">
      <w:pPr>
        <w:pStyle w:val="SectionHeading"/>
        <w:spacing w:before="0" w:after="0" w:line="240" w:lineRule="auto"/>
        <w:rPr>
          <w:lang w:val="es-ES_tradnl"/>
        </w:rPr>
      </w:pPr>
      <w:r>
        <w:rPr>
          <w:lang w:val="es-ES_tradnl"/>
        </w:rPr>
        <w:br/>
      </w:r>
      <w:r w:rsidR="00331A82" w:rsidRPr="00595DCA">
        <w:rPr>
          <w:lang w:val="es-ES_tradnl"/>
        </w:rPr>
        <w:t>2. Requisitos mínimos para la designación</w:t>
      </w:r>
    </w:p>
    <w:p w14:paraId="4748D8CE" w14:textId="77777777" w:rsidR="00331A82" w:rsidRPr="00595DCA" w:rsidRDefault="00331A82" w:rsidP="00331A82">
      <w:pPr>
        <w:pStyle w:val="SectionHeading"/>
        <w:spacing w:before="0" w:after="0" w:line="240" w:lineRule="auto"/>
        <w:rPr>
          <w:lang w:val="es-ES_tradnl"/>
        </w:rPr>
      </w:pPr>
    </w:p>
    <w:p w14:paraId="50B24042" w14:textId="77777777" w:rsidR="00331A82" w:rsidRPr="00595DCA" w:rsidRDefault="00331A82" w:rsidP="00331A82">
      <w:pPr>
        <w:pStyle w:val="SectionHeading"/>
        <w:spacing w:before="0" w:after="0" w:line="240" w:lineRule="auto"/>
        <w:rPr>
          <w:lang w:val="es-ES_tradnl"/>
        </w:rPr>
      </w:pPr>
      <w:r w:rsidRPr="00595DCA">
        <w:rPr>
          <w:lang w:val="es-ES_tradnl"/>
        </w:rPr>
        <w:t>2.1. Capacidad de búsqueda y examen</w:t>
      </w:r>
    </w:p>
    <w:p w14:paraId="6158139E" w14:textId="77777777" w:rsidR="00331A82" w:rsidRPr="00595DCA" w:rsidRDefault="00331A82" w:rsidP="00331A82">
      <w:pPr>
        <w:jc w:val="both"/>
        <w:rPr>
          <w:i/>
          <w:iCs/>
          <w:lang w:val="es-ES_tradnl"/>
        </w:rPr>
      </w:pPr>
    </w:p>
    <w:p w14:paraId="0AF586F8" w14:textId="77777777" w:rsidR="00331A82" w:rsidRPr="00595DCA" w:rsidRDefault="00331A82" w:rsidP="00331A82">
      <w:pPr>
        <w:ind w:left="360"/>
        <w:jc w:val="both"/>
        <w:rPr>
          <w:i/>
          <w:iCs/>
          <w:lang w:val="es-ES_tradnl"/>
        </w:rPr>
      </w:pPr>
      <w:r w:rsidRPr="00595DCA">
        <w:rPr>
          <w:i/>
          <w:iCs/>
          <w:lang w:val="es-ES_tradnl"/>
        </w:rPr>
        <w:t xml:space="preserve">Reglas 36.1.i) y 63.1.i): La Oficina nacional o la organización intergubernamental deberá tener, por lo menos, 100 empleados con plena dedicación, con cualificaciones técnicas suficientes para efectuar las búsquedas y los exámenes. </w:t>
      </w:r>
    </w:p>
    <w:p w14:paraId="08478128" w14:textId="77777777" w:rsidR="00331A82" w:rsidRPr="00595DCA" w:rsidRDefault="00331A82" w:rsidP="00331A82">
      <w:pPr>
        <w:jc w:val="both"/>
        <w:rPr>
          <w:lang w:val="es-ES_tradnl"/>
        </w:rPr>
      </w:pPr>
    </w:p>
    <w:p w14:paraId="3A32A3B0" w14:textId="77777777" w:rsidR="00331A82" w:rsidRPr="00595DCA" w:rsidRDefault="00331A82" w:rsidP="00331A82">
      <w:pPr>
        <w:pStyle w:val="ListParagraph"/>
        <w:numPr>
          <w:ilvl w:val="0"/>
          <w:numId w:val="8"/>
        </w:numPr>
        <w:contextualSpacing w:val="0"/>
        <w:jc w:val="both"/>
        <w:rPr>
          <w:lang w:val="es-ES_tradnl"/>
        </w:rPr>
      </w:pPr>
      <w:r w:rsidRPr="00595DCA">
        <w:rPr>
          <w:lang w:val="es-ES_tradnl"/>
        </w:rPr>
        <w:t>Empleados cualificados para realizar búsquedas y exámenes:</w:t>
      </w:r>
    </w:p>
    <w:p w14:paraId="43BE6DB4" w14:textId="77777777" w:rsidR="00331A82" w:rsidRPr="00595DCA" w:rsidRDefault="00331A82" w:rsidP="00331A82">
      <w:pPr>
        <w:pStyle w:val="ListParagraph"/>
        <w:ind w:left="930"/>
        <w:contextualSpacing w:val="0"/>
        <w:jc w:val="both"/>
        <w:rPr>
          <w:i/>
          <w:iCs/>
          <w:lang w:val="es-ES_tradnl"/>
        </w:rPr>
      </w:pPr>
    </w:p>
    <w:p w14:paraId="7B837944" w14:textId="77777777" w:rsidR="00331A82" w:rsidRPr="00595DCA" w:rsidRDefault="00331A82" w:rsidP="00331A82">
      <w:pPr>
        <w:jc w:val="both"/>
        <w:rPr>
          <w:lang w:val="es-ES_tradnl"/>
        </w:rPr>
      </w:pPr>
      <w:r w:rsidRPr="00595DCA">
        <w:rPr>
          <w:lang w:val="es-ES_tradnl"/>
        </w:rPr>
        <w:t xml:space="preserve">Actualmente la Dirección Divisional de Patentes, cuenta con 2 Subdirecciones de Examen de Fondo, conformadas en 5 Coordinaciones de examen de fondo de patentes, modelos y diseños industriales, según los campos técnicos que atienden en: </w:t>
      </w:r>
    </w:p>
    <w:p w14:paraId="7DD00E99" w14:textId="77777777" w:rsidR="00331A82" w:rsidRPr="00595DCA" w:rsidRDefault="00331A82" w:rsidP="00331A82">
      <w:pPr>
        <w:pStyle w:val="ListParagraph"/>
        <w:ind w:left="930"/>
        <w:contextualSpacing w:val="0"/>
        <w:jc w:val="both"/>
        <w:rPr>
          <w:color w:val="0070C0"/>
          <w:lang w:val="es-ES_tradnl"/>
        </w:rPr>
      </w:pPr>
    </w:p>
    <w:p w14:paraId="31CD0F2D" w14:textId="77777777" w:rsidR="00331A82" w:rsidRPr="00595DCA" w:rsidRDefault="00331A82" w:rsidP="00331A82">
      <w:pPr>
        <w:pStyle w:val="ListParagraph"/>
        <w:numPr>
          <w:ilvl w:val="0"/>
          <w:numId w:val="9"/>
        </w:numPr>
        <w:contextualSpacing w:val="0"/>
        <w:jc w:val="both"/>
        <w:rPr>
          <w:lang w:val="es-ES_tradnl"/>
        </w:rPr>
      </w:pPr>
      <w:bookmarkStart w:id="6" w:name="_Hlk210299785"/>
      <w:r w:rsidRPr="00595DCA">
        <w:rPr>
          <w:lang w:val="es-ES_tradnl"/>
        </w:rPr>
        <w:t>Coordinación de examen de fondo de patentes, área Mecánica</w:t>
      </w:r>
      <w:bookmarkEnd w:id="6"/>
      <w:r w:rsidRPr="00595DCA">
        <w:rPr>
          <w:lang w:val="es-ES_tradnl"/>
        </w:rPr>
        <w:t xml:space="preserve">. </w:t>
      </w:r>
    </w:p>
    <w:p w14:paraId="22CBF41C" w14:textId="77777777" w:rsidR="00331A82" w:rsidRPr="00595DCA" w:rsidRDefault="00331A82" w:rsidP="00331A82">
      <w:pPr>
        <w:pStyle w:val="ListParagraph"/>
        <w:numPr>
          <w:ilvl w:val="0"/>
          <w:numId w:val="9"/>
        </w:numPr>
        <w:contextualSpacing w:val="0"/>
        <w:jc w:val="both"/>
        <w:rPr>
          <w:lang w:val="es-ES_tradnl"/>
        </w:rPr>
      </w:pPr>
      <w:r w:rsidRPr="00595DCA">
        <w:rPr>
          <w:lang w:val="es-ES_tradnl"/>
        </w:rPr>
        <w:t>Coordinación de examen de fondo de patentes, área Eléctrica.</w:t>
      </w:r>
    </w:p>
    <w:p w14:paraId="0560A9F2" w14:textId="77777777" w:rsidR="00331A82" w:rsidRPr="00595DCA" w:rsidRDefault="00331A82" w:rsidP="00331A82">
      <w:pPr>
        <w:pStyle w:val="ListParagraph"/>
        <w:numPr>
          <w:ilvl w:val="0"/>
          <w:numId w:val="9"/>
        </w:numPr>
        <w:contextualSpacing w:val="0"/>
        <w:jc w:val="both"/>
        <w:rPr>
          <w:lang w:val="es-ES_tradnl"/>
        </w:rPr>
      </w:pPr>
      <w:r w:rsidRPr="00595DCA">
        <w:rPr>
          <w:lang w:val="es-ES_tradnl"/>
        </w:rPr>
        <w:t xml:space="preserve">Coordinación de examen de fondo de patentes, área Química. </w:t>
      </w:r>
    </w:p>
    <w:p w14:paraId="68645F3C" w14:textId="77777777" w:rsidR="00331A82" w:rsidRPr="00595DCA" w:rsidRDefault="00331A82" w:rsidP="00331A82">
      <w:pPr>
        <w:pStyle w:val="ListParagraph"/>
        <w:numPr>
          <w:ilvl w:val="0"/>
          <w:numId w:val="9"/>
        </w:numPr>
        <w:contextualSpacing w:val="0"/>
        <w:jc w:val="both"/>
        <w:rPr>
          <w:lang w:val="es-ES_tradnl"/>
        </w:rPr>
      </w:pPr>
      <w:r w:rsidRPr="00595DCA">
        <w:rPr>
          <w:lang w:val="es-ES_tradnl"/>
        </w:rPr>
        <w:lastRenderedPageBreak/>
        <w:t>Coordinación de examen de fondo de patentes, área Farmacéutica.</w:t>
      </w:r>
    </w:p>
    <w:p w14:paraId="6DA67515" w14:textId="77777777" w:rsidR="00331A82" w:rsidRPr="00595DCA" w:rsidRDefault="00331A82" w:rsidP="00331A82">
      <w:pPr>
        <w:pStyle w:val="ListParagraph"/>
        <w:numPr>
          <w:ilvl w:val="0"/>
          <w:numId w:val="9"/>
        </w:numPr>
        <w:contextualSpacing w:val="0"/>
        <w:jc w:val="both"/>
        <w:rPr>
          <w:lang w:val="es-ES_tradnl"/>
        </w:rPr>
      </w:pPr>
      <w:r w:rsidRPr="00595DCA">
        <w:rPr>
          <w:lang w:val="es-ES_tradnl"/>
        </w:rPr>
        <w:t xml:space="preserve">Coordinación de examen de fondo de patentes, área Biotecnológica. </w:t>
      </w:r>
    </w:p>
    <w:p w14:paraId="25E6A33D" w14:textId="77777777" w:rsidR="00331A82" w:rsidRPr="00595DCA" w:rsidRDefault="00331A82" w:rsidP="00331A82">
      <w:pPr>
        <w:jc w:val="both"/>
        <w:rPr>
          <w:lang w:val="es-ES_tradnl"/>
        </w:rPr>
      </w:pPr>
    </w:p>
    <w:p w14:paraId="1C111156" w14:textId="77777777" w:rsidR="00331A82" w:rsidRPr="00595DCA" w:rsidRDefault="00331A82" w:rsidP="00331A82">
      <w:pPr>
        <w:jc w:val="both"/>
        <w:rPr>
          <w:lang w:val="es-ES_tradnl"/>
        </w:rPr>
      </w:pPr>
      <w:r w:rsidRPr="00595DCA">
        <w:rPr>
          <w:lang w:val="es-ES_tradnl"/>
        </w:rPr>
        <w:t>En conjunto las coordinaciones de examen de fondo de patentes y de modelos de utilidad cuentan con 181 examinadores de fondo, dedicados de tiempo completo a labores de búsqueda y examen, 10 supervisores de área quienes se dedican a supervisar la labor de examen de los examinadores a su cargo y por 5 Coordinadores de área.</w:t>
      </w:r>
    </w:p>
    <w:p w14:paraId="55D2D03B" w14:textId="77777777" w:rsidR="00331A82" w:rsidRPr="00595DCA" w:rsidRDefault="00331A82" w:rsidP="00331A82">
      <w:pPr>
        <w:jc w:val="both"/>
        <w:rPr>
          <w:lang w:val="es-ES_tradnl"/>
        </w:rPr>
      </w:pPr>
    </w:p>
    <w:p w14:paraId="138B45EC" w14:textId="77777777" w:rsidR="00331A82" w:rsidRPr="00595DCA" w:rsidRDefault="00331A82" w:rsidP="00331A82">
      <w:pPr>
        <w:jc w:val="both"/>
        <w:rPr>
          <w:lang w:val="es-ES_tradnl"/>
        </w:rPr>
      </w:pPr>
      <w:r w:rsidRPr="00595DCA">
        <w:rPr>
          <w:lang w:val="es-ES_tradnl"/>
        </w:rPr>
        <w:t>El equipo de examen de fondo cuenta con un alto grado de especialización técnica, todos ellos cuentan con grado de licenciatura, 1% cuenta con especialidad, 29% cuenta con grado de maestría, 21% cuenta con grado de doctorado, de los cuales 3% tienes estancias posdoctorales.</w:t>
      </w:r>
    </w:p>
    <w:p w14:paraId="61062415" w14:textId="77777777" w:rsidR="00331A82" w:rsidRPr="00595DCA" w:rsidRDefault="00331A82" w:rsidP="00331A82">
      <w:pPr>
        <w:jc w:val="both"/>
        <w:rPr>
          <w:lang w:val="es-ES_tradnl"/>
        </w:rPr>
      </w:pPr>
    </w:p>
    <w:p w14:paraId="43A3200E" w14:textId="77777777" w:rsidR="00331A82" w:rsidRPr="00595DCA" w:rsidRDefault="00331A82" w:rsidP="00331A82">
      <w:pPr>
        <w:jc w:val="both"/>
        <w:rPr>
          <w:lang w:val="es-ES_tradnl"/>
        </w:rPr>
      </w:pPr>
      <w:r w:rsidRPr="00595DCA">
        <w:rPr>
          <w:lang w:val="es-ES_tradnl"/>
        </w:rPr>
        <w:t>Cuentan con conocimiento avanzado de idioma inglés y conocimientos de básico a intermedio de otros idiomas como francés, alemán, etc.</w:t>
      </w:r>
    </w:p>
    <w:p w14:paraId="64119E89" w14:textId="77777777" w:rsidR="00331A82" w:rsidRPr="00595DCA" w:rsidRDefault="00331A82" w:rsidP="00331A82">
      <w:pPr>
        <w:jc w:val="both"/>
        <w:rPr>
          <w:lang w:val="es-ES_tradnl"/>
        </w:rPr>
      </w:pPr>
    </w:p>
    <w:p w14:paraId="12FBEBBA" w14:textId="77777777" w:rsidR="00331A82" w:rsidRPr="00595DCA" w:rsidRDefault="00331A82" w:rsidP="00331A82">
      <w:pPr>
        <w:jc w:val="both"/>
        <w:rPr>
          <w:lang w:val="es-ES_tradnl"/>
        </w:rPr>
      </w:pPr>
      <w:r w:rsidRPr="00595DCA">
        <w:rPr>
          <w:lang w:val="es-ES_tradnl"/>
        </w:rPr>
        <w:t>En el presente año se contrató un grupo de 84 examinadores de los cuales 79 se destinaron a examen de fondo de patentes y modelos de utilidad, actualmente se encuentran en proceso de capacitación intensiva, esto es realizan examen de fondo con tutores asignados, y se considera que en un lapso de 4 meses ya serán capaces de realizar búsquedas y examen sin acompañamiento.</w:t>
      </w:r>
    </w:p>
    <w:p w14:paraId="658EFF02" w14:textId="77777777" w:rsidR="00331A82" w:rsidRPr="00595DCA" w:rsidRDefault="00331A82" w:rsidP="00331A82">
      <w:pPr>
        <w:jc w:val="both"/>
        <w:rPr>
          <w:color w:val="0070C0"/>
          <w:lang w:val="es-ES_tradnl"/>
        </w:rPr>
      </w:pP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eados cualificados para realizar búsquedas y exámenes"/>
        <w:tblDescription w:val="En este cuadro se muestra el número de examinadores equivalentes a tiempo completo cualificados para trabajar en los campos técnicos de mecánica, electricidad/electrónica, química y biotecnología, la experiencia media como examinadores en cada uno de los campos y un desglose de sus cualificaciones."/>
      </w:tblPr>
      <w:tblGrid>
        <w:gridCol w:w="2186"/>
        <w:gridCol w:w="1941"/>
        <w:gridCol w:w="2551"/>
        <w:gridCol w:w="2551"/>
      </w:tblGrid>
      <w:tr w:rsidR="00331A82" w:rsidRPr="00595DCA" w14:paraId="59B8F0CC" w14:textId="77777777" w:rsidTr="00CF5D13">
        <w:trPr>
          <w:cantSplit/>
          <w:tblHeader/>
        </w:trPr>
        <w:tc>
          <w:tcPr>
            <w:tcW w:w="2186" w:type="dxa"/>
            <w:tcBorders>
              <w:top w:val="single" w:sz="4" w:space="0" w:color="auto"/>
              <w:left w:val="single" w:sz="4" w:space="0" w:color="auto"/>
              <w:bottom w:val="single" w:sz="4" w:space="0" w:color="auto"/>
              <w:right w:val="single" w:sz="4" w:space="0" w:color="auto"/>
            </w:tcBorders>
            <w:shd w:val="clear" w:color="auto" w:fill="235B4E"/>
            <w:vAlign w:val="center"/>
            <w:hideMark/>
          </w:tcPr>
          <w:p w14:paraId="39D9D1A9" w14:textId="77777777" w:rsidR="00331A82" w:rsidRPr="00595DCA" w:rsidRDefault="00331A82" w:rsidP="00CF5D13">
            <w:pPr>
              <w:keepNext/>
              <w:keepLines/>
              <w:suppressAutoHyphens/>
              <w:jc w:val="center"/>
              <w:rPr>
                <w:rFonts w:eastAsia="Times New Roman"/>
                <w:b/>
                <w:bCs/>
                <w:color w:val="FFFFFF" w:themeColor="background1"/>
                <w:szCs w:val="22"/>
                <w:lang w:val="es-ES_tradnl"/>
              </w:rPr>
            </w:pPr>
            <w:r w:rsidRPr="00595DCA">
              <w:rPr>
                <w:b/>
                <w:color w:val="FFFFFF" w:themeColor="background1"/>
                <w:lang w:val="es-ES_tradnl"/>
              </w:rPr>
              <w:t>Campo técnico</w:t>
            </w:r>
          </w:p>
        </w:tc>
        <w:tc>
          <w:tcPr>
            <w:tcW w:w="1941" w:type="dxa"/>
            <w:tcBorders>
              <w:top w:val="single" w:sz="4" w:space="0" w:color="auto"/>
              <w:left w:val="single" w:sz="4" w:space="0" w:color="auto"/>
              <w:bottom w:val="single" w:sz="4" w:space="0" w:color="auto"/>
              <w:right w:val="single" w:sz="4" w:space="0" w:color="auto"/>
            </w:tcBorders>
            <w:shd w:val="clear" w:color="auto" w:fill="235B4E"/>
            <w:vAlign w:val="center"/>
            <w:hideMark/>
          </w:tcPr>
          <w:p w14:paraId="744D0361" w14:textId="77777777" w:rsidR="00331A82" w:rsidRPr="00595DCA" w:rsidRDefault="00331A82" w:rsidP="00CF5D13">
            <w:pPr>
              <w:keepNext/>
              <w:keepLines/>
              <w:suppressAutoHyphens/>
              <w:jc w:val="center"/>
              <w:rPr>
                <w:rFonts w:eastAsia="Times New Roman"/>
                <w:b/>
                <w:bCs/>
                <w:color w:val="FFFFFF" w:themeColor="background1"/>
                <w:szCs w:val="22"/>
                <w:lang w:val="es-ES_tradnl"/>
              </w:rPr>
            </w:pPr>
            <w:r w:rsidRPr="00595DCA">
              <w:rPr>
                <w:b/>
                <w:color w:val="FFFFFF" w:themeColor="background1"/>
                <w:lang w:val="es-ES_tradnl"/>
              </w:rPr>
              <w:t>Número (en equivalente a tiempo completo)</w:t>
            </w:r>
          </w:p>
        </w:tc>
        <w:tc>
          <w:tcPr>
            <w:tcW w:w="2551" w:type="dxa"/>
            <w:tcBorders>
              <w:top w:val="single" w:sz="4" w:space="0" w:color="auto"/>
              <w:left w:val="single" w:sz="4" w:space="0" w:color="auto"/>
              <w:bottom w:val="single" w:sz="4" w:space="0" w:color="auto"/>
              <w:right w:val="single" w:sz="4" w:space="0" w:color="auto"/>
            </w:tcBorders>
            <w:shd w:val="clear" w:color="auto" w:fill="235B4E"/>
            <w:vAlign w:val="center"/>
            <w:hideMark/>
          </w:tcPr>
          <w:p w14:paraId="498788EA" w14:textId="77777777" w:rsidR="00331A82" w:rsidRPr="00595DCA" w:rsidRDefault="00331A82" w:rsidP="00CF5D13">
            <w:pPr>
              <w:suppressAutoHyphens/>
              <w:jc w:val="center"/>
              <w:rPr>
                <w:rFonts w:eastAsia="Times New Roman"/>
                <w:b/>
                <w:bCs/>
                <w:color w:val="FFFFFF" w:themeColor="background1"/>
                <w:szCs w:val="24"/>
                <w:lang w:val="es-ES_tradnl"/>
              </w:rPr>
            </w:pPr>
            <w:r w:rsidRPr="00595DCA">
              <w:rPr>
                <w:b/>
                <w:color w:val="FFFFFF" w:themeColor="background1"/>
                <w:lang w:val="es-ES_tradnl"/>
              </w:rPr>
              <w:t>Experiencia media como examinadores (años)</w:t>
            </w:r>
          </w:p>
        </w:tc>
        <w:tc>
          <w:tcPr>
            <w:tcW w:w="2551" w:type="dxa"/>
            <w:tcBorders>
              <w:top w:val="single" w:sz="4" w:space="0" w:color="auto"/>
              <w:left w:val="single" w:sz="4" w:space="0" w:color="auto"/>
              <w:bottom w:val="single" w:sz="4" w:space="0" w:color="auto"/>
              <w:right w:val="single" w:sz="4" w:space="0" w:color="auto"/>
            </w:tcBorders>
            <w:shd w:val="clear" w:color="auto" w:fill="235B4E"/>
            <w:vAlign w:val="center"/>
            <w:hideMark/>
          </w:tcPr>
          <w:p w14:paraId="6F9C4967" w14:textId="77777777" w:rsidR="00331A82" w:rsidRPr="00595DCA" w:rsidRDefault="00331A82" w:rsidP="00CF5D13">
            <w:pPr>
              <w:suppressAutoHyphens/>
              <w:jc w:val="center"/>
              <w:rPr>
                <w:rFonts w:eastAsia="Times New Roman"/>
                <w:b/>
                <w:bCs/>
                <w:color w:val="FFFFFF" w:themeColor="background1"/>
                <w:szCs w:val="24"/>
                <w:lang w:val="es-ES_tradnl"/>
              </w:rPr>
            </w:pPr>
            <w:r w:rsidRPr="00595DCA">
              <w:rPr>
                <w:b/>
                <w:color w:val="FFFFFF" w:themeColor="background1"/>
                <w:lang w:val="es-ES_tradnl"/>
              </w:rPr>
              <w:t>Desglose de las cualificaciones</w:t>
            </w:r>
          </w:p>
        </w:tc>
      </w:tr>
      <w:tr w:rsidR="00331A82" w:rsidRPr="00595DCA" w14:paraId="22ABC1C3" w14:textId="77777777" w:rsidTr="00CF5D13">
        <w:trPr>
          <w:cantSplit/>
        </w:trPr>
        <w:tc>
          <w:tcPr>
            <w:tcW w:w="2186" w:type="dxa"/>
            <w:tcBorders>
              <w:top w:val="single" w:sz="4" w:space="0" w:color="auto"/>
              <w:left w:val="single" w:sz="4" w:space="0" w:color="auto"/>
              <w:bottom w:val="single" w:sz="4" w:space="0" w:color="auto"/>
              <w:right w:val="single" w:sz="4" w:space="0" w:color="auto"/>
            </w:tcBorders>
            <w:hideMark/>
          </w:tcPr>
          <w:p w14:paraId="26FAB008" w14:textId="77777777" w:rsidR="00331A82" w:rsidRPr="00595DCA" w:rsidRDefault="00331A82" w:rsidP="00CF5D13">
            <w:pPr>
              <w:keepNext/>
              <w:keepLines/>
              <w:suppressAutoHyphens/>
              <w:jc w:val="center"/>
              <w:rPr>
                <w:rFonts w:eastAsia="Times New Roman"/>
                <w:szCs w:val="22"/>
                <w:lang w:val="es-ES_tradnl"/>
              </w:rPr>
            </w:pPr>
            <w:r w:rsidRPr="00595DCA">
              <w:rPr>
                <w:lang w:val="es-ES_tradnl"/>
              </w:rPr>
              <w:t>Mecánico</w:t>
            </w:r>
          </w:p>
        </w:tc>
        <w:tc>
          <w:tcPr>
            <w:tcW w:w="1941" w:type="dxa"/>
            <w:tcBorders>
              <w:top w:val="single" w:sz="4" w:space="0" w:color="auto"/>
              <w:left w:val="single" w:sz="4" w:space="0" w:color="auto"/>
              <w:bottom w:val="single" w:sz="4" w:space="0" w:color="auto"/>
              <w:right w:val="single" w:sz="4" w:space="0" w:color="auto"/>
            </w:tcBorders>
          </w:tcPr>
          <w:p w14:paraId="7A3FE849" w14:textId="77777777" w:rsidR="00331A82" w:rsidRPr="00595DCA" w:rsidRDefault="00331A82" w:rsidP="00CF5D13">
            <w:pPr>
              <w:keepNext/>
              <w:keepLines/>
              <w:suppressAutoHyphens/>
              <w:jc w:val="center"/>
              <w:rPr>
                <w:lang w:val="es-ES_tradnl"/>
              </w:rPr>
            </w:pPr>
            <w:r w:rsidRPr="00595DCA">
              <w:rPr>
                <w:rFonts w:eastAsia="Times New Roman"/>
                <w:szCs w:val="22"/>
                <w:lang w:val="es-ES_tradnl" w:eastAsia="en-US" w:bidi="he-IL"/>
              </w:rPr>
              <w:t>57</w:t>
            </w:r>
            <w:r w:rsidRPr="00595DCA">
              <w:rPr>
                <w:lang w:val="es-ES_tradnl"/>
              </w:rPr>
              <w:t>*</w:t>
            </w:r>
            <w:r w:rsidRPr="00595DCA">
              <w:rPr>
                <w:rStyle w:val="FootnoteReference"/>
                <w:lang w:val="es-ES_tradnl"/>
              </w:rPr>
              <w:footnoteReference w:id="2"/>
            </w:r>
          </w:p>
        </w:tc>
        <w:tc>
          <w:tcPr>
            <w:tcW w:w="2551" w:type="dxa"/>
            <w:tcBorders>
              <w:top w:val="single" w:sz="4" w:space="0" w:color="auto"/>
              <w:left w:val="single" w:sz="4" w:space="0" w:color="auto"/>
              <w:bottom w:val="single" w:sz="4" w:space="0" w:color="auto"/>
              <w:right w:val="single" w:sz="4" w:space="0" w:color="auto"/>
            </w:tcBorders>
          </w:tcPr>
          <w:p w14:paraId="00BF405E" w14:textId="77777777" w:rsidR="00331A82" w:rsidRPr="00595DCA" w:rsidRDefault="00331A82" w:rsidP="00CF5D13">
            <w:pPr>
              <w:keepNext/>
              <w:keepLines/>
              <w:suppressAutoHyphens/>
              <w:rPr>
                <w:rFonts w:eastAsia="Times New Roman"/>
                <w:szCs w:val="22"/>
                <w:lang w:val="es-ES_tradnl" w:eastAsia="en-US" w:bidi="he-IL"/>
              </w:rPr>
            </w:pPr>
            <w:r w:rsidRPr="00595DCA">
              <w:rPr>
                <w:rFonts w:eastAsia="Times New Roman"/>
                <w:szCs w:val="22"/>
                <w:lang w:val="es-ES_tradnl" w:eastAsia="en-US" w:bidi="he-IL"/>
              </w:rPr>
              <w:t>Especialistas Expertos: 15.7 años</w:t>
            </w:r>
          </w:p>
          <w:p w14:paraId="441515C3" w14:textId="77777777" w:rsidR="00331A82" w:rsidRPr="00595DCA" w:rsidRDefault="00331A82" w:rsidP="00CF5D13">
            <w:pPr>
              <w:keepNext/>
              <w:keepLines/>
              <w:suppressAutoHyphens/>
              <w:rPr>
                <w:rFonts w:eastAsia="Times New Roman"/>
                <w:szCs w:val="22"/>
                <w:lang w:val="es-ES_tradnl" w:eastAsia="en-US" w:bidi="he-IL"/>
              </w:rPr>
            </w:pPr>
          </w:p>
          <w:p w14:paraId="77F0BBD8" w14:textId="77777777" w:rsidR="00331A82" w:rsidRPr="00595DCA" w:rsidRDefault="00331A82" w:rsidP="00CF5D13">
            <w:pPr>
              <w:keepNext/>
              <w:keepLines/>
              <w:suppressAutoHyphens/>
              <w:rPr>
                <w:rFonts w:eastAsia="Times New Roman"/>
                <w:szCs w:val="22"/>
                <w:lang w:val="es-ES_tradnl" w:eastAsia="en-US" w:bidi="he-IL"/>
              </w:rPr>
            </w:pPr>
            <w:r w:rsidRPr="00595DCA">
              <w:rPr>
                <w:rFonts w:eastAsia="Times New Roman"/>
                <w:szCs w:val="22"/>
                <w:lang w:val="es-ES_tradnl" w:eastAsia="en-US" w:bidi="he-IL"/>
              </w:rPr>
              <w:t>Especialistas de nuevo ingreso: 8 meses</w:t>
            </w:r>
          </w:p>
        </w:tc>
        <w:tc>
          <w:tcPr>
            <w:tcW w:w="2551" w:type="dxa"/>
            <w:tcBorders>
              <w:top w:val="single" w:sz="4" w:space="0" w:color="auto"/>
              <w:left w:val="single" w:sz="4" w:space="0" w:color="auto"/>
              <w:bottom w:val="single" w:sz="4" w:space="0" w:color="auto"/>
              <w:right w:val="single" w:sz="4" w:space="0" w:color="auto"/>
            </w:tcBorders>
          </w:tcPr>
          <w:p w14:paraId="69634940" w14:textId="77777777" w:rsidR="00331A82" w:rsidRPr="00595DCA" w:rsidRDefault="00331A82" w:rsidP="00CF5D13">
            <w:pPr>
              <w:keepNext/>
              <w:keepLines/>
              <w:suppressAutoHyphens/>
              <w:rPr>
                <w:rFonts w:eastAsia="Times New Roman"/>
                <w:szCs w:val="22"/>
                <w:lang w:val="es-ES_tradnl" w:eastAsia="en-US" w:bidi="he-IL"/>
              </w:rPr>
            </w:pPr>
            <w:r w:rsidRPr="00595DCA">
              <w:rPr>
                <w:rFonts w:eastAsia="Times New Roman"/>
                <w:szCs w:val="22"/>
                <w:lang w:val="es-ES_tradnl" w:eastAsia="en-US" w:bidi="he-IL"/>
              </w:rPr>
              <w:t>1 coordinador de Área</w:t>
            </w:r>
          </w:p>
          <w:p w14:paraId="20FDF8CA" w14:textId="77777777" w:rsidR="00331A82" w:rsidRPr="00595DCA" w:rsidRDefault="00331A82" w:rsidP="00CF5D13">
            <w:pPr>
              <w:keepNext/>
              <w:keepLines/>
              <w:suppressAutoHyphens/>
              <w:rPr>
                <w:rFonts w:eastAsia="Times New Roman"/>
                <w:szCs w:val="22"/>
                <w:lang w:val="es-ES_tradnl" w:eastAsia="en-US" w:bidi="he-IL"/>
              </w:rPr>
            </w:pPr>
            <w:r w:rsidRPr="00595DCA">
              <w:rPr>
                <w:rFonts w:eastAsia="Times New Roman"/>
                <w:szCs w:val="22"/>
                <w:lang w:val="es-ES_tradnl" w:eastAsia="en-US" w:bidi="he-IL"/>
              </w:rPr>
              <w:t>4 supervisores</w:t>
            </w:r>
          </w:p>
          <w:p w14:paraId="4A3E1D5F" w14:textId="77777777" w:rsidR="00331A82" w:rsidRPr="00595DCA" w:rsidRDefault="00331A82" w:rsidP="00CF5D13">
            <w:pPr>
              <w:keepNext/>
              <w:keepLines/>
              <w:suppressAutoHyphens/>
              <w:rPr>
                <w:rFonts w:eastAsia="Times New Roman"/>
                <w:szCs w:val="22"/>
                <w:lang w:val="es-ES_tradnl" w:eastAsia="en-US" w:bidi="he-IL"/>
              </w:rPr>
            </w:pPr>
            <w:r w:rsidRPr="00595DCA">
              <w:rPr>
                <w:rFonts w:eastAsia="Times New Roman"/>
                <w:szCs w:val="22"/>
                <w:lang w:val="es-ES_tradnl" w:eastAsia="en-US" w:bidi="he-IL"/>
              </w:rPr>
              <w:t xml:space="preserve">52 examinadores: </w:t>
            </w:r>
          </w:p>
          <w:p w14:paraId="4BF9A3FF" w14:textId="77777777" w:rsidR="00331A82" w:rsidRPr="00595DCA" w:rsidRDefault="00331A82" w:rsidP="00CF5D13">
            <w:pPr>
              <w:keepNext/>
              <w:keepLines/>
              <w:suppressAutoHyphens/>
              <w:ind w:left="300"/>
              <w:rPr>
                <w:rFonts w:eastAsia="Times New Roman"/>
                <w:szCs w:val="22"/>
                <w:lang w:val="es-ES_tradnl" w:eastAsia="en-US" w:bidi="he-IL"/>
              </w:rPr>
            </w:pPr>
            <w:r w:rsidRPr="00595DCA">
              <w:rPr>
                <w:rFonts w:eastAsia="Times New Roman"/>
                <w:szCs w:val="22"/>
                <w:lang w:val="es-ES_tradnl" w:eastAsia="en-US" w:bidi="he-IL"/>
              </w:rPr>
              <w:t xml:space="preserve">28 expertos </w:t>
            </w:r>
          </w:p>
          <w:p w14:paraId="43154959" w14:textId="77777777" w:rsidR="00331A82" w:rsidRPr="00595DCA" w:rsidRDefault="00331A82" w:rsidP="00CF5D13">
            <w:pPr>
              <w:keepNext/>
              <w:keepLines/>
              <w:suppressAutoHyphens/>
              <w:ind w:left="300"/>
              <w:rPr>
                <w:rFonts w:eastAsia="Times New Roman"/>
                <w:szCs w:val="22"/>
                <w:lang w:val="es-ES_tradnl" w:eastAsia="en-US" w:bidi="he-IL"/>
              </w:rPr>
            </w:pPr>
            <w:r w:rsidRPr="00595DCA">
              <w:rPr>
                <w:rFonts w:eastAsia="Times New Roman"/>
                <w:szCs w:val="22"/>
                <w:lang w:val="es-ES_tradnl" w:eastAsia="en-US" w:bidi="he-IL"/>
              </w:rPr>
              <w:t xml:space="preserve">24 especialistas </w:t>
            </w:r>
          </w:p>
        </w:tc>
      </w:tr>
      <w:tr w:rsidR="00331A82" w:rsidRPr="00595DCA" w14:paraId="51DBC6EA" w14:textId="77777777" w:rsidTr="00CF5D13">
        <w:trPr>
          <w:cantSplit/>
        </w:trPr>
        <w:tc>
          <w:tcPr>
            <w:tcW w:w="2186" w:type="dxa"/>
            <w:tcBorders>
              <w:top w:val="single" w:sz="4" w:space="0" w:color="auto"/>
              <w:left w:val="single" w:sz="4" w:space="0" w:color="auto"/>
              <w:bottom w:val="single" w:sz="4" w:space="0" w:color="auto"/>
              <w:right w:val="single" w:sz="4" w:space="0" w:color="auto"/>
            </w:tcBorders>
            <w:hideMark/>
          </w:tcPr>
          <w:p w14:paraId="323514EE" w14:textId="77777777" w:rsidR="00331A82" w:rsidRPr="00595DCA" w:rsidRDefault="00331A82" w:rsidP="00CF5D13">
            <w:pPr>
              <w:keepNext/>
              <w:keepLines/>
              <w:suppressAutoHyphens/>
              <w:jc w:val="center"/>
              <w:rPr>
                <w:rFonts w:eastAsia="Times New Roman"/>
                <w:szCs w:val="22"/>
                <w:lang w:val="es-ES_tradnl"/>
              </w:rPr>
            </w:pPr>
            <w:r w:rsidRPr="00595DCA">
              <w:rPr>
                <w:lang w:val="es-ES_tradnl"/>
              </w:rPr>
              <w:t>Eléctrico/electrónico</w:t>
            </w:r>
          </w:p>
        </w:tc>
        <w:tc>
          <w:tcPr>
            <w:tcW w:w="1941" w:type="dxa"/>
            <w:tcBorders>
              <w:top w:val="single" w:sz="4" w:space="0" w:color="auto"/>
              <w:left w:val="single" w:sz="4" w:space="0" w:color="auto"/>
              <w:bottom w:val="single" w:sz="4" w:space="0" w:color="auto"/>
              <w:right w:val="single" w:sz="4" w:space="0" w:color="auto"/>
            </w:tcBorders>
          </w:tcPr>
          <w:p w14:paraId="3970C60E" w14:textId="77777777" w:rsidR="00331A82" w:rsidRPr="00595DCA" w:rsidRDefault="00331A82" w:rsidP="00CF5D13">
            <w:pPr>
              <w:keepNext/>
              <w:keepLines/>
              <w:suppressAutoHyphens/>
              <w:jc w:val="center"/>
              <w:rPr>
                <w:rFonts w:eastAsia="Times New Roman"/>
                <w:szCs w:val="22"/>
                <w:lang w:val="es-ES_tradnl" w:eastAsia="en-US" w:bidi="he-IL"/>
              </w:rPr>
            </w:pPr>
            <w:r w:rsidRPr="00595DCA">
              <w:rPr>
                <w:rFonts w:eastAsia="Times New Roman"/>
                <w:szCs w:val="22"/>
                <w:lang w:val="es-ES_tradnl" w:eastAsia="en-US" w:bidi="he-IL"/>
              </w:rPr>
              <w:t>35</w:t>
            </w:r>
          </w:p>
        </w:tc>
        <w:tc>
          <w:tcPr>
            <w:tcW w:w="2551" w:type="dxa"/>
            <w:tcBorders>
              <w:top w:val="single" w:sz="4" w:space="0" w:color="auto"/>
              <w:left w:val="single" w:sz="4" w:space="0" w:color="auto"/>
              <w:bottom w:val="single" w:sz="4" w:space="0" w:color="auto"/>
              <w:right w:val="single" w:sz="4" w:space="0" w:color="auto"/>
            </w:tcBorders>
          </w:tcPr>
          <w:p w14:paraId="366AC786" w14:textId="77777777" w:rsidR="00331A82" w:rsidRPr="00595DCA" w:rsidRDefault="00331A82" w:rsidP="00CF5D13">
            <w:pPr>
              <w:keepNext/>
              <w:keepLines/>
              <w:suppressAutoHyphens/>
              <w:rPr>
                <w:rFonts w:eastAsia="Times New Roman"/>
                <w:szCs w:val="22"/>
                <w:lang w:val="es-ES_tradnl" w:eastAsia="en-US" w:bidi="he-IL"/>
              </w:rPr>
            </w:pPr>
            <w:r w:rsidRPr="00595DCA">
              <w:rPr>
                <w:rFonts w:eastAsia="Times New Roman"/>
                <w:szCs w:val="22"/>
                <w:lang w:val="es-ES_tradnl" w:eastAsia="en-US" w:bidi="he-IL"/>
              </w:rPr>
              <w:t>Expertos; 15.8 años</w:t>
            </w:r>
          </w:p>
          <w:p w14:paraId="3975419D" w14:textId="77777777" w:rsidR="00331A82" w:rsidRPr="00595DCA" w:rsidRDefault="00331A82" w:rsidP="00CF5D13">
            <w:pPr>
              <w:keepNext/>
              <w:keepLines/>
              <w:suppressAutoHyphens/>
              <w:rPr>
                <w:rFonts w:eastAsia="Times New Roman"/>
                <w:szCs w:val="22"/>
                <w:lang w:val="es-ES_tradnl" w:eastAsia="en-US" w:bidi="he-IL"/>
              </w:rPr>
            </w:pPr>
            <w:r w:rsidRPr="00595DCA">
              <w:rPr>
                <w:rFonts w:eastAsia="Times New Roman"/>
                <w:szCs w:val="22"/>
                <w:lang w:val="es-ES_tradnl" w:eastAsia="en-US" w:bidi="he-IL"/>
              </w:rPr>
              <w:t>Especialistas: 8 meses</w:t>
            </w:r>
          </w:p>
        </w:tc>
        <w:tc>
          <w:tcPr>
            <w:tcW w:w="2551" w:type="dxa"/>
            <w:tcBorders>
              <w:top w:val="single" w:sz="4" w:space="0" w:color="auto"/>
              <w:left w:val="single" w:sz="4" w:space="0" w:color="auto"/>
              <w:bottom w:val="single" w:sz="4" w:space="0" w:color="auto"/>
              <w:right w:val="single" w:sz="4" w:space="0" w:color="auto"/>
            </w:tcBorders>
          </w:tcPr>
          <w:p w14:paraId="6262E705" w14:textId="77777777" w:rsidR="00331A82" w:rsidRPr="00595DCA" w:rsidRDefault="00331A82" w:rsidP="00CF5D13">
            <w:pPr>
              <w:keepNext/>
              <w:keepLines/>
              <w:suppressAutoHyphens/>
              <w:rPr>
                <w:rFonts w:eastAsia="Times New Roman"/>
                <w:szCs w:val="22"/>
                <w:lang w:val="es-ES_tradnl" w:eastAsia="en-US" w:bidi="he-IL"/>
              </w:rPr>
            </w:pPr>
            <w:r w:rsidRPr="00595DCA">
              <w:rPr>
                <w:rFonts w:eastAsia="Times New Roman"/>
                <w:szCs w:val="22"/>
                <w:lang w:val="es-ES_tradnl" w:eastAsia="en-US" w:bidi="he-IL"/>
              </w:rPr>
              <w:t>1 coordinador de Área</w:t>
            </w:r>
          </w:p>
          <w:p w14:paraId="0745937F" w14:textId="77777777" w:rsidR="00331A82" w:rsidRPr="00595DCA" w:rsidRDefault="00331A82" w:rsidP="00CF5D13">
            <w:pPr>
              <w:keepNext/>
              <w:keepLines/>
              <w:suppressAutoHyphens/>
              <w:rPr>
                <w:rFonts w:eastAsia="Times New Roman"/>
                <w:szCs w:val="22"/>
                <w:lang w:val="es-ES_tradnl" w:eastAsia="en-US" w:bidi="he-IL"/>
              </w:rPr>
            </w:pPr>
            <w:r w:rsidRPr="00595DCA">
              <w:rPr>
                <w:rFonts w:eastAsia="Times New Roman"/>
                <w:szCs w:val="22"/>
                <w:lang w:val="es-ES_tradnl" w:eastAsia="en-US" w:bidi="he-IL"/>
              </w:rPr>
              <w:t>2 supervisores</w:t>
            </w:r>
          </w:p>
          <w:p w14:paraId="1338191A" w14:textId="77777777" w:rsidR="00331A82" w:rsidRPr="00595DCA" w:rsidRDefault="00331A82" w:rsidP="00CF5D13">
            <w:pPr>
              <w:keepNext/>
              <w:keepLines/>
              <w:suppressAutoHyphens/>
              <w:rPr>
                <w:rFonts w:eastAsia="Times New Roman"/>
                <w:szCs w:val="22"/>
                <w:lang w:val="es-ES_tradnl" w:eastAsia="en-US" w:bidi="he-IL"/>
              </w:rPr>
            </w:pPr>
            <w:r w:rsidRPr="00595DCA">
              <w:rPr>
                <w:rFonts w:eastAsia="Times New Roman"/>
                <w:szCs w:val="22"/>
                <w:lang w:val="es-ES_tradnl" w:eastAsia="en-US" w:bidi="he-IL"/>
              </w:rPr>
              <w:t>3</w:t>
            </w:r>
            <w:r>
              <w:rPr>
                <w:rFonts w:eastAsia="Times New Roman"/>
                <w:szCs w:val="22"/>
                <w:lang w:val="es-ES_tradnl" w:eastAsia="en-US" w:bidi="he-IL"/>
              </w:rPr>
              <w:t>2</w:t>
            </w:r>
            <w:r w:rsidRPr="00595DCA">
              <w:rPr>
                <w:rFonts w:eastAsia="Times New Roman"/>
                <w:szCs w:val="22"/>
                <w:lang w:val="es-ES_tradnl" w:eastAsia="en-US" w:bidi="he-IL"/>
              </w:rPr>
              <w:t xml:space="preserve"> examinadores: </w:t>
            </w:r>
          </w:p>
          <w:p w14:paraId="6A27A321" w14:textId="77777777" w:rsidR="00331A82" w:rsidRPr="00595DCA" w:rsidRDefault="00331A82" w:rsidP="00CF5D13">
            <w:pPr>
              <w:keepNext/>
              <w:keepLines/>
              <w:suppressAutoHyphens/>
              <w:ind w:left="300"/>
              <w:rPr>
                <w:rFonts w:eastAsia="Times New Roman"/>
                <w:szCs w:val="22"/>
                <w:lang w:val="es-ES_tradnl" w:eastAsia="en-US" w:bidi="he-IL"/>
              </w:rPr>
            </w:pPr>
            <w:r w:rsidRPr="00595DCA">
              <w:rPr>
                <w:rFonts w:eastAsia="Times New Roman"/>
                <w:szCs w:val="22"/>
                <w:lang w:val="es-ES_tradnl" w:eastAsia="en-US" w:bidi="he-IL"/>
              </w:rPr>
              <w:t>21 expertos</w:t>
            </w:r>
          </w:p>
          <w:p w14:paraId="0DAA1B08" w14:textId="77777777" w:rsidR="00331A82" w:rsidRPr="00595DCA" w:rsidRDefault="00331A82" w:rsidP="00CF5D13">
            <w:pPr>
              <w:keepNext/>
              <w:keepLines/>
              <w:suppressAutoHyphens/>
              <w:ind w:left="300"/>
              <w:rPr>
                <w:rFonts w:eastAsia="Times New Roman"/>
                <w:szCs w:val="22"/>
                <w:lang w:val="es-ES_tradnl" w:eastAsia="en-US" w:bidi="he-IL"/>
              </w:rPr>
            </w:pPr>
            <w:r w:rsidRPr="00595DCA">
              <w:rPr>
                <w:rFonts w:eastAsia="Times New Roman"/>
                <w:szCs w:val="22"/>
                <w:lang w:val="es-ES_tradnl" w:eastAsia="en-US" w:bidi="he-IL"/>
              </w:rPr>
              <w:t>11 especialistas</w:t>
            </w:r>
          </w:p>
        </w:tc>
      </w:tr>
      <w:tr w:rsidR="00331A82" w:rsidRPr="00595DCA" w14:paraId="54CA2D75" w14:textId="77777777" w:rsidTr="00CF5D13">
        <w:trPr>
          <w:cantSplit/>
        </w:trPr>
        <w:tc>
          <w:tcPr>
            <w:tcW w:w="2186" w:type="dxa"/>
            <w:tcBorders>
              <w:top w:val="single" w:sz="4" w:space="0" w:color="auto"/>
              <w:left w:val="single" w:sz="4" w:space="0" w:color="auto"/>
              <w:bottom w:val="single" w:sz="4" w:space="0" w:color="auto"/>
              <w:right w:val="single" w:sz="4" w:space="0" w:color="auto"/>
            </w:tcBorders>
            <w:hideMark/>
          </w:tcPr>
          <w:p w14:paraId="776AE402" w14:textId="77777777" w:rsidR="00331A82" w:rsidRPr="00595DCA" w:rsidRDefault="00331A82" w:rsidP="00CF5D13">
            <w:pPr>
              <w:keepNext/>
              <w:keepLines/>
              <w:suppressAutoHyphens/>
              <w:jc w:val="center"/>
              <w:rPr>
                <w:rFonts w:eastAsia="Times New Roman"/>
                <w:szCs w:val="22"/>
                <w:lang w:val="es-ES_tradnl"/>
              </w:rPr>
            </w:pPr>
            <w:r w:rsidRPr="00595DCA">
              <w:rPr>
                <w:lang w:val="es-ES_tradnl"/>
              </w:rPr>
              <w:t>Químico</w:t>
            </w:r>
          </w:p>
        </w:tc>
        <w:tc>
          <w:tcPr>
            <w:tcW w:w="1941" w:type="dxa"/>
            <w:tcBorders>
              <w:top w:val="single" w:sz="4" w:space="0" w:color="auto"/>
              <w:left w:val="single" w:sz="4" w:space="0" w:color="auto"/>
              <w:bottom w:val="single" w:sz="4" w:space="0" w:color="auto"/>
              <w:right w:val="single" w:sz="4" w:space="0" w:color="auto"/>
            </w:tcBorders>
          </w:tcPr>
          <w:p w14:paraId="5ABA1B3C" w14:textId="77777777" w:rsidR="00331A82" w:rsidRPr="00595DCA" w:rsidRDefault="00331A82" w:rsidP="00CF5D13">
            <w:pPr>
              <w:keepNext/>
              <w:keepLines/>
              <w:suppressAutoHyphens/>
              <w:jc w:val="center"/>
              <w:rPr>
                <w:rFonts w:eastAsia="Times New Roman"/>
                <w:szCs w:val="22"/>
                <w:lang w:val="es-ES_tradnl" w:eastAsia="en-US" w:bidi="he-IL"/>
              </w:rPr>
            </w:pPr>
            <w:r w:rsidRPr="00595DCA">
              <w:rPr>
                <w:rFonts w:eastAsia="Times New Roman"/>
                <w:szCs w:val="22"/>
                <w:lang w:val="es-ES_tradnl" w:eastAsia="en-US" w:bidi="he-IL"/>
              </w:rPr>
              <w:t>35</w:t>
            </w:r>
          </w:p>
        </w:tc>
        <w:tc>
          <w:tcPr>
            <w:tcW w:w="2551" w:type="dxa"/>
            <w:tcBorders>
              <w:top w:val="single" w:sz="4" w:space="0" w:color="auto"/>
              <w:left w:val="single" w:sz="4" w:space="0" w:color="auto"/>
              <w:bottom w:val="single" w:sz="4" w:space="0" w:color="auto"/>
              <w:right w:val="single" w:sz="4" w:space="0" w:color="auto"/>
            </w:tcBorders>
          </w:tcPr>
          <w:p w14:paraId="30B3A60A" w14:textId="77777777" w:rsidR="00331A82" w:rsidRPr="00595DCA" w:rsidRDefault="00331A82" w:rsidP="00CF5D13">
            <w:pPr>
              <w:keepNext/>
              <w:keepLines/>
              <w:suppressAutoHyphens/>
              <w:rPr>
                <w:rFonts w:eastAsia="Times New Roman"/>
                <w:szCs w:val="22"/>
                <w:lang w:val="es-ES_tradnl" w:eastAsia="en-US" w:bidi="he-IL"/>
              </w:rPr>
            </w:pPr>
            <w:r w:rsidRPr="00595DCA">
              <w:rPr>
                <w:rFonts w:eastAsia="Times New Roman"/>
                <w:szCs w:val="22"/>
                <w:lang w:val="es-ES_tradnl" w:eastAsia="en-US" w:bidi="he-IL"/>
              </w:rPr>
              <w:t>Expertos: 16.4 años</w:t>
            </w:r>
          </w:p>
          <w:p w14:paraId="76F58DEB" w14:textId="77777777" w:rsidR="00331A82" w:rsidRPr="00595DCA" w:rsidRDefault="00331A82" w:rsidP="00CF5D13">
            <w:pPr>
              <w:keepNext/>
              <w:keepLines/>
              <w:suppressAutoHyphens/>
              <w:rPr>
                <w:rFonts w:eastAsia="Times New Roman"/>
                <w:szCs w:val="22"/>
                <w:lang w:val="es-ES_tradnl" w:eastAsia="en-US" w:bidi="he-IL"/>
              </w:rPr>
            </w:pPr>
          </w:p>
          <w:p w14:paraId="45526ABB" w14:textId="77777777" w:rsidR="00331A82" w:rsidRPr="00595DCA" w:rsidRDefault="00331A82" w:rsidP="00CF5D13">
            <w:pPr>
              <w:keepNext/>
              <w:keepLines/>
              <w:suppressAutoHyphens/>
              <w:rPr>
                <w:rFonts w:eastAsia="Times New Roman"/>
                <w:szCs w:val="22"/>
                <w:lang w:val="es-ES_tradnl" w:eastAsia="en-US" w:bidi="he-IL"/>
              </w:rPr>
            </w:pPr>
            <w:r w:rsidRPr="00595DCA">
              <w:rPr>
                <w:rFonts w:eastAsia="Times New Roman"/>
                <w:szCs w:val="22"/>
                <w:lang w:val="es-ES_tradnl" w:eastAsia="en-US" w:bidi="he-IL"/>
              </w:rPr>
              <w:t>Especialistas: 8 meses</w:t>
            </w:r>
          </w:p>
        </w:tc>
        <w:tc>
          <w:tcPr>
            <w:tcW w:w="2551" w:type="dxa"/>
            <w:tcBorders>
              <w:top w:val="single" w:sz="4" w:space="0" w:color="auto"/>
              <w:left w:val="single" w:sz="4" w:space="0" w:color="auto"/>
              <w:bottom w:val="single" w:sz="4" w:space="0" w:color="auto"/>
              <w:right w:val="single" w:sz="4" w:space="0" w:color="auto"/>
            </w:tcBorders>
          </w:tcPr>
          <w:p w14:paraId="05D5533E" w14:textId="77777777" w:rsidR="00331A82" w:rsidRPr="00595DCA" w:rsidRDefault="00331A82" w:rsidP="00CF5D13">
            <w:pPr>
              <w:keepNext/>
              <w:keepLines/>
              <w:suppressAutoHyphens/>
              <w:rPr>
                <w:rFonts w:eastAsia="Times New Roman"/>
                <w:szCs w:val="22"/>
                <w:lang w:val="es-ES_tradnl" w:eastAsia="en-US" w:bidi="he-IL"/>
              </w:rPr>
            </w:pPr>
            <w:r w:rsidRPr="00595DCA">
              <w:rPr>
                <w:rFonts w:eastAsia="Times New Roman"/>
                <w:szCs w:val="22"/>
                <w:lang w:val="es-ES_tradnl" w:eastAsia="en-US" w:bidi="he-IL"/>
              </w:rPr>
              <w:t>1 coordinador de Área</w:t>
            </w:r>
          </w:p>
          <w:p w14:paraId="63E713B0" w14:textId="77777777" w:rsidR="00331A82" w:rsidRPr="00595DCA" w:rsidRDefault="00331A82" w:rsidP="00CF5D13">
            <w:pPr>
              <w:keepNext/>
              <w:keepLines/>
              <w:suppressAutoHyphens/>
              <w:rPr>
                <w:rFonts w:eastAsia="Times New Roman"/>
                <w:szCs w:val="22"/>
                <w:lang w:val="es-ES_tradnl" w:eastAsia="en-US" w:bidi="he-IL"/>
              </w:rPr>
            </w:pPr>
            <w:r w:rsidRPr="00595DCA">
              <w:rPr>
                <w:rFonts w:eastAsia="Times New Roman"/>
                <w:szCs w:val="22"/>
                <w:lang w:val="es-ES_tradnl" w:eastAsia="en-US" w:bidi="he-IL"/>
              </w:rPr>
              <w:t>1 supervisor</w:t>
            </w:r>
          </w:p>
          <w:p w14:paraId="32EB408C" w14:textId="77777777" w:rsidR="00331A82" w:rsidRPr="00595DCA" w:rsidRDefault="00331A82" w:rsidP="00CF5D13">
            <w:pPr>
              <w:keepNext/>
              <w:keepLines/>
              <w:suppressAutoHyphens/>
              <w:rPr>
                <w:rFonts w:eastAsia="Times New Roman"/>
                <w:szCs w:val="22"/>
                <w:lang w:val="es-ES_tradnl" w:eastAsia="en-US" w:bidi="he-IL"/>
              </w:rPr>
            </w:pPr>
            <w:r w:rsidRPr="00595DCA">
              <w:rPr>
                <w:rFonts w:eastAsia="Times New Roman"/>
                <w:szCs w:val="22"/>
                <w:lang w:val="es-ES_tradnl" w:eastAsia="en-US" w:bidi="he-IL"/>
              </w:rPr>
              <w:t>33 examinadores:</w:t>
            </w:r>
          </w:p>
          <w:p w14:paraId="06180D22" w14:textId="77777777" w:rsidR="00331A82" w:rsidRPr="00595DCA" w:rsidRDefault="00331A82" w:rsidP="00CF5D13">
            <w:pPr>
              <w:keepNext/>
              <w:keepLines/>
              <w:suppressAutoHyphens/>
              <w:ind w:left="300"/>
              <w:rPr>
                <w:rFonts w:eastAsia="Times New Roman"/>
                <w:szCs w:val="22"/>
                <w:lang w:val="es-ES_tradnl" w:eastAsia="en-US" w:bidi="he-IL"/>
              </w:rPr>
            </w:pPr>
            <w:r w:rsidRPr="00595DCA">
              <w:rPr>
                <w:rFonts w:eastAsia="Times New Roman"/>
                <w:szCs w:val="22"/>
                <w:lang w:val="es-ES_tradnl" w:eastAsia="en-US" w:bidi="he-IL"/>
              </w:rPr>
              <w:t xml:space="preserve">18 expertos </w:t>
            </w:r>
          </w:p>
          <w:p w14:paraId="63BC95C2" w14:textId="77777777" w:rsidR="00331A82" w:rsidRPr="00595DCA" w:rsidRDefault="00331A82" w:rsidP="00CF5D13">
            <w:pPr>
              <w:keepNext/>
              <w:keepLines/>
              <w:suppressAutoHyphens/>
              <w:ind w:left="300"/>
              <w:rPr>
                <w:rFonts w:eastAsia="Times New Roman"/>
                <w:szCs w:val="22"/>
                <w:lang w:val="es-ES_tradnl" w:eastAsia="en-US" w:bidi="he-IL"/>
              </w:rPr>
            </w:pPr>
            <w:r w:rsidRPr="00595DCA">
              <w:rPr>
                <w:rFonts w:eastAsia="Times New Roman"/>
                <w:szCs w:val="22"/>
                <w:lang w:val="es-ES_tradnl" w:eastAsia="en-US" w:bidi="he-IL"/>
              </w:rPr>
              <w:t xml:space="preserve">15 especialistas </w:t>
            </w:r>
          </w:p>
        </w:tc>
      </w:tr>
      <w:tr w:rsidR="00331A82" w:rsidRPr="00595DCA" w14:paraId="772F03C2" w14:textId="77777777" w:rsidTr="00CF5D13">
        <w:trPr>
          <w:cantSplit/>
          <w:trHeight w:val="1059"/>
        </w:trPr>
        <w:tc>
          <w:tcPr>
            <w:tcW w:w="2186" w:type="dxa"/>
            <w:tcBorders>
              <w:top w:val="single" w:sz="4" w:space="0" w:color="auto"/>
              <w:left w:val="single" w:sz="4" w:space="0" w:color="auto"/>
              <w:bottom w:val="single" w:sz="4" w:space="0" w:color="auto"/>
              <w:right w:val="single" w:sz="4" w:space="0" w:color="auto"/>
            </w:tcBorders>
          </w:tcPr>
          <w:p w14:paraId="6B3ED69D" w14:textId="77777777" w:rsidR="00331A82" w:rsidRPr="00595DCA" w:rsidRDefault="00331A82" w:rsidP="00CF5D13">
            <w:pPr>
              <w:keepNext/>
              <w:keepLines/>
              <w:suppressAutoHyphens/>
              <w:jc w:val="center"/>
              <w:rPr>
                <w:lang w:val="es-ES_tradnl"/>
              </w:rPr>
            </w:pPr>
            <w:r w:rsidRPr="00595DCA">
              <w:rPr>
                <w:lang w:val="es-ES_tradnl"/>
              </w:rPr>
              <w:t>Farmacia</w:t>
            </w:r>
          </w:p>
        </w:tc>
        <w:tc>
          <w:tcPr>
            <w:tcW w:w="1941" w:type="dxa"/>
            <w:tcBorders>
              <w:top w:val="single" w:sz="4" w:space="0" w:color="auto"/>
              <w:left w:val="single" w:sz="4" w:space="0" w:color="auto"/>
              <w:bottom w:val="single" w:sz="4" w:space="0" w:color="auto"/>
              <w:right w:val="single" w:sz="4" w:space="0" w:color="auto"/>
            </w:tcBorders>
          </w:tcPr>
          <w:p w14:paraId="64BC4190" w14:textId="77777777" w:rsidR="00331A82" w:rsidRPr="00595DCA" w:rsidRDefault="00331A82" w:rsidP="00CF5D13">
            <w:pPr>
              <w:keepNext/>
              <w:keepLines/>
              <w:suppressAutoHyphens/>
              <w:jc w:val="center"/>
              <w:rPr>
                <w:rFonts w:eastAsia="Times New Roman"/>
                <w:szCs w:val="22"/>
                <w:lang w:val="es-ES_tradnl" w:eastAsia="en-US" w:bidi="he-IL"/>
              </w:rPr>
            </w:pPr>
            <w:r w:rsidRPr="00595DCA">
              <w:rPr>
                <w:rFonts w:eastAsia="Times New Roman"/>
                <w:szCs w:val="22"/>
                <w:lang w:val="es-ES_tradnl" w:eastAsia="en-US" w:bidi="he-IL"/>
              </w:rPr>
              <w:t>33</w:t>
            </w:r>
          </w:p>
        </w:tc>
        <w:tc>
          <w:tcPr>
            <w:tcW w:w="2551" w:type="dxa"/>
            <w:tcBorders>
              <w:top w:val="single" w:sz="4" w:space="0" w:color="auto"/>
              <w:left w:val="single" w:sz="4" w:space="0" w:color="auto"/>
              <w:bottom w:val="single" w:sz="4" w:space="0" w:color="auto"/>
              <w:right w:val="single" w:sz="4" w:space="0" w:color="auto"/>
            </w:tcBorders>
          </w:tcPr>
          <w:p w14:paraId="252C2D52" w14:textId="77777777" w:rsidR="00331A82" w:rsidRPr="00595DCA" w:rsidRDefault="00331A82" w:rsidP="00CF5D13">
            <w:pPr>
              <w:keepNext/>
              <w:keepLines/>
              <w:suppressAutoHyphens/>
              <w:rPr>
                <w:rFonts w:eastAsia="Times New Roman"/>
                <w:szCs w:val="22"/>
                <w:lang w:val="es-ES_tradnl" w:eastAsia="en-US" w:bidi="he-IL"/>
              </w:rPr>
            </w:pPr>
            <w:r w:rsidRPr="00595DCA">
              <w:rPr>
                <w:rFonts w:eastAsia="Times New Roman"/>
                <w:szCs w:val="22"/>
                <w:lang w:val="es-ES_tradnl" w:eastAsia="en-US" w:bidi="he-IL"/>
              </w:rPr>
              <w:t>Expertos:12.82 años</w:t>
            </w:r>
          </w:p>
          <w:p w14:paraId="2AD36DDE" w14:textId="77777777" w:rsidR="00331A82" w:rsidRPr="00595DCA" w:rsidRDefault="00331A82" w:rsidP="00CF5D13">
            <w:pPr>
              <w:keepNext/>
              <w:keepLines/>
              <w:suppressAutoHyphens/>
              <w:rPr>
                <w:rFonts w:eastAsia="Times New Roman"/>
                <w:szCs w:val="22"/>
                <w:lang w:val="es-ES_tradnl" w:eastAsia="en-US" w:bidi="he-IL"/>
              </w:rPr>
            </w:pPr>
          </w:p>
          <w:p w14:paraId="0C2AB7A4" w14:textId="77777777" w:rsidR="00331A82" w:rsidRPr="00595DCA" w:rsidRDefault="00331A82" w:rsidP="00CF5D13">
            <w:pPr>
              <w:keepNext/>
              <w:keepLines/>
              <w:suppressAutoHyphens/>
              <w:rPr>
                <w:rFonts w:eastAsia="Times New Roman"/>
                <w:szCs w:val="22"/>
                <w:lang w:val="es-ES_tradnl" w:eastAsia="en-US" w:bidi="he-IL"/>
              </w:rPr>
            </w:pPr>
            <w:r w:rsidRPr="00595DCA">
              <w:rPr>
                <w:rFonts w:eastAsia="Times New Roman"/>
                <w:szCs w:val="22"/>
                <w:lang w:val="es-ES_tradnl" w:eastAsia="en-US" w:bidi="he-IL"/>
              </w:rPr>
              <w:t>Especialistas: 8 meses</w:t>
            </w:r>
          </w:p>
        </w:tc>
        <w:tc>
          <w:tcPr>
            <w:tcW w:w="2551" w:type="dxa"/>
            <w:tcBorders>
              <w:top w:val="single" w:sz="4" w:space="0" w:color="auto"/>
              <w:left w:val="single" w:sz="4" w:space="0" w:color="auto"/>
              <w:bottom w:val="single" w:sz="4" w:space="0" w:color="auto"/>
              <w:right w:val="single" w:sz="4" w:space="0" w:color="auto"/>
            </w:tcBorders>
          </w:tcPr>
          <w:p w14:paraId="5DD3C7D2" w14:textId="77777777" w:rsidR="00331A82" w:rsidRPr="00595DCA" w:rsidRDefault="00331A82" w:rsidP="00CF5D13">
            <w:pPr>
              <w:keepNext/>
              <w:keepLines/>
              <w:suppressAutoHyphens/>
              <w:rPr>
                <w:rFonts w:eastAsia="Times New Roman"/>
                <w:szCs w:val="22"/>
                <w:lang w:val="es-ES_tradnl" w:eastAsia="en-US" w:bidi="he-IL"/>
              </w:rPr>
            </w:pPr>
            <w:r w:rsidRPr="00595DCA">
              <w:rPr>
                <w:rFonts w:eastAsia="Times New Roman"/>
                <w:szCs w:val="22"/>
                <w:lang w:val="es-ES_tradnl" w:eastAsia="en-US" w:bidi="he-IL"/>
              </w:rPr>
              <w:t xml:space="preserve">1 coordinador </w:t>
            </w:r>
          </w:p>
          <w:p w14:paraId="20A5BACD" w14:textId="77777777" w:rsidR="00331A82" w:rsidRPr="00595DCA" w:rsidRDefault="00331A82" w:rsidP="00CF5D13">
            <w:pPr>
              <w:keepNext/>
              <w:keepLines/>
              <w:suppressAutoHyphens/>
              <w:rPr>
                <w:rFonts w:eastAsia="Times New Roman"/>
                <w:szCs w:val="22"/>
                <w:lang w:val="es-ES_tradnl" w:eastAsia="en-US" w:bidi="he-IL"/>
              </w:rPr>
            </w:pPr>
            <w:r w:rsidRPr="00595DCA">
              <w:rPr>
                <w:rFonts w:eastAsia="Times New Roman"/>
                <w:szCs w:val="22"/>
                <w:lang w:val="es-ES_tradnl" w:eastAsia="en-US" w:bidi="he-IL"/>
              </w:rPr>
              <w:t>2 supervisores</w:t>
            </w:r>
          </w:p>
          <w:p w14:paraId="10FC1973" w14:textId="77777777" w:rsidR="00331A82" w:rsidRPr="00595DCA" w:rsidRDefault="00331A82" w:rsidP="00CF5D13">
            <w:pPr>
              <w:keepNext/>
              <w:keepLines/>
              <w:suppressAutoHyphens/>
              <w:rPr>
                <w:rFonts w:eastAsia="Times New Roman"/>
                <w:szCs w:val="22"/>
                <w:lang w:val="es-ES_tradnl" w:eastAsia="en-US" w:bidi="he-IL"/>
              </w:rPr>
            </w:pPr>
            <w:r w:rsidRPr="00595DCA">
              <w:rPr>
                <w:rFonts w:eastAsia="Times New Roman"/>
                <w:szCs w:val="22"/>
                <w:lang w:val="es-ES_tradnl" w:eastAsia="en-US" w:bidi="he-IL"/>
              </w:rPr>
              <w:t>30 examinadores</w:t>
            </w:r>
            <w:r>
              <w:rPr>
                <w:rFonts w:eastAsia="Times New Roman"/>
                <w:szCs w:val="22"/>
                <w:lang w:val="es-ES_tradnl" w:eastAsia="en-US" w:bidi="he-IL"/>
              </w:rPr>
              <w:t>:</w:t>
            </w:r>
          </w:p>
          <w:p w14:paraId="3269157D" w14:textId="77777777" w:rsidR="00331A82" w:rsidRPr="00595DCA" w:rsidRDefault="00331A82" w:rsidP="00CF5D13">
            <w:pPr>
              <w:keepNext/>
              <w:keepLines/>
              <w:suppressAutoHyphens/>
              <w:ind w:left="300"/>
              <w:rPr>
                <w:rFonts w:eastAsia="Times New Roman"/>
                <w:szCs w:val="22"/>
                <w:lang w:val="es-ES_tradnl" w:eastAsia="en-US" w:bidi="he-IL"/>
              </w:rPr>
            </w:pPr>
            <w:r w:rsidRPr="00595DCA">
              <w:rPr>
                <w:rFonts w:eastAsia="Times New Roman"/>
                <w:szCs w:val="22"/>
                <w:lang w:val="es-ES_tradnl" w:eastAsia="en-US" w:bidi="he-IL"/>
              </w:rPr>
              <w:t>17</w:t>
            </w:r>
            <w:r>
              <w:rPr>
                <w:rFonts w:eastAsia="Times New Roman"/>
                <w:szCs w:val="22"/>
                <w:lang w:val="es-ES_tradnl" w:eastAsia="en-US" w:bidi="he-IL"/>
              </w:rPr>
              <w:t xml:space="preserve"> </w:t>
            </w:r>
            <w:r w:rsidRPr="00595DCA">
              <w:rPr>
                <w:rFonts w:eastAsia="Times New Roman"/>
                <w:szCs w:val="22"/>
                <w:lang w:val="es-ES_tradnl" w:eastAsia="en-US" w:bidi="he-IL"/>
              </w:rPr>
              <w:t>expertos</w:t>
            </w:r>
          </w:p>
          <w:p w14:paraId="046A258B" w14:textId="77777777" w:rsidR="00331A82" w:rsidRPr="00595DCA" w:rsidRDefault="00331A82" w:rsidP="00CF5D13">
            <w:pPr>
              <w:keepNext/>
              <w:keepLines/>
              <w:suppressAutoHyphens/>
              <w:ind w:left="300"/>
              <w:rPr>
                <w:rFonts w:eastAsia="Times New Roman"/>
                <w:szCs w:val="22"/>
                <w:lang w:val="es-ES_tradnl" w:eastAsia="en-US" w:bidi="he-IL"/>
              </w:rPr>
            </w:pPr>
            <w:r w:rsidRPr="00595DCA">
              <w:rPr>
                <w:rFonts w:eastAsia="Times New Roman"/>
                <w:szCs w:val="22"/>
                <w:lang w:val="es-ES_tradnl" w:eastAsia="en-US" w:bidi="he-IL"/>
              </w:rPr>
              <w:t>13 especialistas</w:t>
            </w:r>
          </w:p>
        </w:tc>
      </w:tr>
      <w:tr w:rsidR="00331A82" w:rsidRPr="00595DCA" w14:paraId="1DAB10FB" w14:textId="77777777" w:rsidTr="00CF5D13">
        <w:trPr>
          <w:cantSplit/>
        </w:trPr>
        <w:tc>
          <w:tcPr>
            <w:tcW w:w="2186" w:type="dxa"/>
            <w:tcBorders>
              <w:top w:val="single" w:sz="4" w:space="0" w:color="auto"/>
              <w:left w:val="single" w:sz="4" w:space="0" w:color="auto"/>
              <w:bottom w:val="single" w:sz="4" w:space="0" w:color="auto"/>
              <w:right w:val="single" w:sz="4" w:space="0" w:color="auto"/>
            </w:tcBorders>
            <w:hideMark/>
          </w:tcPr>
          <w:p w14:paraId="61B02781" w14:textId="77777777" w:rsidR="00331A82" w:rsidRPr="00595DCA" w:rsidRDefault="00331A82" w:rsidP="00CF5D13">
            <w:pPr>
              <w:keepNext/>
              <w:keepLines/>
              <w:suppressAutoHyphens/>
              <w:jc w:val="center"/>
              <w:rPr>
                <w:rFonts w:eastAsia="Times New Roman"/>
                <w:szCs w:val="22"/>
                <w:lang w:val="es-ES_tradnl"/>
              </w:rPr>
            </w:pPr>
            <w:r w:rsidRPr="00595DCA">
              <w:rPr>
                <w:lang w:val="es-ES_tradnl"/>
              </w:rPr>
              <w:t>Biotecnológico</w:t>
            </w:r>
          </w:p>
        </w:tc>
        <w:tc>
          <w:tcPr>
            <w:tcW w:w="1941" w:type="dxa"/>
            <w:tcBorders>
              <w:top w:val="single" w:sz="4" w:space="0" w:color="auto"/>
              <w:left w:val="single" w:sz="4" w:space="0" w:color="auto"/>
              <w:bottom w:val="single" w:sz="4" w:space="0" w:color="auto"/>
              <w:right w:val="single" w:sz="4" w:space="0" w:color="auto"/>
            </w:tcBorders>
          </w:tcPr>
          <w:p w14:paraId="3DE86DC9" w14:textId="77777777" w:rsidR="00331A82" w:rsidRPr="00595DCA" w:rsidRDefault="00331A82" w:rsidP="00CF5D13">
            <w:pPr>
              <w:keepNext/>
              <w:keepLines/>
              <w:suppressAutoHyphens/>
              <w:jc w:val="center"/>
              <w:rPr>
                <w:rFonts w:eastAsia="Times New Roman"/>
                <w:szCs w:val="22"/>
                <w:lang w:val="es-ES_tradnl" w:eastAsia="en-US" w:bidi="he-IL"/>
              </w:rPr>
            </w:pPr>
            <w:r w:rsidRPr="00595DCA">
              <w:rPr>
                <w:rFonts w:eastAsia="Times New Roman"/>
                <w:szCs w:val="22"/>
                <w:lang w:val="es-ES_tradnl" w:eastAsia="en-US" w:bidi="he-IL"/>
              </w:rPr>
              <w:t>36</w:t>
            </w:r>
          </w:p>
        </w:tc>
        <w:tc>
          <w:tcPr>
            <w:tcW w:w="2551" w:type="dxa"/>
            <w:tcBorders>
              <w:top w:val="single" w:sz="4" w:space="0" w:color="auto"/>
              <w:left w:val="single" w:sz="4" w:space="0" w:color="auto"/>
              <w:bottom w:val="single" w:sz="4" w:space="0" w:color="auto"/>
              <w:right w:val="single" w:sz="4" w:space="0" w:color="auto"/>
            </w:tcBorders>
          </w:tcPr>
          <w:p w14:paraId="18C87D68" w14:textId="77777777" w:rsidR="00331A82" w:rsidRPr="00595DCA" w:rsidRDefault="00331A82" w:rsidP="00CF5D13">
            <w:pPr>
              <w:keepNext/>
              <w:keepLines/>
              <w:suppressAutoHyphens/>
              <w:rPr>
                <w:rFonts w:eastAsia="Times New Roman"/>
                <w:szCs w:val="22"/>
                <w:lang w:val="es-ES_tradnl" w:eastAsia="en-US" w:bidi="he-IL"/>
              </w:rPr>
            </w:pPr>
            <w:r w:rsidRPr="00595DCA">
              <w:rPr>
                <w:rFonts w:eastAsia="Times New Roman"/>
                <w:szCs w:val="22"/>
                <w:lang w:val="es-ES_tradnl" w:eastAsia="en-US" w:bidi="he-IL"/>
              </w:rPr>
              <w:t>Expertos: 15.8</w:t>
            </w:r>
          </w:p>
          <w:p w14:paraId="5E7FB9E6" w14:textId="77777777" w:rsidR="00331A82" w:rsidRPr="00595DCA" w:rsidRDefault="00331A82" w:rsidP="00CF5D13">
            <w:pPr>
              <w:keepNext/>
              <w:keepLines/>
              <w:suppressAutoHyphens/>
              <w:rPr>
                <w:rFonts w:eastAsia="Times New Roman"/>
                <w:szCs w:val="22"/>
                <w:lang w:val="es-ES_tradnl" w:eastAsia="en-US" w:bidi="he-IL"/>
              </w:rPr>
            </w:pPr>
          </w:p>
          <w:p w14:paraId="650B9275" w14:textId="77777777" w:rsidR="00331A82" w:rsidRPr="00595DCA" w:rsidRDefault="00331A82" w:rsidP="00CF5D13">
            <w:pPr>
              <w:keepNext/>
              <w:keepLines/>
              <w:suppressAutoHyphens/>
              <w:rPr>
                <w:rFonts w:eastAsia="Times New Roman"/>
                <w:szCs w:val="22"/>
                <w:lang w:val="es-ES_tradnl" w:eastAsia="en-US" w:bidi="he-IL"/>
              </w:rPr>
            </w:pPr>
            <w:r w:rsidRPr="00595DCA">
              <w:rPr>
                <w:rFonts w:eastAsia="Times New Roman"/>
                <w:szCs w:val="22"/>
                <w:lang w:val="es-ES_tradnl" w:eastAsia="en-US" w:bidi="he-IL"/>
              </w:rPr>
              <w:t>Especialistas: 8 meses</w:t>
            </w:r>
          </w:p>
        </w:tc>
        <w:tc>
          <w:tcPr>
            <w:tcW w:w="2551" w:type="dxa"/>
            <w:tcBorders>
              <w:top w:val="single" w:sz="4" w:space="0" w:color="auto"/>
              <w:left w:val="single" w:sz="4" w:space="0" w:color="auto"/>
              <w:bottom w:val="single" w:sz="4" w:space="0" w:color="auto"/>
              <w:right w:val="single" w:sz="4" w:space="0" w:color="auto"/>
            </w:tcBorders>
          </w:tcPr>
          <w:p w14:paraId="07FE6D8C" w14:textId="77777777" w:rsidR="00331A82" w:rsidRPr="00595DCA" w:rsidRDefault="00331A82" w:rsidP="00CF5D13">
            <w:pPr>
              <w:keepNext/>
              <w:keepLines/>
              <w:suppressAutoHyphens/>
              <w:rPr>
                <w:rFonts w:eastAsia="Times New Roman"/>
                <w:szCs w:val="22"/>
                <w:lang w:val="es-ES_tradnl" w:eastAsia="en-US" w:bidi="he-IL"/>
              </w:rPr>
            </w:pPr>
            <w:r w:rsidRPr="00595DCA">
              <w:rPr>
                <w:rFonts w:eastAsia="Times New Roman"/>
                <w:szCs w:val="22"/>
                <w:lang w:val="es-ES_tradnl" w:eastAsia="en-US" w:bidi="he-IL"/>
              </w:rPr>
              <w:t>1 coordinador</w:t>
            </w:r>
          </w:p>
          <w:p w14:paraId="46BD3B92" w14:textId="77777777" w:rsidR="00331A82" w:rsidRPr="00595DCA" w:rsidRDefault="00331A82" w:rsidP="00CF5D13">
            <w:pPr>
              <w:keepNext/>
              <w:keepLines/>
              <w:suppressAutoHyphens/>
              <w:rPr>
                <w:rFonts w:eastAsia="Times New Roman"/>
                <w:szCs w:val="22"/>
                <w:lang w:val="es-ES_tradnl" w:eastAsia="en-US" w:bidi="he-IL"/>
              </w:rPr>
            </w:pPr>
            <w:r w:rsidRPr="00595DCA">
              <w:rPr>
                <w:rFonts w:eastAsia="Times New Roman"/>
                <w:szCs w:val="22"/>
                <w:lang w:val="es-ES_tradnl" w:eastAsia="en-US" w:bidi="he-IL"/>
              </w:rPr>
              <w:t xml:space="preserve">1 supervisor </w:t>
            </w:r>
          </w:p>
          <w:p w14:paraId="64A33437" w14:textId="77777777" w:rsidR="00331A82" w:rsidRPr="00595DCA" w:rsidRDefault="00331A82" w:rsidP="00CF5D13">
            <w:pPr>
              <w:keepNext/>
              <w:keepLines/>
              <w:suppressAutoHyphens/>
              <w:rPr>
                <w:rFonts w:eastAsia="Times New Roman"/>
                <w:szCs w:val="22"/>
                <w:lang w:val="es-ES_tradnl" w:eastAsia="en-US" w:bidi="he-IL"/>
              </w:rPr>
            </w:pPr>
            <w:r w:rsidRPr="00595DCA">
              <w:rPr>
                <w:rFonts w:eastAsia="Times New Roman"/>
                <w:szCs w:val="22"/>
                <w:lang w:val="es-ES_tradnl" w:eastAsia="en-US" w:bidi="he-IL"/>
              </w:rPr>
              <w:t xml:space="preserve">34 examinadores: </w:t>
            </w:r>
          </w:p>
          <w:p w14:paraId="64171C90" w14:textId="77777777" w:rsidR="00331A82" w:rsidRPr="00595DCA" w:rsidRDefault="00331A82" w:rsidP="00CF5D13">
            <w:pPr>
              <w:keepNext/>
              <w:keepLines/>
              <w:suppressAutoHyphens/>
              <w:ind w:left="300"/>
              <w:rPr>
                <w:rFonts w:eastAsia="Times New Roman"/>
                <w:szCs w:val="22"/>
                <w:lang w:val="es-ES_tradnl" w:eastAsia="en-US" w:bidi="he-IL"/>
              </w:rPr>
            </w:pPr>
            <w:r w:rsidRPr="00595DCA">
              <w:rPr>
                <w:rFonts w:eastAsia="Times New Roman"/>
                <w:szCs w:val="22"/>
                <w:lang w:val="es-ES_tradnl" w:eastAsia="en-US" w:bidi="he-IL"/>
              </w:rPr>
              <w:t>19 expertos</w:t>
            </w:r>
          </w:p>
          <w:p w14:paraId="65AFA072" w14:textId="77777777" w:rsidR="00331A82" w:rsidRPr="00595DCA" w:rsidRDefault="00331A82" w:rsidP="00CF5D13">
            <w:pPr>
              <w:keepNext/>
              <w:keepLines/>
              <w:suppressAutoHyphens/>
              <w:ind w:left="300"/>
              <w:rPr>
                <w:rFonts w:eastAsia="Times New Roman"/>
                <w:szCs w:val="22"/>
                <w:lang w:val="es-ES_tradnl" w:eastAsia="en-US" w:bidi="he-IL"/>
              </w:rPr>
            </w:pPr>
            <w:r w:rsidRPr="00595DCA">
              <w:rPr>
                <w:rFonts w:eastAsia="Times New Roman"/>
                <w:szCs w:val="22"/>
                <w:lang w:val="es-ES_tradnl" w:eastAsia="en-US" w:bidi="he-IL"/>
              </w:rPr>
              <w:t>15 especialistas</w:t>
            </w:r>
          </w:p>
        </w:tc>
      </w:tr>
      <w:tr w:rsidR="00331A82" w:rsidRPr="00595DCA" w14:paraId="544DB2F9" w14:textId="77777777" w:rsidTr="000C6E93">
        <w:trPr>
          <w:cantSplit/>
          <w:trHeight w:val="332"/>
        </w:trPr>
        <w:tc>
          <w:tcPr>
            <w:tcW w:w="2186" w:type="dxa"/>
            <w:tcBorders>
              <w:top w:val="single" w:sz="4" w:space="0" w:color="auto"/>
              <w:left w:val="single" w:sz="4" w:space="0" w:color="auto"/>
              <w:bottom w:val="single" w:sz="4" w:space="0" w:color="auto"/>
              <w:right w:val="single" w:sz="4" w:space="0" w:color="auto"/>
            </w:tcBorders>
            <w:hideMark/>
          </w:tcPr>
          <w:p w14:paraId="46B71F4F" w14:textId="77777777" w:rsidR="00331A82" w:rsidRPr="00595DCA" w:rsidRDefault="00331A82" w:rsidP="00CF5D13">
            <w:pPr>
              <w:suppressAutoHyphens/>
              <w:jc w:val="center"/>
              <w:rPr>
                <w:rFonts w:eastAsia="Times New Roman"/>
                <w:i/>
                <w:iCs/>
                <w:szCs w:val="22"/>
                <w:lang w:val="es-ES_tradnl"/>
              </w:rPr>
            </w:pPr>
            <w:r w:rsidRPr="00595DCA">
              <w:rPr>
                <w:i/>
                <w:lang w:val="es-ES_tradnl"/>
              </w:rPr>
              <w:t>Total</w:t>
            </w:r>
          </w:p>
        </w:tc>
        <w:tc>
          <w:tcPr>
            <w:tcW w:w="1941" w:type="dxa"/>
            <w:tcBorders>
              <w:top w:val="single" w:sz="4" w:space="0" w:color="auto"/>
              <w:left w:val="single" w:sz="4" w:space="0" w:color="auto"/>
              <w:bottom w:val="single" w:sz="4" w:space="0" w:color="auto"/>
              <w:right w:val="single" w:sz="4" w:space="0" w:color="auto"/>
            </w:tcBorders>
          </w:tcPr>
          <w:p w14:paraId="7A390764" w14:textId="77777777" w:rsidR="00331A82" w:rsidRPr="00595DCA" w:rsidRDefault="00331A82" w:rsidP="00CF5D13">
            <w:pPr>
              <w:suppressAutoHyphens/>
              <w:jc w:val="center"/>
              <w:rPr>
                <w:rFonts w:eastAsia="Times New Roman"/>
                <w:i/>
                <w:iCs/>
                <w:szCs w:val="22"/>
                <w:lang w:val="es-ES_tradnl" w:eastAsia="en-US" w:bidi="he-IL"/>
              </w:rPr>
            </w:pPr>
            <w:r w:rsidRPr="00595DCA">
              <w:rPr>
                <w:rFonts w:eastAsia="Times New Roman"/>
                <w:i/>
                <w:iCs/>
                <w:szCs w:val="22"/>
                <w:lang w:val="es-ES_tradnl" w:eastAsia="en-US" w:bidi="he-IL"/>
              </w:rPr>
              <w:t>196</w:t>
            </w:r>
          </w:p>
        </w:tc>
        <w:tc>
          <w:tcPr>
            <w:tcW w:w="2551" w:type="dxa"/>
            <w:tcBorders>
              <w:top w:val="single" w:sz="4" w:space="0" w:color="auto"/>
              <w:left w:val="single" w:sz="4" w:space="0" w:color="auto"/>
              <w:bottom w:val="single" w:sz="4" w:space="0" w:color="auto"/>
              <w:right w:val="single" w:sz="4" w:space="0" w:color="auto"/>
            </w:tcBorders>
          </w:tcPr>
          <w:p w14:paraId="78DD8488" w14:textId="77777777" w:rsidR="00331A82" w:rsidRPr="00595DCA" w:rsidRDefault="00331A82" w:rsidP="00CF5D13">
            <w:pPr>
              <w:suppressAutoHyphens/>
              <w:rPr>
                <w:rFonts w:eastAsia="Times New Roman"/>
                <w:i/>
                <w:iCs/>
                <w:szCs w:val="22"/>
                <w:lang w:val="es-ES_tradnl" w:eastAsia="en-US" w:bidi="he-IL"/>
              </w:rPr>
            </w:pPr>
          </w:p>
        </w:tc>
        <w:tc>
          <w:tcPr>
            <w:tcW w:w="2551" w:type="dxa"/>
            <w:tcBorders>
              <w:top w:val="single" w:sz="4" w:space="0" w:color="auto"/>
              <w:left w:val="single" w:sz="4" w:space="0" w:color="auto"/>
              <w:bottom w:val="single" w:sz="4" w:space="0" w:color="auto"/>
              <w:right w:val="single" w:sz="4" w:space="0" w:color="auto"/>
            </w:tcBorders>
          </w:tcPr>
          <w:p w14:paraId="65324353" w14:textId="77777777" w:rsidR="00331A82" w:rsidRPr="00595DCA" w:rsidRDefault="00331A82" w:rsidP="00CF5D13">
            <w:pPr>
              <w:suppressAutoHyphens/>
              <w:rPr>
                <w:rFonts w:eastAsia="Times New Roman"/>
                <w:i/>
                <w:iCs/>
                <w:szCs w:val="22"/>
                <w:lang w:val="es-ES_tradnl" w:eastAsia="en-US" w:bidi="he-IL"/>
              </w:rPr>
            </w:pPr>
            <w:r w:rsidRPr="00595DCA">
              <w:rPr>
                <w:rFonts w:eastAsia="Times New Roman"/>
                <w:i/>
                <w:iCs/>
                <w:szCs w:val="22"/>
                <w:lang w:val="es-ES_tradnl" w:eastAsia="en-US" w:bidi="he-IL"/>
              </w:rPr>
              <w:t>196</w:t>
            </w:r>
          </w:p>
        </w:tc>
      </w:tr>
    </w:tbl>
    <w:p w14:paraId="2506A203" w14:textId="77777777" w:rsidR="000C6E93" w:rsidRDefault="000C6E93" w:rsidP="00331A82">
      <w:pPr>
        <w:pStyle w:val="Question"/>
        <w:spacing w:after="0"/>
        <w:rPr>
          <w:lang w:val="es-ES_tradnl"/>
        </w:rPr>
      </w:pPr>
    </w:p>
    <w:p w14:paraId="43D7E2E8" w14:textId="6399F987" w:rsidR="00331A82" w:rsidRPr="00595DCA" w:rsidRDefault="00331A82" w:rsidP="00331A82">
      <w:pPr>
        <w:pStyle w:val="Question"/>
        <w:spacing w:after="0"/>
        <w:rPr>
          <w:lang w:val="es-ES_tradnl"/>
        </w:rPr>
      </w:pPr>
      <w:r w:rsidRPr="00595DCA">
        <w:rPr>
          <w:lang w:val="es-ES_tradnl"/>
        </w:rPr>
        <w:t>b)</w:t>
      </w:r>
      <w:r w:rsidRPr="00595DCA">
        <w:rPr>
          <w:lang w:val="es-ES_tradnl"/>
        </w:rPr>
        <w:tab/>
        <w:t>Programas de formación</w:t>
      </w:r>
    </w:p>
    <w:p w14:paraId="4C28C010" w14:textId="77777777" w:rsidR="00331A82" w:rsidRPr="00595DCA" w:rsidRDefault="00331A82" w:rsidP="00331A82">
      <w:pPr>
        <w:pStyle w:val="Answer"/>
        <w:spacing w:after="0"/>
        <w:ind w:left="0"/>
        <w:jc w:val="both"/>
        <w:rPr>
          <w:lang w:val="es-ES_tradnl"/>
        </w:rPr>
      </w:pPr>
    </w:p>
    <w:p w14:paraId="525D0139" w14:textId="77777777" w:rsidR="00331A82" w:rsidRPr="00595DCA" w:rsidRDefault="00331A82" w:rsidP="00331A82">
      <w:pPr>
        <w:pStyle w:val="Answer"/>
        <w:spacing w:after="0"/>
        <w:ind w:left="0"/>
        <w:jc w:val="both"/>
        <w:rPr>
          <w:lang w:val="es-ES_tradnl"/>
        </w:rPr>
      </w:pPr>
      <w:r w:rsidRPr="00595DCA">
        <w:rPr>
          <w:lang w:val="es-ES_tradnl"/>
        </w:rPr>
        <w:t xml:space="preserve">El IMPI a través de la Dirección Divisional de Patentes, ha desarrollado un programa de capacitación intensiva para los examinadores de nuevo ingreso, con duración de aproximadamente 6 semanas (ver tabla). </w:t>
      </w:r>
    </w:p>
    <w:p w14:paraId="5504D89F" w14:textId="77777777" w:rsidR="00331A82" w:rsidRPr="00595DCA" w:rsidRDefault="00331A82" w:rsidP="00331A82">
      <w:pPr>
        <w:pStyle w:val="Answer"/>
        <w:spacing w:after="0"/>
        <w:ind w:left="0"/>
        <w:jc w:val="both"/>
        <w:rPr>
          <w:lang w:val="es-ES_tradnl"/>
        </w:rPr>
      </w:pPr>
    </w:p>
    <w:p w14:paraId="35F741B3" w14:textId="77777777" w:rsidR="00331A82" w:rsidRPr="00595DCA" w:rsidRDefault="00331A82" w:rsidP="00331A82">
      <w:pPr>
        <w:pStyle w:val="Answer"/>
        <w:spacing w:after="0"/>
        <w:ind w:left="0"/>
        <w:jc w:val="both"/>
        <w:rPr>
          <w:lang w:val="es-ES_tradnl"/>
        </w:rPr>
      </w:pPr>
      <w:r w:rsidRPr="00595DCA">
        <w:rPr>
          <w:lang w:val="es-ES_tradnl"/>
        </w:rPr>
        <w:t>Posteriormente la capacitación se lleva a cabo con práctica en el trabajo, con supervisión de un tutor, que es un examinador de experiencia, durante aproximadamente un año hasta que son capaces de realizar con independencia. búsquedas y examen de las solicitudes de patentes que le son asignadas. En este sentido, todo el trabajo que se genera es discutido técnicamente con su tutor asignado, con el supervisor del área y/o con el Coordinador de área para homologar criterios de examen e ir reforzando los conceptos de patentabilidad de acuerdo con lo establecido en la Ley Federal de Protección a la Propiedad Industrial</w:t>
      </w:r>
      <w:r w:rsidRPr="009B6BC6">
        <w:rPr>
          <w:lang w:val="es-ES_tradnl"/>
        </w:rPr>
        <w:t xml:space="preserve"> y demás disposiciones jurídicas aplicables</w:t>
      </w:r>
      <w:r w:rsidRPr="00595DCA">
        <w:rPr>
          <w:lang w:val="es-ES_tradnl"/>
        </w:rPr>
        <w:t xml:space="preserve">, y a la práctica de examen de la oficina. </w:t>
      </w:r>
    </w:p>
    <w:p w14:paraId="69A0461E" w14:textId="77777777" w:rsidR="00331A82" w:rsidRPr="00595DCA" w:rsidRDefault="00331A82" w:rsidP="00331A82">
      <w:pPr>
        <w:pStyle w:val="Answer"/>
        <w:spacing w:after="0"/>
        <w:ind w:left="0"/>
        <w:jc w:val="both"/>
        <w:rPr>
          <w:lang w:val="es-ES_tradnl"/>
        </w:rPr>
      </w:pPr>
    </w:p>
    <w:p w14:paraId="44AEE1C9" w14:textId="77777777" w:rsidR="00331A82" w:rsidRPr="00595DCA" w:rsidRDefault="00331A82" w:rsidP="00331A82">
      <w:pPr>
        <w:jc w:val="center"/>
        <w:rPr>
          <w:b/>
          <w:szCs w:val="22"/>
        </w:rPr>
      </w:pPr>
      <w:r w:rsidRPr="00595DCA">
        <w:rPr>
          <w:b/>
          <w:szCs w:val="22"/>
        </w:rPr>
        <w:t>Programa de capacitación para los nuevos examinadores de Fondo de la Dirección Divisional de Patentes IMPI</w:t>
      </w:r>
    </w:p>
    <w:p w14:paraId="0418C3A6" w14:textId="77777777" w:rsidR="00331A82" w:rsidRPr="00595DCA" w:rsidRDefault="00331A82" w:rsidP="00331A82">
      <w:pPr>
        <w:tabs>
          <w:tab w:val="left" w:pos="1999"/>
        </w:tabs>
        <w:rPr>
          <w:sz w:val="20"/>
        </w:rPr>
      </w:pPr>
    </w:p>
    <w:p w14:paraId="451672CC" w14:textId="4C1DBCBC" w:rsidR="00331A82" w:rsidRPr="00595DCA" w:rsidRDefault="00331A82" w:rsidP="00331A82">
      <w:pPr>
        <w:jc w:val="center"/>
        <w:rPr>
          <w:b/>
        </w:rPr>
      </w:pPr>
      <w:r w:rsidRPr="00595DCA">
        <w:rPr>
          <w:b/>
        </w:rPr>
        <w:t>Programa</w:t>
      </w:r>
    </w:p>
    <w:p w14:paraId="093EDE7E" w14:textId="77777777" w:rsidR="00331A82" w:rsidRPr="00595DCA" w:rsidRDefault="00331A82" w:rsidP="00331A82">
      <w:pPr>
        <w:jc w:val="center"/>
        <w:rPr>
          <w:b/>
          <w:color w:val="245C4F"/>
        </w:rPr>
      </w:pPr>
    </w:p>
    <w:tbl>
      <w:tblPr>
        <w:tblStyle w:val="TableGrid"/>
        <w:tblW w:w="0" w:type="auto"/>
        <w:jc w:val="center"/>
        <w:tblLook w:val="04A0" w:firstRow="1" w:lastRow="0" w:firstColumn="1" w:lastColumn="0" w:noHBand="0" w:noVBand="1"/>
        <w:tblCaption w:val="Programa de capacitación para los nuevos examinadores de Fondo de la Dirección Divisional de Patentes IMPI"/>
        <w:tblDescription w:val="Este cuadro muestra los 10 módulos que toman los nuevos examinadores de patentes como parte de su programa de capacitación al ingresar al IMP"/>
      </w:tblPr>
      <w:tblGrid>
        <w:gridCol w:w="1550"/>
        <w:gridCol w:w="3404"/>
        <w:gridCol w:w="4109"/>
      </w:tblGrid>
      <w:tr w:rsidR="00331A82" w:rsidRPr="00595DCA" w14:paraId="17D4C25E" w14:textId="77777777" w:rsidTr="00CF5D13">
        <w:trPr>
          <w:jc w:val="center"/>
        </w:trPr>
        <w:tc>
          <w:tcPr>
            <w:tcW w:w="1550" w:type="dxa"/>
          </w:tcPr>
          <w:p w14:paraId="4BEA4E35" w14:textId="77777777" w:rsidR="00331A82" w:rsidRPr="00A0065F" w:rsidRDefault="00331A82" w:rsidP="00CF5D13">
            <w:pPr>
              <w:jc w:val="both"/>
              <w:rPr>
                <w:sz w:val="20"/>
              </w:rPr>
            </w:pPr>
            <w:r w:rsidRPr="00A0065F">
              <w:rPr>
                <w:b/>
                <w:sz w:val="20"/>
              </w:rPr>
              <w:t>Objetivo:</w:t>
            </w:r>
          </w:p>
        </w:tc>
        <w:tc>
          <w:tcPr>
            <w:tcW w:w="7513" w:type="dxa"/>
            <w:gridSpan w:val="2"/>
          </w:tcPr>
          <w:p w14:paraId="76C71733" w14:textId="77777777" w:rsidR="00331A82" w:rsidRPr="00A0065F" w:rsidRDefault="00331A82" w:rsidP="00CF5D13">
            <w:pPr>
              <w:jc w:val="both"/>
              <w:rPr>
                <w:sz w:val="20"/>
              </w:rPr>
            </w:pPr>
            <w:r w:rsidRPr="00A0065F">
              <w:rPr>
                <w:sz w:val="20"/>
              </w:rPr>
              <w:t xml:space="preserve">Transmitir los lineamientos generales que debe seguir el examinador de patentes en la aplicación del examen de fondo, determinando las tareas que debe llevar a cabo y la jerarquía que le corresponde a cada una de ellas. </w:t>
            </w:r>
          </w:p>
          <w:p w14:paraId="4ED1F876" w14:textId="77777777" w:rsidR="00331A82" w:rsidRPr="00A0065F" w:rsidRDefault="00331A82" w:rsidP="00CF5D13">
            <w:pPr>
              <w:jc w:val="both"/>
              <w:rPr>
                <w:sz w:val="20"/>
              </w:rPr>
            </w:pPr>
          </w:p>
          <w:p w14:paraId="6835A74C" w14:textId="77777777" w:rsidR="00331A82" w:rsidRPr="00A0065F" w:rsidRDefault="00331A82" w:rsidP="00CF5D13">
            <w:pPr>
              <w:jc w:val="both"/>
              <w:rPr>
                <w:sz w:val="20"/>
              </w:rPr>
            </w:pPr>
            <w:r w:rsidRPr="00A0065F">
              <w:rPr>
                <w:sz w:val="20"/>
              </w:rPr>
              <w:t>Duración: 51 horas</w:t>
            </w:r>
          </w:p>
          <w:p w14:paraId="6D60060B" w14:textId="77777777" w:rsidR="00331A82" w:rsidRPr="00A0065F" w:rsidRDefault="00331A82" w:rsidP="00CF5D13">
            <w:pPr>
              <w:jc w:val="both"/>
              <w:rPr>
                <w:sz w:val="20"/>
              </w:rPr>
            </w:pPr>
          </w:p>
        </w:tc>
      </w:tr>
      <w:tr w:rsidR="00331A82" w:rsidRPr="00595DCA" w14:paraId="781A27CA" w14:textId="77777777" w:rsidTr="00CF5D13">
        <w:trPr>
          <w:jc w:val="center"/>
        </w:trPr>
        <w:tc>
          <w:tcPr>
            <w:tcW w:w="9063" w:type="dxa"/>
            <w:gridSpan w:val="3"/>
            <w:tcBorders>
              <w:bottom w:val="single" w:sz="4" w:space="0" w:color="auto"/>
            </w:tcBorders>
          </w:tcPr>
          <w:p w14:paraId="5831590D" w14:textId="77777777" w:rsidR="00331A82" w:rsidRPr="00595DCA" w:rsidRDefault="00331A82" w:rsidP="00CF5D13">
            <w:pPr>
              <w:rPr>
                <w:b/>
                <w:bCs/>
                <w:color w:val="621132"/>
              </w:rPr>
            </w:pPr>
          </w:p>
          <w:p w14:paraId="78323DCE" w14:textId="77777777" w:rsidR="00331A82" w:rsidRPr="00595DCA" w:rsidRDefault="00331A82" w:rsidP="00CF5D13">
            <w:pPr>
              <w:rPr>
                <w:b/>
                <w:bCs/>
                <w:color w:val="621132"/>
                <w:sz w:val="20"/>
              </w:rPr>
            </w:pPr>
            <w:r w:rsidRPr="00595DCA">
              <w:rPr>
                <w:b/>
                <w:bCs/>
                <w:color w:val="621132"/>
                <w:sz w:val="20"/>
              </w:rPr>
              <w:t>Módulo I. Conocimiento general de examen de patentes</w:t>
            </w:r>
          </w:p>
          <w:p w14:paraId="3A7A123B" w14:textId="77777777" w:rsidR="00331A82" w:rsidRPr="00595DCA" w:rsidRDefault="00331A82" w:rsidP="00CF5D13">
            <w:pPr>
              <w:jc w:val="both"/>
              <w:rPr>
                <w:color w:val="4A442A" w:themeColor="background2" w:themeShade="40"/>
                <w:sz w:val="18"/>
                <w:szCs w:val="18"/>
              </w:rPr>
            </w:pPr>
          </w:p>
        </w:tc>
      </w:tr>
      <w:tr w:rsidR="00331A82" w:rsidRPr="00595DCA" w14:paraId="7889F4B0"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1E755FBB" w14:textId="77777777" w:rsidR="00331A82" w:rsidRPr="001C2561" w:rsidRDefault="00331A82" w:rsidP="00CF5D13">
            <w:pPr>
              <w:jc w:val="center"/>
              <w:rPr>
                <w:b/>
                <w:color w:val="621132"/>
                <w:sz w:val="20"/>
              </w:rPr>
            </w:pPr>
            <w:r w:rsidRPr="001C2561">
              <w:rPr>
                <w:b/>
                <w:color w:val="621132"/>
                <w:sz w:val="20"/>
              </w:rPr>
              <w:t>Tema</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17E6396A" w14:textId="77777777" w:rsidR="00331A82" w:rsidRPr="001C2561" w:rsidRDefault="00331A82" w:rsidP="00CF5D13">
            <w:pPr>
              <w:jc w:val="center"/>
              <w:rPr>
                <w:b/>
                <w:color w:val="621132"/>
                <w:sz w:val="20"/>
              </w:rPr>
            </w:pPr>
            <w:proofErr w:type="gramStart"/>
            <w:r w:rsidRPr="001C2561">
              <w:rPr>
                <w:b/>
                <w:color w:val="621132"/>
                <w:sz w:val="20"/>
              </w:rPr>
              <w:t>Puntos a tratar</w:t>
            </w:r>
            <w:proofErr w:type="gramEnd"/>
            <w:r w:rsidRPr="001C2561">
              <w:rPr>
                <w:b/>
                <w:color w:val="621132"/>
                <w:sz w:val="20"/>
              </w:rPr>
              <w:t xml:space="preserve"> / Actividades</w:t>
            </w:r>
          </w:p>
          <w:p w14:paraId="76355EFD" w14:textId="77777777" w:rsidR="00331A82" w:rsidRPr="001C2561" w:rsidRDefault="00331A82" w:rsidP="00CF5D13">
            <w:pPr>
              <w:jc w:val="center"/>
              <w:rPr>
                <w:b/>
                <w:color w:val="621132"/>
                <w:sz w:val="20"/>
              </w:rPr>
            </w:pPr>
          </w:p>
        </w:tc>
      </w:tr>
      <w:tr w:rsidR="00331A82" w:rsidRPr="00595DCA" w14:paraId="5E46A7A1"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5F7CE99D" w14:textId="77777777" w:rsidR="00331A82" w:rsidRPr="00A0065F" w:rsidRDefault="00331A82" w:rsidP="00CF5D13">
            <w:pPr>
              <w:pStyle w:val="ListParagraph"/>
              <w:numPr>
                <w:ilvl w:val="0"/>
                <w:numId w:val="10"/>
              </w:numPr>
              <w:ind w:left="459" w:hanging="283"/>
              <w:contextualSpacing w:val="0"/>
              <w:jc w:val="both"/>
              <w:rPr>
                <w:b/>
                <w:bCs/>
                <w:sz w:val="20"/>
              </w:rPr>
            </w:pPr>
            <w:r w:rsidRPr="00A0065F">
              <w:rPr>
                <w:b/>
                <w:bCs/>
                <w:sz w:val="20"/>
              </w:rPr>
              <w:t>Introducción</w:t>
            </w:r>
          </w:p>
          <w:p w14:paraId="561B189B" w14:textId="77777777" w:rsidR="00331A82" w:rsidRPr="00A0065F" w:rsidRDefault="00331A82" w:rsidP="00CF5D13">
            <w:pPr>
              <w:pStyle w:val="ListParagraph"/>
              <w:numPr>
                <w:ilvl w:val="1"/>
                <w:numId w:val="10"/>
              </w:numPr>
              <w:ind w:left="459" w:hanging="283"/>
              <w:contextualSpacing w:val="0"/>
              <w:jc w:val="both"/>
              <w:rPr>
                <w:sz w:val="20"/>
              </w:rPr>
            </w:pPr>
            <w:r w:rsidRPr="00A0065F">
              <w:rPr>
                <w:sz w:val="20"/>
              </w:rPr>
              <w:t>Introducción al IMPI</w:t>
            </w:r>
          </w:p>
          <w:p w14:paraId="688BD3B7" w14:textId="77777777" w:rsidR="00331A82" w:rsidRPr="00A0065F" w:rsidRDefault="00331A82" w:rsidP="00CF5D13">
            <w:pPr>
              <w:pStyle w:val="ListParagraph"/>
              <w:numPr>
                <w:ilvl w:val="1"/>
                <w:numId w:val="10"/>
              </w:numPr>
              <w:ind w:left="459" w:hanging="283"/>
              <w:contextualSpacing w:val="0"/>
              <w:jc w:val="both"/>
              <w:rPr>
                <w:sz w:val="20"/>
              </w:rPr>
            </w:pPr>
            <w:r w:rsidRPr="00A0065F">
              <w:rPr>
                <w:sz w:val="20"/>
              </w:rPr>
              <w:t>Estructura de la Dirección Divisional de Patentes</w:t>
            </w:r>
          </w:p>
          <w:p w14:paraId="5745F26A" w14:textId="23121CA8" w:rsidR="00331A82" w:rsidRPr="00A0065F" w:rsidRDefault="00331A82" w:rsidP="00CF5D13">
            <w:pPr>
              <w:pStyle w:val="ListParagraph"/>
              <w:numPr>
                <w:ilvl w:val="1"/>
                <w:numId w:val="10"/>
              </w:numPr>
              <w:ind w:left="459" w:hanging="283"/>
              <w:contextualSpacing w:val="0"/>
              <w:jc w:val="both"/>
              <w:rPr>
                <w:sz w:val="20"/>
              </w:rPr>
            </w:pPr>
            <w:r w:rsidRPr="00A0065F">
              <w:rPr>
                <w:sz w:val="20"/>
              </w:rPr>
              <w:t>Figuras jurídicas en materia de invenciones:</w:t>
            </w:r>
            <w:r w:rsidR="003D7287">
              <w:rPr>
                <w:sz w:val="20"/>
              </w:rPr>
              <w:t xml:space="preserve"> </w:t>
            </w:r>
            <w:r w:rsidRPr="00A0065F">
              <w:rPr>
                <w:sz w:val="20"/>
              </w:rPr>
              <w:t xml:space="preserve">patentes, MU, DI </w:t>
            </w:r>
          </w:p>
          <w:p w14:paraId="3171ABAB" w14:textId="77777777" w:rsidR="00331A82" w:rsidRPr="00A0065F" w:rsidRDefault="00331A82" w:rsidP="00CF5D13">
            <w:pPr>
              <w:jc w:val="both"/>
              <w:rPr>
                <w:sz w:val="20"/>
              </w:rPr>
            </w:pP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70D38CD2" w14:textId="77777777" w:rsidR="00331A82" w:rsidRPr="00A0065F" w:rsidRDefault="00331A82" w:rsidP="00CF5D13">
            <w:pPr>
              <w:jc w:val="both"/>
              <w:rPr>
                <w:sz w:val="20"/>
              </w:rPr>
            </w:pPr>
          </w:p>
          <w:p w14:paraId="7ECE3BFC" w14:textId="77777777" w:rsidR="00331A82" w:rsidRPr="00A0065F" w:rsidRDefault="00331A82" w:rsidP="00CF5D13">
            <w:pPr>
              <w:jc w:val="both"/>
              <w:rPr>
                <w:sz w:val="20"/>
              </w:rPr>
            </w:pPr>
            <w:r w:rsidRPr="00A0065F">
              <w:rPr>
                <w:sz w:val="20"/>
              </w:rPr>
              <w:t>¿Qué es una invención?</w:t>
            </w:r>
          </w:p>
          <w:p w14:paraId="48E041BC" w14:textId="77777777" w:rsidR="00331A82" w:rsidRPr="00A0065F" w:rsidRDefault="00331A82" w:rsidP="00CF5D13">
            <w:pPr>
              <w:jc w:val="both"/>
              <w:rPr>
                <w:b/>
                <w:bCs/>
                <w:sz w:val="20"/>
              </w:rPr>
            </w:pPr>
            <w:r w:rsidRPr="00A0065F">
              <w:rPr>
                <w:sz w:val="20"/>
              </w:rPr>
              <w:t>¿Por qué es importante proteger un desarrollo tecnológico nuevo?</w:t>
            </w:r>
          </w:p>
        </w:tc>
      </w:tr>
      <w:tr w:rsidR="00331A82" w:rsidRPr="00595DCA" w14:paraId="3CBD8F73"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81"/>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5799BFA0" w14:textId="77777777" w:rsidR="00331A82" w:rsidRPr="00A0065F" w:rsidRDefault="00331A82" w:rsidP="00CF5D13">
            <w:pPr>
              <w:ind w:left="176"/>
              <w:jc w:val="both"/>
              <w:rPr>
                <w:b/>
                <w:bCs/>
                <w:sz w:val="20"/>
              </w:rPr>
            </w:pPr>
            <w:r w:rsidRPr="00A0065F">
              <w:rPr>
                <w:sz w:val="20"/>
              </w:rPr>
              <w:t>1.4 Ley Federal de la Propiedad Industrial y su Reglamento</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40594BCB" w14:textId="77777777" w:rsidR="00331A82" w:rsidRPr="00A0065F" w:rsidRDefault="00331A82" w:rsidP="00CF5D13">
            <w:pPr>
              <w:jc w:val="both"/>
              <w:rPr>
                <w:sz w:val="20"/>
              </w:rPr>
            </w:pPr>
            <w:r w:rsidRPr="00A0065F">
              <w:rPr>
                <w:sz w:val="20"/>
              </w:rPr>
              <w:t>Se proporcionará a los participantes enlaces al Marco Jurídico Nacional e Internacional, así como las Guías de usuario del IMPI.</w:t>
            </w:r>
          </w:p>
        </w:tc>
      </w:tr>
      <w:tr w:rsidR="00331A82" w:rsidRPr="00595DCA" w14:paraId="125EC6A3"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79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4F350D69" w14:textId="77777777" w:rsidR="00331A82" w:rsidRPr="00A0065F" w:rsidRDefault="00331A82" w:rsidP="00CF5D13">
            <w:pPr>
              <w:pStyle w:val="ListParagraph"/>
              <w:numPr>
                <w:ilvl w:val="1"/>
                <w:numId w:val="11"/>
              </w:numPr>
              <w:ind w:left="459" w:hanging="283"/>
              <w:contextualSpacing w:val="0"/>
              <w:jc w:val="both"/>
              <w:rPr>
                <w:rFonts w:eastAsiaTheme="minorEastAsia"/>
                <w:sz w:val="20"/>
              </w:rPr>
            </w:pPr>
            <w:r w:rsidRPr="00A0065F">
              <w:rPr>
                <w:rFonts w:eastAsiaTheme="minorEastAsia"/>
                <w:sz w:val="20"/>
              </w:rPr>
              <w:t>Tipos de presentación de solicitudes de patente:</w:t>
            </w:r>
          </w:p>
          <w:p w14:paraId="41505ECB" w14:textId="77777777" w:rsidR="00331A82" w:rsidRPr="00A0065F" w:rsidRDefault="00331A82" w:rsidP="00CF5D13">
            <w:pPr>
              <w:pStyle w:val="ListParagraph"/>
              <w:ind w:left="743" w:hanging="283"/>
              <w:contextualSpacing w:val="0"/>
              <w:jc w:val="both"/>
              <w:rPr>
                <w:rFonts w:eastAsiaTheme="minorEastAsia"/>
                <w:sz w:val="20"/>
              </w:rPr>
            </w:pPr>
            <w:r w:rsidRPr="00A0065F">
              <w:rPr>
                <w:rFonts w:eastAsiaTheme="minorEastAsia"/>
                <w:sz w:val="20"/>
              </w:rPr>
              <w:t>Presentación Nacional</w:t>
            </w:r>
          </w:p>
          <w:p w14:paraId="43516FEE" w14:textId="77777777" w:rsidR="00331A82" w:rsidRPr="00A0065F" w:rsidRDefault="00331A82" w:rsidP="00CF5D13">
            <w:pPr>
              <w:pStyle w:val="ListParagraph"/>
              <w:ind w:left="743" w:hanging="283"/>
              <w:contextualSpacing w:val="0"/>
              <w:jc w:val="both"/>
              <w:rPr>
                <w:rFonts w:eastAsiaTheme="minorEastAsia"/>
                <w:sz w:val="20"/>
              </w:rPr>
            </w:pPr>
            <w:r w:rsidRPr="00A0065F">
              <w:rPr>
                <w:rFonts w:eastAsiaTheme="minorEastAsia"/>
                <w:sz w:val="20"/>
              </w:rPr>
              <w:t>vía PCT</w:t>
            </w:r>
          </w:p>
          <w:p w14:paraId="263FE3AA" w14:textId="77777777" w:rsidR="00331A82" w:rsidRPr="00A0065F" w:rsidRDefault="00331A82" w:rsidP="00CF5D13">
            <w:pPr>
              <w:pStyle w:val="ListParagraph"/>
              <w:ind w:left="743" w:hanging="283"/>
              <w:contextualSpacing w:val="0"/>
              <w:jc w:val="both"/>
              <w:rPr>
                <w:rFonts w:eastAsiaTheme="minorEastAsia"/>
                <w:sz w:val="20"/>
              </w:rPr>
            </w:pPr>
            <w:r w:rsidRPr="00A0065F">
              <w:rPr>
                <w:rFonts w:eastAsiaTheme="minorEastAsia"/>
                <w:sz w:val="20"/>
              </w:rPr>
              <w:t>vía Convenio de París</w:t>
            </w:r>
          </w:p>
          <w:p w14:paraId="7C0DC14D" w14:textId="77777777" w:rsidR="00331A82" w:rsidRPr="00A0065F" w:rsidRDefault="00331A82" w:rsidP="00CF5D13">
            <w:pPr>
              <w:pStyle w:val="ListParagraph"/>
              <w:ind w:left="743" w:hanging="283"/>
              <w:contextualSpacing w:val="0"/>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36BDB14B" w14:textId="77777777" w:rsidR="00331A82" w:rsidRPr="00A0065F" w:rsidRDefault="00331A82" w:rsidP="00CF5D13">
            <w:pPr>
              <w:jc w:val="both"/>
              <w:rPr>
                <w:sz w:val="20"/>
              </w:rPr>
            </w:pPr>
            <w:r w:rsidRPr="00A0065F">
              <w:rPr>
                <w:sz w:val="20"/>
              </w:rPr>
              <w:t>Requisitos de presentación de una solicitud de patente</w:t>
            </w:r>
          </w:p>
          <w:p w14:paraId="264749B6" w14:textId="77777777" w:rsidR="00331A82" w:rsidRPr="00A0065F" w:rsidRDefault="00331A82" w:rsidP="00CF5D13">
            <w:pPr>
              <w:ind w:left="227" w:hanging="227"/>
              <w:jc w:val="both"/>
              <w:rPr>
                <w:sz w:val="20"/>
              </w:rPr>
            </w:pPr>
            <w:r w:rsidRPr="00A0065F">
              <w:rPr>
                <w:sz w:val="20"/>
              </w:rPr>
              <w:t>Trámite de una solicitud internacional (PCT)</w:t>
            </w:r>
          </w:p>
          <w:p w14:paraId="17E39F31" w14:textId="77777777" w:rsidR="00331A82" w:rsidRPr="00A0065F" w:rsidRDefault="00331A82" w:rsidP="00CF5D13">
            <w:pPr>
              <w:ind w:left="227" w:hanging="227"/>
              <w:jc w:val="both"/>
              <w:rPr>
                <w:b/>
                <w:bCs/>
                <w:sz w:val="20"/>
              </w:rPr>
            </w:pPr>
            <w:r w:rsidRPr="00A0065F">
              <w:rPr>
                <w:sz w:val="20"/>
              </w:rPr>
              <w:t>Trámite de una solicitud vía C. París</w:t>
            </w:r>
          </w:p>
        </w:tc>
      </w:tr>
      <w:tr w:rsidR="00331A82" w:rsidRPr="00595DCA" w14:paraId="1461D7B3"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86"/>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58F718A8" w14:textId="77777777" w:rsidR="00331A82" w:rsidRPr="00A0065F" w:rsidRDefault="00331A82" w:rsidP="00CF5D13">
            <w:pPr>
              <w:pStyle w:val="ListParagraph"/>
              <w:numPr>
                <w:ilvl w:val="1"/>
                <w:numId w:val="11"/>
              </w:numPr>
              <w:ind w:left="459" w:hanging="283"/>
              <w:contextualSpacing w:val="0"/>
              <w:jc w:val="both"/>
              <w:rPr>
                <w:rFonts w:eastAsiaTheme="minorEastAsia"/>
                <w:sz w:val="20"/>
              </w:rPr>
            </w:pPr>
            <w:r w:rsidRPr="00A0065F">
              <w:rPr>
                <w:rFonts w:eastAsiaTheme="minorEastAsia"/>
                <w:sz w:val="20"/>
              </w:rPr>
              <w:t>Funciones del examinador de Fondo:</w:t>
            </w:r>
          </w:p>
          <w:p w14:paraId="1A79BCC6" w14:textId="77777777" w:rsidR="00331A82" w:rsidRPr="00A0065F" w:rsidRDefault="00331A82" w:rsidP="00CF5D13">
            <w:pPr>
              <w:pStyle w:val="ListParagraph"/>
              <w:ind w:left="459"/>
              <w:contextualSpacing w:val="0"/>
              <w:jc w:val="both"/>
              <w:rPr>
                <w:rFonts w:eastAsiaTheme="minorEastAsia"/>
                <w:sz w:val="20"/>
              </w:rPr>
            </w:pPr>
            <w:r w:rsidRPr="00A0065F">
              <w:rPr>
                <w:rFonts w:eastAsiaTheme="minorEastAsia"/>
                <w:sz w:val="20"/>
              </w:rPr>
              <w:t>Funciones técnicas asociadas al examen de Fondo</w:t>
            </w:r>
          </w:p>
          <w:p w14:paraId="4B4BC64E" w14:textId="77777777" w:rsidR="00331A82" w:rsidRPr="00A0065F" w:rsidRDefault="00331A82" w:rsidP="00CF5D13">
            <w:pPr>
              <w:pStyle w:val="ListParagraph"/>
              <w:ind w:left="459"/>
              <w:contextualSpacing w:val="0"/>
              <w:jc w:val="both"/>
              <w:rPr>
                <w:rFonts w:eastAsiaTheme="minorEastAsia"/>
                <w:sz w:val="20"/>
              </w:rPr>
            </w:pPr>
            <w:r w:rsidRPr="00A0065F">
              <w:rPr>
                <w:rFonts w:eastAsiaTheme="minorEastAsia"/>
                <w:sz w:val="20"/>
              </w:rPr>
              <w:t>Ética del examinador de patentes</w:t>
            </w:r>
          </w:p>
          <w:p w14:paraId="35037807" w14:textId="77777777" w:rsidR="00331A82" w:rsidRPr="00A0065F" w:rsidRDefault="00331A82" w:rsidP="00CF5D13">
            <w:pPr>
              <w:pStyle w:val="ListParagraph"/>
              <w:ind w:left="459"/>
              <w:contextualSpacing w:val="0"/>
              <w:jc w:val="both"/>
              <w:rPr>
                <w:rFonts w:eastAsiaTheme="minorEastAsia"/>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61206847" w14:textId="77777777" w:rsidR="00331A82" w:rsidRPr="00A0065F" w:rsidRDefault="00331A82" w:rsidP="00CF5D13">
            <w:pPr>
              <w:jc w:val="both"/>
              <w:rPr>
                <w:sz w:val="20"/>
              </w:rPr>
            </w:pPr>
            <w:proofErr w:type="gramStart"/>
            <w:r w:rsidRPr="00A0065F">
              <w:rPr>
                <w:sz w:val="20"/>
              </w:rPr>
              <w:t>Actividades a desarrollar</w:t>
            </w:r>
            <w:proofErr w:type="gramEnd"/>
            <w:r w:rsidRPr="00A0065F">
              <w:rPr>
                <w:sz w:val="20"/>
              </w:rPr>
              <w:t>, confidencialidad, conflicto de interés, al finalizar contrato pasará 1 año para realizar misma actividad.</w:t>
            </w:r>
          </w:p>
          <w:p w14:paraId="334D4D6D" w14:textId="77777777" w:rsidR="00331A82" w:rsidRPr="00A0065F" w:rsidRDefault="00331A82" w:rsidP="00CF5D13">
            <w:pPr>
              <w:jc w:val="both"/>
              <w:rPr>
                <w:sz w:val="20"/>
              </w:rPr>
            </w:pPr>
            <w:r w:rsidRPr="00A0065F">
              <w:rPr>
                <w:sz w:val="20"/>
              </w:rPr>
              <w:t>Comunicación vía Módulo de Patentes (</w:t>
            </w:r>
            <w:proofErr w:type="spellStart"/>
            <w:r w:rsidRPr="00A0065F">
              <w:rPr>
                <w:sz w:val="20"/>
              </w:rPr>
              <w:t>PatMod</w:t>
            </w:r>
            <w:proofErr w:type="spellEnd"/>
            <w:r w:rsidRPr="00A0065F">
              <w:rPr>
                <w:sz w:val="20"/>
              </w:rPr>
              <w:t>).</w:t>
            </w:r>
          </w:p>
          <w:p w14:paraId="37A01C13" w14:textId="77777777" w:rsidR="00331A82" w:rsidRPr="00A0065F" w:rsidRDefault="00331A82" w:rsidP="00CF5D13">
            <w:pPr>
              <w:jc w:val="both"/>
              <w:rPr>
                <w:sz w:val="20"/>
              </w:rPr>
            </w:pPr>
            <w:r w:rsidRPr="00A0065F">
              <w:rPr>
                <w:sz w:val="20"/>
              </w:rPr>
              <w:t>Código y Comité de ética</w:t>
            </w:r>
          </w:p>
        </w:tc>
      </w:tr>
      <w:tr w:rsidR="00331A82" w:rsidRPr="00595DCA" w14:paraId="29222F90"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2"/>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089CBCDB" w14:textId="77777777" w:rsidR="00331A82" w:rsidRPr="00A0065F" w:rsidRDefault="00331A82" w:rsidP="00CF5D13">
            <w:pPr>
              <w:pStyle w:val="ListParagraph"/>
              <w:keepNext/>
              <w:keepLines/>
              <w:numPr>
                <w:ilvl w:val="1"/>
                <w:numId w:val="11"/>
              </w:numPr>
              <w:tabs>
                <w:tab w:val="left" w:pos="514"/>
              </w:tabs>
              <w:ind w:hanging="643"/>
              <w:contextualSpacing w:val="0"/>
              <w:jc w:val="both"/>
              <w:rPr>
                <w:sz w:val="20"/>
              </w:rPr>
            </w:pPr>
            <w:r w:rsidRPr="00A0065F">
              <w:rPr>
                <w:sz w:val="20"/>
              </w:rPr>
              <w:t>La vida de un expediente</w:t>
            </w:r>
          </w:p>
          <w:p w14:paraId="0005D456" w14:textId="77777777" w:rsidR="00331A82" w:rsidRPr="00A0065F" w:rsidRDefault="00331A82" w:rsidP="00CF5D13">
            <w:pPr>
              <w:pStyle w:val="ListParagraph"/>
              <w:keepNext/>
              <w:keepLines/>
              <w:tabs>
                <w:tab w:val="left" w:pos="514"/>
              </w:tabs>
              <w:ind w:left="819"/>
              <w:contextualSpacing w:val="0"/>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7AAF923F" w14:textId="77777777" w:rsidR="00331A82" w:rsidRPr="00A0065F" w:rsidRDefault="00331A82" w:rsidP="00CF5D13">
            <w:pPr>
              <w:keepNext/>
              <w:keepLines/>
              <w:tabs>
                <w:tab w:val="left" w:pos="514"/>
              </w:tabs>
              <w:rPr>
                <w:sz w:val="20"/>
              </w:rPr>
            </w:pPr>
            <w:r w:rsidRPr="00A0065F">
              <w:rPr>
                <w:sz w:val="20"/>
              </w:rPr>
              <w:t>Trámite de una solicitud de patente (línea de tiempo).</w:t>
            </w:r>
          </w:p>
          <w:p w14:paraId="3C8A8522" w14:textId="77777777" w:rsidR="00331A82" w:rsidRPr="00A0065F" w:rsidRDefault="00331A82" w:rsidP="00CF5D13">
            <w:pPr>
              <w:keepNext/>
              <w:keepLines/>
              <w:ind w:left="38" w:hanging="38"/>
              <w:rPr>
                <w:b/>
                <w:bCs/>
                <w:sz w:val="20"/>
              </w:rPr>
            </w:pPr>
            <w:r w:rsidRPr="00A0065F">
              <w:rPr>
                <w:sz w:val="20"/>
              </w:rPr>
              <w:t>Las tareas involucradas en cada departamento para otorgar una patente (ventanilla, forma, fondo, legal)</w:t>
            </w:r>
          </w:p>
        </w:tc>
      </w:tr>
      <w:tr w:rsidR="00331A82" w:rsidRPr="00595DCA" w14:paraId="359FBE6F"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2"/>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1F87625C" w14:textId="77777777" w:rsidR="00331A82" w:rsidRPr="00A0065F" w:rsidRDefault="00331A82" w:rsidP="00CF5D13">
            <w:pPr>
              <w:pStyle w:val="ListParagraph"/>
              <w:numPr>
                <w:ilvl w:val="1"/>
                <w:numId w:val="11"/>
              </w:numPr>
              <w:tabs>
                <w:tab w:val="left" w:pos="514"/>
              </w:tabs>
              <w:ind w:hanging="643"/>
              <w:contextualSpacing w:val="0"/>
              <w:jc w:val="both"/>
              <w:rPr>
                <w:sz w:val="20"/>
              </w:rPr>
            </w:pPr>
            <w:r w:rsidRPr="00A0065F">
              <w:rPr>
                <w:sz w:val="20"/>
              </w:rPr>
              <w:t>Excepciones a la patentabilidad y No invenciones</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27D51BFF" w14:textId="77777777" w:rsidR="00331A82" w:rsidRPr="00A0065F" w:rsidRDefault="00331A82" w:rsidP="00CF5D13">
            <w:pPr>
              <w:tabs>
                <w:tab w:val="left" w:pos="514"/>
              </w:tabs>
              <w:rPr>
                <w:sz w:val="20"/>
              </w:rPr>
            </w:pPr>
            <w:r w:rsidRPr="00A0065F">
              <w:rPr>
                <w:sz w:val="20"/>
              </w:rPr>
              <w:t>Identificación de casos de excepciones o no invención</w:t>
            </w:r>
          </w:p>
        </w:tc>
      </w:tr>
      <w:tr w:rsidR="00331A82" w:rsidRPr="00595DCA" w14:paraId="03FBBF91"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2"/>
          <w:jc w:val="center"/>
        </w:trPr>
        <w:tc>
          <w:tcPr>
            <w:tcW w:w="9063" w:type="dxa"/>
            <w:gridSpan w:val="3"/>
            <w:tcBorders>
              <w:top w:val="single" w:sz="2" w:space="0" w:color="244061" w:themeColor="accent1" w:themeShade="80"/>
              <w:left w:val="single" w:sz="2" w:space="0" w:color="244061" w:themeColor="accent1" w:themeShade="80"/>
              <w:bottom w:val="single" w:sz="4" w:space="0" w:color="auto"/>
              <w:right w:val="single" w:sz="4" w:space="0" w:color="auto"/>
            </w:tcBorders>
            <w:vAlign w:val="center"/>
          </w:tcPr>
          <w:p w14:paraId="4C597606" w14:textId="77777777" w:rsidR="00331A82" w:rsidRPr="001C2561" w:rsidRDefault="00331A82" w:rsidP="00CF5D13">
            <w:pPr>
              <w:rPr>
                <w:b/>
                <w:bCs/>
                <w:color w:val="621132"/>
                <w:sz w:val="20"/>
              </w:rPr>
            </w:pPr>
            <w:r w:rsidRPr="001C2561">
              <w:rPr>
                <w:b/>
                <w:bCs/>
                <w:color w:val="621132"/>
                <w:sz w:val="20"/>
              </w:rPr>
              <w:t>Módulo II. ¿Cómo trabajar una solicitud de patente?</w:t>
            </w:r>
          </w:p>
          <w:p w14:paraId="1F11ABE2" w14:textId="77777777" w:rsidR="00331A82" w:rsidRPr="001C2561" w:rsidRDefault="00331A82" w:rsidP="00CF5D13">
            <w:pPr>
              <w:tabs>
                <w:tab w:val="left" w:pos="514"/>
              </w:tabs>
              <w:ind w:left="516" w:hanging="516"/>
              <w:rPr>
                <w:color w:val="13322B"/>
                <w:sz w:val="20"/>
              </w:rPr>
            </w:pPr>
          </w:p>
        </w:tc>
      </w:tr>
      <w:tr w:rsidR="00331A82" w:rsidRPr="00595DCA" w14:paraId="0F062533"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6BF0D592" w14:textId="77777777" w:rsidR="00331A82" w:rsidRPr="001C2561" w:rsidRDefault="00331A82" w:rsidP="00CF5D13">
            <w:pPr>
              <w:jc w:val="center"/>
              <w:rPr>
                <w:b/>
                <w:color w:val="621132"/>
                <w:sz w:val="20"/>
              </w:rPr>
            </w:pPr>
            <w:r w:rsidRPr="001C2561">
              <w:rPr>
                <w:b/>
                <w:color w:val="621132"/>
                <w:sz w:val="20"/>
              </w:rPr>
              <w:t>Tema</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113E2F36" w14:textId="77777777" w:rsidR="00331A82" w:rsidRPr="001C2561" w:rsidRDefault="00331A82" w:rsidP="00CF5D13">
            <w:pPr>
              <w:jc w:val="center"/>
              <w:rPr>
                <w:b/>
                <w:color w:val="621132"/>
                <w:sz w:val="20"/>
              </w:rPr>
            </w:pPr>
            <w:proofErr w:type="gramStart"/>
            <w:r w:rsidRPr="001C2561">
              <w:rPr>
                <w:b/>
                <w:color w:val="621132"/>
                <w:sz w:val="20"/>
              </w:rPr>
              <w:t>Puntos a tratar</w:t>
            </w:r>
            <w:proofErr w:type="gramEnd"/>
            <w:r w:rsidRPr="001C2561">
              <w:rPr>
                <w:b/>
                <w:color w:val="621132"/>
                <w:sz w:val="20"/>
              </w:rPr>
              <w:t xml:space="preserve"> / Actividades</w:t>
            </w:r>
          </w:p>
          <w:p w14:paraId="19A5F71F" w14:textId="77777777" w:rsidR="00331A82" w:rsidRPr="001C2561" w:rsidRDefault="00331A82" w:rsidP="00CF5D13">
            <w:pPr>
              <w:jc w:val="center"/>
              <w:rPr>
                <w:b/>
                <w:color w:val="621132"/>
                <w:sz w:val="20"/>
              </w:rPr>
            </w:pPr>
          </w:p>
        </w:tc>
      </w:tr>
      <w:tr w:rsidR="00331A82" w:rsidRPr="00595DCA" w14:paraId="696DB91B"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79CDCD32" w14:textId="77777777" w:rsidR="00331A82" w:rsidRPr="00A0065F" w:rsidRDefault="00331A82" w:rsidP="00CF5D13">
            <w:pPr>
              <w:pStyle w:val="ListParagraph"/>
              <w:numPr>
                <w:ilvl w:val="0"/>
                <w:numId w:val="10"/>
              </w:numPr>
              <w:ind w:left="459" w:hanging="283"/>
              <w:contextualSpacing w:val="0"/>
              <w:jc w:val="both"/>
              <w:rPr>
                <w:b/>
                <w:bCs/>
                <w:sz w:val="20"/>
              </w:rPr>
            </w:pPr>
            <w:r w:rsidRPr="00A0065F">
              <w:rPr>
                <w:b/>
                <w:bCs/>
                <w:sz w:val="20"/>
              </w:rPr>
              <w:t>Visión General</w:t>
            </w:r>
          </w:p>
          <w:p w14:paraId="6745F5CA" w14:textId="77777777" w:rsidR="00331A82" w:rsidRPr="00A0065F" w:rsidRDefault="00331A82" w:rsidP="00CF5D13">
            <w:pPr>
              <w:pStyle w:val="ListParagraph"/>
              <w:numPr>
                <w:ilvl w:val="1"/>
                <w:numId w:val="10"/>
              </w:numPr>
              <w:ind w:left="459" w:hanging="283"/>
              <w:contextualSpacing w:val="0"/>
              <w:jc w:val="both"/>
              <w:rPr>
                <w:sz w:val="20"/>
              </w:rPr>
            </w:pPr>
            <w:r w:rsidRPr="00A0065F">
              <w:rPr>
                <w:sz w:val="20"/>
              </w:rPr>
              <w:t>Estudio de una Solicitud</w:t>
            </w:r>
          </w:p>
          <w:p w14:paraId="01F345B1" w14:textId="77777777" w:rsidR="00331A82" w:rsidRPr="00A0065F" w:rsidRDefault="00331A82" w:rsidP="00CF5D13">
            <w:pPr>
              <w:pStyle w:val="ListParagraph"/>
              <w:numPr>
                <w:ilvl w:val="1"/>
                <w:numId w:val="10"/>
              </w:numPr>
              <w:ind w:left="459" w:hanging="283"/>
              <w:contextualSpacing w:val="0"/>
              <w:jc w:val="both"/>
              <w:rPr>
                <w:sz w:val="20"/>
              </w:rPr>
            </w:pPr>
            <w:r w:rsidRPr="00A0065F">
              <w:rPr>
                <w:sz w:val="20"/>
              </w:rPr>
              <w:t>Criterios formales:</w:t>
            </w:r>
          </w:p>
          <w:p w14:paraId="6CC53BB7" w14:textId="77777777" w:rsidR="00331A82" w:rsidRPr="00A0065F" w:rsidRDefault="00331A82" w:rsidP="00CF5D13">
            <w:pPr>
              <w:pStyle w:val="ListParagraph"/>
              <w:ind w:left="459"/>
              <w:contextualSpacing w:val="0"/>
              <w:jc w:val="both"/>
              <w:rPr>
                <w:sz w:val="20"/>
              </w:rPr>
            </w:pP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6590BFF6" w14:textId="77777777" w:rsidR="00331A82" w:rsidRPr="00A0065F" w:rsidRDefault="00331A82" w:rsidP="00CF5D13">
            <w:pPr>
              <w:jc w:val="both"/>
              <w:rPr>
                <w:sz w:val="20"/>
              </w:rPr>
            </w:pPr>
          </w:p>
          <w:p w14:paraId="7D212119" w14:textId="77777777" w:rsidR="00331A82" w:rsidRPr="00A0065F" w:rsidRDefault="00331A82" w:rsidP="00CF5D13">
            <w:pPr>
              <w:jc w:val="both"/>
              <w:rPr>
                <w:sz w:val="20"/>
              </w:rPr>
            </w:pPr>
            <w:r w:rsidRPr="00A0065F">
              <w:rPr>
                <w:sz w:val="20"/>
              </w:rPr>
              <w:t>¿Cómo está conformado un expediente de solicitud de patente?</w:t>
            </w:r>
          </w:p>
          <w:p w14:paraId="7AFFA906" w14:textId="77777777" w:rsidR="00331A82" w:rsidRPr="00A0065F" w:rsidRDefault="00331A82" w:rsidP="00CF5D13">
            <w:pPr>
              <w:jc w:val="both"/>
              <w:rPr>
                <w:sz w:val="20"/>
              </w:rPr>
            </w:pPr>
            <w:r w:rsidRPr="00A0065F">
              <w:rPr>
                <w:sz w:val="20"/>
              </w:rPr>
              <w:t>Generalidades para realizar examen de Fondo</w:t>
            </w:r>
          </w:p>
          <w:p w14:paraId="3D044F94" w14:textId="77777777" w:rsidR="00331A82" w:rsidRPr="00A0065F" w:rsidRDefault="00331A82" w:rsidP="00CF5D13">
            <w:pPr>
              <w:jc w:val="both"/>
              <w:rPr>
                <w:b/>
                <w:bCs/>
                <w:sz w:val="20"/>
              </w:rPr>
            </w:pPr>
            <w:r w:rsidRPr="00A0065F">
              <w:rPr>
                <w:sz w:val="20"/>
              </w:rPr>
              <w:t>Asignar a cada participante 5 expedientes de solicitudes de patente. Se entregará copia del Acuerdo que establece las reglas para la presentación de solicitudes ante el IMPI.</w:t>
            </w:r>
          </w:p>
        </w:tc>
      </w:tr>
      <w:tr w:rsidR="00331A82" w:rsidRPr="00595DCA" w14:paraId="7508CF68"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81"/>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31632091" w14:textId="67C97210" w:rsidR="00331A82" w:rsidRPr="00A0065F" w:rsidRDefault="00331A82" w:rsidP="00CF5D13">
            <w:pPr>
              <w:pStyle w:val="ListParagraph"/>
              <w:numPr>
                <w:ilvl w:val="2"/>
                <w:numId w:val="10"/>
              </w:numPr>
              <w:ind w:left="601" w:hanging="436"/>
              <w:contextualSpacing w:val="0"/>
              <w:jc w:val="both"/>
              <w:rPr>
                <w:sz w:val="20"/>
              </w:rPr>
            </w:pPr>
            <w:r w:rsidRPr="00A0065F">
              <w:rPr>
                <w:sz w:val="20"/>
              </w:rPr>
              <w:t>Revisión</w:t>
            </w:r>
            <w:r w:rsidR="003D7287">
              <w:rPr>
                <w:sz w:val="20"/>
              </w:rPr>
              <w:t xml:space="preserve"> </w:t>
            </w:r>
            <w:r w:rsidRPr="00A0065F">
              <w:rPr>
                <w:sz w:val="20"/>
              </w:rPr>
              <w:t>de la descripción:</w:t>
            </w:r>
          </w:p>
          <w:p w14:paraId="42E539C3" w14:textId="77777777" w:rsidR="00331A82" w:rsidRPr="00A0065F" w:rsidRDefault="00331A82" w:rsidP="00CF5D13">
            <w:pPr>
              <w:ind w:left="1168" w:hanging="621"/>
              <w:jc w:val="both"/>
              <w:rPr>
                <w:rFonts w:eastAsiaTheme="minorHAnsi"/>
                <w:sz w:val="20"/>
                <w:lang w:val="es-MX"/>
              </w:rPr>
            </w:pPr>
            <w:r w:rsidRPr="00A0065F">
              <w:rPr>
                <w:rFonts w:eastAsiaTheme="minorHAnsi"/>
                <w:sz w:val="20"/>
                <w:lang w:val="es-MX"/>
              </w:rPr>
              <w:t>Área tecnológica</w:t>
            </w:r>
          </w:p>
          <w:p w14:paraId="6EE5B492" w14:textId="77777777" w:rsidR="00331A82" w:rsidRPr="00A0065F" w:rsidRDefault="00331A82" w:rsidP="00CF5D13">
            <w:pPr>
              <w:ind w:left="1168" w:hanging="621"/>
              <w:jc w:val="both"/>
              <w:rPr>
                <w:rFonts w:eastAsiaTheme="minorHAnsi"/>
                <w:sz w:val="20"/>
                <w:lang w:val="es-MX"/>
              </w:rPr>
            </w:pPr>
            <w:r w:rsidRPr="00A0065F">
              <w:rPr>
                <w:rFonts w:eastAsiaTheme="minorHAnsi"/>
                <w:sz w:val="20"/>
                <w:lang w:val="es-MX"/>
              </w:rPr>
              <w:t>Antecedentes</w:t>
            </w:r>
          </w:p>
          <w:p w14:paraId="7D4D30DC" w14:textId="77777777" w:rsidR="00331A82" w:rsidRPr="00A0065F" w:rsidRDefault="00331A82" w:rsidP="00CF5D13">
            <w:pPr>
              <w:ind w:left="1168" w:hanging="621"/>
              <w:jc w:val="both"/>
              <w:rPr>
                <w:rFonts w:eastAsiaTheme="minorHAnsi"/>
                <w:sz w:val="20"/>
                <w:lang w:val="es-MX"/>
              </w:rPr>
            </w:pPr>
            <w:r w:rsidRPr="00A0065F">
              <w:rPr>
                <w:rFonts w:eastAsiaTheme="minorHAnsi"/>
                <w:sz w:val="20"/>
                <w:lang w:val="es-MX"/>
              </w:rPr>
              <w:t>Descripción de los dibujos</w:t>
            </w:r>
          </w:p>
          <w:p w14:paraId="15585073" w14:textId="77777777" w:rsidR="00331A82" w:rsidRPr="00A0065F" w:rsidRDefault="00331A82" w:rsidP="00CF5D13">
            <w:pPr>
              <w:ind w:left="1168" w:hanging="621"/>
              <w:jc w:val="both"/>
              <w:rPr>
                <w:b/>
                <w:bCs/>
                <w:sz w:val="20"/>
              </w:rPr>
            </w:pPr>
            <w:r w:rsidRPr="00A0065F">
              <w:rPr>
                <w:rFonts w:eastAsiaTheme="minorHAnsi"/>
                <w:sz w:val="20"/>
                <w:lang w:val="es-MX"/>
              </w:rPr>
              <w:t>Ejemplos</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78130E3C" w14:textId="77777777" w:rsidR="00331A82" w:rsidRPr="00A0065F" w:rsidRDefault="00331A82" w:rsidP="00CF5D13">
            <w:pPr>
              <w:tabs>
                <w:tab w:val="left" w:pos="972"/>
              </w:tabs>
              <w:jc w:val="both"/>
              <w:rPr>
                <w:sz w:val="20"/>
              </w:rPr>
            </w:pPr>
            <w:r w:rsidRPr="00A0065F">
              <w:rPr>
                <w:sz w:val="20"/>
              </w:rPr>
              <w:t>Explicar el propósito de la descripción:</w:t>
            </w:r>
          </w:p>
          <w:p w14:paraId="0E16186C" w14:textId="77777777" w:rsidR="00331A82" w:rsidRPr="00A0065F" w:rsidRDefault="00331A82" w:rsidP="00CF5D13">
            <w:pPr>
              <w:pStyle w:val="ListParagraph"/>
              <w:numPr>
                <w:ilvl w:val="0"/>
                <w:numId w:val="12"/>
              </w:numPr>
              <w:tabs>
                <w:tab w:val="left" w:pos="972"/>
              </w:tabs>
              <w:ind w:left="180" w:hanging="142"/>
              <w:contextualSpacing w:val="0"/>
              <w:jc w:val="both"/>
              <w:rPr>
                <w:sz w:val="20"/>
              </w:rPr>
            </w:pPr>
            <w:r w:rsidRPr="00A0065F">
              <w:rPr>
                <w:sz w:val="20"/>
              </w:rPr>
              <w:t>explicar lo que debe ser revisado</w:t>
            </w:r>
          </w:p>
          <w:p w14:paraId="00B3AE32" w14:textId="038BD1C4" w:rsidR="00331A82" w:rsidRPr="00A0065F" w:rsidRDefault="00331A82" w:rsidP="00CF5D13">
            <w:pPr>
              <w:pStyle w:val="ListParagraph"/>
              <w:numPr>
                <w:ilvl w:val="0"/>
                <w:numId w:val="12"/>
              </w:numPr>
              <w:tabs>
                <w:tab w:val="left" w:pos="972"/>
              </w:tabs>
              <w:ind w:left="180" w:hanging="142"/>
              <w:contextualSpacing w:val="0"/>
              <w:jc w:val="both"/>
              <w:rPr>
                <w:sz w:val="20"/>
              </w:rPr>
            </w:pPr>
            <w:r w:rsidRPr="00A0065F">
              <w:rPr>
                <w:sz w:val="20"/>
              </w:rPr>
              <w:t>utilizar un caso tipo, enseñar como debe realizarse la</w:t>
            </w:r>
            <w:r w:rsidR="003D7287">
              <w:rPr>
                <w:sz w:val="20"/>
              </w:rPr>
              <w:t xml:space="preserve"> </w:t>
            </w:r>
            <w:r w:rsidRPr="00A0065F">
              <w:rPr>
                <w:sz w:val="20"/>
              </w:rPr>
              <w:t>revisión</w:t>
            </w:r>
            <w:r w:rsidR="003D7287">
              <w:rPr>
                <w:sz w:val="20"/>
              </w:rPr>
              <w:t xml:space="preserve"> </w:t>
            </w:r>
          </w:p>
          <w:p w14:paraId="082E682B" w14:textId="77777777" w:rsidR="00331A82" w:rsidRPr="00A0065F" w:rsidRDefault="00331A82" w:rsidP="00CF5D13">
            <w:pPr>
              <w:pStyle w:val="ListParagraph"/>
              <w:numPr>
                <w:ilvl w:val="0"/>
                <w:numId w:val="12"/>
              </w:numPr>
              <w:tabs>
                <w:tab w:val="left" w:pos="972"/>
              </w:tabs>
              <w:ind w:left="180" w:hanging="142"/>
              <w:contextualSpacing w:val="0"/>
              <w:jc w:val="both"/>
              <w:rPr>
                <w:sz w:val="20"/>
              </w:rPr>
            </w:pPr>
            <w:r w:rsidRPr="00A0065F">
              <w:rPr>
                <w:sz w:val="20"/>
              </w:rPr>
              <w:t>trabajar en el expediente revisando únicamente la descripción</w:t>
            </w:r>
          </w:p>
          <w:p w14:paraId="775EEF58" w14:textId="77777777" w:rsidR="00331A82" w:rsidRPr="00A0065F" w:rsidRDefault="00331A82" w:rsidP="00CF5D13">
            <w:pPr>
              <w:pStyle w:val="ListParagraph"/>
              <w:numPr>
                <w:ilvl w:val="0"/>
                <w:numId w:val="12"/>
              </w:numPr>
              <w:tabs>
                <w:tab w:val="left" w:pos="972"/>
              </w:tabs>
              <w:ind w:left="180" w:hanging="142"/>
              <w:contextualSpacing w:val="0"/>
              <w:jc w:val="both"/>
              <w:rPr>
                <w:sz w:val="20"/>
              </w:rPr>
            </w:pPr>
            <w:r w:rsidRPr="00A0065F">
              <w:rPr>
                <w:sz w:val="20"/>
              </w:rPr>
              <w:t>pedir a los participantes anotar todas las observaciones</w:t>
            </w:r>
          </w:p>
          <w:p w14:paraId="1010F161" w14:textId="77777777" w:rsidR="00331A82" w:rsidRPr="00A0065F" w:rsidRDefault="00331A82" w:rsidP="00CF5D13">
            <w:pPr>
              <w:pStyle w:val="ListParagraph"/>
              <w:numPr>
                <w:ilvl w:val="0"/>
                <w:numId w:val="12"/>
              </w:numPr>
              <w:tabs>
                <w:tab w:val="left" w:pos="972"/>
              </w:tabs>
              <w:ind w:left="180" w:hanging="142"/>
              <w:contextualSpacing w:val="0"/>
              <w:jc w:val="both"/>
              <w:rPr>
                <w:sz w:val="20"/>
              </w:rPr>
            </w:pPr>
            <w:r w:rsidRPr="00A0065F">
              <w:rPr>
                <w:sz w:val="20"/>
              </w:rPr>
              <w:t>en caso de dudas el instructor dará una explicación a todos los participantes</w:t>
            </w:r>
          </w:p>
        </w:tc>
      </w:tr>
      <w:tr w:rsidR="00331A82" w:rsidRPr="00595DCA" w14:paraId="57AD0AC5"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79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6E09B952" w14:textId="77777777" w:rsidR="00331A82" w:rsidRPr="00A0065F" w:rsidRDefault="00331A82" w:rsidP="00CF5D13">
            <w:pPr>
              <w:pStyle w:val="ListParagraph"/>
              <w:numPr>
                <w:ilvl w:val="2"/>
                <w:numId w:val="10"/>
              </w:numPr>
              <w:ind w:left="601" w:hanging="436"/>
              <w:contextualSpacing w:val="0"/>
              <w:jc w:val="both"/>
              <w:rPr>
                <w:sz w:val="20"/>
              </w:rPr>
            </w:pPr>
            <w:r w:rsidRPr="00A0065F">
              <w:rPr>
                <w:sz w:val="20"/>
              </w:rPr>
              <w:t>Revisión de las figuras:</w:t>
            </w:r>
          </w:p>
          <w:p w14:paraId="06177867" w14:textId="77777777" w:rsidR="00331A82" w:rsidRPr="00A0065F" w:rsidRDefault="00331A82" w:rsidP="00CF5D13">
            <w:pPr>
              <w:pStyle w:val="ListParagraph"/>
              <w:ind w:left="601"/>
              <w:contextualSpacing w:val="0"/>
              <w:jc w:val="both"/>
              <w:rPr>
                <w:sz w:val="20"/>
              </w:rPr>
            </w:pPr>
            <w:r w:rsidRPr="00A0065F">
              <w:rPr>
                <w:sz w:val="20"/>
              </w:rPr>
              <w:t>explicar el propósito de las figuras</w:t>
            </w:r>
          </w:p>
          <w:p w14:paraId="4D72B366" w14:textId="77777777" w:rsidR="00331A82" w:rsidRPr="00A0065F" w:rsidRDefault="00331A82" w:rsidP="00CF5D13">
            <w:pPr>
              <w:pStyle w:val="ListParagraph"/>
              <w:ind w:left="601"/>
              <w:contextualSpacing w:val="0"/>
              <w:jc w:val="both"/>
              <w:rPr>
                <w:b/>
                <w:bCs/>
                <w:sz w:val="20"/>
              </w:rPr>
            </w:pPr>
            <w:r w:rsidRPr="00A0065F">
              <w:rPr>
                <w:sz w:val="20"/>
              </w:rPr>
              <w:t>explicar lo que debe ser revisado</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445941CC" w14:textId="77777777" w:rsidR="00331A82" w:rsidRPr="00A0065F" w:rsidRDefault="00331A82" w:rsidP="00CF5D13">
            <w:pPr>
              <w:ind w:left="227" w:hanging="227"/>
              <w:jc w:val="both"/>
              <w:rPr>
                <w:rFonts w:eastAsiaTheme="minorHAnsi"/>
                <w:sz w:val="20"/>
                <w:lang w:val="es-MX"/>
              </w:rPr>
            </w:pPr>
            <w:r w:rsidRPr="00A0065F">
              <w:rPr>
                <w:rFonts w:eastAsiaTheme="minorHAnsi"/>
                <w:sz w:val="20"/>
                <w:lang w:val="es-MX"/>
              </w:rPr>
              <w:t>Reglas de presentación para figuras</w:t>
            </w:r>
          </w:p>
          <w:p w14:paraId="2F3DFE9C" w14:textId="03AD2119" w:rsidR="00331A82" w:rsidRPr="00A0065F" w:rsidRDefault="00331A82" w:rsidP="00CF5D13">
            <w:pPr>
              <w:pStyle w:val="ListParagraph"/>
              <w:numPr>
                <w:ilvl w:val="0"/>
                <w:numId w:val="12"/>
              </w:numPr>
              <w:tabs>
                <w:tab w:val="left" w:pos="972"/>
              </w:tabs>
              <w:ind w:left="180" w:hanging="142"/>
              <w:contextualSpacing w:val="0"/>
              <w:jc w:val="both"/>
              <w:rPr>
                <w:sz w:val="20"/>
              </w:rPr>
            </w:pPr>
            <w:r w:rsidRPr="00A0065F">
              <w:rPr>
                <w:sz w:val="20"/>
              </w:rPr>
              <w:t>utilizar un caso tipo, enseñar como debe realizarse la</w:t>
            </w:r>
            <w:r w:rsidR="003D7287">
              <w:rPr>
                <w:sz w:val="20"/>
              </w:rPr>
              <w:t xml:space="preserve"> </w:t>
            </w:r>
            <w:r w:rsidRPr="00A0065F">
              <w:rPr>
                <w:sz w:val="20"/>
              </w:rPr>
              <w:t>revisión</w:t>
            </w:r>
            <w:r w:rsidR="003D7287">
              <w:rPr>
                <w:sz w:val="20"/>
              </w:rPr>
              <w:t xml:space="preserve"> </w:t>
            </w:r>
          </w:p>
          <w:p w14:paraId="785D75CB" w14:textId="77777777" w:rsidR="00331A82" w:rsidRPr="00A0065F" w:rsidRDefault="00331A82" w:rsidP="00CF5D13">
            <w:pPr>
              <w:pStyle w:val="ListParagraph"/>
              <w:numPr>
                <w:ilvl w:val="0"/>
                <w:numId w:val="12"/>
              </w:numPr>
              <w:tabs>
                <w:tab w:val="left" w:pos="972"/>
              </w:tabs>
              <w:ind w:left="180" w:hanging="142"/>
              <w:contextualSpacing w:val="0"/>
              <w:jc w:val="both"/>
              <w:rPr>
                <w:sz w:val="20"/>
              </w:rPr>
            </w:pPr>
            <w:r w:rsidRPr="00A0065F">
              <w:rPr>
                <w:sz w:val="20"/>
              </w:rPr>
              <w:t>trabajar en el expediente revisando únicamente la descripción</w:t>
            </w:r>
          </w:p>
          <w:p w14:paraId="347CE5C2" w14:textId="77777777" w:rsidR="00331A82" w:rsidRPr="00A0065F" w:rsidRDefault="00331A82" w:rsidP="00CF5D13">
            <w:pPr>
              <w:pStyle w:val="ListParagraph"/>
              <w:numPr>
                <w:ilvl w:val="0"/>
                <w:numId w:val="12"/>
              </w:numPr>
              <w:tabs>
                <w:tab w:val="left" w:pos="972"/>
              </w:tabs>
              <w:ind w:left="180" w:hanging="142"/>
              <w:contextualSpacing w:val="0"/>
              <w:jc w:val="both"/>
              <w:rPr>
                <w:sz w:val="20"/>
              </w:rPr>
            </w:pPr>
            <w:r w:rsidRPr="00A0065F">
              <w:rPr>
                <w:sz w:val="20"/>
              </w:rPr>
              <w:t xml:space="preserve">pedir a los participantes anotar todas las observaciones </w:t>
            </w:r>
          </w:p>
          <w:p w14:paraId="36870471" w14:textId="77777777" w:rsidR="00331A82" w:rsidRPr="00A0065F" w:rsidRDefault="00331A82" w:rsidP="00CF5D13">
            <w:pPr>
              <w:pStyle w:val="ListParagraph"/>
              <w:numPr>
                <w:ilvl w:val="0"/>
                <w:numId w:val="12"/>
              </w:numPr>
              <w:tabs>
                <w:tab w:val="left" w:pos="972"/>
              </w:tabs>
              <w:ind w:left="180" w:hanging="142"/>
              <w:contextualSpacing w:val="0"/>
              <w:jc w:val="both"/>
              <w:rPr>
                <w:sz w:val="20"/>
              </w:rPr>
            </w:pPr>
            <w:r w:rsidRPr="00A0065F">
              <w:rPr>
                <w:sz w:val="20"/>
              </w:rPr>
              <w:t>en caso de dudas el instructor dará una explicación a todos los participantes</w:t>
            </w:r>
          </w:p>
          <w:p w14:paraId="74C22908" w14:textId="77777777" w:rsidR="00331A82" w:rsidRPr="00A0065F" w:rsidRDefault="00331A82" w:rsidP="00CF5D13">
            <w:pPr>
              <w:ind w:left="227" w:hanging="227"/>
              <w:jc w:val="both"/>
              <w:rPr>
                <w:b/>
                <w:bCs/>
                <w:sz w:val="20"/>
              </w:rPr>
            </w:pPr>
          </w:p>
        </w:tc>
      </w:tr>
      <w:tr w:rsidR="00331A82" w:rsidRPr="00595DCA" w14:paraId="5DED8312"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86"/>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248312F1" w14:textId="77777777" w:rsidR="00331A82" w:rsidRPr="00A0065F" w:rsidRDefault="00331A82" w:rsidP="00CF5D13">
            <w:pPr>
              <w:pStyle w:val="ListParagraph"/>
              <w:ind w:left="459" w:hanging="283"/>
              <w:contextualSpacing w:val="0"/>
              <w:jc w:val="both"/>
              <w:rPr>
                <w:rFonts w:eastAsiaTheme="minorEastAsia"/>
                <w:sz w:val="20"/>
              </w:rPr>
            </w:pPr>
            <w:r w:rsidRPr="00A0065F">
              <w:rPr>
                <w:rFonts w:eastAsiaTheme="minorEastAsia"/>
                <w:sz w:val="20"/>
              </w:rPr>
              <w:t>2.2.3. Revisión de las reivindicaciones:</w:t>
            </w:r>
          </w:p>
          <w:p w14:paraId="537A6631" w14:textId="77777777" w:rsidR="00331A82" w:rsidRPr="00A0065F" w:rsidRDefault="00331A82" w:rsidP="00CF5D13">
            <w:pPr>
              <w:pStyle w:val="ListParagraph"/>
              <w:ind w:left="601"/>
              <w:contextualSpacing w:val="0"/>
              <w:jc w:val="both"/>
              <w:rPr>
                <w:sz w:val="20"/>
              </w:rPr>
            </w:pPr>
            <w:r w:rsidRPr="00A0065F">
              <w:rPr>
                <w:sz w:val="20"/>
              </w:rPr>
              <w:t>explicar el propósito de las reivindicaciones</w:t>
            </w:r>
          </w:p>
          <w:p w14:paraId="19AF39F3" w14:textId="77777777" w:rsidR="00331A82" w:rsidRPr="00A0065F" w:rsidRDefault="00331A82" w:rsidP="00CF5D13">
            <w:pPr>
              <w:pStyle w:val="ListParagraph"/>
              <w:ind w:left="601"/>
              <w:contextualSpacing w:val="0"/>
              <w:jc w:val="both"/>
              <w:rPr>
                <w:rFonts w:eastAsiaTheme="minorEastAsia"/>
                <w:sz w:val="20"/>
              </w:rPr>
            </w:pPr>
            <w:r w:rsidRPr="00A0065F">
              <w:rPr>
                <w:sz w:val="20"/>
              </w:rPr>
              <w:t>explicar lo que debe ser revisado</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724ED213" w14:textId="77777777" w:rsidR="00331A82" w:rsidRPr="00A0065F" w:rsidRDefault="00331A82" w:rsidP="00CF5D13">
            <w:pPr>
              <w:jc w:val="both"/>
              <w:rPr>
                <w:rFonts w:eastAsiaTheme="minorHAnsi"/>
                <w:sz w:val="20"/>
                <w:lang w:val="es-MX"/>
              </w:rPr>
            </w:pPr>
            <w:r w:rsidRPr="00A0065F">
              <w:rPr>
                <w:rFonts w:eastAsiaTheme="minorHAnsi"/>
                <w:sz w:val="20"/>
                <w:lang w:val="es-MX"/>
              </w:rPr>
              <w:t>Reglas de presentación para reivindicaciones</w:t>
            </w:r>
          </w:p>
          <w:p w14:paraId="54DE28F3" w14:textId="64927CFC" w:rsidR="00331A82" w:rsidRPr="00A0065F" w:rsidRDefault="00331A82" w:rsidP="00CF5D13">
            <w:pPr>
              <w:pStyle w:val="ListParagraph"/>
              <w:numPr>
                <w:ilvl w:val="0"/>
                <w:numId w:val="12"/>
              </w:numPr>
              <w:tabs>
                <w:tab w:val="left" w:pos="972"/>
              </w:tabs>
              <w:ind w:left="180" w:hanging="142"/>
              <w:contextualSpacing w:val="0"/>
              <w:jc w:val="both"/>
              <w:rPr>
                <w:sz w:val="20"/>
              </w:rPr>
            </w:pPr>
            <w:r w:rsidRPr="00A0065F">
              <w:rPr>
                <w:sz w:val="20"/>
              </w:rPr>
              <w:t>utilizar un caso tipo, enseñar como debe realizarse la</w:t>
            </w:r>
            <w:r w:rsidR="003D7287">
              <w:rPr>
                <w:sz w:val="20"/>
              </w:rPr>
              <w:t xml:space="preserve"> </w:t>
            </w:r>
            <w:r w:rsidRPr="00A0065F">
              <w:rPr>
                <w:sz w:val="20"/>
              </w:rPr>
              <w:t>revisión</w:t>
            </w:r>
            <w:r w:rsidR="003D7287">
              <w:rPr>
                <w:sz w:val="20"/>
              </w:rPr>
              <w:t xml:space="preserve"> </w:t>
            </w:r>
          </w:p>
          <w:p w14:paraId="69D5CA77" w14:textId="77777777" w:rsidR="00331A82" w:rsidRPr="00A0065F" w:rsidRDefault="00331A82" w:rsidP="00CF5D13">
            <w:pPr>
              <w:pStyle w:val="ListParagraph"/>
              <w:numPr>
                <w:ilvl w:val="0"/>
                <w:numId w:val="12"/>
              </w:numPr>
              <w:tabs>
                <w:tab w:val="left" w:pos="972"/>
              </w:tabs>
              <w:ind w:left="180" w:hanging="142"/>
              <w:contextualSpacing w:val="0"/>
              <w:jc w:val="both"/>
              <w:rPr>
                <w:sz w:val="20"/>
              </w:rPr>
            </w:pPr>
            <w:r w:rsidRPr="00A0065F">
              <w:rPr>
                <w:sz w:val="20"/>
              </w:rPr>
              <w:t>trabajar en el expediente revisando únicamente la descripción</w:t>
            </w:r>
          </w:p>
          <w:p w14:paraId="49C52F6A" w14:textId="77777777" w:rsidR="00331A82" w:rsidRPr="00A0065F" w:rsidRDefault="00331A82" w:rsidP="00CF5D13">
            <w:pPr>
              <w:pStyle w:val="ListParagraph"/>
              <w:numPr>
                <w:ilvl w:val="0"/>
                <w:numId w:val="12"/>
              </w:numPr>
              <w:tabs>
                <w:tab w:val="left" w:pos="972"/>
              </w:tabs>
              <w:ind w:left="180" w:hanging="142"/>
              <w:contextualSpacing w:val="0"/>
              <w:jc w:val="both"/>
              <w:rPr>
                <w:sz w:val="20"/>
              </w:rPr>
            </w:pPr>
            <w:r w:rsidRPr="00A0065F">
              <w:rPr>
                <w:sz w:val="20"/>
              </w:rPr>
              <w:t xml:space="preserve">pedir a los participantes anotar todas las observaciones </w:t>
            </w:r>
          </w:p>
          <w:p w14:paraId="2CB8DCD6" w14:textId="77777777" w:rsidR="00331A82" w:rsidRPr="00A0065F" w:rsidRDefault="00331A82" w:rsidP="00CF5D13">
            <w:pPr>
              <w:pStyle w:val="ListParagraph"/>
              <w:numPr>
                <w:ilvl w:val="0"/>
                <w:numId w:val="12"/>
              </w:numPr>
              <w:tabs>
                <w:tab w:val="left" w:pos="972"/>
              </w:tabs>
              <w:ind w:left="180" w:hanging="142"/>
              <w:contextualSpacing w:val="0"/>
              <w:jc w:val="both"/>
              <w:rPr>
                <w:sz w:val="20"/>
              </w:rPr>
            </w:pPr>
            <w:r w:rsidRPr="00A0065F">
              <w:rPr>
                <w:sz w:val="20"/>
              </w:rPr>
              <w:t>en caso de dudas el instructor dará una explicación a todos los participantes</w:t>
            </w:r>
          </w:p>
          <w:p w14:paraId="4AFCC3BA" w14:textId="77777777" w:rsidR="00331A82" w:rsidRPr="00A0065F" w:rsidRDefault="00331A82" w:rsidP="00CF5D13">
            <w:pPr>
              <w:jc w:val="both"/>
              <w:rPr>
                <w:sz w:val="20"/>
              </w:rPr>
            </w:pPr>
          </w:p>
        </w:tc>
      </w:tr>
      <w:tr w:rsidR="00331A82" w:rsidRPr="00595DCA" w14:paraId="38EDEA70"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2"/>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7BCA34D5" w14:textId="77777777" w:rsidR="00331A82" w:rsidRPr="00A0065F" w:rsidRDefault="00331A82" w:rsidP="00CF5D13">
            <w:pPr>
              <w:ind w:left="318" w:hanging="142"/>
              <w:jc w:val="both"/>
              <w:rPr>
                <w:sz w:val="20"/>
              </w:rPr>
            </w:pPr>
            <w:r w:rsidRPr="00A0065F">
              <w:rPr>
                <w:sz w:val="20"/>
              </w:rPr>
              <w:t>2.2.4</w:t>
            </w:r>
            <w:r w:rsidRPr="00A0065F">
              <w:rPr>
                <w:b/>
                <w:bCs/>
                <w:sz w:val="20"/>
              </w:rPr>
              <w:t xml:space="preserve"> </w:t>
            </w:r>
            <w:r w:rsidRPr="00A0065F">
              <w:rPr>
                <w:sz w:val="20"/>
              </w:rPr>
              <w:t>Revisión del título:</w:t>
            </w:r>
          </w:p>
          <w:p w14:paraId="1759D3C8" w14:textId="77777777" w:rsidR="00331A82" w:rsidRPr="00A0065F" w:rsidRDefault="00331A82" w:rsidP="00CF5D13">
            <w:pPr>
              <w:pStyle w:val="ListParagraph"/>
              <w:ind w:left="601"/>
              <w:contextualSpacing w:val="0"/>
              <w:jc w:val="both"/>
              <w:rPr>
                <w:sz w:val="20"/>
              </w:rPr>
            </w:pPr>
            <w:r w:rsidRPr="00A0065F">
              <w:rPr>
                <w:sz w:val="20"/>
              </w:rPr>
              <w:t>explicar el propósito del título</w:t>
            </w:r>
          </w:p>
          <w:p w14:paraId="6C1E51A2" w14:textId="77777777" w:rsidR="00331A82" w:rsidRPr="00A0065F" w:rsidRDefault="00331A82" w:rsidP="00CF5D13">
            <w:pPr>
              <w:pStyle w:val="ListParagraph"/>
              <w:tabs>
                <w:tab w:val="left" w:pos="514"/>
              </w:tabs>
              <w:ind w:left="819"/>
              <w:contextualSpacing w:val="0"/>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622E939C" w14:textId="77777777" w:rsidR="00331A82" w:rsidRPr="00A0065F" w:rsidRDefault="00331A82" w:rsidP="00CF5D13">
            <w:pPr>
              <w:ind w:left="227" w:hanging="227"/>
              <w:jc w:val="both"/>
              <w:rPr>
                <w:rFonts w:eastAsiaTheme="minorHAnsi"/>
                <w:sz w:val="20"/>
                <w:lang w:val="es-MX"/>
              </w:rPr>
            </w:pPr>
            <w:r w:rsidRPr="00A0065F">
              <w:rPr>
                <w:rFonts w:eastAsiaTheme="minorHAnsi"/>
                <w:sz w:val="20"/>
                <w:lang w:val="es-MX"/>
              </w:rPr>
              <w:t>Reglas de presentación para título</w:t>
            </w:r>
          </w:p>
          <w:p w14:paraId="2FE1A6E8" w14:textId="3B07AF9B" w:rsidR="00331A82" w:rsidRPr="00A0065F" w:rsidRDefault="00331A82" w:rsidP="00CF5D13">
            <w:pPr>
              <w:pStyle w:val="ListParagraph"/>
              <w:numPr>
                <w:ilvl w:val="0"/>
                <w:numId w:val="12"/>
              </w:numPr>
              <w:tabs>
                <w:tab w:val="left" w:pos="972"/>
              </w:tabs>
              <w:ind w:left="180" w:hanging="142"/>
              <w:contextualSpacing w:val="0"/>
              <w:jc w:val="both"/>
              <w:rPr>
                <w:sz w:val="20"/>
              </w:rPr>
            </w:pPr>
            <w:r w:rsidRPr="00A0065F">
              <w:rPr>
                <w:sz w:val="20"/>
              </w:rPr>
              <w:t>utilizar un caso tipo, enseñar como debe realizarse la</w:t>
            </w:r>
            <w:r w:rsidR="003D7287">
              <w:rPr>
                <w:sz w:val="20"/>
              </w:rPr>
              <w:t xml:space="preserve"> </w:t>
            </w:r>
            <w:r w:rsidRPr="00A0065F">
              <w:rPr>
                <w:sz w:val="20"/>
              </w:rPr>
              <w:t>revisión</w:t>
            </w:r>
            <w:r w:rsidR="003D7287">
              <w:rPr>
                <w:sz w:val="20"/>
              </w:rPr>
              <w:t xml:space="preserve"> </w:t>
            </w:r>
          </w:p>
          <w:p w14:paraId="7ECCE6F2" w14:textId="77777777" w:rsidR="00331A82" w:rsidRPr="00A0065F" w:rsidRDefault="00331A82" w:rsidP="00CF5D13">
            <w:pPr>
              <w:pStyle w:val="ListParagraph"/>
              <w:numPr>
                <w:ilvl w:val="0"/>
                <w:numId w:val="12"/>
              </w:numPr>
              <w:tabs>
                <w:tab w:val="left" w:pos="972"/>
              </w:tabs>
              <w:ind w:left="180" w:hanging="142"/>
              <w:contextualSpacing w:val="0"/>
              <w:jc w:val="both"/>
              <w:rPr>
                <w:sz w:val="20"/>
              </w:rPr>
            </w:pPr>
            <w:r w:rsidRPr="00A0065F">
              <w:rPr>
                <w:sz w:val="20"/>
              </w:rPr>
              <w:t>trabajar en el expediente revisando únicamente la descripción</w:t>
            </w:r>
          </w:p>
          <w:p w14:paraId="15C4DBDC" w14:textId="77777777" w:rsidR="00331A82" w:rsidRPr="00A0065F" w:rsidRDefault="00331A82" w:rsidP="00CF5D13">
            <w:pPr>
              <w:pStyle w:val="ListParagraph"/>
              <w:numPr>
                <w:ilvl w:val="0"/>
                <w:numId w:val="12"/>
              </w:numPr>
              <w:tabs>
                <w:tab w:val="left" w:pos="972"/>
              </w:tabs>
              <w:ind w:left="180" w:hanging="142"/>
              <w:contextualSpacing w:val="0"/>
              <w:jc w:val="both"/>
              <w:rPr>
                <w:sz w:val="20"/>
              </w:rPr>
            </w:pPr>
            <w:r w:rsidRPr="00A0065F">
              <w:rPr>
                <w:sz w:val="20"/>
              </w:rPr>
              <w:t xml:space="preserve">pedir a los participantes anotar todas las observaciones </w:t>
            </w:r>
          </w:p>
          <w:p w14:paraId="3C3349D5" w14:textId="77777777" w:rsidR="00331A82" w:rsidRPr="00A0065F" w:rsidRDefault="00331A82" w:rsidP="00CF5D13">
            <w:pPr>
              <w:pStyle w:val="ListParagraph"/>
              <w:numPr>
                <w:ilvl w:val="0"/>
                <w:numId w:val="12"/>
              </w:numPr>
              <w:tabs>
                <w:tab w:val="left" w:pos="972"/>
              </w:tabs>
              <w:ind w:left="180" w:hanging="142"/>
              <w:contextualSpacing w:val="0"/>
              <w:jc w:val="both"/>
              <w:rPr>
                <w:sz w:val="20"/>
              </w:rPr>
            </w:pPr>
            <w:r w:rsidRPr="00A0065F">
              <w:rPr>
                <w:sz w:val="20"/>
              </w:rPr>
              <w:t>en caso de dudas el instructor dará una explicación a todos los participantes</w:t>
            </w:r>
          </w:p>
          <w:p w14:paraId="16A45217" w14:textId="77777777" w:rsidR="00331A82" w:rsidRPr="00A0065F" w:rsidRDefault="00331A82" w:rsidP="00CF5D13">
            <w:pPr>
              <w:ind w:left="38" w:hanging="38"/>
              <w:rPr>
                <w:b/>
                <w:bCs/>
                <w:sz w:val="20"/>
              </w:rPr>
            </w:pPr>
          </w:p>
        </w:tc>
      </w:tr>
      <w:tr w:rsidR="00331A82" w:rsidRPr="00595DCA" w14:paraId="45C86573"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2"/>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1A47995D" w14:textId="77777777" w:rsidR="00331A82" w:rsidRPr="00A0065F" w:rsidRDefault="00331A82" w:rsidP="00CF5D13">
            <w:pPr>
              <w:pStyle w:val="ListParagraph"/>
              <w:ind w:left="459" w:hanging="283"/>
              <w:contextualSpacing w:val="0"/>
              <w:jc w:val="both"/>
              <w:rPr>
                <w:rFonts w:eastAsiaTheme="minorEastAsia"/>
                <w:sz w:val="20"/>
              </w:rPr>
            </w:pPr>
            <w:r w:rsidRPr="00A0065F">
              <w:rPr>
                <w:sz w:val="20"/>
              </w:rPr>
              <w:t>2.2.5</w:t>
            </w:r>
            <w:r w:rsidRPr="00A0065F">
              <w:rPr>
                <w:b/>
                <w:bCs/>
                <w:sz w:val="20"/>
              </w:rPr>
              <w:t xml:space="preserve"> </w:t>
            </w:r>
            <w:r w:rsidRPr="00A0065F">
              <w:rPr>
                <w:rFonts w:eastAsiaTheme="minorEastAsia"/>
                <w:sz w:val="20"/>
              </w:rPr>
              <w:t>Revisión del resumen:</w:t>
            </w:r>
          </w:p>
          <w:p w14:paraId="47D353FC" w14:textId="77777777" w:rsidR="00331A82" w:rsidRPr="00A0065F" w:rsidRDefault="00331A82" w:rsidP="00CF5D13">
            <w:pPr>
              <w:pStyle w:val="ListParagraph"/>
              <w:ind w:left="601"/>
              <w:contextualSpacing w:val="0"/>
              <w:jc w:val="both"/>
              <w:rPr>
                <w:sz w:val="20"/>
              </w:rPr>
            </w:pPr>
            <w:r w:rsidRPr="00A0065F">
              <w:rPr>
                <w:sz w:val="20"/>
              </w:rPr>
              <w:t>explicar el propósito del resumen</w:t>
            </w:r>
          </w:p>
          <w:p w14:paraId="1149C42A" w14:textId="77777777" w:rsidR="00331A82" w:rsidRPr="00A0065F" w:rsidRDefault="00331A82" w:rsidP="00CF5D13">
            <w:pPr>
              <w:pStyle w:val="ListParagraph"/>
              <w:tabs>
                <w:tab w:val="left" w:pos="514"/>
              </w:tabs>
              <w:ind w:left="819"/>
              <w:contextualSpacing w:val="0"/>
              <w:jc w:val="both"/>
              <w:rPr>
                <w:b/>
                <w:bCs/>
                <w:sz w:val="20"/>
              </w:rPr>
            </w:pPr>
            <w:r w:rsidRPr="00A0065F">
              <w:rPr>
                <w:sz w:val="20"/>
              </w:rPr>
              <w:t>explicar lo que debe ser revisado</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55F73C06" w14:textId="4A03AB3B" w:rsidR="00331A82" w:rsidRPr="00A0065F" w:rsidRDefault="00331A82" w:rsidP="00CF5D13">
            <w:pPr>
              <w:pStyle w:val="ListParagraph"/>
              <w:numPr>
                <w:ilvl w:val="0"/>
                <w:numId w:val="12"/>
              </w:numPr>
              <w:tabs>
                <w:tab w:val="left" w:pos="972"/>
              </w:tabs>
              <w:ind w:left="180" w:hanging="142"/>
              <w:contextualSpacing w:val="0"/>
              <w:jc w:val="both"/>
              <w:rPr>
                <w:sz w:val="20"/>
              </w:rPr>
            </w:pPr>
            <w:r w:rsidRPr="00A0065F">
              <w:rPr>
                <w:sz w:val="20"/>
              </w:rPr>
              <w:t>utilizar un caso tipo, enseñar como debe realizarse la</w:t>
            </w:r>
            <w:r w:rsidR="003D7287">
              <w:rPr>
                <w:sz w:val="20"/>
              </w:rPr>
              <w:t xml:space="preserve"> </w:t>
            </w:r>
            <w:r w:rsidRPr="00A0065F">
              <w:rPr>
                <w:sz w:val="20"/>
              </w:rPr>
              <w:t>revisión</w:t>
            </w:r>
            <w:r w:rsidR="003D7287">
              <w:rPr>
                <w:sz w:val="20"/>
              </w:rPr>
              <w:t xml:space="preserve"> </w:t>
            </w:r>
          </w:p>
          <w:p w14:paraId="08C697F0" w14:textId="77777777" w:rsidR="00331A82" w:rsidRPr="00A0065F" w:rsidRDefault="00331A82" w:rsidP="00CF5D13">
            <w:pPr>
              <w:pStyle w:val="ListParagraph"/>
              <w:numPr>
                <w:ilvl w:val="0"/>
                <w:numId w:val="12"/>
              </w:numPr>
              <w:tabs>
                <w:tab w:val="left" w:pos="972"/>
              </w:tabs>
              <w:ind w:left="180" w:hanging="142"/>
              <w:contextualSpacing w:val="0"/>
              <w:jc w:val="both"/>
              <w:rPr>
                <w:sz w:val="20"/>
              </w:rPr>
            </w:pPr>
            <w:r w:rsidRPr="00A0065F">
              <w:rPr>
                <w:sz w:val="20"/>
              </w:rPr>
              <w:t>trabajar en el expediente revisando únicamente la descripción</w:t>
            </w:r>
          </w:p>
          <w:p w14:paraId="45BF78ED" w14:textId="77777777" w:rsidR="00331A82" w:rsidRPr="00A0065F" w:rsidRDefault="00331A82" w:rsidP="00CF5D13">
            <w:pPr>
              <w:pStyle w:val="ListParagraph"/>
              <w:numPr>
                <w:ilvl w:val="0"/>
                <w:numId w:val="12"/>
              </w:numPr>
              <w:tabs>
                <w:tab w:val="left" w:pos="972"/>
              </w:tabs>
              <w:ind w:left="180" w:hanging="142"/>
              <w:contextualSpacing w:val="0"/>
              <w:jc w:val="both"/>
              <w:rPr>
                <w:sz w:val="20"/>
              </w:rPr>
            </w:pPr>
            <w:r w:rsidRPr="00A0065F">
              <w:rPr>
                <w:sz w:val="20"/>
              </w:rPr>
              <w:t xml:space="preserve">pedir a los participantes anotar todas las observaciones </w:t>
            </w:r>
          </w:p>
          <w:p w14:paraId="5D8EF26A" w14:textId="77777777" w:rsidR="00331A82" w:rsidRPr="00A0065F" w:rsidRDefault="00331A82" w:rsidP="00CF5D13">
            <w:pPr>
              <w:pStyle w:val="ListParagraph"/>
              <w:numPr>
                <w:ilvl w:val="0"/>
                <w:numId w:val="12"/>
              </w:numPr>
              <w:tabs>
                <w:tab w:val="left" w:pos="972"/>
              </w:tabs>
              <w:ind w:left="180" w:hanging="142"/>
              <w:contextualSpacing w:val="0"/>
              <w:jc w:val="both"/>
              <w:rPr>
                <w:sz w:val="20"/>
              </w:rPr>
            </w:pPr>
            <w:r w:rsidRPr="00A0065F">
              <w:rPr>
                <w:sz w:val="20"/>
              </w:rPr>
              <w:t>en caso de dudas el instructor dará una explicación a todos los participantes</w:t>
            </w:r>
          </w:p>
          <w:p w14:paraId="4FF6AFF0" w14:textId="77777777" w:rsidR="00331A82" w:rsidRPr="00A0065F" w:rsidRDefault="00331A82" w:rsidP="00CF5D13">
            <w:pPr>
              <w:ind w:left="38" w:hanging="38"/>
              <w:rPr>
                <w:b/>
                <w:bCs/>
                <w:sz w:val="20"/>
              </w:rPr>
            </w:pPr>
          </w:p>
        </w:tc>
      </w:tr>
      <w:tr w:rsidR="00331A82" w:rsidRPr="00595DCA" w14:paraId="6F04FBB6"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2"/>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33E8CFC2" w14:textId="77777777" w:rsidR="00331A82" w:rsidRPr="00A0065F" w:rsidRDefault="00331A82" w:rsidP="00CF5D13">
            <w:pPr>
              <w:pStyle w:val="ListParagraph"/>
              <w:tabs>
                <w:tab w:val="left" w:pos="514"/>
              </w:tabs>
              <w:ind w:left="601" w:hanging="425"/>
              <w:contextualSpacing w:val="0"/>
              <w:jc w:val="both"/>
              <w:rPr>
                <w:sz w:val="20"/>
              </w:rPr>
            </w:pPr>
            <w:r w:rsidRPr="00A0065F">
              <w:rPr>
                <w:sz w:val="20"/>
              </w:rPr>
              <w:t>2.2.6 Revisión de Anexos:</w:t>
            </w:r>
          </w:p>
          <w:p w14:paraId="05771D4C" w14:textId="77777777" w:rsidR="00331A82" w:rsidRPr="00A0065F" w:rsidRDefault="00331A82" w:rsidP="00CF5D13">
            <w:pPr>
              <w:pStyle w:val="ListParagraph"/>
              <w:tabs>
                <w:tab w:val="left" w:pos="514"/>
              </w:tabs>
              <w:ind w:left="601"/>
              <w:contextualSpacing w:val="0"/>
              <w:jc w:val="both"/>
              <w:rPr>
                <w:sz w:val="20"/>
              </w:rPr>
            </w:pPr>
            <w:r w:rsidRPr="00A0065F">
              <w:rPr>
                <w:sz w:val="20"/>
              </w:rPr>
              <w:t>Presentación de listado de secuencias</w:t>
            </w:r>
          </w:p>
          <w:p w14:paraId="45AB9B97" w14:textId="77777777" w:rsidR="00331A82" w:rsidRPr="00A0065F" w:rsidRDefault="00331A82" w:rsidP="00CF5D13">
            <w:pPr>
              <w:pStyle w:val="ListParagraph"/>
              <w:tabs>
                <w:tab w:val="left" w:pos="514"/>
              </w:tabs>
              <w:ind w:left="601"/>
              <w:contextualSpacing w:val="0"/>
              <w:jc w:val="both"/>
              <w:rPr>
                <w:sz w:val="20"/>
              </w:rPr>
            </w:pPr>
            <w:r w:rsidRPr="00A0065F">
              <w:rPr>
                <w:sz w:val="20"/>
              </w:rPr>
              <w:t>Constancias de depósito de material biológico</w:t>
            </w:r>
          </w:p>
          <w:p w14:paraId="637CC56C" w14:textId="77777777" w:rsidR="00331A82" w:rsidRPr="00A0065F" w:rsidRDefault="00331A82" w:rsidP="00CF5D13">
            <w:pPr>
              <w:pStyle w:val="ListParagraph"/>
              <w:tabs>
                <w:tab w:val="left" w:pos="514"/>
              </w:tabs>
              <w:ind w:left="819"/>
              <w:contextualSpacing w:val="0"/>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44AEAAB5" w14:textId="77777777" w:rsidR="00331A82" w:rsidRPr="00A0065F" w:rsidRDefault="00331A82" w:rsidP="00CF5D13">
            <w:pPr>
              <w:ind w:left="38" w:hanging="38"/>
              <w:rPr>
                <w:rFonts w:eastAsiaTheme="minorHAnsi"/>
                <w:sz w:val="20"/>
                <w:lang w:val="es-MX"/>
              </w:rPr>
            </w:pPr>
            <w:r w:rsidRPr="00A0065F">
              <w:rPr>
                <w:rFonts w:eastAsiaTheme="minorHAnsi"/>
                <w:sz w:val="20"/>
                <w:lang w:val="es-MX"/>
              </w:rPr>
              <w:t>Norma ST.26 / Reglas de presentación para secuencias</w:t>
            </w:r>
          </w:p>
          <w:p w14:paraId="7BD7BFDC" w14:textId="77777777" w:rsidR="00331A82" w:rsidRPr="00A0065F" w:rsidRDefault="00331A82" w:rsidP="00CF5D13">
            <w:pPr>
              <w:ind w:left="38" w:hanging="38"/>
              <w:rPr>
                <w:rFonts w:eastAsiaTheme="minorHAnsi"/>
                <w:sz w:val="20"/>
                <w:lang w:val="es-MX"/>
              </w:rPr>
            </w:pPr>
            <w:r w:rsidRPr="00A0065F">
              <w:rPr>
                <w:rFonts w:eastAsiaTheme="minorHAnsi"/>
                <w:sz w:val="20"/>
                <w:lang w:val="es-MX"/>
              </w:rPr>
              <w:t>Tratado de Budapest</w:t>
            </w:r>
          </w:p>
          <w:p w14:paraId="1EE86085" w14:textId="77777777" w:rsidR="00331A82" w:rsidRPr="00A0065F" w:rsidRDefault="00331A82" w:rsidP="00CF5D13">
            <w:pPr>
              <w:ind w:left="38" w:hanging="38"/>
              <w:rPr>
                <w:rFonts w:eastAsiaTheme="minorHAnsi"/>
                <w:sz w:val="20"/>
                <w:lang w:val="es-MX"/>
              </w:rPr>
            </w:pPr>
            <w:r w:rsidRPr="00A0065F">
              <w:rPr>
                <w:rFonts w:eastAsiaTheme="minorHAnsi"/>
                <w:sz w:val="20"/>
                <w:lang w:val="es-MX"/>
              </w:rPr>
              <w:t>Autoridades Intl. de depósito</w:t>
            </w:r>
          </w:p>
          <w:p w14:paraId="53CBA30F" w14:textId="12A9703B" w:rsidR="00331A82" w:rsidRPr="00A0065F" w:rsidRDefault="00331A82" w:rsidP="00CF5D13">
            <w:pPr>
              <w:ind w:left="38" w:hanging="38"/>
              <w:rPr>
                <w:rFonts w:eastAsiaTheme="minorHAnsi"/>
                <w:sz w:val="20"/>
                <w:lang w:val="es-MX"/>
              </w:rPr>
            </w:pPr>
            <w:r w:rsidRPr="00A0065F">
              <w:rPr>
                <w:rFonts w:eastAsiaTheme="minorHAnsi"/>
                <w:sz w:val="20"/>
                <w:lang w:val="es-MX"/>
              </w:rPr>
              <w:t>Oficina de depósito</w:t>
            </w:r>
            <w:r w:rsidR="003D7287">
              <w:rPr>
                <w:rFonts w:eastAsiaTheme="minorHAnsi"/>
                <w:sz w:val="20"/>
                <w:lang w:val="es-MX"/>
              </w:rPr>
              <w:t xml:space="preserve"> </w:t>
            </w:r>
            <w:r w:rsidRPr="00A0065F">
              <w:rPr>
                <w:rFonts w:eastAsiaTheme="minorHAnsi"/>
                <w:sz w:val="20"/>
                <w:lang w:val="es-MX"/>
              </w:rPr>
              <w:t>CM-CNRG</w:t>
            </w:r>
          </w:p>
          <w:p w14:paraId="463B60FF" w14:textId="77777777" w:rsidR="00331A82" w:rsidRPr="00A0065F" w:rsidRDefault="00331A82" w:rsidP="00CF5D13">
            <w:pPr>
              <w:ind w:left="38" w:hanging="38"/>
              <w:rPr>
                <w:b/>
                <w:bCs/>
                <w:sz w:val="20"/>
              </w:rPr>
            </w:pPr>
          </w:p>
        </w:tc>
      </w:tr>
      <w:tr w:rsidR="00331A82" w:rsidRPr="00595DCA" w14:paraId="54AA2893"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2"/>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2D397698" w14:textId="77777777" w:rsidR="00331A82" w:rsidRPr="00A0065F" w:rsidRDefault="00331A82" w:rsidP="00CF5D13">
            <w:pPr>
              <w:pStyle w:val="ListParagraph"/>
              <w:tabs>
                <w:tab w:val="left" w:pos="514"/>
              </w:tabs>
              <w:ind w:left="601" w:hanging="425"/>
              <w:contextualSpacing w:val="0"/>
              <w:jc w:val="both"/>
              <w:rPr>
                <w:sz w:val="20"/>
              </w:rPr>
            </w:pPr>
            <w:r w:rsidRPr="00A0065F">
              <w:rPr>
                <w:b/>
                <w:bCs/>
                <w:sz w:val="20"/>
              </w:rPr>
              <w:t>2.3</w:t>
            </w:r>
            <w:r w:rsidRPr="00A0065F">
              <w:rPr>
                <w:sz w:val="20"/>
              </w:rPr>
              <w:t xml:space="preserve"> Expedientes con solicitud de patente</w:t>
            </w:r>
          </w:p>
          <w:p w14:paraId="10877A44" w14:textId="77777777" w:rsidR="00331A82" w:rsidRPr="00A0065F" w:rsidRDefault="00331A82" w:rsidP="00CF5D13">
            <w:pPr>
              <w:pStyle w:val="ListParagraph"/>
              <w:ind w:left="176"/>
              <w:contextualSpacing w:val="0"/>
              <w:jc w:val="both"/>
              <w:rPr>
                <w:sz w:val="20"/>
              </w:rPr>
            </w:pPr>
            <w:r w:rsidRPr="00A0065F">
              <w:rPr>
                <w:sz w:val="20"/>
              </w:rPr>
              <w:t>2.3.1 Explicar el concepto de Prioridad</w:t>
            </w:r>
          </w:p>
          <w:p w14:paraId="386A3C66" w14:textId="77777777" w:rsidR="00331A82" w:rsidRPr="00A0065F" w:rsidRDefault="00331A82" w:rsidP="00CF5D13">
            <w:pPr>
              <w:pStyle w:val="ListParagraph"/>
              <w:ind w:left="176"/>
              <w:contextualSpacing w:val="0"/>
              <w:jc w:val="both"/>
              <w:rPr>
                <w:sz w:val="20"/>
              </w:rPr>
            </w:pPr>
            <w:r w:rsidRPr="00A0065F">
              <w:rPr>
                <w:sz w:val="20"/>
              </w:rPr>
              <w:t>2.3.2 Explicar el concepto de Divulgación Previa</w:t>
            </w:r>
          </w:p>
          <w:p w14:paraId="5E9BE9A6" w14:textId="77777777" w:rsidR="00331A82" w:rsidRPr="00A0065F" w:rsidRDefault="00331A82" w:rsidP="00CF5D13">
            <w:pPr>
              <w:pStyle w:val="ListParagraph"/>
              <w:ind w:left="176"/>
              <w:contextualSpacing w:val="0"/>
              <w:jc w:val="both"/>
              <w:rPr>
                <w:sz w:val="20"/>
              </w:rPr>
            </w:pPr>
            <w:r w:rsidRPr="00A0065F">
              <w:rPr>
                <w:sz w:val="20"/>
              </w:rPr>
              <w:t>2.3.3 Explicar el concepto de Familia de Patentes</w:t>
            </w:r>
          </w:p>
          <w:p w14:paraId="1E5F61EB" w14:textId="77777777" w:rsidR="00331A82" w:rsidRPr="00A0065F" w:rsidRDefault="00331A82" w:rsidP="00CF5D13">
            <w:pPr>
              <w:pStyle w:val="ListParagraph"/>
              <w:tabs>
                <w:tab w:val="left" w:pos="514"/>
              </w:tabs>
              <w:ind w:left="601"/>
              <w:contextualSpacing w:val="0"/>
              <w:jc w:val="both"/>
              <w:rPr>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4C3C3B54" w14:textId="77777777" w:rsidR="00331A82" w:rsidRPr="00A0065F" w:rsidRDefault="00331A82" w:rsidP="00CF5D13">
            <w:pPr>
              <w:ind w:left="38" w:hanging="38"/>
              <w:rPr>
                <w:rFonts w:eastAsiaTheme="minorHAnsi"/>
                <w:sz w:val="20"/>
                <w:lang w:val="es-MX"/>
              </w:rPr>
            </w:pPr>
            <w:r w:rsidRPr="00A0065F">
              <w:rPr>
                <w:rFonts w:eastAsiaTheme="minorHAnsi"/>
                <w:sz w:val="20"/>
                <w:lang w:val="es-MX"/>
              </w:rPr>
              <w:t>Mostrar ejemplos de:</w:t>
            </w:r>
          </w:p>
          <w:p w14:paraId="3DBCDFE1" w14:textId="77777777" w:rsidR="00331A82" w:rsidRPr="00A0065F" w:rsidRDefault="00331A82" w:rsidP="00CF5D13">
            <w:pPr>
              <w:ind w:left="38" w:hanging="38"/>
              <w:rPr>
                <w:rFonts w:eastAsiaTheme="minorHAnsi"/>
                <w:sz w:val="20"/>
                <w:lang w:val="es-MX"/>
              </w:rPr>
            </w:pPr>
            <w:r w:rsidRPr="00A0065F">
              <w:rPr>
                <w:rFonts w:eastAsiaTheme="minorHAnsi"/>
                <w:sz w:val="20"/>
                <w:lang w:val="es-MX"/>
              </w:rPr>
              <w:t>Expedientes PCT con/sin prioridad</w:t>
            </w:r>
          </w:p>
          <w:p w14:paraId="11E596D4" w14:textId="77777777" w:rsidR="00331A82" w:rsidRPr="00A0065F" w:rsidRDefault="00331A82" w:rsidP="00CF5D13">
            <w:pPr>
              <w:ind w:left="38" w:hanging="38"/>
              <w:rPr>
                <w:rFonts w:eastAsiaTheme="minorHAnsi"/>
                <w:sz w:val="20"/>
                <w:lang w:val="es-MX"/>
              </w:rPr>
            </w:pPr>
            <w:r w:rsidRPr="00A0065F">
              <w:rPr>
                <w:rFonts w:eastAsiaTheme="minorHAnsi"/>
                <w:sz w:val="20"/>
                <w:lang w:val="es-MX"/>
              </w:rPr>
              <w:t>Expedientes Convenio de Paris (concepto de prioridad)</w:t>
            </w:r>
          </w:p>
          <w:p w14:paraId="2FD7FF8F" w14:textId="77777777" w:rsidR="00331A82" w:rsidRPr="00A0065F" w:rsidRDefault="00331A82" w:rsidP="00CF5D13">
            <w:pPr>
              <w:ind w:left="38" w:hanging="38"/>
              <w:rPr>
                <w:rFonts w:eastAsiaTheme="minorHAnsi"/>
                <w:sz w:val="20"/>
                <w:lang w:val="es-MX"/>
              </w:rPr>
            </w:pPr>
            <w:r w:rsidRPr="00A0065F">
              <w:rPr>
                <w:rFonts w:eastAsiaTheme="minorHAnsi"/>
                <w:sz w:val="20"/>
                <w:lang w:val="es-MX"/>
              </w:rPr>
              <w:t>Expedientes Nacionales con divulgación previa</w:t>
            </w:r>
          </w:p>
          <w:p w14:paraId="0C73E1CD" w14:textId="77777777" w:rsidR="00331A82" w:rsidRPr="00A0065F" w:rsidRDefault="00331A82" w:rsidP="00CF5D13">
            <w:pPr>
              <w:ind w:left="38" w:hanging="38"/>
              <w:rPr>
                <w:b/>
                <w:bCs/>
                <w:sz w:val="20"/>
              </w:rPr>
            </w:pPr>
            <w:r w:rsidRPr="00A0065F">
              <w:rPr>
                <w:rFonts w:eastAsiaTheme="minorHAnsi"/>
                <w:sz w:val="20"/>
                <w:lang w:val="es-MX"/>
              </w:rPr>
              <w:t>Comparación de documento de prioridad con solicitud nacional</w:t>
            </w:r>
          </w:p>
        </w:tc>
      </w:tr>
      <w:tr w:rsidR="00331A82" w:rsidRPr="00595DCA" w14:paraId="01494F56"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2"/>
          <w:jc w:val="center"/>
        </w:trPr>
        <w:tc>
          <w:tcPr>
            <w:tcW w:w="9063" w:type="dxa"/>
            <w:gridSpan w:val="3"/>
            <w:tcBorders>
              <w:top w:val="single" w:sz="2" w:space="0" w:color="244061" w:themeColor="accent1" w:themeShade="80"/>
              <w:left w:val="single" w:sz="2" w:space="0" w:color="244061" w:themeColor="accent1" w:themeShade="80"/>
              <w:bottom w:val="single" w:sz="4" w:space="0" w:color="auto"/>
              <w:right w:val="single" w:sz="4" w:space="0" w:color="auto"/>
            </w:tcBorders>
            <w:vAlign w:val="center"/>
          </w:tcPr>
          <w:p w14:paraId="1EE36499" w14:textId="77777777" w:rsidR="00331A82" w:rsidRPr="001C2561" w:rsidRDefault="00331A82" w:rsidP="00CF5D13">
            <w:pPr>
              <w:rPr>
                <w:b/>
                <w:bCs/>
                <w:color w:val="621132"/>
                <w:sz w:val="20"/>
              </w:rPr>
            </w:pPr>
            <w:r w:rsidRPr="001C2561">
              <w:rPr>
                <w:b/>
                <w:bCs/>
                <w:color w:val="621132"/>
                <w:sz w:val="20"/>
              </w:rPr>
              <w:t>Módulo III. Esquemas de Clasificación.</w:t>
            </w:r>
          </w:p>
          <w:p w14:paraId="14970937" w14:textId="77777777" w:rsidR="00331A82" w:rsidRPr="001C2561" w:rsidRDefault="00331A82" w:rsidP="00CF5D13">
            <w:pPr>
              <w:ind w:left="38" w:hanging="38"/>
              <w:rPr>
                <w:rFonts w:eastAsiaTheme="minorHAnsi"/>
                <w:color w:val="13322B"/>
                <w:sz w:val="20"/>
                <w:lang w:val="es-MX"/>
              </w:rPr>
            </w:pPr>
          </w:p>
        </w:tc>
      </w:tr>
      <w:tr w:rsidR="00331A82" w:rsidRPr="00595DCA" w14:paraId="3D77B1AE"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74754D3D" w14:textId="77777777" w:rsidR="00331A82" w:rsidRPr="001C2561" w:rsidRDefault="00331A82" w:rsidP="00CF5D13">
            <w:pPr>
              <w:jc w:val="center"/>
              <w:rPr>
                <w:b/>
                <w:color w:val="621132"/>
                <w:sz w:val="20"/>
              </w:rPr>
            </w:pPr>
            <w:r w:rsidRPr="001C2561">
              <w:rPr>
                <w:b/>
                <w:color w:val="621132"/>
                <w:sz w:val="20"/>
              </w:rPr>
              <w:t>Tema</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53210370" w14:textId="77777777" w:rsidR="00331A82" w:rsidRPr="001C2561" w:rsidRDefault="00331A82" w:rsidP="00CF5D13">
            <w:pPr>
              <w:jc w:val="center"/>
              <w:rPr>
                <w:b/>
                <w:color w:val="621132"/>
                <w:sz w:val="20"/>
              </w:rPr>
            </w:pPr>
            <w:proofErr w:type="gramStart"/>
            <w:r w:rsidRPr="001C2561">
              <w:rPr>
                <w:b/>
                <w:color w:val="621132"/>
                <w:sz w:val="20"/>
              </w:rPr>
              <w:t>Puntos a tratar</w:t>
            </w:r>
            <w:proofErr w:type="gramEnd"/>
            <w:r w:rsidRPr="001C2561">
              <w:rPr>
                <w:b/>
                <w:color w:val="621132"/>
                <w:sz w:val="20"/>
              </w:rPr>
              <w:t xml:space="preserve"> / Actividades</w:t>
            </w:r>
          </w:p>
          <w:p w14:paraId="348DC2D2" w14:textId="77777777" w:rsidR="00331A82" w:rsidRPr="001C2561" w:rsidRDefault="00331A82" w:rsidP="00CF5D13">
            <w:pPr>
              <w:jc w:val="center"/>
              <w:rPr>
                <w:b/>
                <w:color w:val="621132"/>
                <w:sz w:val="20"/>
              </w:rPr>
            </w:pPr>
          </w:p>
        </w:tc>
      </w:tr>
      <w:tr w:rsidR="00331A82" w:rsidRPr="00595DCA" w14:paraId="01685C5D"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33E82D50" w14:textId="77777777" w:rsidR="00331A82" w:rsidRPr="00A0065F" w:rsidRDefault="00331A82" w:rsidP="00CF5D13">
            <w:pPr>
              <w:pStyle w:val="ListParagraph"/>
              <w:numPr>
                <w:ilvl w:val="0"/>
                <w:numId w:val="10"/>
              </w:numPr>
              <w:ind w:left="459" w:hanging="283"/>
              <w:contextualSpacing w:val="0"/>
              <w:jc w:val="both"/>
              <w:rPr>
                <w:b/>
                <w:bCs/>
                <w:sz w:val="20"/>
              </w:rPr>
            </w:pPr>
            <w:r w:rsidRPr="00A0065F">
              <w:rPr>
                <w:b/>
                <w:bCs/>
                <w:sz w:val="20"/>
              </w:rPr>
              <w:t>Introducción en el uso de los sistemas de clasificación</w:t>
            </w:r>
          </w:p>
          <w:p w14:paraId="6D1F2C61" w14:textId="77777777" w:rsidR="00331A82" w:rsidRPr="00A0065F" w:rsidRDefault="00331A82" w:rsidP="00CF5D13">
            <w:pPr>
              <w:pStyle w:val="ListParagraph"/>
              <w:ind w:left="459"/>
              <w:contextualSpacing w:val="0"/>
              <w:jc w:val="both"/>
              <w:rPr>
                <w:b/>
                <w:bCs/>
                <w:sz w:val="20"/>
              </w:rPr>
            </w:pPr>
          </w:p>
          <w:p w14:paraId="5FF668AB" w14:textId="77777777" w:rsidR="00331A82" w:rsidRPr="00A0065F" w:rsidRDefault="00331A82" w:rsidP="00CF5D13">
            <w:pPr>
              <w:pStyle w:val="ListParagraph"/>
              <w:numPr>
                <w:ilvl w:val="1"/>
                <w:numId w:val="10"/>
              </w:numPr>
              <w:ind w:left="459" w:hanging="283"/>
              <w:contextualSpacing w:val="0"/>
              <w:jc w:val="both"/>
              <w:rPr>
                <w:sz w:val="20"/>
              </w:rPr>
            </w:pPr>
            <w:r w:rsidRPr="00A0065F">
              <w:rPr>
                <w:sz w:val="20"/>
              </w:rPr>
              <w:t>Clasificación Internacional de Patentes (CIP)</w:t>
            </w:r>
          </w:p>
          <w:p w14:paraId="0B1A4376" w14:textId="77777777" w:rsidR="00331A82" w:rsidRPr="00A0065F" w:rsidRDefault="00331A82" w:rsidP="00CF5D13">
            <w:pPr>
              <w:pStyle w:val="ListParagraph"/>
              <w:ind w:left="459"/>
              <w:contextualSpacing w:val="0"/>
              <w:jc w:val="both"/>
              <w:rPr>
                <w:sz w:val="20"/>
              </w:rPr>
            </w:pPr>
          </w:p>
          <w:p w14:paraId="099AC975" w14:textId="77777777" w:rsidR="00331A82" w:rsidRPr="00A0065F" w:rsidRDefault="00331A82" w:rsidP="00CF5D13">
            <w:pPr>
              <w:pStyle w:val="ListParagraph"/>
              <w:ind w:left="459"/>
              <w:contextualSpacing w:val="0"/>
              <w:jc w:val="both"/>
              <w:rPr>
                <w:sz w:val="20"/>
              </w:rPr>
            </w:pP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122F3AD7" w14:textId="77777777" w:rsidR="00331A82" w:rsidRPr="00A0065F" w:rsidRDefault="00331A82" w:rsidP="00CF5D13">
            <w:pPr>
              <w:jc w:val="both"/>
              <w:rPr>
                <w:sz w:val="20"/>
              </w:rPr>
            </w:pPr>
          </w:p>
          <w:p w14:paraId="38F0F976" w14:textId="77777777" w:rsidR="00331A82" w:rsidRPr="00A0065F" w:rsidRDefault="00331A82" w:rsidP="00CF5D13">
            <w:pPr>
              <w:jc w:val="both"/>
              <w:rPr>
                <w:sz w:val="20"/>
              </w:rPr>
            </w:pPr>
            <w:r w:rsidRPr="00A0065F">
              <w:rPr>
                <w:sz w:val="20"/>
              </w:rPr>
              <w:t>Asignación de símbolos de clasificación (formato, estructura jerárquica).</w:t>
            </w:r>
          </w:p>
          <w:p w14:paraId="0F9EF5EB" w14:textId="77777777" w:rsidR="00331A82" w:rsidRPr="00A0065F" w:rsidRDefault="00331A82" w:rsidP="00CF5D13">
            <w:pPr>
              <w:jc w:val="both"/>
              <w:rPr>
                <w:sz w:val="20"/>
              </w:rPr>
            </w:pPr>
            <w:r w:rsidRPr="00A0065F">
              <w:rPr>
                <w:sz w:val="20"/>
              </w:rPr>
              <w:t>Explicar cómo clasificar de acuerdo con los esquemas de clasificación utilizando un expediente de ejemplo</w:t>
            </w:r>
          </w:p>
          <w:p w14:paraId="604CE7E0" w14:textId="77777777" w:rsidR="00331A82" w:rsidRPr="00A0065F" w:rsidRDefault="00331A82" w:rsidP="00CF5D13">
            <w:pPr>
              <w:jc w:val="both"/>
              <w:rPr>
                <w:b/>
                <w:bCs/>
                <w:sz w:val="20"/>
              </w:rPr>
            </w:pPr>
          </w:p>
        </w:tc>
      </w:tr>
      <w:tr w:rsidR="00331A82" w:rsidRPr="00595DCA" w14:paraId="6CD10B01"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81"/>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1BAC030D" w14:textId="77777777" w:rsidR="00331A82" w:rsidRPr="00A0065F" w:rsidRDefault="00331A82" w:rsidP="00CF5D13">
            <w:pPr>
              <w:ind w:left="176"/>
              <w:jc w:val="both"/>
              <w:rPr>
                <w:b/>
                <w:bCs/>
                <w:sz w:val="20"/>
              </w:rPr>
            </w:pPr>
            <w:r w:rsidRPr="00A0065F">
              <w:rPr>
                <w:b/>
                <w:bCs/>
                <w:sz w:val="20"/>
              </w:rPr>
              <w:t>3.2</w:t>
            </w:r>
            <w:r w:rsidRPr="00A0065F">
              <w:rPr>
                <w:sz w:val="20"/>
              </w:rPr>
              <w:t xml:space="preserve"> Clasificación Cooperativa de Patentes (CPC)</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30FDC418" w14:textId="77777777" w:rsidR="00331A82" w:rsidRPr="00A0065F" w:rsidRDefault="00331A82" w:rsidP="00CF5D13">
            <w:pPr>
              <w:jc w:val="both"/>
              <w:rPr>
                <w:sz w:val="20"/>
              </w:rPr>
            </w:pPr>
            <w:r w:rsidRPr="00A0065F">
              <w:rPr>
                <w:sz w:val="20"/>
              </w:rPr>
              <w:t>Ventajas de la utilización de símbolos de clasificación para búsquedas técnicas.</w:t>
            </w:r>
          </w:p>
          <w:p w14:paraId="12589ECE" w14:textId="77777777" w:rsidR="00331A82" w:rsidRPr="00A0065F" w:rsidRDefault="00331A82" w:rsidP="00CF5D13">
            <w:pPr>
              <w:jc w:val="both"/>
              <w:rPr>
                <w:sz w:val="20"/>
              </w:rPr>
            </w:pPr>
            <w:r w:rsidRPr="00A0065F">
              <w:rPr>
                <w:sz w:val="20"/>
              </w:rPr>
              <w:t>Uso de la herramienta PROCLASS</w:t>
            </w:r>
          </w:p>
        </w:tc>
      </w:tr>
      <w:tr w:rsidR="00331A82" w:rsidRPr="00595DCA" w14:paraId="19122FB1"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81"/>
          <w:jc w:val="center"/>
        </w:trPr>
        <w:tc>
          <w:tcPr>
            <w:tcW w:w="9063" w:type="dxa"/>
            <w:gridSpan w:val="3"/>
            <w:tcBorders>
              <w:top w:val="single" w:sz="2" w:space="0" w:color="244061" w:themeColor="accent1" w:themeShade="80"/>
              <w:left w:val="single" w:sz="2" w:space="0" w:color="244061" w:themeColor="accent1" w:themeShade="80"/>
              <w:bottom w:val="single" w:sz="4" w:space="0" w:color="auto"/>
              <w:right w:val="single" w:sz="4" w:space="0" w:color="auto"/>
            </w:tcBorders>
            <w:vAlign w:val="center"/>
          </w:tcPr>
          <w:p w14:paraId="2AA01678" w14:textId="77777777" w:rsidR="00331A82" w:rsidRPr="001C2561" w:rsidRDefault="00331A82" w:rsidP="00CF5D13">
            <w:pPr>
              <w:rPr>
                <w:b/>
                <w:bCs/>
                <w:color w:val="621132"/>
                <w:sz w:val="20"/>
              </w:rPr>
            </w:pPr>
            <w:r w:rsidRPr="001C2561">
              <w:rPr>
                <w:b/>
                <w:bCs/>
                <w:color w:val="621132"/>
                <w:sz w:val="20"/>
              </w:rPr>
              <w:t>Módulo IV. Establecimiento del estado de la técnica.</w:t>
            </w:r>
          </w:p>
          <w:p w14:paraId="5A8AC771" w14:textId="77777777" w:rsidR="00331A82" w:rsidRPr="001C2561" w:rsidRDefault="00331A82" w:rsidP="00CF5D13">
            <w:pPr>
              <w:jc w:val="both"/>
              <w:rPr>
                <w:color w:val="13322B"/>
                <w:sz w:val="20"/>
              </w:rPr>
            </w:pPr>
          </w:p>
        </w:tc>
      </w:tr>
      <w:tr w:rsidR="00331A82" w:rsidRPr="00595DCA" w14:paraId="47AF65D0"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69BC5385" w14:textId="77777777" w:rsidR="00331A82" w:rsidRPr="001C2561" w:rsidRDefault="00331A82" w:rsidP="00CF5D13">
            <w:pPr>
              <w:jc w:val="center"/>
              <w:rPr>
                <w:b/>
                <w:color w:val="621132"/>
                <w:sz w:val="20"/>
              </w:rPr>
            </w:pPr>
            <w:r w:rsidRPr="001C2561">
              <w:rPr>
                <w:b/>
                <w:color w:val="621132"/>
                <w:sz w:val="20"/>
              </w:rPr>
              <w:t>Tema</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78DCF453" w14:textId="77777777" w:rsidR="00331A82" w:rsidRPr="001C2561" w:rsidRDefault="00331A82" w:rsidP="00CF5D13">
            <w:pPr>
              <w:jc w:val="center"/>
              <w:rPr>
                <w:b/>
                <w:color w:val="621132"/>
                <w:sz w:val="20"/>
              </w:rPr>
            </w:pPr>
            <w:proofErr w:type="gramStart"/>
            <w:r w:rsidRPr="001C2561">
              <w:rPr>
                <w:b/>
                <w:color w:val="621132"/>
                <w:sz w:val="20"/>
              </w:rPr>
              <w:t>Puntos a tratar</w:t>
            </w:r>
            <w:proofErr w:type="gramEnd"/>
            <w:r w:rsidRPr="001C2561">
              <w:rPr>
                <w:b/>
                <w:color w:val="621132"/>
                <w:sz w:val="20"/>
              </w:rPr>
              <w:t xml:space="preserve"> / Actividades</w:t>
            </w:r>
          </w:p>
          <w:p w14:paraId="4F95FA47" w14:textId="77777777" w:rsidR="00331A82" w:rsidRPr="001C2561" w:rsidRDefault="00331A82" w:rsidP="00CF5D13">
            <w:pPr>
              <w:jc w:val="center"/>
              <w:rPr>
                <w:b/>
                <w:color w:val="621132"/>
                <w:sz w:val="20"/>
              </w:rPr>
            </w:pPr>
          </w:p>
        </w:tc>
      </w:tr>
      <w:tr w:rsidR="00331A82" w:rsidRPr="00595DCA" w14:paraId="6204A502"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2EE1A53F" w14:textId="76DE0448" w:rsidR="00331A82" w:rsidRPr="00A0065F" w:rsidRDefault="00331A82" w:rsidP="00CF5D13">
            <w:pPr>
              <w:pStyle w:val="ListParagraph"/>
              <w:numPr>
                <w:ilvl w:val="0"/>
                <w:numId w:val="10"/>
              </w:numPr>
              <w:ind w:left="459" w:hanging="280"/>
              <w:contextualSpacing w:val="0"/>
              <w:jc w:val="both"/>
              <w:rPr>
                <w:b/>
                <w:bCs/>
                <w:sz w:val="20"/>
              </w:rPr>
            </w:pPr>
            <w:r w:rsidRPr="00A0065F">
              <w:rPr>
                <w:b/>
                <w:bCs/>
                <w:sz w:val="20"/>
              </w:rPr>
              <w:t>Estrategias de búsqueda</w:t>
            </w:r>
            <w:r w:rsidR="003D7287">
              <w:rPr>
                <w:b/>
                <w:bCs/>
                <w:sz w:val="20"/>
              </w:rPr>
              <w:t xml:space="preserve"> </w:t>
            </w:r>
          </w:p>
          <w:p w14:paraId="218D1CB5" w14:textId="3D9F28AD" w:rsidR="00331A82" w:rsidRPr="00A0065F" w:rsidRDefault="00331A82" w:rsidP="00CF5D13">
            <w:pPr>
              <w:pStyle w:val="ListParagraph"/>
              <w:numPr>
                <w:ilvl w:val="1"/>
                <w:numId w:val="10"/>
              </w:numPr>
              <w:ind w:left="462" w:hanging="283"/>
              <w:contextualSpacing w:val="0"/>
              <w:jc w:val="both"/>
              <w:rPr>
                <w:sz w:val="20"/>
              </w:rPr>
            </w:pPr>
            <w:r w:rsidRPr="00A0065F">
              <w:rPr>
                <w:sz w:val="20"/>
              </w:rPr>
              <w:t>Criterios para establecer el estado de la técnica</w:t>
            </w:r>
            <w:r w:rsidR="003D7287">
              <w:rPr>
                <w:sz w:val="20"/>
              </w:rPr>
              <w:t xml:space="preserve"> </w:t>
            </w:r>
            <w:r w:rsidRPr="00A0065F">
              <w:rPr>
                <w:sz w:val="20"/>
              </w:rPr>
              <w:t>(solicitudes PCT, Convenio de Paris y Nacionales)</w:t>
            </w:r>
          </w:p>
          <w:p w14:paraId="3D9315C9" w14:textId="77777777" w:rsidR="00331A82" w:rsidRPr="00A0065F" w:rsidRDefault="00331A82" w:rsidP="00CF5D13">
            <w:pPr>
              <w:ind w:left="179"/>
              <w:jc w:val="both"/>
              <w:rPr>
                <w:sz w:val="20"/>
              </w:rPr>
            </w:pP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4EB7852E" w14:textId="77777777" w:rsidR="00331A82" w:rsidRPr="00A0065F" w:rsidRDefault="00331A82" w:rsidP="00CF5D13">
            <w:pPr>
              <w:jc w:val="both"/>
              <w:rPr>
                <w:sz w:val="20"/>
              </w:rPr>
            </w:pPr>
          </w:p>
          <w:p w14:paraId="717D0249" w14:textId="0D7036CD" w:rsidR="00331A82" w:rsidRPr="00A0065F" w:rsidRDefault="00331A82" w:rsidP="00CF5D13">
            <w:pPr>
              <w:jc w:val="both"/>
              <w:rPr>
                <w:sz w:val="20"/>
              </w:rPr>
            </w:pPr>
            <w:r w:rsidRPr="00A0065F">
              <w:rPr>
                <w:sz w:val="20"/>
              </w:rPr>
              <w:t>¿Qué buscar?</w:t>
            </w:r>
            <w:r w:rsidR="003D7287">
              <w:rPr>
                <w:sz w:val="20"/>
              </w:rPr>
              <w:t xml:space="preserve"> </w:t>
            </w:r>
            <w:r w:rsidRPr="00A0065F">
              <w:rPr>
                <w:sz w:val="20"/>
              </w:rPr>
              <w:t>Información de la invención / Información adicional</w:t>
            </w:r>
          </w:p>
          <w:p w14:paraId="63CD9CC9" w14:textId="77777777" w:rsidR="00331A82" w:rsidRPr="00A0065F" w:rsidRDefault="00331A82" w:rsidP="00CF5D13">
            <w:pPr>
              <w:jc w:val="both"/>
              <w:rPr>
                <w:b/>
                <w:bCs/>
                <w:sz w:val="20"/>
              </w:rPr>
            </w:pPr>
            <w:r w:rsidRPr="00A0065F">
              <w:rPr>
                <w:sz w:val="20"/>
              </w:rPr>
              <w:t>Uso de la plantilla para Reporte de Búsqueda</w:t>
            </w:r>
          </w:p>
        </w:tc>
      </w:tr>
      <w:tr w:rsidR="00331A82" w:rsidRPr="00595DCA" w14:paraId="70AF6209"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81"/>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673B1D55" w14:textId="77777777" w:rsidR="00331A82" w:rsidRPr="00A0065F" w:rsidRDefault="00331A82" w:rsidP="00CF5D13">
            <w:pPr>
              <w:pStyle w:val="ListParagraph"/>
              <w:numPr>
                <w:ilvl w:val="2"/>
                <w:numId w:val="10"/>
              </w:numPr>
              <w:ind w:left="1029" w:hanging="567"/>
              <w:contextualSpacing w:val="0"/>
              <w:jc w:val="both"/>
              <w:rPr>
                <w:sz w:val="20"/>
              </w:rPr>
            </w:pPr>
            <w:r w:rsidRPr="00A0065F">
              <w:rPr>
                <w:sz w:val="20"/>
              </w:rPr>
              <w:t>SAGPAT</w:t>
            </w:r>
          </w:p>
          <w:p w14:paraId="61E13D63" w14:textId="77777777" w:rsidR="00331A82" w:rsidRPr="00A0065F" w:rsidRDefault="00331A82" w:rsidP="00CF5D13">
            <w:pPr>
              <w:pStyle w:val="ListParagraph"/>
              <w:numPr>
                <w:ilvl w:val="2"/>
                <w:numId w:val="10"/>
              </w:numPr>
              <w:ind w:left="1029" w:hanging="567"/>
              <w:contextualSpacing w:val="0"/>
              <w:jc w:val="both"/>
              <w:rPr>
                <w:sz w:val="20"/>
              </w:rPr>
            </w:pPr>
            <w:r w:rsidRPr="00A0065F">
              <w:rPr>
                <w:sz w:val="20"/>
              </w:rPr>
              <w:t>SIGA y VIDOC</w:t>
            </w:r>
          </w:p>
          <w:p w14:paraId="18FCF44E" w14:textId="77777777" w:rsidR="00331A82" w:rsidRPr="00A0065F" w:rsidRDefault="00331A82" w:rsidP="00CF5D13">
            <w:pPr>
              <w:ind w:left="176"/>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3B35190C" w14:textId="77777777" w:rsidR="00331A82" w:rsidRPr="00A0065F" w:rsidRDefault="00331A82" w:rsidP="00CF5D13">
            <w:pPr>
              <w:jc w:val="both"/>
              <w:rPr>
                <w:sz w:val="20"/>
              </w:rPr>
            </w:pPr>
            <w:r w:rsidRPr="00A0065F">
              <w:rPr>
                <w:sz w:val="20"/>
              </w:rPr>
              <w:t>Búsqueda para solicitud de patente Nacional</w:t>
            </w:r>
          </w:p>
          <w:p w14:paraId="7F0EAA7C" w14:textId="77777777" w:rsidR="00331A82" w:rsidRPr="00A0065F" w:rsidRDefault="00331A82" w:rsidP="00CF5D13">
            <w:pPr>
              <w:jc w:val="both"/>
              <w:rPr>
                <w:sz w:val="20"/>
              </w:rPr>
            </w:pPr>
            <w:r w:rsidRPr="00A0065F">
              <w:rPr>
                <w:sz w:val="20"/>
              </w:rPr>
              <w:t>Búsqueda para solicitud PCT, Convenio de París</w:t>
            </w:r>
          </w:p>
        </w:tc>
      </w:tr>
      <w:tr w:rsidR="00331A82" w:rsidRPr="00595DCA" w14:paraId="5FA1292D"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79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1350F160" w14:textId="77777777" w:rsidR="00331A82" w:rsidRPr="00A0065F" w:rsidRDefault="00331A82" w:rsidP="00CF5D13">
            <w:pPr>
              <w:pStyle w:val="ListParagraph"/>
              <w:ind w:left="1029" w:hanging="569"/>
              <w:contextualSpacing w:val="0"/>
              <w:jc w:val="both"/>
              <w:rPr>
                <w:sz w:val="20"/>
              </w:rPr>
            </w:pPr>
            <w:r w:rsidRPr="00A0065F">
              <w:rPr>
                <w:sz w:val="20"/>
              </w:rPr>
              <w:t>4.1.3 ESPACENET y PATENTSCOPE</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2348BE54" w14:textId="77777777" w:rsidR="00331A82" w:rsidRPr="00A0065F" w:rsidRDefault="00331A82" w:rsidP="00CF5D13">
            <w:pPr>
              <w:ind w:left="29" w:hanging="29"/>
              <w:rPr>
                <w:sz w:val="20"/>
              </w:rPr>
            </w:pPr>
            <w:r w:rsidRPr="00A0065F">
              <w:rPr>
                <w:sz w:val="20"/>
              </w:rPr>
              <w:t xml:space="preserve">Búsqueda en ESPACENET </w:t>
            </w:r>
          </w:p>
          <w:p w14:paraId="38BA56D0" w14:textId="77777777" w:rsidR="00331A82" w:rsidRPr="00A0065F" w:rsidRDefault="00331A82" w:rsidP="00CF5D13">
            <w:pPr>
              <w:ind w:left="29" w:hanging="29"/>
              <w:rPr>
                <w:sz w:val="20"/>
              </w:rPr>
            </w:pPr>
            <w:r w:rsidRPr="00A0065F">
              <w:rPr>
                <w:sz w:val="20"/>
              </w:rPr>
              <w:t xml:space="preserve">Recuperar el reporte de búsqueda, IPER </w:t>
            </w:r>
          </w:p>
        </w:tc>
      </w:tr>
      <w:tr w:rsidR="00331A82" w:rsidRPr="00595DCA" w14:paraId="4E599D1C"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79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44B5855B" w14:textId="77777777" w:rsidR="00331A82" w:rsidRPr="00A0065F" w:rsidRDefault="00331A82" w:rsidP="00CF5D13">
            <w:pPr>
              <w:pStyle w:val="ListParagraph"/>
              <w:numPr>
                <w:ilvl w:val="2"/>
                <w:numId w:val="13"/>
              </w:numPr>
              <w:ind w:left="1029" w:hanging="567"/>
              <w:contextualSpacing w:val="0"/>
              <w:jc w:val="both"/>
              <w:rPr>
                <w:sz w:val="20"/>
              </w:rPr>
            </w:pPr>
            <w:r w:rsidRPr="00A0065F">
              <w:rPr>
                <w:sz w:val="20"/>
              </w:rPr>
              <w:t>CLARIVATE</w:t>
            </w:r>
          </w:p>
          <w:p w14:paraId="02C9BE04" w14:textId="77777777" w:rsidR="00331A82" w:rsidRPr="00A0065F" w:rsidRDefault="00331A82" w:rsidP="00CF5D13">
            <w:pPr>
              <w:pStyle w:val="ListParagraph"/>
              <w:numPr>
                <w:ilvl w:val="2"/>
                <w:numId w:val="13"/>
              </w:numPr>
              <w:ind w:left="1029" w:hanging="567"/>
              <w:contextualSpacing w:val="0"/>
              <w:jc w:val="both"/>
              <w:rPr>
                <w:sz w:val="20"/>
              </w:rPr>
            </w:pPr>
            <w:proofErr w:type="spellStart"/>
            <w:r w:rsidRPr="00A0065F">
              <w:rPr>
                <w:sz w:val="20"/>
              </w:rPr>
              <w:t>SequenceBase</w:t>
            </w:r>
            <w:proofErr w:type="spellEnd"/>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108B5DA6" w14:textId="77777777" w:rsidR="00331A82" w:rsidRPr="00A0065F" w:rsidRDefault="00331A82" w:rsidP="00CF5D13">
            <w:pPr>
              <w:ind w:left="29" w:hanging="29"/>
              <w:rPr>
                <w:sz w:val="20"/>
              </w:rPr>
            </w:pPr>
            <w:r w:rsidRPr="00A0065F">
              <w:rPr>
                <w:sz w:val="20"/>
              </w:rPr>
              <w:t>Búsqueda de documentos de patente y literatura NO patente</w:t>
            </w:r>
          </w:p>
          <w:p w14:paraId="4D9453A4" w14:textId="77777777" w:rsidR="00331A82" w:rsidRPr="00A0065F" w:rsidRDefault="00331A82" w:rsidP="00CF5D13">
            <w:pPr>
              <w:ind w:left="29" w:hanging="29"/>
              <w:rPr>
                <w:sz w:val="20"/>
              </w:rPr>
            </w:pPr>
            <w:r w:rsidRPr="00A0065F">
              <w:rPr>
                <w:sz w:val="20"/>
              </w:rPr>
              <w:t>Búsqueda de secuencias</w:t>
            </w:r>
          </w:p>
        </w:tc>
      </w:tr>
      <w:tr w:rsidR="00331A82" w:rsidRPr="00595DCA" w14:paraId="30A61136"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79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5EED0F8A" w14:textId="77777777" w:rsidR="00331A82" w:rsidRPr="00A0065F" w:rsidRDefault="00331A82" w:rsidP="00CF5D13">
            <w:pPr>
              <w:pStyle w:val="ListParagraph"/>
              <w:ind w:left="1029" w:hanging="569"/>
              <w:contextualSpacing w:val="0"/>
              <w:jc w:val="both"/>
              <w:rPr>
                <w:sz w:val="20"/>
              </w:rPr>
            </w:pPr>
            <w:r w:rsidRPr="00A0065F">
              <w:rPr>
                <w:sz w:val="20"/>
              </w:rPr>
              <w:t>4.1.6 Contenido de un Reporte de Búsqueda</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477A0F34" w14:textId="77777777" w:rsidR="00331A82" w:rsidRPr="00A0065F" w:rsidRDefault="00331A82" w:rsidP="00CF5D13">
            <w:pPr>
              <w:ind w:left="29" w:hanging="29"/>
              <w:rPr>
                <w:sz w:val="20"/>
              </w:rPr>
            </w:pPr>
            <w:r w:rsidRPr="00A0065F">
              <w:rPr>
                <w:sz w:val="20"/>
              </w:rPr>
              <w:t>Elaboración de reporte de búsqueda para expediente nacional</w:t>
            </w:r>
          </w:p>
        </w:tc>
      </w:tr>
      <w:tr w:rsidR="00331A82" w:rsidRPr="00595DCA" w14:paraId="402788C3"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794"/>
          <w:jc w:val="center"/>
        </w:trPr>
        <w:tc>
          <w:tcPr>
            <w:tcW w:w="9063" w:type="dxa"/>
            <w:gridSpan w:val="3"/>
            <w:tcBorders>
              <w:top w:val="single" w:sz="2" w:space="0" w:color="244061" w:themeColor="accent1" w:themeShade="80"/>
              <w:left w:val="single" w:sz="2" w:space="0" w:color="244061" w:themeColor="accent1" w:themeShade="80"/>
              <w:bottom w:val="single" w:sz="4" w:space="0" w:color="auto"/>
              <w:right w:val="single" w:sz="4" w:space="0" w:color="auto"/>
            </w:tcBorders>
            <w:vAlign w:val="center"/>
          </w:tcPr>
          <w:p w14:paraId="6DEF1DDB" w14:textId="77777777" w:rsidR="00331A82" w:rsidRPr="001C2561" w:rsidRDefault="00331A82" w:rsidP="00CF5D13">
            <w:pPr>
              <w:rPr>
                <w:b/>
                <w:bCs/>
                <w:color w:val="621132"/>
                <w:sz w:val="20"/>
              </w:rPr>
            </w:pPr>
            <w:r w:rsidRPr="001C2561">
              <w:rPr>
                <w:b/>
                <w:bCs/>
                <w:color w:val="621132"/>
                <w:sz w:val="20"/>
              </w:rPr>
              <w:t>Módulo V. Otras Oficinas de Patente</w:t>
            </w:r>
          </w:p>
          <w:p w14:paraId="09594137" w14:textId="77777777" w:rsidR="00331A82" w:rsidRPr="001C2561" w:rsidRDefault="00331A82" w:rsidP="00CF5D13">
            <w:pPr>
              <w:ind w:left="29" w:hanging="29"/>
              <w:rPr>
                <w:color w:val="13322B"/>
                <w:sz w:val="20"/>
              </w:rPr>
            </w:pPr>
          </w:p>
        </w:tc>
      </w:tr>
      <w:tr w:rsidR="00331A82" w:rsidRPr="00595DCA" w14:paraId="7450BF2C"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47B67A01" w14:textId="77777777" w:rsidR="00331A82" w:rsidRPr="001C2561" w:rsidRDefault="00331A82" w:rsidP="00CF5D13">
            <w:pPr>
              <w:jc w:val="center"/>
              <w:rPr>
                <w:b/>
                <w:color w:val="621132"/>
                <w:sz w:val="20"/>
              </w:rPr>
            </w:pPr>
            <w:r w:rsidRPr="001C2561">
              <w:rPr>
                <w:b/>
                <w:color w:val="621132"/>
                <w:sz w:val="20"/>
              </w:rPr>
              <w:t>Tema</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3E73580C" w14:textId="77777777" w:rsidR="00331A82" w:rsidRPr="001C2561" w:rsidRDefault="00331A82" w:rsidP="00CF5D13">
            <w:pPr>
              <w:jc w:val="center"/>
              <w:rPr>
                <w:b/>
                <w:color w:val="621132"/>
                <w:sz w:val="20"/>
              </w:rPr>
            </w:pPr>
            <w:proofErr w:type="gramStart"/>
            <w:r w:rsidRPr="001C2561">
              <w:rPr>
                <w:b/>
                <w:color w:val="621132"/>
                <w:sz w:val="20"/>
              </w:rPr>
              <w:t>Puntos a tratar</w:t>
            </w:r>
            <w:proofErr w:type="gramEnd"/>
            <w:r w:rsidRPr="001C2561">
              <w:rPr>
                <w:b/>
                <w:color w:val="621132"/>
                <w:sz w:val="20"/>
              </w:rPr>
              <w:t xml:space="preserve"> / Actividades</w:t>
            </w:r>
          </w:p>
          <w:p w14:paraId="6A059C79" w14:textId="77777777" w:rsidR="00331A82" w:rsidRPr="001C2561" w:rsidRDefault="00331A82" w:rsidP="00CF5D13">
            <w:pPr>
              <w:jc w:val="center"/>
              <w:rPr>
                <w:b/>
                <w:color w:val="621132"/>
                <w:sz w:val="20"/>
              </w:rPr>
            </w:pPr>
          </w:p>
        </w:tc>
      </w:tr>
      <w:tr w:rsidR="00331A82" w:rsidRPr="00595DCA" w14:paraId="411EBE34"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58C2E66E" w14:textId="1E4F78BB" w:rsidR="00331A82" w:rsidRPr="00A0065F" w:rsidRDefault="00331A82" w:rsidP="00CF5D13">
            <w:pPr>
              <w:pStyle w:val="ListParagraph"/>
              <w:numPr>
                <w:ilvl w:val="0"/>
                <w:numId w:val="10"/>
              </w:numPr>
              <w:ind w:left="321" w:hanging="284"/>
              <w:contextualSpacing w:val="0"/>
              <w:jc w:val="both"/>
              <w:rPr>
                <w:b/>
                <w:bCs/>
                <w:sz w:val="20"/>
              </w:rPr>
            </w:pPr>
            <w:r w:rsidRPr="00A0065F">
              <w:rPr>
                <w:b/>
                <w:bCs/>
                <w:sz w:val="20"/>
              </w:rPr>
              <w:t>Recuperación de productos de trabajo de otras oficinas</w:t>
            </w:r>
            <w:r w:rsidR="003D7287">
              <w:rPr>
                <w:b/>
                <w:bCs/>
                <w:sz w:val="20"/>
              </w:rPr>
              <w:t xml:space="preserve"> </w:t>
            </w:r>
          </w:p>
          <w:p w14:paraId="480EF615" w14:textId="77777777" w:rsidR="00331A82" w:rsidRPr="00A0065F" w:rsidRDefault="00331A82" w:rsidP="00CF5D13">
            <w:pPr>
              <w:pStyle w:val="ListParagraph"/>
              <w:ind w:left="459"/>
              <w:contextualSpacing w:val="0"/>
              <w:jc w:val="both"/>
              <w:rPr>
                <w:b/>
                <w:bCs/>
                <w:sz w:val="20"/>
              </w:rPr>
            </w:pPr>
          </w:p>
          <w:p w14:paraId="01036198" w14:textId="77777777" w:rsidR="00331A82" w:rsidRPr="00A0065F" w:rsidRDefault="00331A82" w:rsidP="003D7287">
            <w:pPr>
              <w:pStyle w:val="ListParagraph"/>
              <w:numPr>
                <w:ilvl w:val="1"/>
                <w:numId w:val="10"/>
              </w:numPr>
              <w:ind w:left="600"/>
              <w:contextualSpacing w:val="0"/>
              <w:jc w:val="both"/>
              <w:rPr>
                <w:sz w:val="20"/>
              </w:rPr>
            </w:pPr>
            <w:r w:rsidRPr="00A0065F">
              <w:rPr>
                <w:sz w:val="20"/>
              </w:rPr>
              <w:t>Explicación del servidor de la USPTO</w:t>
            </w:r>
          </w:p>
          <w:p w14:paraId="79C3AF26" w14:textId="77777777" w:rsidR="00331A82" w:rsidRPr="00A0065F" w:rsidRDefault="00331A82" w:rsidP="003D7287">
            <w:pPr>
              <w:pStyle w:val="ListParagraph"/>
              <w:numPr>
                <w:ilvl w:val="1"/>
                <w:numId w:val="10"/>
              </w:numPr>
              <w:ind w:left="604" w:hanging="364"/>
              <w:contextualSpacing w:val="0"/>
              <w:jc w:val="both"/>
              <w:rPr>
                <w:sz w:val="20"/>
              </w:rPr>
            </w:pPr>
            <w:r w:rsidRPr="00A0065F">
              <w:rPr>
                <w:sz w:val="20"/>
              </w:rPr>
              <w:t>Explicación del servidor de la JPO</w:t>
            </w:r>
          </w:p>
          <w:p w14:paraId="63234814" w14:textId="77777777" w:rsidR="00331A82" w:rsidRPr="00A0065F" w:rsidRDefault="00331A82" w:rsidP="003D7287">
            <w:pPr>
              <w:pStyle w:val="ListParagraph"/>
              <w:numPr>
                <w:ilvl w:val="1"/>
                <w:numId w:val="10"/>
              </w:numPr>
              <w:ind w:left="604" w:hanging="364"/>
              <w:contextualSpacing w:val="0"/>
              <w:jc w:val="both"/>
              <w:rPr>
                <w:sz w:val="20"/>
              </w:rPr>
            </w:pPr>
            <w:r w:rsidRPr="00A0065F">
              <w:rPr>
                <w:sz w:val="20"/>
              </w:rPr>
              <w:t>Explicación del servidor de la MOIP</w:t>
            </w:r>
          </w:p>
          <w:p w14:paraId="5B9115A2" w14:textId="77777777" w:rsidR="00331A82" w:rsidRPr="00A0065F" w:rsidRDefault="00331A82" w:rsidP="003D7287">
            <w:pPr>
              <w:pStyle w:val="ListParagraph"/>
              <w:numPr>
                <w:ilvl w:val="1"/>
                <w:numId w:val="10"/>
              </w:numPr>
              <w:ind w:left="604" w:hanging="364"/>
              <w:contextualSpacing w:val="0"/>
              <w:jc w:val="both"/>
              <w:rPr>
                <w:sz w:val="20"/>
              </w:rPr>
            </w:pPr>
            <w:r w:rsidRPr="00A0065F">
              <w:rPr>
                <w:sz w:val="20"/>
              </w:rPr>
              <w:t>Explicación del servidor de la CIPO</w:t>
            </w:r>
          </w:p>
          <w:p w14:paraId="67F7D70B" w14:textId="77777777" w:rsidR="00331A82" w:rsidRPr="00A0065F" w:rsidRDefault="00331A82" w:rsidP="00CF5D13">
            <w:pPr>
              <w:pStyle w:val="ListParagraph"/>
              <w:ind w:left="604"/>
              <w:contextualSpacing w:val="0"/>
              <w:jc w:val="both"/>
              <w:rPr>
                <w:sz w:val="20"/>
              </w:rPr>
            </w:pP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2A01B01E" w14:textId="77777777" w:rsidR="00331A82" w:rsidRPr="00A0065F" w:rsidRDefault="00331A82" w:rsidP="00CF5D13">
            <w:pPr>
              <w:jc w:val="both"/>
              <w:rPr>
                <w:sz w:val="20"/>
              </w:rPr>
            </w:pPr>
          </w:p>
          <w:p w14:paraId="1DCE30B0" w14:textId="77777777" w:rsidR="00331A82" w:rsidRPr="00A0065F" w:rsidRDefault="00331A82" w:rsidP="00CF5D13">
            <w:pPr>
              <w:jc w:val="both"/>
              <w:rPr>
                <w:sz w:val="20"/>
              </w:rPr>
            </w:pPr>
            <w:r w:rsidRPr="00A0065F">
              <w:rPr>
                <w:sz w:val="20"/>
              </w:rPr>
              <w:t>Explicar el procedimiento y los códigos utilizados en otras oficinas de patentes.</w:t>
            </w:r>
          </w:p>
          <w:p w14:paraId="0A2E95D9" w14:textId="77777777" w:rsidR="00331A82" w:rsidRPr="00A0065F" w:rsidRDefault="00331A82" w:rsidP="00CF5D13">
            <w:pPr>
              <w:jc w:val="both"/>
              <w:rPr>
                <w:sz w:val="20"/>
              </w:rPr>
            </w:pPr>
            <w:r w:rsidRPr="00A0065F">
              <w:rPr>
                <w:sz w:val="20"/>
              </w:rPr>
              <w:t>Recuperar otras patentes otorgadas</w:t>
            </w:r>
          </w:p>
          <w:p w14:paraId="38376B5E" w14:textId="77777777" w:rsidR="00331A82" w:rsidRPr="00A0065F" w:rsidRDefault="00331A82" w:rsidP="00CF5D13">
            <w:pPr>
              <w:jc w:val="both"/>
              <w:rPr>
                <w:b/>
                <w:bCs/>
                <w:sz w:val="20"/>
              </w:rPr>
            </w:pPr>
          </w:p>
        </w:tc>
      </w:tr>
      <w:tr w:rsidR="00331A82" w:rsidRPr="00595DCA" w14:paraId="7926A397"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5373AE8D" w14:textId="77777777" w:rsidR="00331A82" w:rsidRPr="00A0065F" w:rsidRDefault="00331A82" w:rsidP="00CF5D13">
            <w:pPr>
              <w:pStyle w:val="ListParagraph"/>
              <w:ind w:left="321"/>
              <w:contextualSpacing w:val="0"/>
              <w:jc w:val="both"/>
              <w:rPr>
                <w:b/>
                <w:bCs/>
                <w:sz w:val="20"/>
              </w:rPr>
            </w:pPr>
            <w:r w:rsidRPr="00A0065F">
              <w:rPr>
                <w:b/>
                <w:bCs/>
                <w:sz w:val="20"/>
              </w:rPr>
              <w:t xml:space="preserve">5.5 </w:t>
            </w:r>
            <w:r w:rsidRPr="00A0065F">
              <w:rPr>
                <w:rFonts w:eastAsia="Noto Sans"/>
                <w:sz w:val="20"/>
                <w:lang w:val="es-MX"/>
              </w:rPr>
              <w:t>Revisión de una solicitud de patente con su contraparte otorgada en otra oficina.</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17FC3303" w14:textId="77777777" w:rsidR="00331A82" w:rsidRPr="00A0065F" w:rsidRDefault="00331A82" w:rsidP="00CF5D13">
            <w:pPr>
              <w:jc w:val="both"/>
              <w:rPr>
                <w:sz w:val="20"/>
              </w:rPr>
            </w:pPr>
            <w:r w:rsidRPr="00A0065F">
              <w:rPr>
                <w:sz w:val="20"/>
              </w:rPr>
              <w:t>Comparación entre patentes otorgadas respecto a la solicitud presentada en IMPI</w:t>
            </w:r>
          </w:p>
          <w:p w14:paraId="413DC11F" w14:textId="77777777" w:rsidR="00331A82" w:rsidRPr="00A0065F" w:rsidRDefault="00331A82" w:rsidP="00CF5D13">
            <w:pPr>
              <w:jc w:val="both"/>
              <w:rPr>
                <w:sz w:val="20"/>
              </w:rPr>
            </w:pPr>
          </w:p>
        </w:tc>
      </w:tr>
      <w:tr w:rsidR="00331A82" w:rsidRPr="00595DCA" w14:paraId="0925AC21"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9063" w:type="dxa"/>
            <w:gridSpan w:val="3"/>
            <w:tcBorders>
              <w:top w:val="single" w:sz="2" w:space="0" w:color="244061" w:themeColor="accent1" w:themeShade="80"/>
              <w:left w:val="single" w:sz="2" w:space="0" w:color="244061" w:themeColor="accent1" w:themeShade="80"/>
              <w:bottom w:val="single" w:sz="4" w:space="0" w:color="auto"/>
              <w:right w:val="single" w:sz="4" w:space="0" w:color="auto"/>
            </w:tcBorders>
            <w:vAlign w:val="center"/>
          </w:tcPr>
          <w:p w14:paraId="5A5ED62F" w14:textId="77777777" w:rsidR="00331A82" w:rsidRPr="001C2561" w:rsidRDefault="00331A82" w:rsidP="00CF5D13">
            <w:pPr>
              <w:rPr>
                <w:b/>
                <w:bCs/>
                <w:color w:val="621132"/>
                <w:sz w:val="20"/>
              </w:rPr>
            </w:pPr>
            <w:r w:rsidRPr="001C2561">
              <w:rPr>
                <w:b/>
                <w:bCs/>
                <w:color w:val="621132"/>
                <w:sz w:val="20"/>
              </w:rPr>
              <w:t>Módulo VI. Criterios legales de patentabilidad</w:t>
            </w:r>
          </w:p>
          <w:p w14:paraId="034BAC82" w14:textId="77777777" w:rsidR="00331A82" w:rsidRPr="001C2561" w:rsidRDefault="00331A82" w:rsidP="00CF5D13">
            <w:pPr>
              <w:jc w:val="both"/>
              <w:rPr>
                <w:color w:val="13322B"/>
                <w:sz w:val="20"/>
              </w:rPr>
            </w:pPr>
          </w:p>
        </w:tc>
      </w:tr>
      <w:tr w:rsidR="00331A82" w:rsidRPr="00595DCA" w14:paraId="7EDB42DD"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05492A9D" w14:textId="77777777" w:rsidR="00331A82" w:rsidRPr="001C2561" w:rsidRDefault="00331A82" w:rsidP="00CF5D13">
            <w:pPr>
              <w:jc w:val="center"/>
              <w:rPr>
                <w:b/>
                <w:color w:val="621132"/>
                <w:sz w:val="20"/>
              </w:rPr>
            </w:pPr>
            <w:r w:rsidRPr="001C2561">
              <w:rPr>
                <w:b/>
                <w:color w:val="621132"/>
                <w:sz w:val="20"/>
              </w:rPr>
              <w:t>Tema</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62F46B1E" w14:textId="77777777" w:rsidR="00331A82" w:rsidRPr="001C2561" w:rsidRDefault="00331A82" w:rsidP="00CF5D13">
            <w:pPr>
              <w:jc w:val="center"/>
              <w:rPr>
                <w:b/>
                <w:color w:val="621132"/>
                <w:sz w:val="20"/>
              </w:rPr>
            </w:pPr>
            <w:proofErr w:type="gramStart"/>
            <w:r w:rsidRPr="001C2561">
              <w:rPr>
                <w:b/>
                <w:color w:val="621132"/>
                <w:sz w:val="20"/>
              </w:rPr>
              <w:t>Puntos a tratar</w:t>
            </w:r>
            <w:proofErr w:type="gramEnd"/>
            <w:r w:rsidRPr="001C2561">
              <w:rPr>
                <w:b/>
                <w:color w:val="621132"/>
                <w:sz w:val="20"/>
              </w:rPr>
              <w:t xml:space="preserve"> / Actividades</w:t>
            </w:r>
          </w:p>
          <w:p w14:paraId="55BE4148" w14:textId="77777777" w:rsidR="00331A82" w:rsidRPr="001C2561" w:rsidRDefault="00331A82" w:rsidP="00CF5D13">
            <w:pPr>
              <w:jc w:val="center"/>
              <w:rPr>
                <w:b/>
                <w:color w:val="621132"/>
                <w:sz w:val="20"/>
              </w:rPr>
            </w:pPr>
          </w:p>
        </w:tc>
      </w:tr>
      <w:tr w:rsidR="00331A82" w:rsidRPr="00595DCA" w14:paraId="1871DA49"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3CA12513" w14:textId="1B6AC548" w:rsidR="00331A82" w:rsidRPr="00A0065F" w:rsidRDefault="00331A82" w:rsidP="00CF5D13">
            <w:pPr>
              <w:pStyle w:val="ListParagraph"/>
              <w:numPr>
                <w:ilvl w:val="1"/>
                <w:numId w:val="14"/>
              </w:numPr>
              <w:ind w:left="321" w:hanging="284"/>
              <w:contextualSpacing w:val="0"/>
              <w:jc w:val="both"/>
              <w:rPr>
                <w:b/>
                <w:bCs/>
                <w:sz w:val="20"/>
              </w:rPr>
            </w:pPr>
            <w:r w:rsidRPr="00A0065F">
              <w:rPr>
                <w:b/>
                <w:bCs/>
                <w:sz w:val="20"/>
              </w:rPr>
              <w:t xml:space="preserve"> Novedad</w:t>
            </w:r>
            <w:r w:rsidR="003D7287">
              <w:rPr>
                <w:b/>
                <w:bCs/>
                <w:sz w:val="20"/>
              </w:rPr>
              <w:t xml:space="preserve"> </w:t>
            </w:r>
          </w:p>
          <w:p w14:paraId="0D182F6F" w14:textId="77777777" w:rsidR="00331A82" w:rsidRPr="00A0065F" w:rsidRDefault="00331A82" w:rsidP="00CF5D13">
            <w:pPr>
              <w:pStyle w:val="ListParagraph"/>
              <w:ind w:left="459"/>
              <w:contextualSpacing w:val="0"/>
              <w:jc w:val="both"/>
              <w:rPr>
                <w:b/>
                <w:bCs/>
                <w:sz w:val="20"/>
              </w:rPr>
            </w:pPr>
          </w:p>
          <w:p w14:paraId="73E06D85" w14:textId="77777777" w:rsidR="00331A82" w:rsidRPr="00A0065F" w:rsidRDefault="00331A82" w:rsidP="00CF5D13">
            <w:pPr>
              <w:pStyle w:val="ListParagraph"/>
              <w:numPr>
                <w:ilvl w:val="2"/>
                <w:numId w:val="15"/>
              </w:numPr>
              <w:ind w:left="746" w:hanging="425"/>
              <w:contextualSpacing w:val="0"/>
              <w:jc w:val="both"/>
              <w:rPr>
                <w:sz w:val="20"/>
              </w:rPr>
            </w:pPr>
            <w:r w:rsidRPr="00A0065F">
              <w:rPr>
                <w:sz w:val="20"/>
              </w:rPr>
              <w:t>Explicación de los criterios y su principio</w:t>
            </w:r>
          </w:p>
          <w:p w14:paraId="03D66A00" w14:textId="77777777" w:rsidR="00331A82" w:rsidRPr="00A0065F" w:rsidRDefault="00331A82" w:rsidP="00CF5D13">
            <w:pPr>
              <w:pStyle w:val="ListParagraph"/>
              <w:numPr>
                <w:ilvl w:val="2"/>
                <w:numId w:val="15"/>
              </w:numPr>
              <w:ind w:left="746" w:hanging="425"/>
              <w:contextualSpacing w:val="0"/>
              <w:jc w:val="both"/>
              <w:rPr>
                <w:sz w:val="20"/>
              </w:rPr>
            </w:pPr>
            <w:r w:rsidRPr="00A0065F">
              <w:rPr>
                <w:sz w:val="20"/>
              </w:rPr>
              <w:t>Explicación de los antecedentes legales</w:t>
            </w:r>
          </w:p>
          <w:p w14:paraId="53AD3E04" w14:textId="77777777" w:rsidR="00331A82" w:rsidRPr="00A0065F" w:rsidRDefault="00331A82" w:rsidP="00CF5D13">
            <w:pPr>
              <w:jc w:val="both"/>
              <w:rPr>
                <w:sz w:val="20"/>
              </w:rPr>
            </w:pP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38310C40" w14:textId="77777777" w:rsidR="00331A82" w:rsidRPr="00A0065F" w:rsidRDefault="00331A82" w:rsidP="00CF5D13">
            <w:pPr>
              <w:jc w:val="both"/>
              <w:rPr>
                <w:sz w:val="20"/>
              </w:rPr>
            </w:pPr>
          </w:p>
          <w:p w14:paraId="4CAFC333" w14:textId="77777777" w:rsidR="00331A82" w:rsidRPr="00A0065F" w:rsidRDefault="00331A82" w:rsidP="00CF5D13">
            <w:pPr>
              <w:jc w:val="both"/>
              <w:rPr>
                <w:sz w:val="20"/>
              </w:rPr>
            </w:pPr>
            <w:r w:rsidRPr="00A0065F">
              <w:rPr>
                <w:sz w:val="20"/>
              </w:rPr>
              <w:t>Explicar el procedimiento y los códigos utilizados en otras oficinas de patentes.</w:t>
            </w:r>
          </w:p>
          <w:p w14:paraId="0DE04E1A" w14:textId="77777777" w:rsidR="00331A82" w:rsidRPr="00A0065F" w:rsidRDefault="00331A82" w:rsidP="00CF5D13">
            <w:pPr>
              <w:jc w:val="both"/>
              <w:rPr>
                <w:sz w:val="20"/>
              </w:rPr>
            </w:pPr>
            <w:r w:rsidRPr="00A0065F">
              <w:rPr>
                <w:sz w:val="20"/>
              </w:rPr>
              <w:t>Recuperar otras patentes otorgadas</w:t>
            </w:r>
          </w:p>
          <w:p w14:paraId="7120F55D" w14:textId="77777777" w:rsidR="00331A82" w:rsidRPr="00A0065F" w:rsidRDefault="00331A82" w:rsidP="00CF5D13">
            <w:pPr>
              <w:jc w:val="both"/>
              <w:rPr>
                <w:b/>
                <w:bCs/>
                <w:sz w:val="20"/>
              </w:rPr>
            </w:pPr>
          </w:p>
        </w:tc>
      </w:tr>
      <w:tr w:rsidR="00331A82" w:rsidRPr="00595DCA" w14:paraId="449B845D"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62CFF2C4" w14:textId="471C2786" w:rsidR="00331A82" w:rsidRPr="00A0065F" w:rsidRDefault="00331A82" w:rsidP="00CF5D13">
            <w:pPr>
              <w:pStyle w:val="ListParagraph"/>
              <w:numPr>
                <w:ilvl w:val="1"/>
                <w:numId w:val="14"/>
              </w:numPr>
              <w:ind w:left="321" w:hanging="284"/>
              <w:contextualSpacing w:val="0"/>
              <w:jc w:val="both"/>
              <w:rPr>
                <w:b/>
                <w:bCs/>
                <w:sz w:val="20"/>
              </w:rPr>
            </w:pPr>
            <w:r w:rsidRPr="00A0065F">
              <w:rPr>
                <w:b/>
                <w:bCs/>
                <w:sz w:val="20"/>
              </w:rPr>
              <w:t xml:space="preserve"> Actividad inventiva</w:t>
            </w:r>
            <w:r w:rsidR="003D7287">
              <w:rPr>
                <w:b/>
                <w:bCs/>
                <w:sz w:val="20"/>
              </w:rPr>
              <w:t xml:space="preserve"> </w:t>
            </w:r>
          </w:p>
          <w:p w14:paraId="5EA137A5" w14:textId="77777777" w:rsidR="00331A82" w:rsidRPr="00A0065F" w:rsidRDefault="00331A82" w:rsidP="00CF5D13">
            <w:pPr>
              <w:pStyle w:val="ListParagraph"/>
              <w:ind w:left="459"/>
              <w:contextualSpacing w:val="0"/>
              <w:jc w:val="both"/>
              <w:rPr>
                <w:b/>
                <w:bCs/>
                <w:sz w:val="20"/>
              </w:rPr>
            </w:pPr>
          </w:p>
          <w:p w14:paraId="69E0AB1A" w14:textId="77777777" w:rsidR="00331A82" w:rsidRPr="00A0065F" w:rsidRDefault="00331A82" w:rsidP="00CF5D13">
            <w:pPr>
              <w:pStyle w:val="ListParagraph"/>
              <w:numPr>
                <w:ilvl w:val="2"/>
                <w:numId w:val="14"/>
              </w:numPr>
              <w:ind w:left="746" w:hanging="425"/>
              <w:contextualSpacing w:val="0"/>
              <w:jc w:val="both"/>
              <w:rPr>
                <w:sz w:val="20"/>
              </w:rPr>
            </w:pPr>
            <w:r w:rsidRPr="00A0065F">
              <w:rPr>
                <w:sz w:val="20"/>
              </w:rPr>
              <w:t>Explicación de los criterios y su principio</w:t>
            </w:r>
          </w:p>
          <w:p w14:paraId="6B10EF71" w14:textId="77777777" w:rsidR="00331A82" w:rsidRPr="00A0065F" w:rsidRDefault="00331A82" w:rsidP="00CF5D13">
            <w:pPr>
              <w:pStyle w:val="ListParagraph"/>
              <w:numPr>
                <w:ilvl w:val="2"/>
                <w:numId w:val="14"/>
              </w:numPr>
              <w:ind w:left="746" w:hanging="425"/>
              <w:contextualSpacing w:val="0"/>
              <w:jc w:val="both"/>
              <w:rPr>
                <w:sz w:val="20"/>
              </w:rPr>
            </w:pPr>
            <w:r w:rsidRPr="00A0065F">
              <w:rPr>
                <w:sz w:val="20"/>
              </w:rPr>
              <w:t>Explicación de los antecedentes legales</w:t>
            </w:r>
          </w:p>
          <w:p w14:paraId="03BEAA94" w14:textId="77777777" w:rsidR="00331A82" w:rsidRPr="00A0065F" w:rsidRDefault="00331A82" w:rsidP="00CF5D13">
            <w:pPr>
              <w:pStyle w:val="ListParagraph"/>
              <w:ind w:left="321"/>
              <w:contextualSpacing w:val="0"/>
              <w:jc w:val="both"/>
              <w:rPr>
                <w:b/>
                <w:bCs/>
                <w:sz w:val="20"/>
              </w:rPr>
            </w:pPr>
            <w:r w:rsidRPr="00A0065F">
              <w:rPr>
                <w:sz w:val="20"/>
              </w:rPr>
              <w:t>6.2.3 Breve visión general de la aproximación del problema-solución</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44A2B23A" w14:textId="77777777" w:rsidR="00331A82" w:rsidRPr="00A0065F" w:rsidRDefault="00331A82" w:rsidP="00CF5D13">
            <w:pPr>
              <w:jc w:val="both"/>
              <w:rPr>
                <w:sz w:val="20"/>
              </w:rPr>
            </w:pPr>
          </w:p>
          <w:p w14:paraId="309C3955" w14:textId="77777777" w:rsidR="00331A82" w:rsidRPr="00A0065F" w:rsidRDefault="00331A82" w:rsidP="00CF5D13">
            <w:pPr>
              <w:jc w:val="both"/>
              <w:rPr>
                <w:sz w:val="20"/>
              </w:rPr>
            </w:pPr>
            <w:r w:rsidRPr="00A0065F">
              <w:rPr>
                <w:sz w:val="20"/>
              </w:rPr>
              <w:t>Pedir a los solicitantes aplicar la aproximación del método problema-solución.</w:t>
            </w:r>
          </w:p>
          <w:p w14:paraId="745038AF" w14:textId="77777777" w:rsidR="00331A82" w:rsidRPr="00A0065F" w:rsidRDefault="00331A82" w:rsidP="00CF5D13">
            <w:pPr>
              <w:jc w:val="both"/>
              <w:rPr>
                <w:sz w:val="20"/>
              </w:rPr>
            </w:pPr>
            <w:r w:rsidRPr="00A0065F">
              <w:rPr>
                <w:sz w:val="20"/>
              </w:rPr>
              <w:t>Discutir los resultados en grupo</w:t>
            </w:r>
          </w:p>
        </w:tc>
      </w:tr>
      <w:tr w:rsidR="00331A82" w:rsidRPr="00595DCA" w14:paraId="61BFB1BE"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1D31C81E" w14:textId="77777777" w:rsidR="00331A82" w:rsidRPr="00A0065F" w:rsidRDefault="00331A82" w:rsidP="00CF5D13">
            <w:pPr>
              <w:pStyle w:val="ListParagraph"/>
              <w:numPr>
                <w:ilvl w:val="1"/>
                <w:numId w:val="14"/>
              </w:numPr>
              <w:ind w:left="321" w:hanging="284"/>
              <w:contextualSpacing w:val="0"/>
              <w:jc w:val="both"/>
              <w:rPr>
                <w:b/>
                <w:bCs/>
                <w:sz w:val="20"/>
              </w:rPr>
            </w:pPr>
            <w:r w:rsidRPr="00A0065F">
              <w:rPr>
                <w:b/>
                <w:bCs/>
                <w:sz w:val="20"/>
              </w:rPr>
              <w:t xml:space="preserve"> Aplicación industrial</w:t>
            </w:r>
          </w:p>
          <w:p w14:paraId="19D6E2B2" w14:textId="77777777" w:rsidR="00331A82" w:rsidRPr="00A0065F" w:rsidRDefault="00331A82" w:rsidP="00CF5D13">
            <w:pPr>
              <w:pStyle w:val="ListParagraph"/>
              <w:ind w:left="459"/>
              <w:contextualSpacing w:val="0"/>
              <w:jc w:val="both"/>
              <w:rPr>
                <w:b/>
                <w:bCs/>
                <w:sz w:val="20"/>
              </w:rPr>
            </w:pPr>
          </w:p>
          <w:p w14:paraId="63C37831" w14:textId="77777777" w:rsidR="00331A82" w:rsidRPr="00A0065F" w:rsidRDefault="00331A82" w:rsidP="00CF5D13">
            <w:pPr>
              <w:pStyle w:val="ListParagraph"/>
              <w:numPr>
                <w:ilvl w:val="2"/>
                <w:numId w:val="14"/>
              </w:numPr>
              <w:ind w:left="746" w:hanging="425"/>
              <w:contextualSpacing w:val="0"/>
              <w:jc w:val="both"/>
              <w:rPr>
                <w:sz w:val="20"/>
              </w:rPr>
            </w:pPr>
            <w:r w:rsidRPr="00A0065F">
              <w:rPr>
                <w:sz w:val="20"/>
              </w:rPr>
              <w:t>Explicación de los criterios y su principio</w:t>
            </w:r>
          </w:p>
          <w:p w14:paraId="5CE6CC1C" w14:textId="77777777" w:rsidR="00331A82" w:rsidRPr="00A0065F" w:rsidRDefault="00331A82" w:rsidP="00CF5D13">
            <w:pPr>
              <w:pStyle w:val="ListParagraph"/>
              <w:numPr>
                <w:ilvl w:val="2"/>
                <w:numId w:val="14"/>
              </w:numPr>
              <w:ind w:left="746" w:hanging="425"/>
              <w:contextualSpacing w:val="0"/>
              <w:jc w:val="both"/>
              <w:rPr>
                <w:sz w:val="20"/>
              </w:rPr>
            </w:pPr>
            <w:r w:rsidRPr="00A0065F">
              <w:rPr>
                <w:sz w:val="20"/>
              </w:rPr>
              <w:t>Explicación de los antecedentes legales</w:t>
            </w:r>
          </w:p>
          <w:p w14:paraId="1D3145FC" w14:textId="77777777" w:rsidR="00331A82" w:rsidRPr="00A0065F" w:rsidRDefault="00331A82" w:rsidP="00CF5D13">
            <w:pPr>
              <w:pStyle w:val="ListParagraph"/>
              <w:ind w:left="321"/>
              <w:contextualSpacing w:val="0"/>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06569909" w14:textId="77777777" w:rsidR="00331A82" w:rsidRPr="00A0065F" w:rsidRDefault="00331A82" w:rsidP="00CF5D13">
            <w:pPr>
              <w:jc w:val="both"/>
              <w:rPr>
                <w:sz w:val="20"/>
              </w:rPr>
            </w:pPr>
          </w:p>
          <w:p w14:paraId="4339A27F" w14:textId="77777777" w:rsidR="00331A82" w:rsidRPr="00A0065F" w:rsidRDefault="00331A82" w:rsidP="00CF5D13">
            <w:pPr>
              <w:jc w:val="both"/>
              <w:rPr>
                <w:sz w:val="20"/>
              </w:rPr>
            </w:pPr>
          </w:p>
          <w:p w14:paraId="151BACC5" w14:textId="77777777" w:rsidR="00331A82" w:rsidRPr="00A0065F" w:rsidRDefault="00331A82" w:rsidP="00CF5D13">
            <w:pPr>
              <w:jc w:val="both"/>
              <w:rPr>
                <w:sz w:val="20"/>
              </w:rPr>
            </w:pPr>
            <w:r w:rsidRPr="00A0065F">
              <w:rPr>
                <w:sz w:val="20"/>
              </w:rPr>
              <w:t>Discutir algunos ejemplos de falta de aplicación industrial</w:t>
            </w:r>
          </w:p>
        </w:tc>
      </w:tr>
      <w:tr w:rsidR="00331A82" w:rsidRPr="00595DCA" w14:paraId="152A1E22"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1212BE5D" w14:textId="77777777" w:rsidR="00331A82" w:rsidRPr="00A0065F" w:rsidRDefault="00331A82" w:rsidP="00CF5D13">
            <w:pPr>
              <w:pStyle w:val="ListParagraph"/>
              <w:keepNext/>
              <w:numPr>
                <w:ilvl w:val="1"/>
                <w:numId w:val="14"/>
              </w:numPr>
              <w:ind w:left="321" w:hanging="284"/>
              <w:contextualSpacing w:val="0"/>
              <w:jc w:val="both"/>
              <w:rPr>
                <w:b/>
                <w:bCs/>
                <w:sz w:val="20"/>
              </w:rPr>
            </w:pPr>
            <w:r w:rsidRPr="00A0065F">
              <w:rPr>
                <w:b/>
                <w:bCs/>
                <w:sz w:val="20"/>
              </w:rPr>
              <w:t xml:space="preserve"> Claridad</w:t>
            </w:r>
          </w:p>
          <w:p w14:paraId="741D9E52" w14:textId="77777777" w:rsidR="00331A82" w:rsidRPr="00A0065F" w:rsidRDefault="00331A82" w:rsidP="00CF5D13">
            <w:pPr>
              <w:pStyle w:val="ListParagraph"/>
              <w:keepNext/>
              <w:ind w:left="459"/>
              <w:contextualSpacing w:val="0"/>
              <w:jc w:val="both"/>
              <w:rPr>
                <w:b/>
                <w:bCs/>
                <w:sz w:val="20"/>
              </w:rPr>
            </w:pPr>
          </w:p>
          <w:p w14:paraId="2F4F93E5" w14:textId="77777777" w:rsidR="00331A82" w:rsidRPr="00A0065F" w:rsidRDefault="00331A82" w:rsidP="00CF5D13">
            <w:pPr>
              <w:pStyle w:val="ListParagraph"/>
              <w:keepNext/>
              <w:numPr>
                <w:ilvl w:val="2"/>
                <w:numId w:val="14"/>
              </w:numPr>
              <w:ind w:left="746" w:hanging="425"/>
              <w:contextualSpacing w:val="0"/>
              <w:jc w:val="both"/>
              <w:rPr>
                <w:sz w:val="20"/>
              </w:rPr>
            </w:pPr>
            <w:r w:rsidRPr="00A0065F">
              <w:rPr>
                <w:sz w:val="20"/>
              </w:rPr>
              <w:t xml:space="preserve">Explicación de los criterios </w:t>
            </w:r>
          </w:p>
          <w:p w14:paraId="1AE98572" w14:textId="77777777" w:rsidR="00331A82" w:rsidRPr="00A0065F" w:rsidRDefault="00331A82" w:rsidP="00CF5D13">
            <w:pPr>
              <w:pStyle w:val="ListParagraph"/>
              <w:numPr>
                <w:ilvl w:val="2"/>
                <w:numId w:val="14"/>
              </w:numPr>
              <w:ind w:left="746" w:hanging="425"/>
              <w:contextualSpacing w:val="0"/>
              <w:jc w:val="both"/>
              <w:rPr>
                <w:sz w:val="20"/>
              </w:rPr>
            </w:pPr>
            <w:r w:rsidRPr="00A0065F">
              <w:rPr>
                <w:sz w:val="20"/>
              </w:rPr>
              <w:t>Explicación de los antecedentes legales</w:t>
            </w:r>
          </w:p>
          <w:p w14:paraId="0BB1244F" w14:textId="77777777" w:rsidR="00331A82" w:rsidRPr="00A0065F" w:rsidRDefault="00331A82" w:rsidP="00CF5D13">
            <w:pPr>
              <w:pStyle w:val="ListParagraph"/>
              <w:ind w:left="321"/>
              <w:contextualSpacing w:val="0"/>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25CA9F87" w14:textId="77777777" w:rsidR="00331A82" w:rsidRPr="00A0065F" w:rsidRDefault="00331A82" w:rsidP="00CF5D13">
            <w:pPr>
              <w:jc w:val="both"/>
              <w:rPr>
                <w:sz w:val="20"/>
              </w:rPr>
            </w:pPr>
          </w:p>
          <w:p w14:paraId="6956B3B0" w14:textId="77777777" w:rsidR="00331A82" w:rsidRPr="00A0065F" w:rsidRDefault="00331A82" w:rsidP="00CF5D13">
            <w:pPr>
              <w:jc w:val="both"/>
              <w:rPr>
                <w:sz w:val="20"/>
              </w:rPr>
            </w:pPr>
          </w:p>
          <w:p w14:paraId="3E38693D" w14:textId="77777777" w:rsidR="00331A82" w:rsidRPr="00A0065F" w:rsidRDefault="00331A82" w:rsidP="00CF5D13">
            <w:pPr>
              <w:jc w:val="both"/>
              <w:rPr>
                <w:sz w:val="20"/>
              </w:rPr>
            </w:pPr>
            <w:r w:rsidRPr="00A0065F">
              <w:rPr>
                <w:sz w:val="20"/>
              </w:rPr>
              <w:t>Discutir algunos ejemplos de falta de claridad</w:t>
            </w:r>
          </w:p>
        </w:tc>
      </w:tr>
      <w:tr w:rsidR="00331A82" w:rsidRPr="00595DCA" w14:paraId="2EAA80C7"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0BD2B115" w14:textId="77777777" w:rsidR="00331A82" w:rsidRPr="00A0065F" w:rsidRDefault="00331A82" w:rsidP="00CF5D13">
            <w:pPr>
              <w:pStyle w:val="ListParagraph"/>
              <w:numPr>
                <w:ilvl w:val="1"/>
                <w:numId w:val="14"/>
              </w:numPr>
              <w:ind w:left="321" w:hanging="284"/>
              <w:contextualSpacing w:val="0"/>
              <w:jc w:val="both"/>
              <w:rPr>
                <w:b/>
                <w:bCs/>
                <w:sz w:val="20"/>
              </w:rPr>
            </w:pPr>
            <w:r w:rsidRPr="00A0065F">
              <w:rPr>
                <w:b/>
                <w:bCs/>
                <w:sz w:val="20"/>
              </w:rPr>
              <w:t xml:space="preserve"> Suficiencia de la descripción</w:t>
            </w:r>
          </w:p>
          <w:p w14:paraId="2CE024FB" w14:textId="77777777" w:rsidR="00331A82" w:rsidRPr="00A0065F" w:rsidRDefault="00331A82" w:rsidP="00CF5D13">
            <w:pPr>
              <w:pStyle w:val="ListParagraph"/>
              <w:ind w:left="459"/>
              <w:contextualSpacing w:val="0"/>
              <w:jc w:val="both"/>
              <w:rPr>
                <w:b/>
                <w:bCs/>
                <w:sz w:val="20"/>
              </w:rPr>
            </w:pPr>
          </w:p>
          <w:p w14:paraId="2DF78D6C" w14:textId="77777777" w:rsidR="00331A82" w:rsidRPr="00A0065F" w:rsidRDefault="00331A82" w:rsidP="00CF5D13">
            <w:pPr>
              <w:pStyle w:val="ListParagraph"/>
              <w:numPr>
                <w:ilvl w:val="2"/>
                <w:numId w:val="14"/>
              </w:numPr>
              <w:ind w:left="746" w:hanging="425"/>
              <w:contextualSpacing w:val="0"/>
              <w:jc w:val="both"/>
              <w:rPr>
                <w:sz w:val="20"/>
              </w:rPr>
            </w:pPr>
            <w:r w:rsidRPr="00A0065F">
              <w:rPr>
                <w:sz w:val="20"/>
              </w:rPr>
              <w:t>Explicación de las razones de este requerimiento</w:t>
            </w:r>
          </w:p>
          <w:p w14:paraId="0CF932B7" w14:textId="77777777" w:rsidR="00331A82" w:rsidRPr="00A0065F" w:rsidRDefault="00331A82" w:rsidP="00CF5D13">
            <w:pPr>
              <w:pStyle w:val="ListParagraph"/>
              <w:numPr>
                <w:ilvl w:val="2"/>
                <w:numId w:val="14"/>
              </w:numPr>
              <w:ind w:left="746" w:hanging="425"/>
              <w:contextualSpacing w:val="0"/>
              <w:jc w:val="both"/>
              <w:rPr>
                <w:sz w:val="20"/>
              </w:rPr>
            </w:pPr>
            <w:r w:rsidRPr="00A0065F">
              <w:rPr>
                <w:sz w:val="20"/>
              </w:rPr>
              <w:t>Explicación de los requerimientos legales</w:t>
            </w:r>
          </w:p>
          <w:p w14:paraId="4F1B5F16" w14:textId="77777777" w:rsidR="00331A82" w:rsidRPr="00A0065F" w:rsidRDefault="00331A82" w:rsidP="00CF5D13">
            <w:pPr>
              <w:pStyle w:val="ListParagraph"/>
              <w:numPr>
                <w:ilvl w:val="2"/>
                <w:numId w:val="14"/>
              </w:numPr>
              <w:ind w:left="746" w:hanging="425"/>
              <w:contextualSpacing w:val="0"/>
              <w:jc w:val="both"/>
              <w:rPr>
                <w:sz w:val="20"/>
              </w:rPr>
            </w:pPr>
            <w:r w:rsidRPr="00A0065F">
              <w:rPr>
                <w:sz w:val="20"/>
              </w:rPr>
              <w:t>Explicación sobre como evaluar este requerimiento</w:t>
            </w:r>
          </w:p>
          <w:p w14:paraId="681BA934" w14:textId="77777777" w:rsidR="00331A82" w:rsidRPr="00A0065F" w:rsidRDefault="00331A82" w:rsidP="00CF5D13">
            <w:pPr>
              <w:pStyle w:val="ListParagraph"/>
              <w:ind w:left="321"/>
              <w:contextualSpacing w:val="0"/>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08372468" w14:textId="77777777" w:rsidR="00331A82" w:rsidRPr="00A0065F" w:rsidRDefault="00331A82" w:rsidP="00CF5D13">
            <w:pPr>
              <w:jc w:val="both"/>
              <w:rPr>
                <w:sz w:val="20"/>
              </w:rPr>
            </w:pPr>
          </w:p>
          <w:p w14:paraId="467C6E91" w14:textId="77777777" w:rsidR="00331A82" w:rsidRPr="00A0065F" w:rsidRDefault="00331A82" w:rsidP="00CF5D13">
            <w:pPr>
              <w:jc w:val="both"/>
              <w:rPr>
                <w:sz w:val="20"/>
              </w:rPr>
            </w:pPr>
            <w:r w:rsidRPr="00A0065F">
              <w:rPr>
                <w:sz w:val="20"/>
              </w:rPr>
              <w:t>Discutir algunos ejemplos de falta de insuficiencia de la descripción</w:t>
            </w:r>
          </w:p>
        </w:tc>
      </w:tr>
      <w:tr w:rsidR="00331A82" w:rsidRPr="00595DCA" w14:paraId="3EB64111"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5E1B0C70" w14:textId="77777777" w:rsidR="00331A82" w:rsidRPr="00A0065F" w:rsidRDefault="00331A82" w:rsidP="00CF5D13">
            <w:pPr>
              <w:pStyle w:val="ListParagraph"/>
              <w:numPr>
                <w:ilvl w:val="1"/>
                <w:numId w:val="14"/>
              </w:numPr>
              <w:ind w:left="321" w:hanging="284"/>
              <w:contextualSpacing w:val="0"/>
              <w:jc w:val="both"/>
              <w:rPr>
                <w:b/>
                <w:bCs/>
                <w:sz w:val="20"/>
              </w:rPr>
            </w:pPr>
            <w:r w:rsidRPr="00A0065F">
              <w:rPr>
                <w:b/>
                <w:bCs/>
                <w:sz w:val="20"/>
              </w:rPr>
              <w:t>Unidad de invención</w:t>
            </w:r>
          </w:p>
          <w:p w14:paraId="4EB8FCBA" w14:textId="77777777" w:rsidR="00331A82" w:rsidRPr="00A0065F" w:rsidRDefault="00331A82" w:rsidP="00CF5D13">
            <w:pPr>
              <w:pStyle w:val="ListParagraph"/>
              <w:ind w:left="459"/>
              <w:contextualSpacing w:val="0"/>
              <w:jc w:val="both"/>
              <w:rPr>
                <w:b/>
                <w:bCs/>
                <w:sz w:val="20"/>
              </w:rPr>
            </w:pPr>
          </w:p>
          <w:p w14:paraId="29C455D2" w14:textId="77777777" w:rsidR="00331A82" w:rsidRPr="00A0065F" w:rsidRDefault="00331A82" w:rsidP="00CF5D13">
            <w:pPr>
              <w:pStyle w:val="ListParagraph"/>
              <w:numPr>
                <w:ilvl w:val="2"/>
                <w:numId w:val="14"/>
              </w:numPr>
              <w:ind w:left="746" w:hanging="425"/>
              <w:contextualSpacing w:val="0"/>
              <w:jc w:val="both"/>
              <w:rPr>
                <w:sz w:val="20"/>
              </w:rPr>
            </w:pPr>
            <w:r w:rsidRPr="00A0065F">
              <w:rPr>
                <w:sz w:val="20"/>
              </w:rPr>
              <w:t>Explicación de las razones de este criterio</w:t>
            </w:r>
          </w:p>
          <w:p w14:paraId="6C1D227E" w14:textId="77777777" w:rsidR="00331A82" w:rsidRPr="00A0065F" w:rsidRDefault="00331A82" w:rsidP="00CF5D13">
            <w:pPr>
              <w:pStyle w:val="ListParagraph"/>
              <w:numPr>
                <w:ilvl w:val="2"/>
                <w:numId w:val="14"/>
              </w:numPr>
              <w:ind w:left="746" w:hanging="425"/>
              <w:contextualSpacing w:val="0"/>
              <w:jc w:val="both"/>
              <w:rPr>
                <w:sz w:val="20"/>
              </w:rPr>
            </w:pPr>
            <w:r w:rsidRPr="00A0065F">
              <w:rPr>
                <w:sz w:val="20"/>
              </w:rPr>
              <w:t>Explicación de los antecedentes legales</w:t>
            </w:r>
          </w:p>
          <w:p w14:paraId="34C1275F" w14:textId="77777777" w:rsidR="00331A82" w:rsidRPr="00A0065F" w:rsidRDefault="00331A82" w:rsidP="00CF5D13">
            <w:pPr>
              <w:pStyle w:val="ListParagraph"/>
              <w:ind w:left="321"/>
              <w:contextualSpacing w:val="0"/>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71103B0E" w14:textId="77777777" w:rsidR="00331A82" w:rsidRPr="00A0065F" w:rsidRDefault="00331A82" w:rsidP="00CF5D13">
            <w:pPr>
              <w:jc w:val="both"/>
              <w:rPr>
                <w:sz w:val="20"/>
              </w:rPr>
            </w:pPr>
          </w:p>
          <w:p w14:paraId="16B6763C" w14:textId="77777777" w:rsidR="00331A82" w:rsidRPr="00A0065F" w:rsidRDefault="00331A82" w:rsidP="00CF5D13">
            <w:pPr>
              <w:jc w:val="both"/>
              <w:rPr>
                <w:sz w:val="20"/>
              </w:rPr>
            </w:pPr>
            <w:r w:rsidRPr="00A0065F">
              <w:rPr>
                <w:sz w:val="20"/>
              </w:rPr>
              <w:t>Falta de Unidad de invención a priori</w:t>
            </w:r>
          </w:p>
          <w:p w14:paraId="70E28FDF" w14:textId="77777777" w:rsidR="00331A82" w:rsidRPr="00A0065F" w:rsidRDefault="00331A82" w:rsidP="00CF5D13">
            <w:pPr>
              <w:jc w:val="both"/>
              <w:rPr>
                <w:sz w:val="20"/>
              </w:rPr>
            </w:pPr>
            <w:r w:rsidRPr="00A0065F">
              <w:rPr>
                <w:sz w:val="20"/>
              </w:rPr>
              <w:t>Falta de Unidad de invención a posteriori</w:t>
            </w:r>
          </w:p>
        </w:tc>
      </w:tr>
      <w:tr w:rsidR="00331A82" w:rsidRPr="00595DCA" w14:paraId="3F56D7CE"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70EB081B" w14:textId="77777777" w:rsidR="00331A82" w:rsidRPr="00A0065F" w:rsidRDefault="00331A82" w:rsidP="00CF5D13">
            <w:pPr>
              <w:pStyle w:val="ListParagraph"/>
              <w:numPr>
                <w:ilvl w:val="1"/>
                <w:numId w:val="14"/>
              </w:numPr>
              <w:ind w:left="321" w:hanging="284"/>
              <w:contextualSpacing w:val="0"/>
              <w:jc w:val="both"/>
              <w:rPr>
                <w:b/>
                <w:bCs/>
                <w:sz w:val="20"/>
              </w:rPr>
            </w:pPr>
            <w:r w:rsidRPr="00A0065F">
              <w:rPr>
                <w:b/>
                <w:bCs/>
                <w:sz w:val="20"/>
              </w:rPr>
              <w:t xml:space="preserve"> Solicitudes divisionales</w:t>
            </w:r>
          </w:p>
          <w:p w14:paraId="03A2F956" w14:textId="77777777" w:rsidR="00331A82" w:rsidRPr="00A0065F" w:rsidRDefault="00331A82" w:rsidP="00CF5D13">
            <w:pPr>
              <w:pStyle w:val="ListParagraph"/>
              <w:ind w:left="459"/>
              <w:contextualSpacing w:val="0"/>
              <w:jc w:val="both"/>
              <w:rPr>
                <w:b/>
                <w:bCs/>
                <w:sz w:val="20"/>
              </w:rPr>
            </w:pPr>
          </w:p>
          <w:p w14:paraId="1E43FFBB" w14:textId="77777777" w:rsidR="00331A82" w:rsidRPr="00A0065F" w:rsidRDefault="00331A82" w:rsidP="00CF5D13">
            <w:pPr>
              <w:pStyle w:val="ListParagraph"/>
              <w:numPr>
                <w:ilvl w:val="2"/>
                <w:numId w:val="14"/>
              </w:numPr>
              <w:ind w:left="746" w:hanging="425"/>
              <w:contextualSpacing w:val="0"/>
              <w:jc w:val="both"/>
              <w:rPr>
                <w:sz w:val="20"/>
              </w:rPr>
            </w:pPr>
            <w:r w:rsidRPr="00A0065F">
              <w:rPr>
                <w:sz w:val="20"/>
              </w:rPr>
              <w:t>Procedencia de estas</w:t>
            </w:r>
          </w:p>
          <w:p w14:paraId="31B67835" w14:textId="77777777" w:rsidR="00331A82" w:rsidRPr="00A0065F" w:rsidRDefault="00331A82" w:rsidP="00CF5D13">
            <w:pPr>
              <w:pStyle w:val="ListParagraph"/>
              <w:numPr>
                <w:ilvl w:val="2"/>
                <w:numId w:val="14"/>
              </w:numPr>
              <w:ind w:left="746" w:hanging="425"/>
              <w:contextualSpacing w:val="0"/>
              <w:jc w:val="both"/>
              <w:rPr>
                <w:sz w:val="20"/>
              </w:rPr>
            </w:pPr>
            <w:r w:rsidRPr="00A0065F">
              <w:rPr>
                <w:sz w:val="20"/>
              </w:rPr>
              <w:t>Criterios bajo la LFPPI</w:t>
            </w:r>
          </w:p>
          <w:p w14:paraId="402E69D6" w14:textId="77777777" w:rsidR="00331A82" w:rsidRPr="00A0065F" w:rsidRDefault="00331A82" w:rsidP="00CF5D13">
            <w:pPr>
              <w:pStyle w:val="ListParagraph"/>
              <w:ind w:left="321"/>
              <w:contextualSpacing w:val="0"/>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4F9F15C0" w14:textId="77777777" w:rsidR="00331A82" w:rsidRPr="00A0065F" w:rsidRDefault="00331A82" w:rsidP="00CF5D13">
            <w:pPr>
              <w:jc w:val="both"/>
              <w:rPr>
                <w:sz w:val="20"/>
              </w:rPr>
            </w:pPr>
          </w:p>
          <w:p w14:paraId="25124CE1" w14:textId="77777777" w:rsidR="00331A82" w:rsidRPr="00A0065F" w:rsidRDefault="00331A82" w:rsidP="00CF5D13">
            <w:pPr>
              <w:jc w:val="both"/>
              <w:rPr>
                <w:sz w:val="20"/>
              </w:rPr>
            </w:pPr>
            <w:r w:rsidRPr="00A0065F">
              <w:rPr>
                <w:sz w:val="20"/>
              </w:rPr>
              <w:t>Explicar conceptos de: solicitud madre, solicitud hija</w:t>
            </w:r>
          </w:p>
          <w:p w14:paraId="4A1C1D51" w14:textId="77777777" w:rsidR="00331A82" w:rsidRPr="00A0065F" w:rsidRDefault="00331A82" w:rsidP="00CF5D13">
            <w:pPr>
              <w:jc w:val="both"/>
              <w:rPr>
                <w:sz w:val="20"/>
              </w:rPr>
            </w:pPr>
            <w:r w:rsidRPr="00A0065F">
              <w:rPr>
                <w:sz w:val="20"/>
              </w:rPr>
              <w:t>Plazos para presentación de una solicitud divisional</w:t>
            </w:r>
          </w:p>
          <w:p w14:paraId="339D9481" w14:textId="77777777" w:rsidR="00331A82" w:rsidRPr="00A0065F" w:rsidRDefault="00331A82" w:rsidP="00CF5D13">
            <w:pPr>
              <w:jc w:val="both"/>
              <w:rPr>
                <w:sz w:val="20"/>
              </w:rPr>
            </w:pPr>
            <w:r w:rsidRPr="00A0065F">
              <w:rPr>
                <w:sz w:val="20"/>
              </w:rPr>
              <w:t>Presentación por requerimiento del IMPI</w:t>
            </w:r>
          </w:p>
        </w:tc>
      </w:tr>
      <w:tr w:rsidR="00331A82" w:rsidRPr="00595DCA" w14:paraId="5AD42053"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9063" w:type="dxa"/>
            <w:gridSpan w:val="3"/>
            <w:tcBorders>
              <w:top w:val="single" w:sz="2" w:space="0" w:color="244061" w:themeColor="accent1" w:themeShade="80"/>
              <w:left w:val="single" w:sz="2" w:space="0" w:color="244061" w:themeColor="accent1" w:themeShade="80"/>
              <w:bottom w:val="single" w:sz="4" w:space="0" w:color="auto"/>
              <w:right w:val="single" w:sz="4" w:space="0" w:color="auto"/>
            </w:tcBorders>
            <w:vAlign w:val="center"/>
          </w:tcPr>
          <w:p w14:paraId="01A1C37F" w14:textId="77777777" w:rsidR="00331A82" w:rsidRPr="001C2561" w:rsidRDefault="00331A82" w:rsidP="00CF5D13">
            <w:pPr>
              <w:rPr>
                <w:b/>
                <w:bCs/>
                <w:color w:val="621132"/>
                <w:sz w:val="20"/>
              </w:rPr>
            </w:pPr>
            <w:r w:rsidRPr="001C2561">
              <w:rPr>
                <w:b/>
                <w:bCs/>
                <w:color w:val="621132"/>
                <w:sz w:val="20"/>
              </w:rPr>
              <w:t>Módulo VII. Acciones oficiales</w:t>
            </w:r>
          </w:p>
          <w:p w14:paraId="35D58174" w14:textId="77777777" w:rsidR="00331A82" w:rsidRPr="001C2561" w:rsidRDefault="00331A82" w:rsidP="00CF5D13">
            <w:pPr>
              <w:jc w:val="both"/>
              <w:rPr>
                <w:color w:val="13322B"/>
                <w:sz w:val="20"/>
              </w:rPr>
            </w:pPr>
          </w:p>
        </w:tc>
      </w:tr>
      <w:tr w:rsidR="00331A82" w:rsidRPr="00595DCA" w14:paraId="449811E0"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16E8E5A6" w14:textId="77777777" w:rsidR="00331A82" w:rsidRPr="001C2561" w:rsidRDefault="00331A82" w:rsidP="00CF5D13">
            <w:pPr>
              <w:jc w:val="center"/>
              <w:rPr>
                <w:b/>
                <w:color w:val="621132"/>
                <w:sz w:val="20"/>
              </w:rPr>
            </w:pPr>
            <w:r w:rsidRPr="001C2561">
              <w:rPr>
                <w:b/>
                <w:color w:val="621132"/>
                <w:sz w:val="20"/>
              </w:rPr>
              <w:t>Tema</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7FBECE71" w14:textId="77777777" w:rsidR="00331A82" w:rsidRPr="001C2561" w:rsidRDefault="00331A82" w:rsidP="00CF5D13">
            <w:pPr>
              <w:jc w:val="center"/>
              <w:rPr>
                <w:b/>
                <w:color w:val="621132"/>
                <w:sz w:val="20"/>
              </w:rPr>
            </w:pPr>
            <w:proofErr w:type="gramStart"/>
            <w:r w:rsidRPr="001C2561">
              <w:rPr>
                <w:b/>
                <w:color w:val="621132"/>
                <w:sz w:val="20"/>
              </w:rPr>
              <w:t>Puntos a tratar</w:t>
            </w:r>
            <w:proofErr w:type="gramEnd"/>
            <w:r w:rsidRPr="001C2561">
              <w:rPr>
                <w:b/>
                <w:color w:val="621132"/>
                <w:sz w:val="20"/>
              </w:rPr>
              <w:t xml:space="preserve"> / Actividades</w:t>
            </w:r>
          </w:p>
          <w:p w14:paraId="5602CDA5" w14:textId="77777777" w:rsidR="00331A82" w:rsidRPr="001C2561" w:rsidRDefault="00331A82" w:rsidP="00CF5D13">
            <w:pPr>
              <w:jc w:val="center"/>
              <w:rPr>
                <w:b/>
                <w:color w:val="621132"/>
                <w:sz w:val="20"/>
              </w:rPr>
            </w:pPr>
          </w:p>
        </w:tc>
      </w:tr>
      <w:tr w:rsidR="00331A82" w:rsidRPr="00595DCA" w14:paraId="24EDA2A9"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18F29D89" w14:textId="0F56C03E" w:rsidR="00331A82" w:rsidRPr="00A0065F" w:rsidRDefault="00331A82" w:rsidP="00CF5D13">
            <w:pPr>
              <w:pStyle w:val="ListParagraph"/>
              <w:numPr>
                <w:ilvl w:val="0"/>
                <w:numId w:val="16"/>
              </w:numPr>
              <w:ind w:left="311" w:hanging="284"/>
              <w:contextualSpacing w:val="0"/>
              <w:jc w:val="both"/>
              <w:rPr>
                <w:b/>
                <w:bCs/>
                <w:sz w:val="20"/>
              </w:rPr>
            </w:pPr>
            <w:r w:rsidRPr="00A0065F">
              <w:rPr>
                <w:b/>
                <w:bCs/>
                <w:sz w:val="20"/>
              </w:rPr>
              <w:t>Redacción de una acción oficial</w:t>
            </w:r>
            <w:r w:rsidR="003D7287">
              <w:rPr>
                <w:b/>
                <w:bCs/>
                <w:sz w:val="20"/>
              </w:rPr>
              <w:t xml:space="preserve"> </w:t>
            </w:r>
          </w:p>
          <w:p w14:paraId="2E925E79" w14:textId="77777777" w:rsidR="00331A82" w:rsidRPr="00A0065F" w:rsidRDefault="00331A82" w:rsidP="00CF5D13">
            <w:pPr>
              <w:pStyle w:val="ListParagraph"/>
              <w:ind w:left="459"/>
              <w:contextualSpacing w:val="0"/>
              <w:jc w:val="both"/>
              <w:rPr>
                <w:b/>
                <w:bCs/>
                <w:sz w:val="20"/>
              </w:rPr>
            </w:pPr>
          </w:p>
          <w:p w14:paraId="403F094B" w14:textId="77777777" w:rsidR="00331A82" w:rsidRPr="00A0065F" w:rsidRDefault="00331A82" w:rsidP="00CF5D13">
            <w:pPr>
              <w:pStyle w:val="ListParagraph"/>
              <w:numPr>
                <w:ilvl w:val="1"/>
                <w:numId w:val="17"/>
              </w:numPr>
              <w:ind w:left="594" w:hanging="283"/>
              <w:contextualSpacing w:val="0"/>
              <w:jc w:val="both"/>
              <w:rPr>
                <w:sz w:val="20"/>
              </w:rPr>
            </w:pPr>
            <w:r w:rsidRPr="00A0065F">
              <w:rPr>
                <w:sz w:val="20"/>
              </w:rPr>
              <w:t xml:space="preserve"> Propósito de una acción oficial</w:t>
            </w:r>
          </w:p>
          <w:p w14:paraId="4D546B12" w14:textId="77777777" w:rsidR="00331A82" w:rsidRPr="00A0065F" w:rsidRDefault="00331A82" w:rsidP="00CF5D13">
            <w:pPr>
              <w:pStyle w:val="ListParagraph"/>
              <w:numPr>
                <w:ilvl w:val="1"/>
                <w:numId w:val="17"/>
              </w:numPr>
              <w:ind w:left="594" w:hanging="283"/>
              <w:contextualSpacing w:val="0"/>
              <w:jc w:val="both"/>
              <w:rPr>
                <w:sz w:val="20"/>
              </w:rPr>
            </w:pPr>
            <w:r w:rsidRPr="00A0065F">
              <w:rPr>
                <w:sz w:val="20"/>
              </w:rPr>
              <w:t xml:space="preserve"> Importancia del orden y estructura en una acción oficial</w:t>
            </w:r>
          </w:p>
          <w:p w14:paraId="3A9C6FCD" w14:textId="77777777" w:rsidR="00331A82" w:rsidRPr="00A0065F" w:rsidRDefault="00331A82" w:rsidP="00CF5D13">
            <w:pPr>
              <w:pStyle w:val="ListParagraph"/>
              <w:numPr>
                <w:ilvl w:val="1"/>
                <w:numId w:val="17"/>
              </w:numPr>
              <w:ind w:left="594" w:hanging="283"/>
              <w:contextualSpacing w:val="0"/>
              <w:jc w:val="both"/>
              <w:rPr>
                <w:sz w:val="20"/>
              </w:rPr>
            </w:pPr>
            <w:r w:rsidRPr="00A0065F">
              <w:rPr>
                <w:sz w:val="20"/>
              </w:rPr>
              <w:t xml:space="preserve"> Formulación de las objeciones</w:t>
            </w:r>
          </w:p>
          <w:p w14:paraId="1E79D248" w14:textId="77777777" w:rsidR="00331A82" w:rsidRPr="00A0065F" w:rsidRDefault="00331A82" w:rsidP="00CF5D13">
            <w:pPr>
              <w:pStyle w:val="ListParagraph"/>
              <w:ind w:left="604"/>
              <w:contextualSpacing w:val="0"/>
              <w:jc w:val="both"/>
              <w:rPr>
                <w:sz w:val="20"/>
              </w:rPr>
            </w:pP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4284E095" w14:textId="77777777" w:rsidR="00331A82" w:rsidRPr="00A0065F" w:rsidRDefault="00331A82" w:rsidP="00CF5D13">
            <w:pPr>
              <w:jc w:val="both"/>
              <w:rPr>
                <w:sz w:val="20"/>
              </w:rPr>
            </w:pPr>
          </w:p>
          <w:p w14:paraId="7EA89874" w14:textId="77777777" w:rsidR="00331A82" w:rsidRPr="00A0065F" w:rsidRDefault="00331A82" w:rsidP="00CF5D13">
            <w:pPr>
              <w:jc w:val="both"/>
              <w:rPr>
                <w:b/>
                <w:bCs/>
                <w:sz w:val="20"/>
              </w:rPr>
            </w:pPr>
            <w:r w:rsidRPr="00A0065F">
              <w:rPr>
                <w:sz w:val="20"/>
              </w:rPr>
              <w:t xml:space="preserve">Asignar a cada participante 5 expedientes de solicitudes de patente. Facilitar a los participantes el documento de verificación para examen de fondo (hoja de trabajo) </w:t>
            </w:r>
          </w:p>
        </w:tc>
      </w:tr>
      <w:tr w:rsidR="00331A82" w:rsidRPr="00595DCA" w14:paraId="0138DBB1"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4B86056F" w14:textId="77777777" w:rsidR="00331A82" w:rsidRPr="00A0065F" w:rsidRDefault="00331A82" w:rsidP="00CF5D13">
            <w:pPr>
              <w:pStyle w:val="ListParagraph"/>
              <w:numPr>
                <w:ilvl w:val="1"/>
                <w:numId w:val="17"/>
              </w:numPr>
              <w:ind w:left="594" w:hanging="283"/>
              <w:contextualSpacing w:val="0"/>
              <w:jc w:val="both"/>
              <w:rPr>
                <w:sz w:val="20"/>
              </w:rPr>
            </w:pPr>
            <w:r w:rsidRPr="00A0065F">
              <w:rPr>
                <w:sz w:val="20"/>
              </w:rPr>
              <w:t xml:space="preserve"> Tipos y estructura de acciones oficiales- Examen de Forma</w:t>
            </w:r>
          </w:p>
          <w:p w14:paraId="6F8B5D92" w14:textId="77777777" w:rsidR="00331A82" w:rsidRPr="00A0065F" w:rsidRDefault="00331A82" w:rsidP="00CF5D13">
            <w:pPr>
              <w:pStyle w:val="ListParagraph"/>
              <w:ind w:left="594"/>
              <w:contextualSpacing w:val="0"/>
              <w:jc w:val="both"/>
              <w:rPr>
                <w:sz w:val="20"/>
              </w:rPr>
            </w:pPr>
          </w:p>
          <w:p w14:paraId="5091999B" w14:textId="77777777" w:rsidR="00331A82" w:rsidRPr="00A0065F" w:rsidRDefault="00331A82" w:rsidP="00CF5D13">
            <w:pPr>
              <w:pStyle w:val="ListParagraph"/>
              <w:ind w:left="1800" w:hanging="1206"/>
              <w:contextualSpacing w:val="0"/>
              <w:jc w:val="both"/>
              <w:rPr>
                <w:sz w:val="20"/>
              </w:rPr>
            </w:pPr>
            <w:r w:rsidRPr="00A0065F">
              <w:rPr>
                <w:sz w:val="20"/>
              </w:rPr>
              <w:t>7.4.1 Requisitos y favorable de Forma</w:t>
            </w:r>
          </w:p>
          <w:p w14:paraId="7CBEBAFA" w14:textId="77777777" w:rsidR="00331A82" w:rsidRPr="00A0065F" w:rsidRDefault="00331A82" w:rsidP="00CF5D13">
            <w:pPr>
              <w:pStyle w:val="ListParagraph"/>
              <w:ind w:left="1800" w:hanging="1206"/>
              <w:contextualSpacing w:val="0"/>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3C1809B3" w14:textId="77777777" w:rsidR="00331A82" w:rsidRPr="00A0065F" w:rsidRDefault="00331A82" w:rsidP="00CF5D13">
            <w:pPr>
              <w:jc w:val="both"/>
              <w:rPr>
                <w:sz w:val="20"/>
              </w:rPr>
            </w:pPr>
            <w:r w:rsidRPr="00A0065F">
              <w:rPr>
                <w:sz w:val="20"/>
              </w:rPr>
              <w:t>Revisar ejemplos de acciones oficiales de Forma</w:t>
            </w:r>
          </w:p>
        </w:tc>
      </w:tr>
      <w:tr w:rsidR="00331A82" w:rsidRPr="00595DCA" w14:paraId="57F67F30"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7D50C999" w14:textId="77777777" w:rsidR="00331A82" w:rsidRPr="00A0065F" w:rsidRDefault="00331A82" w:rsidP="00CF5D13">
            <w:pPr>
              <w:pStyle w:val="ListParagraph"/>
              <w:numPr>
                <w:ilvl w:val="1"/>
                <w:numId w:val="17"/>
              </w:numPr>
              <w:ind w:left="594" w:hanging="283"/>
              <w:contextualSpacing w:val="0"/>
              <w:jc w:val="both"/>
              <w:rPr>
                <w:sz w:val="20"/>
              </w:rPr>
            </w:pPr>
            <w:r w:rsidRPr="00A0065F">
              <w:rPr>
                <w:sz w:val="20"/>
              </w:rPr>
              <w:t>Tipos y estructura de acciones oficiales – Examen de Fondo</w:t>
            </w:r>
          </w:p>
          <w:p w14:paraId="1F52EA8C" w14:textId="77777777" w:rsidR="00331A82" w:rsidRPr="00A0065F" w:rsidRDefault="00331A82" w:rsidP="00CF5D13">
            <w:pPr>
              <w:pStyle w:val="ListParagraph"/>
              <w:ind w:left="594"/>
              <w:contextualSpacing w:val="0"/>
              <w:jc w:val="both"/>
              <w:rPr>
                <w:sz w:val="20"/>
              </w:rPr>
            </w:pPr>
          </w:p>
          <w:p w14:paraId="4AFCB488" w14:textId="77777777" w:rsidR="00331A82" w:rsidRPr="00A0065F" w:rsidRDefault="00331A82" w:rsidP="00CF5D13">
            <w:pPr>
              <w:pStyle w:val="ListParagraph"/>
              <w:numPr>
                <w:ilvl w:val="2"/>
                <w:numId w:val="17"/>
              </w:numPr>
              <w:ind w:left="1161" w:hanging="567"/>
              <w:contextualSpacing w:val="0"/>
              <w:jc w:val="both"/>
              <w:rPr>
                <w:sz w:val="20"/>
              </w:rPr>
            </w:pPr>
            <w:r w:rsidRPr="00A0065F">
              <w:rPr>
                <w:sz w:val="20"/>
              </w:rPr>
              <w:t>Requisitos de Fondo</w:t>
            </w:r>
          </w:p>
          <w:p w14:paraId="5BA69DAC" w14:textId="77777777" w:rsidR="00331A82" w:rsidRPr="00A0065F" w:rsidRDefault="00331A82" w:rsidP="00CF5D13">
            <w:pPr>
              <w:pStyle w:val="ListParagraph"/>
              <w:numPr>
                <w:ilvl w:val="2"/>
                <w:numId w:val="17"/>
              </w:numPr>
              <w:ind w:left="1161" w:hanging="567"/>
              <w:contextualSpacing w:val="0"/>
              <w:jc w:val="both"/>
              <w:rPr>
                <w:sz w:val="20"/>
              </w:rPr>
            </w:pPr>
            <w:r w:rsidRPr="00A0065F">
              <w:rPr>
                <w:sz w:val="20"/>
              </w:rPr>
              <w:t>Requerimiento de pago</w:t>
            </w:r>
          </w:p>
          <w:p w14:paraId="21FBA847" w14:textId="77777777" w:rsidR="00331A82" w:rsidRPr="00A0065F" w:rsidRDefault="00331A82" w:rsidP="00CF5D13">
            <w:pPr>
              <w:pStyle w:val="ListParagraph"/>
              <w:numPr>
                <w:ilvl w:val="2"/>
                <w:numId w:val="17"/>
              </w:numPr>
              <w:ind w:left="1161" w:hanging="567"/>
              <w:contextualSpacing w:val="0"/>
              <w:jc w:val="both"/>
              <w:rPr>
                <w:sz w:val="20"/>
              </w:rPr>
            </w:pPr>
            <w:r w:rsidRPr="00A0065F">
              <w:rPr>
                <w:sz w:val="20"/>
              </w:rPr>
              <w:t>Citas a pago</w:t>
            </w:r>
          </w:p>
          <w:p w14:paraId="4E7368A2" w14:textId="77777777" w:rsidR="00331A82" w:rsidRPr="00A0065F" w:rsidRDefault="00331A82" w:rsidP="00CF5D13">
            <w:pPr>
              <w:pStyle w:val="ListParagraph"/>
              <w:numPr>
                <w:ilvl w:val="2"/>
                <w:numId w:val="17"/>
              </w:numPr>
              <w:ind w:left="1161" w:hanging="567"/>
              <w:contextualSpacing w:val="0"/>
              <w:jc w:val="both"/>
              <w:rPr>
                <w:sz w:val="20"/>
              </w:rPr>
            </w:pPr>
            <w:r w:rsidRPr="00A0065F">
              <w:rPr>
                <w:sz w:val="20"/>
              </w:rPr>
              <w:t>Abandonos</w:t>
            </w:r>
          </w:p>
          <w:p w14:paraId="3C81FB93" w14:textId="77777777" w:rsidR="00331A82" w:rsidRPr="00A0065F" w:rsidRDefault="00331A82" w:rsidP="00CF5D13">
            <w:pPr>
              <w:pStyle w:val="ListParagraph"/>
              <w:numPr>
                <w:ilvl w:val="2"/>
                <w:numId w:val="17"/>
              </w:numPr>
              <w:ind w:left="1161" w:hanging="567"/>
              <w:contextualSpacing w:val="0"/>
              <w:jc w:val="both"/>
              <w:rPr>
                <w:sz w:val="20"/>
              </w:rPr>
            </w:pPr>
            <w:r w:rsidRPr="00A0065F">
              <w:rPr>
                <w:sz w:val="20"/>
              </w:rPr>
              <w:t>Negativas</w:t>
            </w:r>
          </w:p>
          <w:p w14:paraId="619CFF61" w14:textId="77777777" w:rsidR="00331A82" w:rsidRPr="00A0065F" w:rsidRDefault="00331A82" w:rsidP="00CF5D13">
            <w:pPr>
              <w:pStyle w:val="ListParagraph"/>
              <w:ind w:left="321"/>
              <w:contextualSpacing w:val="0"/>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5EFE294B" w14:textId="77777777" w:rsidR="00331A82" w:rsidRPr="00A0065F" w:rsidRDefault="00331A82" w:rsidP="00CF5D13">
            <w:pPr>
              <w:jc w:val="both"/>
              <w:rPr>
                <w:sz w:val="20"/>
              </w:rPr>
            </w:pPr>
            <w:r w:rsidRPr="00A0065F">
              <w:rPr>
                <w:sz w:val="20"/>
              </w:rPr>
              <w:t>Revisar ejemplos de acciones oficiales de Fondo</w:t>
            </w:r>
          </w:p>
          <w:p w14:paraId="57830227" w14:textId="77777777" w:rsidR="00331A82" w:rsidRPr="00A0065F" w:rsidRDefault="00331A82" w:rsidP="00CF5D13">
            <w:pPr>
              <w:jc w:val="both"/>
              <w:rPr>
                <w:sz w:val="20"/>
              </w:rPr>
            </w:pPr>
            <w:r w:rsidRPr="00A0065F">
              <w:rPr>
                <w:sz w:val="20"/>
              </w:rPr>
              <w:t>Plantear los elementos necesarios para la redacción de una acción oficial utilizando un caso tipo conjuntamente con los participantes</w:t>
            </w:r>
          </w:p>
        </w:tc>
      </w:tr>
      <w:tr w:rsidR="00331A82" w:rsidRPr="00595DCA" w14:paraId="7C551B8B"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267A394B" w14:textId="77777777" w:rsidR="00331A82" w:rsidRPr="00A0065F" w:rsidRDefault="00331A82" w:rsidP="00CF5D13">
            <w:pPr>
              <w:pStyle w:val="ListParagraph"/>
              <w:keepNext/>
              <w:numPr>
                <w:ilvl w:val="1"/>
                <w:numId w:val="17"/>
              </w:numPr>
              <w:ind w:left="594" w:hanging="283"/>
              <w:contextualSpacing w:val="0"/>
              <w:jc w:val="both"/>
              <w:rPr>
                <w:sz w:val="20"/>
              </w:rPr>
            </w:pPr>
            <w:r w:rsidRPr="00A0065F">
              <w:rPr>
                <w:sz w:val="20"/>
              </w:rPr>
              <w:t xml:space="preserve"> Fundamentos legales en las acciones oficiales y su interpretación (LFPPI)</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39F4B874" w14:textId="77777777" w:rsidR="00331A82" w:rsidRPr="00A0065F" w:rsidRDefault="00331A82" w:rsidP="00CF5D13">
            <w:pPr>
              <w:keepNext/>
              <w:jc w:val="both"/>
              <w:rPr>
                <w:sz w:val="20"/>
              </w:rPr>
            </w:pPr>
          </w:p>
        </w:tc>
      </w:tr>
      <w:tr w:rsidR="00331A82" w:rsidRPr="00595DCA" w14:paraId="6D6EFDC6"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680EA8CB" w14:textId="77777777" w:rsidR="00331A82" w:rsidRPr="00A0065F" w:rsidRDefault="00331A82" w:rsidP="00CF5D13">
            <w:pPr>
              <w:pStyle w:val="ListParagraph"/>
              <w:keepNext/>
              <w:ind w:left="594"/>
              <w:contextualSpacing w:val="0"/>
              <w:jc w:val="both"/>
              <w:rPr>
                <w:sz w:val="20"/>
              </w:rPr>
            </w:pPr>
            <w:r w:rsidRPr="00A0065F">
              <w:rPr>
                <w:sz w:val="20"/>
              </w:rPr>
              <w:t>Sesión de trabajo</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156E52FC" w14:textId="68894598" w:rsidR="00331A82" w:rsidRPr="00A0065F" w:rsidRDefault="00331A82" w:rsidP="00CF5D13">
            <w:pPr>
              <w:keepNext/>
              <w:jc w:val="both"/>
              <w:rPr>
                <w:sz w:val="20"/>
              </w:rPr>
            </w:pPr>
            <w:r w:rsidRPr="00A0065F">
              <w:rPr>
                <w:sz w:val="20"/>
              </w:rPr>
              <w:t>En grupos por áreas técnicas, con el apoyo de un especialista por área, los examinadores realizarán la revisión a uno de sus expedientes con base en el documento de verificación para examen de fondo (hoja de trabajo), utilizando los conocimientos adquiridos en la primera parte del curso.</w:t>
            </w:r>
            <w:r w:rsidR="003D7287">
              <w:rPr>
                <w:sz w:val="20"/>
              </w:rPr>
              <w:t xml:space="preserve"> </w:t>
            </w:r>
          </w:p>
          <w:p w14:paraId="44723BDA" w14:textId="4580CE2B" w:rsidR="00331A82" w:rsidRPr="00A0065F" w:rsidRDefault="003D7287" w:rsidP="00CF5D13">
            <w:pPr>
              <w:keepNext/>
              <w:jc w:val="both"/>
              <w:rPr>
                <w:sz w:val="20"/>
              </w:rPr>
            </w:pPr>
            <w:r>
              <w:rPr>
                <w:sz w:val="20"/>
              </w:rPr>
              <w:t xml:space="preserve"> </w:t>
            </w:r>
          </w:p>
        </w:tc>
      </w:tr>
      <w:tr w:rsidR="00331A82" w:rsidRPr="00595DCA" w14:paraId="642AC222"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560A7E21" w14:textId="77777777" w:rsidR="00331A82" w:rsidRPr="00A0065F" w:rsidRDefault="00331A82" w:rsidP="00CF5D13">
            <w:pPr>
              <w:pStyle w:val="ListParagraph"/>
              <w:ind w:left="594"/>
              <w:contextualSpacing w:val="0"/>
              <w:jc w:val="both"/>
              <w:rPr>
                <w:sz w:val="20"/>
              </w:rPr>
            </w:pPr>
            <w:r w:rsidRPr="00A0065F">
              <w:rPr>
                <w:sz w:val="20"/>
              </w:rPr>
              <w:t>Sesión de trabajo</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6B9592B9" w14:textId="28AE923C" w:rsidR="00331A82" w:rsidRPr="00A0065F" w:rsidRDefault="00331A82" w:rsidP="00CF5D13">
            <w:pPr>
              <w:jc w:val="both"/>
              <w:rPr>
                <w:sz w:val="20"/>
              </w:rPr>
            </w:pPr>
            <w:r w:rsidRPr="00A0065F">
              <w:rPr>
                <w:sz w:val="20"/>
              </w:rPr>
              <w:t>Identificar en el expediente asignado: ¿cuál es la invención?, ¿cuál es el problema técnico? y ¿cómo se resuelve?</w:t>
            </w:r>
            <w:r w:rsidR="003D7287">
              <w:rPr>
                <w:sz w:val="20"/>
              </w:rPr>
              <w:t xml:space="preserve"> </w:t>
            </w:r>
            <w:r w:rsidRPr="00A0065F">
              <w:rPr>
                <w:sz w:val="20"/>
              </w:rPr>
              <w:t>Discutir los resultados en grupo.</w:t>
            </w:r>
          </w:p>
        </w:tc>
      </w:tr>
      <w:tr w:rsidR="00331A82" w:rsidRPr="00595DCA" w14:paraId="135C36EB"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9063" w:type="dxa"/>
            <w:gridSpan w:val="3"/>
            <w:tcBorders>
              <w:top w:val="single" w:sz="2" w:space="0" w:color="244061" w:themeColor="accent1" w:themeShade="80"/>
              <w:left w:val="single" w:sz="2" w:space="0" w:color="244061" w:themeColor="accent1" w:themeShade="80"/>
              <w:bottom w:val="single" w:sz="4" w:space="0" w:color="auto"/>
              <w:right w:val="single" w:sz="4" w:space="0" w:color="auto"/>
            </w:tcBorders>
            <w:vAlign w:val="center"/>
          </w:tcPr>
          <w:p w14:paraId="5766872A" w14:textId="77777777" w:rsidR="00331A82" w:rsidRPr="001C2561" w:rsidRDefault="00331A82" w:rsidP="00CF5D13">
            <w:pPr>
              <w:jc w:val="both"/>
              <w:rPr>
                <w:color w:val="13322B"/>
                <w:sz w:val="20"/>
              </w:rPr>
            </w:pPr>
            <w:r w:rsidRPr="001C2561">
              <w:rPr>
                <w:b/>
                <w:bCs/>
                <w:color w:val="621132"/>
                <w:sz w:val="20"/>
              </w:rPr>
              <w:t>Módulo VIII. Campos técnicos particulares</w:t>
            </w:r>
          </w:p>
        </w:tc>
      </w:tr>
      <w:tr w:rsidR="00331A82" w:rsidRPr="00595DCA" w14:paraId="48BE30B0"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53B394FC" w14:textId="77777777" w:rsidR="00331A82" w:rsidRPr="001C2561" w:rsidRDefault="00331A82" w:rsidP="00CF5D13">
            <w:pPr>
              <w:jc w:val="center"/>
              <w:rPr>
                <w:b/>
                <w:color w:val="621132"/>
                <w:sz w:val="20"/>
              </w:rPr>
            </w:pPr>
            <w:r w:rsidRPr="001C2561">
              <w:rPr>
                <w:b/>
                <w:color w:val="621132"/>
                <w:sz w:val="20"/>
              </w:rPr>
              <w:t>Tema</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2B67698E" w14:textId="77777777" w:rsidR="00331A82" w:rsidRPr="001C2561" w:rsidRDefault="00331A82" w:rsidP="00CF5D13">
            <w:pPr>
              <w:jc w:val="center"/>
              <w:rPr>
                <w:b/>
                <w:color w:val="621132"/>
                <w:sz w:val="20"/>
              </w:rPr>
            </w:pPr>
            <w:proofErr w:type="gramStart"/>
            <w:r w:rsidRPr="001C2561">
              <w:rPr>
                <w:b/>
                <w:color w:val="621132"/>
                <w:sz w:val="20"/>
              </w:rPr>
              <w:t>Puntos a tratar</w:t>
            </w:r>
            <w:proofErr w:type="gramEnd"/>
            <w:r w:rsidRPr="001C2561">
              <w:rPr>
                <w:b/>
                <w:color w:val="621132"/>
                <w:sz w:val="20"/>
              </w:rPr>
              <w:t xml:space="preserve"> / Actividades</w:t>
            </w:r>
          </w:p>
          <w:p w14:paraId="3949368A" w14:textId="77777777" w:rsidR="00331A82" w:rsidRPr="001C2561" w:rsidRDefault="00331A82" w:rsidP="00CF5D13">
            <w:pPr>
              <w:jc w:val="center"/>
              <w:rPr>
                <w:b/>
                <w:color w:val="621132"/>
                <w:sz w:val="20"/>
              </w:rPr>
            </w:pPr>
          </w:p>
        </w:tc>
      </w:tr>
      <w:tr w:rsidR="00331A82" w:rsidRPr="00595DCA" w14:paraId="14201B1D"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435EA0A3" w14:textId="77777777" w:rsidR="00331A82" w:rsidRPr="00A0065F" w:rsidRDefault="00331A82" w:rsidP="00CF5D13">
            <w:pPr>
              <w:pStyle w:val="ListParagraph"/>
              <w:numPr>
                <w:ilvl w:val="1"/>
                <w:numId w:val="18"/>
              </w:numPr>
              <w:contextualSpacing w:val="0"/>
              <w:rPr>
                <w:b/>
                <w:bCs/>
                <w:sz w:val="20"/>
              </w:rPr>
            </w:pPr>
            <w:r w:rsidRPr="00A0065F">
              <w:rPr>
                <w:b/>
                <w:bCs/>
                <w:sz w:val="20"/>
              </w:rPr>
              <w:t>Invenciones implementadas por computadora.</w:t>
            </w:r>
          </w:p>
          <w:p w14:paraId="204558BF" w14:textId="77777777" w:rsidR="00331A82" w:rsidRPr="00A0065F" w:rsidRDefault="00331A82" w:rsidP="00CF5D13">
            <w:pPr>
              <w:pStyle w:val="ListParagraph"/>
              <w:ind w:left="360"/>
              <w:contextualSpacing w:val="0"/>
              <w:jc w:val="both"/>
              <w:rPr>
                <w:b/>
                <w:bCs/>
                <w:sz w:val="20"/>
              </w:rPr>
            </w:pPr>
          </w:p>
          <w:p w14:paraId="1F6A4E76" w14:textId="77777777" w:rsidR="00331A82" w:rsidRPr="00A0065F" w:rsidRDefault="00331A82" w:rsidP="00CF5D13">
            <w:pPr>
              <w:pStyle w:val="ListParagraph"/>
              <w:numPr>
                <w:ilvl w:val="2"/>
                <w:numId w:val="18"/>
              </w:numPr>
              <w:contextualSpacing w:val="0"/>
              <w:jc w:val="both"/>
              <w:rPr>
                <w:sz w:val="20"/>
              </w:rPr>
            </w:pPr>
            <w:r w:rsidRPr="00A0065F">
              <w:rPr>
                <w:sz w:val="20"/>
              </w:rPr>
              <w:t xml:space="preserve">Problema técnico </w:t>
            </w:r>
          </w:p>
          <w:p w14:paraId="4C50CBC0" w14:textId="77777777" w:rsidR="00331A82" w:rsidRPr="00A0065F" w:rsidRDefault="00331A82" w:rsidP="00CF5D13">
            <w:pPr>
              <w:pStyle w:val="ListParagraph"/>
              <w:numPr>
                <w:ilvl w:val="2"/>
                <w:numId w:val="18"/>
              </w:numPr>
              <w:contextualSpacing w:val="0"/>
              <w:jc w:val="both"/>
              <w:rPr>
                <w:sz w:val="20"/>
              </w:rPr>
            </w:pPr>
            <w:r w:rsidRPr="00A0065F">
              <w:rPr>
                <w:sz w:val="20"/>
              </w:rPr>
              <w:t xml:space="preserve">Suficiencia descriptiva </w:t>
            </w:r>
          </w:p>
          <w:p w14:paraId="52A55825" w14:textId="77777777" w:rsidR="00331A82" w:rsidRPr="00A0065F" w:rsidRDefault="00331A82" w:rsidP="00CF5D13">
            <w:pPr>
              <w:pStyle w:val="ListParagraph"/>
              <w:numPr>
                <w:ilvl w:val="2"/>
                <w:numId w:val="18"/>
              </w:numPr>
              <w:contextualSpacing w:val="0"/>
              <w:jc w:val="both"/>
              <w:rPr>
                <w:sz w:val="20"/>
              </w:rPr>
            </w:pPr>
            <w:r w:rsidRPr="00A0065F">
              <w:rPr>
                <w:sz w:val="20"/>
              </w:rPr>
              <w:t xml:space="preserve">Tipo de reivindicaciones </w:t>
            </w: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2C3363A7" w14:textId="77777777" w:rsidR="00331A82" w:rsidRPr="00A0065F" w:rsidRDefault="00331A82" w:rsidP="00CF5D13">
            <w:pPr>
              <w:jc w:val="both"/>
              <w:rPr>
                <w:sz w:val="20"/>
              </w:rPr>
            </w:pPr>
          </w:p>
          <w:p w14:paraId="4A82B9D6" w14:textId="77777777" w:rsidR="00331A82" w:rsidRPr="00A0065F" w:rsidRDefault="00331A82" w:rsidP="00CF5D13">
            <w:pPr>
              <w:jc w:val="both"/>
              <w:rPr>
                <w:b/>
                <w:bCs/>
                <w:sz w:val="20"/>
              </w:rPr>
            </w:pPr>
            <w:r w:rsidRPr="00A0065F">
              <w:rPr>
                <w:sz w:val="20"/>
              </w:rPr>
              <w:t>Revisión de ejemplos de diferentes casos</w:t>
            </w:r>
          </w:p>
        </w:tc>
      </w:tr>
      <w:tr w:rsidR="00331A82" w:rsidRPr="00595DCA" w14:paraId="0C55BCA8"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2EBCEF3E" w14:textId="77777777" w:rsidR="00331A82" w:rsidRPr="00A0065F" w:rsidRDefault="00331A82" w:rsidP="00CF5D13">
            <w:pPr>
              <w:pStyle w:val="ListParagraph"/>
              <w:numPr>
                <w:ilvl w:val="1"/>
                <w:numId w:val="18"/>
              </w:numPr>
              <w:ind w:left="459"/>
              <w:contextualSpacing w:val="0"/>
              <w:jc w:val="both"/>
              <w:rPr>
                <w:b/>
                <w:bCs/>
                <w:sz w:val="20"/>
              </w:rPr>
            </w:pPr>
            <w:r w:rsidRPr="00A0065F">
              <w:rPr>
                <w:b/>
                <w:bCs/>
                <w:sz w:val="20"/>
              </w:rPr>
              <w:t>Invenciones biotecnológicas</w:t>
            </w:r>
          </w:p>
          <w:p w14:paraId="2132F0D9" w14:textId="77777777" w:rsidR="00331A82" w:rsidRPr="00A0065F" w:rsidRDefault="00331A82" w:rsidP="00CF5D13">
            <w:pPr>
              <w:jc w:val="both"/>
              <w:rPr>
                <w:sz w:val="20"/>
              </w:rPr>
            </w:pPr>
          </w:p>
          <w:p w14:paraId="3A4E67B6" w14:textId="77777777" w:rsidR="00331A82" w:rsidRPr="00A0065F" w:rsidRDefault="00331A82" w:rsidP="00CF5D13">
            <w:pPr>
              <w:pStyle w:val="ListParagraph"/>
              <w:numPr>
                <w:ilvl w:val="2"/>
                <w:numId w:val="18"/>
              </w:numPr>
              <w:tabs>
                <w:tab w:val="left" w:pos="489"/>
              </w:tabs>
              <w:ind w:left="914" w:hanging="850"/>
              <w:contextualSpacing w:val="0"/>
              <w:jc w:val="both"/>
              <w:rPr>
                <w:sz w:val="20"/>
              </w:rPr>
            </w:pPr>
            <w:r w:rsidRPr="00A0065F">
              <w:rPr>
                <w:sz w:val="20"/>
              </w:rPr>
              <w:t>Que implican listado de secuencias</w:t>
            </w:r>
          </w:p>
          <w:p w14:paraId="6CED7167" w14:textId="77777777" w:rsidR="00331A82" w:rsidRPr="00A0065F" w:rsidRDefault="00331A82" w:rsidP="00CF5D13">
            <w:pPr>
              <w:pStyle w:val="ListParagraph"/>
              <w:numPr>
                <w:ilvl w:val="2"/>
                <w:numId w:val="18"/>
              </w:numPr>
              <w:tabs>
                <w:tab w:val="left" w:pos="489"/>
              </w:tabs>
              <w:ind w:left="914" w:hanging="850"/>
              <w:contextualSpacing w:val="0"/>
              <w:jc w:val="both"/>
              <w:rPr>
                <w:sz w:val="20"/>
              </w:rPr>
            </w:pPr>
            <w:r w:rsidRPr="00A0065F">
              <w:rPr>
                <w:sz w:val="20"/>
              </w:rPr>
              <w:t>Que implican constancias de depósito de material biológico.</w:t>
            </w:r>
          </w:p>
          <w:p w14:paraId="6C2476C6" w14:textId="77777777" w:rsidR="00331A82" w:rsidRPr="00A0065F" w:rsidRDefault="00331A82" w:rsidP="00CF5D13">
            <w:pPr>
              <w:pStyle w:val="ListParagraph"/>
              <w:contextualSpacing w:val="0"/>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4DED7B98" w14:textId="77777777" w:rsidR="00331A82" w:rsidRPr="00A0065F" w:rsidRDefault="00331A82" w:rsidP="00CF5D13">
            <w:pPr>
              <w:jc w:val="both"/>
              <w:rPr>
                <w:sz w:val="20"/>
              </w:rPr>
            </w:pPr>
          </w:p>
          <w:p w14:paraId="2AAB6530" w14:textId="77777777" w:rsidR="00331A82" w:rsidRPr="00A0065F" w:rsidRDefault="00331A82" w:rsidP="00CF5D13">
            <w:pPr>
              <w:jc w:val="both"/>
              <w:rPr>
                <w:sz w:val="20"/>
              </w:rPr>
            </w:pPr>
            <w:r w:rsidRPr="00A0065F">
              <w:rPr>
                <w:sz w:val="20"/>
              </w:rPr>
              <w:t>Cambio de fecha de presentación (debido al depósito)</w:t>
            </w:r>
          </w:p>
        </w:tc>
      </w:tr>
      <w:tr w:rsidR="00331A82" w:rsidRPr="00595DCA" w14:paraId="4CC5B533"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503320D1" w14:textId="77777777" w:rsidR="00331A82" w:rsidRPr="00A0065F" w:rsidRDefault="00331A82" w:rsidP="00CF5D13">
            <w:pPr>
              <w:pStyle w:val="ListParagraph"/>
              <w:numPr>
                <w:ilvl w:val="1"/>
                <w:numId w:val="18"/>
              </w:numPr>
              <w:ind w:left="459"/>
              <w:contextualSpacing w:val="0"/>
              <w:jc w:val="both"/>
              <w:rPr>
                <w:b/>
                <w:bCs/>
                <w:sz w:val="20"/>
              </w:rPr>
            </w:pPr>
            <w:r w:rsidRPr="00A0065F">
              <w:rPr>
                <w:b/>
                <w:bCs/>
                <w:sz w:val="20"/>
              </w:rPr>
              <w:t>Invenciones farmacéuticas</w:t>
            </w:r>
          </w:p>
          <w:p w14:paraId="547EDD13" w14:textId="77777777" w:rsidR="00331A82" w:rsidRPr="00A0065F" w:rsidRDefault="00331A82" w:rsidP="00CF5D13">
            <w:pPr>
              <w:jc w:val="both"/>
              <w:rPr>
                <w:sz w:val="20"/>
              </w:rPr>
            </w:pPr>
          </w:p>
          <w:p w14:paraId="21F3F201" w14:textId="77777777" w:rsidR="00331A82" w:rsidRPr="00A0065F" w:rsidRDefault="00331A82" w:rsidP="00CF5D13">
            <w:pPr>
              <w:pStyle w:val="ListParagraph"/>
              <w:numPr>
                <w:ilvl w:val="2"/>
                <w:numId w:val="18"/>
              </w:numPr>
              <w:ind w:left="489" w:hanging="425"/>
              <w:contextualSpacing w:val="0"/>
              <w:jc w:val="both"/>
              <w:rPr>
                <w:sz w:val="20"/>
              </w:rPr>
            </w:pPr>
            <w:r w:rsidRPr="00A0065F">
              <w:rPr>
                <w:sz w:val="20"/>
              </w:rPr>
              <w:t>1er y 2do uso farmacéutico</w:t>
            </w:r>
          </w:p>
          <w:p w14:paraId="2697CA82" w14:textId="77777777" w:rsidR="00331A82" w:rsidRPr="00A0065F" w:rsidRDefault="00331A82" w:rsidP="00CF5D13">
            <w:pPr>
              <w:pStyle w:val="ListParagraph"/>
              <w:numPr>
                <w:ilvl w:val="2"/>
                <w:numId w:val="18"/>
              </w:numPr>
              <w:ind w:left="489" w:hanging="425"/>
              <w:contextualSpacing w:val="0"/>
              <w:jc w:val="both"/>
              <w:rPr>
                <w:sz w:val="20"/>
              </w:rPr>
            </w:pPr>
            <w:r w:rsidRPr="00A0065F">
              <w:rPr>
                <w:sz w:val="20"/>
              </w:rPr>
              <w:t xml:space="preserve">Fórmulas </w:t>
            </w:r>
            <w:proofErr w:type="spellStart"/>
            <w:r w:rsidRPr="00A0065F">
              <w:rPr>
                <w:sz w:val="20"/>
              </w:rPr>
              <w:t>Markush</w:t>
            </w:r>
            <w:proofErr w:type="spellEnd"/>
          </w:p>
          <w:p w14:paraId="2840B545" w14:textId="77777777" w:rsidR="00331A82" w:rsidRPr="00A0065F" w:rsidRDefault="00331A82" w:rsidP="00CF5D13">
            <w:pPr>
              <w:pStyle w:val="ListParagraph"/>
              <w:numPr>
                <w:ilvl w:val="2"/>
                <w:numId w:val="18"/>
              </w:numPr>
              <w:ind w:left="489" w:hanging="425"/>
              <w:contextualSpacing w:val="0"/>
              <w:jc w:val="both"/>
              <w:rPr>
                <w:sz w:val="20"/>
              </w:rPr>
            </w:pPr>
            <w:r w:rsidRPr="00A0065F">
              <w:rPr>
                <w:sz w:val="20"/>
              </w:rPr>
              <w:t xml:space="preserve"> Protección a principio activo</w:t>
            </w:r>
          </w:p>
          <w:p w14:paraId="5576DBF3" w14:textId="77777777" w:rsidR="00331A82" w:rsidRPr="00A0065F" w:rsidRDefault="00331A82" w:rsidP="00CF5D13">
            <w:pPr>
              <w:pStyle w:val="ListParagraph"/>
              <w:ind w:left="321"/>
              <w:contextualSpacing w:val="0"/>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4BE0E8D8" w14:textId="77777777" w:rsidR="00331A82" w:rsidRPr="00A0065F" w:rsidRDefault="00331A82" w:rsidP="00CF5D13">
            <w:pPr>
              <w:jc w:val="both"/>
              <w:rPr>
                <w:sz w:val="20"/>
              </w:rPr>
            </w:pPr>
          </w:p>
          <w:p w14:paraId="0E519212" w14:textId="77777777" w:rsidR="00331A82" w:rsidRPr="00A0065F" w:rsidRDefault="00331A82" w:rsidP="00CF5D13">
            <w:pPr>
              <w:jc w:val="both"/>
              <w:rPr>
                <w:sz w:val="20"/>
              </w:rPr>
            </w:pPr>
            <w:r w:rsidRPr="00A0065F">
              <w:rPr>
                <w:sz w:val="20"/>
              </w:rPr>
              <w:t>Revisión de ejemplos de diferentes casos de usos farmacéuticos</w:t>
            </w:r>
          </w:p>
          <w:p w14:paraId="6A5D69B8" w14:textId="77777777" w:rsidR="00331A82" w:rsidRPr="00A0065F" w:rsidRDefault="00331A82" w:rsidP="00CF5D13">
            <w:pPr>
              <w:jc w:val="both"/>
              <w:rPr>
                <w:sz w:val="20"/>
              </w:rPr>
            </w:pPr>
            <w:r w:rsidRPr="00A0065F">
              <w:rPr>
                <w:sz w:val="20"/>
              </w:rPr>
              <w:t>Revisión de Gaceta de Medicamentos</w:t>
            </w:r>
          </w:p>
          <w:p w14:paraId="1CADA5FE" w14:textId="77777777" w:rsidR="00331A82" w:rsidRPr="00A0065F" w:rsidRDefault="00331A82" w:rsidP="00CF5D13">
            <w:pPr>
              <w:jc w:val="both"/>
              <w:rPr>
                <w:sz w:val="20"/>
              </w:rPr>
            </w:pPr>
          </w:p>
        </w:tc>
      </w:tr>
      <w:tr w:rsidR="00331A82" w:rsidRPr="00595DCA" w14:paraId="4467B2F8"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9063" w:type="dxa"/>
            <w:gridSpan w:val="3"/>
            <w:tcBorders>
              <w:top w:val="single" w:sz="2" w:space="0" w:color="244061" w:themeColor="accent1" w:themeShade="80"/>
              <w:left w:val="single" w:sz="2" w:space="0" w:color="244061" w:themeColor="accent1" w:themeShade="80"/>
              <w:bottom w:val="single" w:sz="4" w:space="0" w:color="auto"/>
              <w:right w:val="single" w:sz="4" w:space="0" w:color="auto"/>
            </w:tcBorders>
            <w:vAlign w:val="center"/>
          </w:tcPr>
          <w:p w14:paraId="57C53AA5" w14:textId="77777777" w:rsidR="00331A82" w:rsidRPr="001C2561" w:rsidRDefault="00331A82" w:rsidP="00CF5D13">
            <w:pPr>
              <w:jc w:val="both"/>
              <w:rPr>
                <w:color w:val="13322B"/>
                <w:sz w:val="20"/>
              </w:rPr>
            </w:pPr>
            <w:r w:rsidRPr="001C2561">
              <w:rPr>
                <w:b/>
                <w:bCs/>
                <w:color w:val="621132"/>
                <w:sz w:val="20"/>
              </w:rPr>
              <w:t>Módulo IX. Temas complementarios</w:t>
            </w:r>
          </w:p>
        </w:tc>
      </w:tr>
      <w:tr w:rsidR="00331A82" w:rsidRPr="00595DCA" w14:paraId="183A2FED"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5949A491" w14:textId="77777777" w:rsidR="00331A82" w:rsidRPr="001C2561" w:rsidRDefault="00331A82" w:rsidP="00CF5D13">
            <w:pPr>
              <w:jc w:val="center"/>
              <w:rPr>
                <w:b/>
                <w:color w:val="621132"/>
                <w:sz w:val="20"/>
              </w:rPr>
            </w:pPr>
            <w:r w:rsidRPr="001C2561">
              <w:rPr>
                <w:b/>
                <w:color w:val="621132"/>
                <w:sz w:val="20"/>
              </w:rPr>
              <w:t>Tema</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793B2BA9" w14:textId="77777777" w:rsidR="00331A82" w:rsidRPr="001C2561" w:rsidRDefault="00331A82" w:rsidP="00CF5D13">
            <w:pPr>
              <w:jc w:val="center"/>
              <w:rPr>
                <w:b/>
                <w:color w:val="621132"/>
                <w:sz w:val="20"/>
              </w:rPr>
            </w:pPr>
            <w:proofErr w:type="gramStart"/>
            <w:r w:rsidRPr="001C2561">
              <w:rPr>
                <w:b/>
                <w:color w:val="621132"/>
                <w:sz w:val="20"/>
              </w:rPr>
              <w:t>Puntos a tratar</w:t>
            </w:r>
            <w:proofErr w:type="gramEnd"/>
            <w:r w:rsidRPr="001C2561">
              <w:rPr>
                <w:b/>
                <w:color w:val="621132"/>
                <w:sz w:val="20"/>
              </w:rPr>
              <w:t xml:space="preserve"> / Actividades</w:t>
            </w:r>
          </w:p>
          <w:p w14:paraId="6E06DC31" w14:textId="77777777" w:rsidR="00331A82" w:rsidRPr="001C2561" w:rsidRDefault="00331A82" w:rsidP="00CF5D13">
            <w:pPr>
              <w:jc w:val="center"/>
              <w:rPr>
                <w:b/>
                <w:color w:val="621132"/>
                <w:sz w:val="20"/>
              </w:rPr>
            </w:pPr>
          </w:p>
        </w:tc>
      </w:tr>
      <w:tr w:rsidR="00331A82" w:rsidRPr="00595DCA" w14:paraId="4A7E725F"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0B4D4EC6" w14:textId="77777777" w:rsidR="00331A82" w:rsidRPr="00A0065F" w:rsidRDefault="00331A82" w:rsidP="00CF5D13">
            <w:pPr>
              <w:pStyle w:val="ListParagraph"/>
              <w:numPr>
                <w:ilvl w:val="1"/>
                <w:numId w:val="19"/>
              </w:numPr>
              <w:ind w:left="321" w:hanging="284"/>
              <w:contextualSpacing w:val="0"/>
              <w:jc w:val="both"/>
              <w:rPr>
                <w:b/>
                <w:bCs/>
                <w:sz w:val="20"/>
              </w:rPr>
            </w:pPr>
            <w:r w:rsidRPr="00A0065F">
              <w:rPr>
                <w:b/>
                <w:bCs/>
                <w:sz w:val="20"/>
              </w:rPr>
              <w:t>Titulación y conservación de derechos.</w:t>
            </w:r>
          </w:p>
          <w:p w14:paraId="2FD3B3D5" w14:textId="77777777" w:rsidR="00331A82" w:rsidRPr="00A0065F" w:rsidRDefault="00331A82" w:rsidP="00CF5D13">
            <w:pPr>
              <w:jc w:val="both"/>
              <w:rPr>
                <w:sz w:val="20"/>
              </w:rPr>
            </w:pP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67A6CB2B" w14:textId="77777777" w:rsidR="00331A82" w:rsidRPr="00A0065F" w:rsidRDefault="00331A82" w:rsidP="00CF5D13">
            <w:pPr>
              <w:jc w:val="both"/>
              <w:rPr>
                <w:sz w:val="20"/>
              </w:rPr>
            </w:pPr>
            <w:r w:rsidRPr="00A0065F">
              <w:rPr>
                <w:sz w:val="20"/>
              </w:rPr>
              <w:t>Integración de memorias técnicas</w:t>
            </w:r>
          </w:p>
          <w:p w14:paraId="04CD13D5" w14:textId="77777777" w:rsidR="00331A82" w:rsidRPr="00A0065F" w:rsidRDefault="00331A82" w:rsidP="00CF5D13">
            <w:pPr>
              <w:jc w:val="both"/>
              <w:rPr>
                <w:b/>
                <w:bCs/>
                <w:sz w:val="20"/>
              </w:rPr>
            </w:pPr>
            <w:r w:rsidRPr="00A0065F">
              <w:rPr>
                <w:sz w:val="20"/>
              </w:rPr>
              <w:t>Módulo SIAI para "Gestión de Memoria Técnica"</w:t>
            </w:r>
          </w:p>
        </w:tc>
      </w:tr>
      <w:tr w:rsidR="00331A82" w:rsidRPr="00595DCA" w14:paraId="058859FE"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6FF695DA" w14:textId="77777777" w:rsidR="00331A82" w:rsidRPr="00A0065F" w:rsidRDefault="00331A82" w:rsidP="00CF5D13">
            <w:pPr>
              <w:pStyle w:val="ListParagraph"/>
              <w:numPr>
                <w:ilvl w:val="1"/>
                <w:numId w:val="19"/>
              </w:numPr>
              <w:ind w:left="459"/>
              <w:contextualSpacing w:val="0"/>
              <w:jc w:val="both"/>
              <w:rPr>
                <w:b/>
                <w:bCs/>
                <w:sz w:val="20"/>
              </w:rPr>
            </w:pPr>
            <w:r w:rsidRPr="00A0065F">
              <w:rPr>
                <w:b/>
                <w:bCs/>
                <w:sz w:val="20"/>
              </w:rPr>
              <w:t>Mecanismos de aceleramiento para patentes</w:t>
            </w:r>
          </w:p>
          <w:p w14:paraId="61DFC940" w14:textId="77777777" w:rsidR="00331A82" w:rsidRPr="00A0065F" w:rsidRDefault="00331A82" w:rsidP="00CF5D13">
            <w:pPr>
              <w:jc w:val="both"/>
              <w:rPr>
                <w:sz w:val="20"/>
              </w:rPr>
            </w:pPr>
          </w:p>
          <w:p w14:paraId="61387C3B" w14:textId="77777777" w:rsidR="00331A82" w:rsidRPr="00A0065F" w:rsidRDefault="00331A82" w:rsidP="00CF5D13">
            <w:pPr>
              <w:pStyle w:val="ListParagraph"/>
              <w:numPr>
                <w:ilvl w:val="2"/>
                <w:numId w:val="19"/>
              </w:numPr>
              <w:tabs>
                <w:tab w:val="left" w:pos="489"/>
              </w:tabs>
              <w:ind w:left="914" w:hanging="850"/>
              <w:contextualSpacing w:val="0"/>
              <w:jc w:val="both"/>
              <w:rPr>
                <w:sz w:val="20"/>
              </w:rPr>
            </w:pPr>
            <w:r w:rsidRPr="00A0065F">
              <w:rPr>
                <w:sz w:val="20"/>
              </w:rPr>
              <w:t xml:space="preserve">PPH, APG, </w:t>
            </w:r>
          </w:p>
          <w:p w14:paraId="4F02D76C" w14:textId="77777777" w:rsidR="00331A82" w:rsidRPr="00A0065F" w:rsidRDefault="00331A82" w:rsidP="00CF5D13">
            <w:pPr>
              <w:pStyle w:val="ListParagraph"/>
              <w:numPr>
                <w:ilvl w:val="2"/>
                <w:numId w:val="19"/>
              </w:numPr>
              <w:tabs>
                <w:tab w:val="left" w:pos="489"/>
              </w:tabs>
              <w:ind w:left="914" w:hanging="850"/>
              <w:contextualSpacing w:val="0"/>
              <w:jc w:val="both"/>
              <w:rPr>
                <w:sz w:val="20"/>
              </w:rPr>
            </w:pPr>
            <w:r w:rsidRPr="00A0065F">
              <w:rPr>
                <w:sz w:val="20"/>
              </w:rPr>
              <w:t>PAMX</w:t>
            </w:r>
          </w:p>
          <w:p w14:paraId="3B0F2AF8" w14:textId="77777777" w:rsidR="00331A82" w:rsidRPr="00A0065F" w:rsidRDefault="00331A82" w:rsidP="00CF5D13">
            <w:pPr>
              <w:pStyle w:val="ListParagraph"/>
              <w:contextualSpacing w:val="0"/>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4FF032AD" w14:textId="77777777" w:rsidR="00331A82" w:rsidRPr="00A0065F" w:rsidRDefault="00331A82" w:rsidP="00CF5D13">
            <w:pPr>
              <w:jc w:val="both"/>
              <w:rPr>
                <w:sz w:val="20"/>
              </w:rPr>
            </w:pPr>
          </w:p>
          <w:p w14:paraId="4CD4F4BB" w14:textId="77777777" w:rsidR="00331A82" w:rsidRPr="00A0065F" w:rsidRDefault="00331A82" w:rsidP="00CF5D13">
            <w:pPr>
              <w:jc w:val="both"/>
              <w:rPr>
                <w:sz w:val="20"/>
              </w:rPr>
            </w:pPr>
            <w:r w:rsidRPr="00A0065F">
              <w:rPr>
                <w:sz w:val="20"/>
              </w:rPr>
              <w:t>Modalidades en los acuerdos PPH</w:t>
            </w:r>
          </w:p>
          <w:p w14:paraId="20BD9AA1" w14:textId="77777777" w:rsidR="00331A82" w:rsidRPr="00A0065F" w:rsidRDefault="00331A82" w:rsidP="00CF5D13">
            <w:pPr>
              <w:jc w:val="both"/>
              <w:rPr>
                <w:sz w:val="20"/>
              </w:rPr>
            </w:pPr>
            <w:r w:rsidRPr="00A0065F">
              <w:rPr>
                <w:sz w:val="20"/>
              </w:rPr>
              <w:t>Requerimientos de participación</w:t>
            </w:r>
          </w:p>
          <w:p w14:paraId="24E1CD29" w14:textId="77777777" w:rsidR="00331A82" w:rsidRPr="00A0065F" w:rsidRDefault="00331A82" w:rsidP="00CF5D13">
            <w:pPr>
              <w:jc w:val="both"/>
              <w:rPr>
                <w:sz w:val="20"/>
              </w:rPr>
            </w:pPr>
            <w:r w:rsidRPr="00A0065F">
              <w:rPr>
                <w:sz w:val="20"/>
              </w:rPr>
              <w:t>Diferencias entre los mecanismos de aceleramiento</w:t>
            </w:r>
          </w:p>
        </w:tc>
      </w:tr>
      <w:tr w:rsidR="00331A82" w:rsidRPr="00595DCA" w14:paraId="3AFCB5C4"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5AF10C4F" w14:textId="77777777" w:rsidR="00331A82" w:rsidRPr="00A0065F" w:rsidRDefault="00331A82" w:rsidP="00CF5D13">
            <w:pPr>
              <w:pStyle w:val="ListParagraph"/>
              <w:numPr>
                <w:ilvl w:val="1"/>
                <w:numId w:val="19"/>
              </w:numPr>
              <w:ind w:left="459"/>
              <w:contextualSpacing w:val="0"/>
              <w:jc w:val="both"/>
              <w:rPr>
                <w:b/>
                <w:bCs/>
                <w:sz w:val="20"/>
              </w:rPr>
            </w:pPr>
            <w:r w:rsidRPr="00A0065F">
              <w:rPr>
                <w:b/>
                <w:bCs/>
                <w:sz w:val="20"/>
              </w:rPr>
              <w:t>Observaciones de terceros.</w:t>
            </w:r>
          </w:p>
          <w:p w14:paraId="6C7224E3" w14:textId="77777777" w:rsidR="00331A82" w:rsidRPr="00A0065F" w:rsidRDefault="00331A82" w:rsidP="00CF5D13">
            <w:pPr>
              <w:pStyle w:val="ListParagraph"/>
              <w:ind w:left="489"/>
              <w:contextualSpacing w:val="0"/>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71FE11C5" w14:textId="77777777" w:rsidR="00331A82" w:rsidRPr="00A0065F" w:rsidRDefault="00331A82" w:rsidP="00CF5D13">
            <w:pPr>
              <w:jc w:val="both"/>
              <w:rPr>
                <w:sz w:val="20"/>
              </w:rPr>
            </w:pPr>
            <w:r w:rsidRPr="00A0065F">
              <w:rPr>
                <w:sz w:val="20"/>
              </w:rPr>
              <w:t>Diversas situaciones en que son ingresadas observaciones de terceros.</w:t>
            </w:r>
          </w:p>
        </w:tc>
      </w:tr>
      <w:tr w:rsidR="00331A82" w:rsidRPr="00595DCA" w14:paraId="6F589372"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0BD5FC25" w14:textId="77777777" w:rsidR="00331A82" w:rsidRPr="00A0065F" w:rsidRDefault="00331A82" w:rsidP="00CF5D13">
            <w:pPr>
              <w:pStyle w:val="ListParagraph"/>
              <w:numPr>
                <w:ilvl w:val="1"/>
                <w:numId w:val="19"/>
              </w:numPr>
              <w:ind w:left="459"/>
              <w:contextualSpacing w:val="0"/>
              <w:jc w:val="both"/>
              <w:rPr>
                <w:b/>
                <w:bCs/>
                <w:sz w:val="20"/>
              </w:rPr>
            </w:pPr>
            <w:r w:rsidRPr="00A0065F">
              <w:rPr>
                <w:b/>
                <w:bCs/>
                <w:sz w:val="20"/>
              </w:rPr>
              <w:t>Tratado PCT y Convenio de París</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2B36C60C" w14:textId="77777777" w:rsidR="00331A82" w:rsidRPr="00A0065F" w:rsidRDefault="00331A82" w:rsidP="00CF5D13">
            <w:pPr>
              <w:jc w:val="both"/>
              <w:rPr>
                <w:sz w:val="20"/>
              </w:rPr>
            </w:pPr>
          </w:p>
        </w:tc>
      </w:tr>
      <w:tr w:rsidR="00331A82" w:rsidRPr="00595DCA" w14:paraId="07EB02B2"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341D7B7E" w14:textId="77777777" w:rsidR="00331A82" w:rsidRPr="00A0065F" w:rsidRDefault="00331A82" w:rsidP="00CF5D13">
            <w:pPr>
              <w:pStyle w:val="ListParagraph"/>
              <w:numPr>
                <w:ilvl w:val="1"/>
                <w:numId w:val="19"/>
              </w:numPr>
              <w:ind w:left="459"/>
              <w:contextualSpacing w:val="0"/>
              <w:jc w:val="both"/>
              <w:rPr>
                <w:b/>
                <w:bCs/>
                <w:sz w:val="20"/>
              </w:rPr>
            </w:pPr>
            <w:r w:rsidRPr="00A0065F">
              <w:rPr>
                <w:b/>
                <w:bCs/>
                <w:sz w:val="20"/>
              </w:rPr>
              <w:t>Organismos y Tratados internacionales aplicables en sistema de patentes</w:t>
            </w:r>
          </w:p>
          <w:p w14:paraId="6A176D02" w14:textId="77777777" w:rsidR="00331A82" w:rsidRPr="00A0065F" w:rsidRDefault="00331A82" w:rsidP="00CF5D13">
            <w:pPr>
              <w:jc w:val="both"/>
              <w:rPr>
                <w:sz w:val="20"/>
              </w:rPr>
            </w:pPr>
          </w:p>
          <w:p w14:paraId="1FBDD692" w14:textId="77777777" w:rsidR="00331A82" w:rsidRPr="00A0065F" w:rsidRDefault="00331A82" w:rsidP="00CF5D13">
            <w:pPr>
              <w:pStyle w:val="ListParagraph"/>
              <w:numPr>
                <w:ilvl w:val="2"/>
                <w:numId w:val="19"/>
              </w:numPr>
              <w:ind w:left="746" w:hanging="567"/>
              <w:contextualSpacing w:val="0"/>
              <w:jc w:val="both"/>
              <w:rPr>
                <w:sz w:val="20"/>
              </w:rPr>
            </w:pPr>
            <w:r w:rsidRPr="00A0065F">
              <w:rPr>
                <w:sz w:val="20"/>
              </w:rPr>
              <w:t>OMPI</w:t>
            </w:r>
          </w:p>
          <w:p w14:paraId="50DD67A5" w14:textId="77777777" w:rsidR="00331A82" w:rsidRPr="00A0065F" w:rsidRDefault="00331A82" w:rsidP="00CF5D13">
            <w:pPr>
              <w:pStyle w:val="ListParagraph"/>
              <w:numPr>
                <w:ilvl w:val="2"/>
                <w:numId w:val="19"/>
              </w:numPr>
              <w:ind w:left="746" w:hanging="567"/>
              <w:contextualSpacing w:val="0"/>
              <w:jc w:val="both"/>
              <w:rPr>
                <w:sz w:val="20"/>
              </w:rPr>
            </w:pPr>
            <w:r w:rsidRPr="00A0065F">
              <w:rPr>
                <w:sz w:val="20"/>
              </w:rPr>
              <w:t>EPO</w:t>
            </w:r>
          </w:p>
          <w:p w14:paraId="58DDFF27" w14:textId="77777777" w:rsidR="00331A82" w:rsidRPr="00A0065F" w:rsidRDefault="00331A82" w:rsidP="00CF5D13">
            <w:pPr>
              <w:pStyle w:val="ListParagraph"/>
              <w:numPr>
                <w:ilvl w:val="2"/>
                <w:numId w:val="19"/>
              </w:numPr>
              <w:ind w:left="746" w:hanging="567"/>
              <w:contextualSpacing w:val="0"/>
              <w:jc w:val="both"/>
              <w:rPr>
                <w:sz w:val="20"/>
              </w:rPr>
            </w:pPr>
            <w:r w:rsidRPr="00A0065F">
              <w:rPr>
                <w:sz w:val="20"/>
              </w:rPr>
              <w:t>ADPIC</w:t>
            </w:r>
          </w:p>
          <w:p w14:paraId="57926FAE" w14:textId="77777777" w:rsidR="00331A82" w:rsidRPr="00A0065F" w:rsidRDefault="00331A82" w:rsidP="00CF5D13">
            <w:pPr>
              <w:pStyle w:val="ListParagraph"/>
              <w:numPr>
                <w:ilvl w:val="2"/>
                <w:numId w:val="19"/>
              </w:numPr>
              <w:ind w:left="746" w:hanging="567"/>
              <w:contextualSpacing w:val="0"/>
              <w:jc w:val="both"/>
              <w:rPr>
                <w:sz w:val="20"/>
              </w:rPr>
            </w:pPr>
            <w:r w:rsidRPr="00A0065F">
              <w:rPr>
                <w:sz w:val="20"/>
              </w:rPr>
              <w:t>Convenio de París</w:t>
            </w:r>
          </w:p>
          <w:p w14:paraId="27D3515C" w14:textId="77777777" w:rsidR="00331A82" w:rsidRPr="00A0065F" w:rsidRDefault="00331A82" w:rsidP="00CF5D13">
            <w:pPr>
              <w:pStyle w:val="ListParagraph"/>
              <w:numPr>
                <w:ilvl w:val="2"/>
                <w:numId w:val="19"/>
              </w:numPr>
              <w:ind w:left="746" w:hanging="567"/>
              <w:contextualSpacing w:val="0"/>
              <w:jc w:val="both"/>
              <w:rPr>
                <w:sz w:val="20"/>
              </w:rPr>
            </w:pPr>
            <w:r w:rsidRPr="00A0065F">
              <w:rPr>
                <w:sz w:val="20"/>
              </w:rPr>
              <w:t>Disposiciones T-MEC</w:t>
            </w:r>
          </w:p>
          <w:p w14:paraId="70E50684" w14:textId="77777777" w:rsidR="00331A82" w:rsidRPr="00A0065F" w:rsidRDefault="00331A82" w:rsidP="00CF5D13">
            <w:pPr>
              <w:ind w:left="720"/>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1D37FCD4" w14:textId="77777777" w:rsidR="00331A82" w:rsidRPr="00A0065F" w:rsidRDefault="00331A82" w:rsidP="00CF5D13">
            <w:pPr>
              <w:jc w:val="both"/>
              <w:rPr>
                <w:sz w:val="20"/>
              </w:rPr>
            </w:pPr>
          </w:p>
        </w:tc>
      </w:tr>
      <w:tr w:rsidR="00331A82" w:rsidRPr="00595DCA" w14:paraId="09142C6E"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9063" w:type="dxa"/>
            <w:gridSpan w:val="3"/>
            <w:tcBorders>
              <w:top w:val="single" w:sz="2" w:space="0" w:color="244061" w:themeColor="accent1" w:themeShade="80"/>
              <w:left w:val="single" w:sz="2" w:space="0" w:color="244061" w:themeColor="accent1" w:themeShade="80"/>
              <w:bottom w:val="single" w:sz="4" w:space="0" w:color="auto"/>
              <w:right w:val="single" w:sz="4" w:space="0" w:color="auto"/>
            </w:tcBorders>
            <w:vAlign w:val="center"/>
          </w:tcPr>
          <w:p w14:paraId="5DD32A8C" w14:textId="77777777" w:rsidR="00331A82" w:rsidRPr="001C2561" w:rsidRDefault="00331A82" w:rsidP="00CF5D13">
            <w:pPr>
              <w:jc w:val="both"/>
              <w:rPr>
                <w:color w:val="13322B"/>
                <w:sz w:val="20"/>
              </w:rPr>
            </w:pPr>
            <w:r w:rsidRPr="001C2561">
              <w:rPr>
                <w:b/>
                <w:bCs/>
                <w:color w:val="621132"/>
                <w:sz w:val="20"/>
              </w:rPr>
              <w:t>Módulo X. Modelos de utilidad</w:t>
            </w:r>
          </w:p>
        </w:tc>
      </w:tr>
      <w:tr w:rsidR="00331A82" w:rsidRPr="00595DCA" w14:paraId="18F0D4D9"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65F93D31" w14:textId="77777777" w:rsidR="00331A82" w:rsidRPr="001C2561" w:rsidRDefault="00331A82" w:rsidP="00CF5D13">
            <w:pPr>
              <w:jc w:val="center"/>
              <w:rPr>
                <w:b/>
                <w:color w:val="621132"/>
                <w:sz w:val="20"/>
              </w:rPr>
            </w:pPr>
            <w:r w:rsidRPr="001C2561">
              <w:rPr>
                <w:b/>
                <w:color w:val="621132"/>
                <w:sz w:val="20"/>
              </w:rPr>
              <w:t>Tema</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25AD7AB6" w14:textId="77777777" w:rsidR="00331A82" w:rsidRPr="001C2561" w:rsidRDefault="00331A82" w:rsidP="00CF5D13">
            <w:pPr>
              <w:jc w:val="center"/>
              <w:rPr>
                <w:b/>
                <w:color w:val="621132"/>
                <w:sz w:val="20"/>
              </w:rPr>
            </w:pPr>
            <w:proofErr w:type="gramStart"/>
            <w:r w:rsidRPr="001C2561">
              <w:rPr>
                <w:b/>
                <w:color w:val="621132"/>
                <w:sz w:val="20"/>
              </w:rPr>
              <w:t>Puntos a tratar</w:t>
            </w:r>
            <w:proofErr w:type="gramEnd"/>
            <w:r w:rsidRPr="001C2561">
              <w:rPr>
                <w:b/>
                <w:color w:val="621132"/>
                <w:sz w:val="20"/>
              </w:rPr>
              <w:t xml:space="preserve"> / Actividades</w:t>
            </w:r>
          </w:p>
          <w:p w14:paraId="0B495FE7" w14:textId="77777777" w:rsidR="00331A82" w:rsidRPr="001C2561" w:rsidRDefault="00331A82" w:rsidP="00CF5D13">
            <w:pPr>
              <w:jc w:val="center"/>
              <w:rPr>
                <w:b/>
                <w:color w:val="621132"/>
                <w:sz w:val="20"/>
              </w:rPr>
            </w:pPr>
          </w:p>
        </w:tc>
      </w:tr>
      <w:tr w:rsidR="00331A82" w:rsidRPr="00595DCA" w14:paraId="414B645E" w14:textId="77777777" w:rsidTr="00CF5D13">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6A223796" w14:textId="77777777" w:rsidR="00331A82" w:rsidRPr="00A0065F" w:rsidRDefault="00331A82" w:rsidP="00CF5D13">
            <w:pPr>
              <w:pStyle w:val="ListParagraph"/>
              <w:numPr>
                <w:ilvl w:val="1"/>
                <w:numId w:val="20"/>
              </w:numPr>
              <w:ind w:left="604" w:hanging="425"/>
              <w:contextualSpacing w:val="0"/>
              <w:jc w:val="both"/>
              <w:rPr>
                <w:b/>
                <w:bCs/>
                <w:sz w:val="20"/>
              </w:rPr>
            </w:pPr>
            <w:r w:rsidRPr="00A0065F">
              <w:rPr>
                <w:b/>
                <w:bCs/>
                <w:sz w:val="20"/>
              </w:rPr>
              <w:t>Estudio de una solicitud de Modelo de utilidad.</w:t>
            </w:r>
          </w:p>
          <w:p w14:paraId="3DBB5C85" w14:textId="77777777" w:rsidR="00331A82" w:rsidRPr="00A0065F" w:rsidRDefault="00331A82" w:rsidP="00CF5D13">
            <w:pPr>
              <w:jc w:val="both"/>
              <w:rPr>
                <w:sz w:val="20"/>
              </w:rPr>
            </w:pP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57D92ACA" w14:textId="77777777" w:rsidR="00331A82" w:rsidRPr="00A0065F" w:rsidRDefault="00331A82" w:rsidP="00CF5D13">
            <w:pPr>
              <w:jc w:val="both"/>
              <w:rPr>
                <w:b/>
                <w:bCs/>
                <w:sz w:val="20"/>
              </w:rPr>
            </w:pPr>
            <w:r w:rsidRPr="00A0065F">
              <w:rPr>
                <w:sz w:val="20"/>
              </w:rPr>
              <w:t>Revisar ejemplos de diferentes casos de MU</w:t>
            </w:r>
          </w:p>
        </w:tc>
      </w:tr>
    </w:tbl>
    <w:p w14:paraId="7EDF5708" w14:textId="77777777" w:rsidR="00331A82" w:rsidRPr="00595DCA" w:rsidRDefault="00331A82" w:rsidP="00331A82">
      <w:pPr>
        <w:rPr>
          <w:rFonts w:ascii="Montserrat Light" w:hAnsi="Montserrat Light"/>
          <w:color w:val="0070C0"/>
          <w:sz w:val="20"/>
        </w:rPr>
      </w:pPr>
    </w:p>
    <w:p w14:paraId="591AD23A" w14:textId="5613C438" w:rsidR="00331A82" w:rsidRPr="00595DCA" w:rsidRDefault="00331A82" w:rsidP="00331A82">
      <w:pPr>
        <w:pStyle w:val="Answer"/>
        <w:spacing w:after="0"/>
        <w:ind w:left="0"/>
        <w:jc w:val="both"/>
        <w:rPr>
          <w:lang w:val="es-ES_tradnl"/>
        </w:rPr>
      </w:pPr>
      <w:r w:rsidRPr="00595DCA">
        <w:rPr>
          <w:lang w:val="es-ES_tradnl"/>
        </w:rPr>
        <w:t>La capacitación para el grupo de examinadores de fondo es continua. Es obligatorio que los examinadores tomen los cursos generales que ofrece la Academia de la OMPI:</w:t>
      </w:r>
      <w:r w:rsidR="003D7287">
        <w:rPr>
          <w:lang w:val="es-ES_tradnl"/>
        </w:rPr>
        <w:t xml:space="preserve"> </w:t>
      </w:r>
      <w:r w:rsidRPr="00595DCA">
        <w:rPr>
          <w:lang w:val="es-ES_tradnl"/>
        </w:rPr>
        <w:t>Cursillo sobre Propiedad Intelectual DL-001 y el Curso Básico de Propiedad Intelectual DL-101S.</w:t>
      </w:r>
    </w:p>
    <w:p w14:paraId="74FFF2E1" w14:textId="77777777" w:rsidR="00331A82" w:rsidRPr="00595DCA" w:rsidRDefault="00331A82" w:rsidP="00331A82">
      <w:pPr>
        <w:pStyle w:val="Answer"/>
        <w:spacing w:after="0"/>
        <w:ind w:left="0"/>
        <w:jc w:val="both"/>
        <w:rPr>
          <w:lang w:val="es-ES_tradnl"/>
        </w:rPr>
      </w:pPr>
    </w:p>
    <w:p w14:paraId="1A158C97" w14:textId="77777777" w:rsidR="00331A82" w:rsidRPr="00595DCA" w:rsidRDefault="00331A82" w:rsidP="00331A82">
      <w:pPr>
        <w:pStyle w:val="Answer"/>
        <w:spacing w:after="0"/>
        <w:ind w:left="0"/>
        <w:jc w:val="both"/>
        <w:rPr>
          <w:lang w:val="es-ES_tradnl"/>
        </w:rPr>
      </w:pPr>
      <w:r w:rsidRPr="00595DCA">
        <w:rPr>
          <w:lang w:val="es-ES_tradnl"/>
        </w:rPr>
        <w:t>La normatividad del IMPI establece que todo el personal cuente con un mínimo de 40 horas de capacitación al año, de las cuales un porcentaje debe ser de capacitación especializada.</w:t>
      </w:r>
    </w:p>
    <w:p w14:paraId="47BF313B" w14:textId="77777777" w:rsidR="00331A82" w:rsidRPr="00595DCA" w:rsidRDefault="00331A82" w:rsidP="00331A82">
      <w:pPr>
        <w:pStyle w:val="Answer"/>
        <w:spacing w:after="0"/>
        <w:ind w:left="0"/>
        <w:jc w:val="both"/>
        <w:rPr>
          <w:lang w:val="es-ES_tradnl"/>
        </w:rPr>
      </w:pPr>
      <w:r w:rsidRPr="00595DCA">
        <w:rPr>
          <w:lang w:val="es-ES_tradnl"/>
        </w:rPr>
        <w:t>Las personas examinadoras son capacitadas en temas estrictamente técnicos, para actualizar sus conocimientos en el área técnica en la que examinan y en criterios de examen de patentes.</w:t>
      </w:r>
    </w:p>
    <w:p w14:paraId="0CD07D01" w14:textId="77777777" w:rsidR="00331A82" w:rsidRPr="00595DCA" w:rsidRDefault="00331A82" w:rsidP="00331A82">
      <w:pPr>
        <w:pStyle w:val="Answer"/>
        <w:spacing w:after="0"/>
        <w:ind w:left="0"/>
        <w:jc w:val="both"/>
        <w:rPr>
          <w:lang w:val="es-ES_tradnl"/>
        </w:rPr>
      </w:pPr>
    </w:p>
    <w:p w14:paraId="3558374D" w14:textId="77777777" w:rsidR="00331A82" w:rsidRPr="00595DCA" w:rsidRDefault="00331A82" w:rsidP="00331A82">
      <w:pPr>
        <w:pStyle w:val="Answer"/>
        <w:spacing w:after="0"/>
        <w:ind w:left="0"/>
        <w:jc w:val="both"/>
        <w:rPr>
          <w:lang w:val="es-ES_tradnl"/>
        </w:rPr>
      </w:pPr>
      <w:r w:rsidRPr="00595DCA">
        <w:rPr>
          <w:lang w:val="es-ES_tradnl"/>
        </w:rPr>
        <w:t xml:space="preserve">Dentro de la capacitación que se ofrece a los examinadores, se encuentran cursos para búsqueda de anterioridades, actualización del manejo de las herramientas y bases de datos de búsqueda con las que se cuenta, así como de cursos especializados en temas específicos que ofrecen las diferentes oficinas de patentes con las que el IMPI mantiene cooperación, como son la Oficina de Patentes y Marcas de Estados Unidos (USPTO), la Oficina Europea de patentes (EPO), la Oficina Japonesa de Patentes, entre otras. </w:t>
      </w:r>
    </w:p>
    <w:p w14:paraId="144E57B2" w14:textId="77777777" w:rsidR="00331A82" w:rsidRPr="00595DCA" w:rsidRDefault="00331A82" w:rsidP="00331A82">
      <w:pPr>
        <w:pStyle w:val="Answer"/>
        <w:spacing w:after="0"/>
        <w:ind w:left="0"/>
        <w:jc w:val="both"/>
        <w:rPr>
          <w:lang w:val="es-ES_tradnl"/>
        </w:rPr>
      </w:pPr>
    </w:p>
    <w:p w14:paraId="1C870F86" w14:textId="061ADA01" w:rsidR="00331A82" w:rsidRPr="00595DCA" w:rsidRDefault="00331A82" w:rsidP="00331A82">
      <w:pPr>
        <w:pStyle w:val="Answer"/>
        <w:spacing w:after="0"/>
        <w:ind w:left="0"/>
        <w:jc w:val="both"/>
        <w:rPr>
          <w:lang w:val="es-ES_tradnl"/>
        </w:rPr>
      </w:pPr>
      <w:r w:rsidRPr="00595DCA">
        <w:rPr>
          <w:lang w:val="es-ES_tradnl"/>
        </w:rPr>
        <w:t>Cabe mencionar que el IMPI ha establecido un sistema de cooperación con los países de América Latina y del Caribe, conocido como Sistema de Apoyo para la Gestión de Solicitudes de Patente para los países Centroamericanos y República Dominicana, (CADOPAT)</w:t>
      </w:r>
      <w:r w:rsidR="003D7287">
        <w:rPr>
          <w:lang w:val="es-ES_tradnl"/>
        </w:rPr>
        <w:t xml:space="preserve"> </w:t>
      </w:r>
      <w:r w:rsidRPr="00595DCA">
        <w:rPr>
          <w:lang w:val="es-ES_tradnl"/>
        </w:rPr>
        <w:t xml:space="preserve">desde 2007, mediante el cual se comparte con estas oficinas los resultados de examen de fondo, de solicitudes que han sido presentadas en el IMPI y en estas oficinas, con el fin de agilizar los trámites y no efectuar retrabajo de búsqueda y examen. </w:t>
      </w:r>
    </w:p>
    <w:p w14:paraId="046B4294" w14:textId="77777777" w:rsidR="00331A82" w:rsidRPr="00595DCA" w:rsidRDefault="00331A82" w:rsidP="00331A82">
      <w:pPr>
        <w:pStyle w:val="Answer"/>
        <w:spacing w:after="0"/>
        <w:ind w:left="0"/>
        <w:jc w:val="both"/>
        <w:rPr>
          <w:lang w:val="es-ES_tradnl"/>
        </w:rPr>
      </w:pPr>
    </w:p>
    <w:p w14:paraId="21E5D267" w14:textId="77777777" w:rsidR="00331A82" w:rsidRPr="00595DCA" w:rsidRDefault="00331A82" w:rsidP="00331A82">
      <w:pPr>
        <w:pStyle w:val="Answer"/>
        <w:spacing w:after="0"/>
        <w:ind w:left="0"/>
        <w:jc w:val="both"/>
        <w:rPr>
          <w:lang w:val="es-ES_tradnl"/>
        </w:rPr>
      </w:pPr>
      <w:r w:rsidRPr="00595DCA">
        <w:rPr>
          <w:lang w:val="es-ES_tradnl"/>
        </w:rPr>
        <w:t xml:space="preserve">Dentro de esta cooperación también el IMPI otorga apoyo en búsqueda de anterioridades y opinión de patentabilidad a solicitudes nacionales presentadas en las oficinas de propiedad industrial de esos países, aun cuando no tienen una solicitud que corresponda con alguna presentada en IMPI México. </w:t>
      </w:r>
    </w:p>
    <w:p w14:paraId="08C57A76" w14:textId="77777777" w:rsidR="00331A82" w:rsidRPr="00595DCA" w:rsidRDefault="00331A82" w:rsidP="00331A82">
      <w:pPr>
        <w:pStyle w:val="Answer"/>
        <w:spacing w:after="0"/>
        <w:ind w:left="0"/>
        <w:jc w:val="both"/>
        <w:rPr>
          <w:lang w:val="es-ES_tradnl"/>
        </w:rPr>
      </w:pPr>
    </w:p>
    <w:p w14:paraId="1AF7A775" w14:textId="35292C73" w:rsidR="00331A82" w:rsidRPr="00595DCA" w:rsidRDefault="00331A82" w:rsidP="00331A82">
      <w:pPr>
        <w:pStyle w:val="Answer"/>
        <w:spacing w:after="0"/>
        <w:ind w:left="0"/>
        <w:jc w:val="both"/>
        <w:rPr>
          <w:lang w:val="es-ES_tradnl"/>
        </w:rPr>
      </w:pPr>
      <w:r w:rsidRPr="00595DCA">
        <w:rPr>
          <w:lang w:val="es-ES_tradnl"/>
        </w:rPr>
        <w:t xml:space="preserve">Los resultados de examen, búsquedas y opiniones de patentabilidad se comparten con los países participantes a través del portal electrónico que se desarrolló en el IMPI para tal fin: </w:t>
      </w:r>
      <w:hyperlink r:id="rId13" w:history="1">
        <w:r w:rsidRPr="00595DCA">
          <w:rPr>
            <w:rStyle w:val="Hyperlink"/>
            <w:lang w:val="es-ES_tradnl"/>
          </w:rPr>
          <w:t>https://cadopat.impi.gob.mx/</w:t>
        </w:r>
      </w:hyperlink>
    </w:p>
    <w:p w14:paraId="29DFFBE3" w14:textId="77777777" w:rsidR="00331A82" w:rsidRPr="00595DCA" w:rsidRDefault="00331A82" w:rsidP="00331A82">
      <w:pPr>
        <w:pStyle w:val="SectionHeading"/>
        <w:spacing w:before="0" w:after="0" w:line="240" w:lineRule="auto"/>
        <w:rPr>
          <w:lang w:val="es-ES_tradnl"/>
        </w:rPr>
      </w:pPr>
      <w:r w:rsidRPr="00595DCA">
        <w:rPr>
          <w:lang w:val="es-ES_tradnl"/>
        </w:rPr>
        <w:t>2.2. Documentación mínima puesta a disposición para consulta</w:t>
      </w:r>
    </w:p>
    <w:p w14:paraId="10CEF8C7" w14:textId="77777777" w:rsidR="00331A82" w:rsidRPr="00595DCA" w:rsidRDefault="00331A82" w:rsidP="00331A82">
      <w:pPr>
        <w:pStyle w:val="RuleQuote"/>
        <w:spacing w:after="0"/>
        <w:rPr>
          <w:lang w:val="es-ES_tradnl"/>
        </w:rPr>
      </w:pPr>
    </w:p>
    <w:p w14:paraId="6F2A9E71" w14:textId="77777777" w:rsidR="00331A82" w:rsidRPr="00595DCA" w:rsidRDefault="00331A82" w:rsidP="00331A82">
      <w:pPr>
        <w:pStyle w:val="RuleQuote"/>
        <w:spacing w:after="0"/>
        <w:rPr>
          <w:lang w:val="es-ES_tradnl"/>
        </w:rPr>
      </w:pPr>
      <w:r w:rsidRPr="00595DCA">
        <w:rPr>
          <w:lang w:val="es-ES_tradnl"/>
        </w:rPr>
        <w:t>Reglas 36.1.ii) y 63.1.ii): Esa Oficina u organización deberá poner a disposición para su consulta, como parte de la documentación mínima mencionada en la Regla 34, de conformidad con los requisitos especificados en las Instrucciones Administrativas, toda patente concedida y toda solicitud de patente publicada por ella y, en su caso, por su antecesor jurídico.</w:t>
      </w:r>
    </w:p>
    <w:p w14:paraId="510D3F13" w14:textId="77777777" w:rsidR="00331A82" w:rsidRPr="00595DCA" w:rsidRDefault="00331A82" w:rsidP="00331A82">
      <w:pPr>
        <w:pStyle w:val="RuleQuote"/>
        <w:spacing w:after="0"/>
        <w:rPr>
          <w:lang w:val="es-ES_tradnl"/>
        </w:rPr>
      </w:pPr>
    </w:p>
    <w:p w14:paraId="043996A5" w14:textId="5FEEEF60" w:rsidR="00331A82" w:rsidRPr="00595DCA" w:rsidRDefault="00331A82" w:rsidP="00331A82">
      <w:pPr>
        <w:pStyle w:val="RuleQuote"/>
        <w:spacing w:after="0"/>
        <w:rPr>
          <w:szCs w:val="24"/>
          <w:lang w:val="es-ES_tradnl"/>
        </w:rPr>
      </w:pPr>
      <w:r w:rsidRPr="00595DCA">
        <w:rPr>
          <w:lang w:val="es-ES_tradnl"/>
        </w:rPr>
        <w:t xml:space="preserve">Los requisitos especificados en las Instrucciones Administrativas figuran en la circular </w:t>
      </w:r>
      <w:hyperlink r:id="rId14" w:history="1">
        <w:r w:rsidRPr="00595DCA">
          <w:rPr>
            <w:rStyle w:val="Hyperlink"/>
            <w:lang w:val="es-ES_tradnl"/>
          </w:rPr>
          <w:t>C. PCT 1672</w:t>
        </w:r>
      </w:hyperlink>
      <w:r w:rsidRPr="00595DCA">
        <w:rPr>
          <w:lang w:val="es-ES_tradnl"/>
        </w:rPr>
        <w:t>, de 19 de junio de 2024.</w:t>
      </w:r>
    </w:p>
    <w:p w14:paraId="3054EA25" w14:textId="77777777" w:rsidR="00331A82" w:rsidRPr="00595DCA" w:rsidRDefault="00331A82" w:rsidP="00331A82">
      <w:pPr>
        <w:pStyle w:val="Question"/>
        <w:spacing w:after="0"/>
        <w:jc w:val="both"/>
        <w:rPr>
          <w:b w:val="0"/>
          <w:lang w:val="es-ES_tradnl"/>
        </w:rPr>
      </w:pPr>
    </w:p>
    <w:p w14:paraId="44A75BBE" w14:textId="77777777" w:rsidR="00331A82" w:rsidRPr="00595DCA" w:rsidRDefault="00331A82" w:rsidP="00331A82">
      <w:pPr>
        <w:pStyle w:val="Question"/>
        <w:spacing w:after="0"/>
        <w:jc w:val="both"/>
        <w:rPr>
          <w:b w:val="0"/>
          <w:lang w:val="es-ES_tradnl"/>
        </w:rPr>
      </w:pPr>
      <w:r w:rsidRPr="00595DCA">
        <w:rPr>
          <w:b w:val="0"/>
          <w:lang w:val="es-ES_tradnl"/>
        </w:rPr>
        <w:t>La puesta a disposición para consulta, como parte de la documentación mínima mencionada en la Regla 34, de las patentes concedidas y las solicitudes de patente publicadas por la Oficina o, en su caso, por las Oficinas que formen parte de la organización intergubernamental, de conformidad con el acuerdo adoptado por la Asamblea del PCT en el párrafo 8 del documento PCT/A/55/2, se informa de la siguiente manera:</w:t>
      </w:r>
      <w:bookmarkStart w:id="7" w:name="_Hlk203740750"/>
    </w:p>
    <w:p w14:paraId="63775ABE" w14:textId="77777777" w:rsidR="00331A82" w:rsidRPr="00595DCA" w:rsidRDefault="00331A82" w:rsidP="00331A82">
      <w:pPr>
        <w:pStyle w:val="Answer"/>
        <w:rPr>
          <w:lang w:val="es-ES_tradnl"/>
        </w:rPr>
      </w:pPr>
    </w:p>
    <w:p w14:paraId="74E1193D" w14:textId="77777777" w:rsidR="00331A82" w:rsidRPr="00595DCA" w:rsidRDefault="00A9755C" w:rsidP="00331A82">
      <w:pPr>
        <w:pStyle w:val="Question"/>
        <w:spacing w:after="0"/>
        <w:jc w:val="both"/>
        <w:rPr>
          <w:lang w:val="es-ES_tradnl"/>
        </w:rPr>
      </w:pPr>
      <w:sdt>
        <w:sdtPr>
          <w:rPr>
            <w:b w:val="0"/>
            <w:bCs w:val="0"/>
            <w:lang w:val="es-ES_tradnl"/>
          </w:rPr>
          <w:id w:val="-1361976290"/>
          <w14:checkbox>
            <w14:checked w14:val="0"/>
            <w14:checkedState w14:val="2612" w14:font="MS Gothic"/>
            <w14:uncheckedState w14:val="2610" w14:font="MS Gothic"/>
          </w14:checkbox>
        </w:sdtPr>
        <w:sdtEndPr/>
        <w:sdtContent>
          <w:r w:rsidR="00331A82" w:rsidRPr="00595DCA">
            <w:rPr>
              <w:rFonts w:ascii="MS Gothic" w:eastAsia="MS Gothic" w:hAnsi="MS Gothic"/>
              <w:b w:val="0"/>
              <w:bCs w:val="0"/>
              <w:lang w:val="es-ES_tradnl"/>
            </w:rPr>
            <w:t>☐</w:t>
          </w:r>
        </w:sdtContent>
      </w:sdt>
      <w:r w:rsidR="00331A82" w:rsidRPr="00595DCA">
        <w:rPr>
          <w:b w:val="0"/>
          <w:lang w:val="es-ES_tradnl"/>
        </w:rPr>
        <w:t xml:space="preserve"> La Oficina ha notificado a la Oficina Internacional, con arreglo a la Regla 31.4.d)i), que sus documentos de patente y, en su caso, sus documentos de modelo de utilidad están a disposición de las Administraciones encargadas de la búsqueda internacional con efecto a partir del [FECHA]. El fichero de referencia más reciente, que detalla el alcance de los documentos de patente y, en su caso, de los modelos de utilidad disponibles, se presentó a la Oficina Internacional el [FECHA] y puede consultarse en el siguiente enlace: [ENLACE]. </w:t>
      </w:r>
    </w:p>
    <w:p w14:paraId="7A9240C7" w14:textId="77777777" w:rsidR="00331A82" w:rsidRPr="00595DCA" w:rsidRDefault="00331A82" w:rsidP="00331A82">
      <w:pPr>
        <w:pStyle w:val="Answer"/>
        <w:spacing w:after="0"/>
        <w:ind w:left="0"/>
        <w:jc w:val="both"/>
        <w:rPr>
          <w:lang w:val="es-ES_tradnl"/>
        </w:rPr>
      </w:pPr>
    </w:p>
    <w:p w14:paraId="57CC09CD" w14:textId="77777777" w:rsidR="00331A82" w:rsidRPr="00595DCA" w:rsidRDefault="00331A82" w:rsidP="00331A82">
      <w:pPr>
        <w:pStyle w:val="Answer"/>
        <w:spacing w:after="0"/>
        <w:ind w:left="0"/>
        <w:jc w:val="both"/>
        <w:rPr>
          <w:lang w:val="es-ES_tradnl"/>
        </w:rPr>
      </w:pPr>
      <w:r w:rsidRPr="00595DCA">
        <w:rPr>
          <w:lang w:val="es-ES_tradnl"/>
        </w:rPr>
        <w:t>O bien:</w:t>
      </w:r>
    </w:p>
    <w:p w14:paraId="49A0F2E3" w14:textId="77777777" w:rsidR="00331A82" w:rsidRPr="00595DCA" w:rsidRDefault="00331A82" w:rsidP="00331A82">
      <w:pPr>
        <w:pStyle w:val="Answer"/>
        <w:spacing w:after="0"/>
        <w:ind w:left="0"/>
        <w:jc w:val="both"/>
        <w:rPr>
          <w:lang w:val="es-ES_tradnl"/>
        </w:rPr>
      </w:pPr>
    </w:p>
    <w:p w14:paraId="3E92BA25" w14:textId="77777777" w:rsidR="00331A82" w:rsidRPr="00595DCA" w:rsidRDefault="00A9755C" w:rsidP="00331A82">
      <w:pPr>
        <w:pStyle w:val="Answer"/>
        <w:spacing w:after="0"/>
        <w:ind w:left="0"/>
        <w:jc w:val="both"/>
        <w:rPr>
          <w:lang w:val="es-ES_tradnl"/>
        </w:rPr>
      </w:pPr>
      <w:sdt>
        <w:sdtPr>
          <w:rPr>
            <w:lang w:val="es-ES_tradnl"/>
          </w:rPr>
          <w:id w:val="-114837606"/>
          <w14:checkbox>
            <w14:checked w14:val="1"/>
            <w14:checkedState w14:val="2612" w14:font="MS Gothic"/>
            <w14:uncheckedState w14:val="2610" w14:font="MS Gothic"/>
          </w14:checkbox>
        </w:sdtPr>
        <w:sdtEndPr/>
        <w:sdtContent>
          <w:r w:rsidR="00331A82" w:rsidRPr="00595DCA">
            <w:rPr>
              <w:rFonts w:ascii="MS Gothic" w:eastAsia="MS Gothic" w:hAnsi="MS Gothic" w:hint="eastAsia"/>
              <w:lang w:val="es-ES_tradnl"/>
            </w:rPr>
            <w:t>☒</w:t>
          </w:r>
        </w:sdtContent>
      </w:sdt>
      <w:r w:rsidR="00331A82" w:rsidRPr="00595DCA">
        <w:rPr>
          <w:lang w:val="es-ES_tradnl"/>
        </w:rPr>
        <w:t xml:space="preserve"> La Oficina informa de la disponibilidad de su colección de documentación sobre patentes y, en su caso, sobre modelos de utilidad, como se indica a continuación, incluido un calendario sobre las pruebas y cuándo podrá certificarse la disponibilidad y notificarse a la Oficina Internacional, en virtud de la Regla 34.1.d)i). Asimismo, proporcione detalles sobre la cobertura de su fichero de referencia, tal y como se exige en los párrafos 7 a 13 del Anexo H de las Instrucciones Administrativas, incluyendo los enlaces pertinentes. </w:t>
      </w:r>
    </w:p>
    <w:p w14:paraId="1DFBE274" w14:textId="77777777" w:rsidR="00331A82" w:rsidRPr="00595DCA" w:rsidRDefault="00331A82" w:rsidP="00331A82">
      <w:pPr>
        <w:pStyle w:val="Answer"/>
        <w:spacing w:after="0"/>
        <w:ind w:left="0"/>
        <w:rPr>
          <w:lang w:val="es-ES_tradnl"/>
        </w:rPr>
      </w:pPr>
    </w:p>
    <w:tbl>
      <w:tblPr>
        <w:tblStyle w:val="TableGrid"/>
        <w:tblW w:w="0" w:type="auto"/>
        <w:tblLook w:val="04A0" w:firstRow="1" w:lastRow="0" w:firstColumn="1" w:lastColumn="0" w:noHBand="0" w:noVBand="1"/>
        <w:tblCaption w:val="Documentos de Patentes y Modelos de Utilidad puestos a disposición por el IMP"/>
        <w:tblDescription w:val="Este cuadro muestra los tipos de documentos de patentes y modelos de utilidad puestos a disposición por el IMPI, indicando las fechas de publicación, el formato de los documentos y la disponibilidad de los documentos"/>
      </w:tblPr>
      <w:tblGrid>
        <w:gridCol w:w="2231"/>
        <w:gridCol w:w="1318"/>
        <w:gridCol w:w="1318"/>
        <w:gridCol w:w="2295"/>
        <w:gridCol w:w="1901"/>
      </w:tblGrid>
      <w:tr w:rsidR="00331A82" w:rsidRPr="00595DCA" w14:paraId="651C1AAB" w14:textId="77777777" w:rsidTr="00CF5D13">
        <w:tc>
          <w:tcPr>
            <w:tcW w:w="2231" w:type="dxa"/>
            <w:vMerge w:val="restart"/>
          </w:tcPr>
          <w:bookmarkEnd w:id="7"/>
          <w:p w14:paraId="632B3AC7" w14:textId="77777777" w:rsidR="00331A82" w:rsidRPr="00595DCA" w:rsidRDefault="00331A82" w:rsidP="00CF5D13">
            <w:pPr>
              <w:rPr>
                <w:b/>
                <w:bCs/>
                <w:lang w:val="es-ES_tradnl"/>
              </w:rPr>
            </w:pPr>
            <w:r w:rsidRPr="00595DCA">
              <w:rPr>
                <w:b/>
                <w:lang w:val="es-ES_tradnl"/>
              </w:rPr>
              <w:t xml:space="preserve">Tipo de documento </w:t>
            </w:r>
          </w:p>
        </w:tc>
        <w:tc>
          <w:tcPr>
            <w:tcW w:w="2636" w:type="dxa"/>
            <w:gridSpan w:val="2"/>
          </w:tcPr>
          <w:p w14:paraId="0C7ADECE" w14:textId="77777777" w:rsidR="00331A82" w:rsidRPr="00595DCA" w:rsidRDefault="00331A82" w:rsidP="00CF5D13">
            <w:pPr>
              <w:rPr>
                <w:b/>
                <w:bCs/>
                <w:lang w:val="es-ES_tradnl"/>
              </w:rPr>
            </w:pPr>
            <w:r w:rsidRPr="00595DCA">
              <w:rPr>
                <w:b/>
                <w:lang w:val="es-ES_tradnl"/>
              </w:rPr>
              <w:t>Fechas de publicación</w:t>
            </w:r>
          </w:p>
        </w:tc>
        <w:tc>
          <w:tcPr>
            <w:tcW w:w="2295" w:type="dxa"/>
            <w:vMerge w:val="restart"/>
          </w:tcPr>
          <w:p w14:paraId="60C237A3" w14:textId="77777777" w:rsidR="00331A82" w:rsidRPr="00595DCA" w:rsidRDefault="00331A82" w:rsidP="00CF5D13">
            <w:pPr>
              <w:rPr>
                <w:b/>
                <w:bCs/>
                <w:lang w:val="es-ES_tradnl"/>
              </w:rPr>
            </w:pPr>
            <w:r w:rsidRPr="00595DCA">
              <w:rPr>
                <w:b/>
                <w:lang w:val="es-ES_tradnl"/>
              </w:rPr>
              <w:t>Formato de los documentos</w:t>
            </w:r>
          </w:p>
        </w:tc>
        <w:tc>
          <w:tcPr>
            <w:tcW w:w="1901" w:type="dxa"/>
            <w:vMerge w:val="restart"/>
          </w:tcPr>
          <w:p w14:paraId="15DD47E7" w14:textId="77777777" w:rsidR="00331A82" w:rsidRPr="00595DCA" w:rsidRDefault="00331A82" w:rsidP="00CF5D13">
            <w:pPr>
              <w:rPr>
                <w:b/>
                <w:bCs/>
                <w:lang w:val="es-ES_tradnl"/>
              </w:rPr>
            </w:pPr>
            <w:r w:rsidRPr="00595DCA">
              <w:rPr>
                <w:b/>
                <w:lang w:val="es-ES_tradnl"/>
              </w:rPr>
              <w:t>Disponibilidad y origen de los documentos</w:t>
            </w:r>
          </w:p>
        </w:tc>
      </w:tr>
      <w:tr w:rsidR="00331A82" w:rsidRPr="00595DCA" w14:paraId="4EB096FD" w14:textId="77777777" w:rsidTr="00CF5D13">
        <w:tc>
          <w:tcPr>
            <w:tcW w:w="2231" w:type="dxa"/>
            <w:vMerge/>
          </w:tcPr>
          <w:p w14:paraId="02380358" w14:textId="77777777" w:rsidR="00331A82" w:rsidRPr="00595DCA" w:rsidRDefault="00331A82" w:rsidP="00CF5D13">
            <w:pPr>
              <w:rPr>
                <w:lang w:val="es-ES_tradnl"/>
              </w:rPr>
            </w:pPr>
          </w:p>
        </w:tc>
        <w:tc>
          <w:tcPr>
            <w:tcW w:w="1318" w:type="dxa"/>
          </w:tcPr>
          <w:p w14:paraId="39E4E5B1" w14:textId="77777777" w:rsidR="00331A82" w:rsidRPr="00595DCA" w:rsidRDefault="00331A82" w:rsidP="00CF5D13">
            <w:pPr>
              <w:rPr>
                <w:lang w:val="es-ES_tradnl"/>
              </w:rPr>
            </w:pPr>
            <w:r w:rsidRPr="00595DCA">
              <w:rPr>
                <w:lang w:val="es-ES_tradnl"/>
              </w:rPr>
              <w:t>Desde</w:t>
            </w:r>
          </w:p>
        </w:tc>
        <w:tc>
          <w:tcPr>
            <w:tcW w:w="1318" w:type="dxa"/>
          </w:tcPr>
          <w:p w14:paraId="1D4C7CEA" w14:textId="77777777" w:rsidR="00331A82" w:rsidRPr="00595DCA" w:rsidRDefault="00331A82" w:rsidP="00CF5D13">
            <w:pPr>
              <w:rPr>
                <w:lang w:val="es-ES_tradnl"/>
              </w:rPr>
            </w:pPr>
            <w:r w:rsidRPr="00595DCA">
              <w:rPr>
                <w:lang w:val="es-ES_tradnl"/>
              </w:rPr>
              <w:t>Hasta</w:t>
            </w:r>
          </w:p>
        </w:tc>
        <w:tc>
          <w:tcPr>
            <w:tcW w:w="2295" w:type="dxa"/>
            <w:vMerge/>
          </w:tcPr>
          <w:p w14:paraId="1A60DDAC" w14:textId="77777777" w:rsidR="00331A82" w:rsidRPr="00595DCA" w:rsidRDefault="00331A82" w:rsidP="00CF5D13">
            <w:pPr>
              <w:rPr>
                <w:lang w:val="es-ES_tradnl"/>
              </w:rPr>
            </w:pPr>
          </w:p>
        </w:tc>
        <w:tc>
          <w:tcPr>
            <w:tcW w:w="1901" w:type="dxa"/>
            <w:vMerge/>
          </w:tcPr>
          <w:p w14:paraId="1124DFF6" w14:textId="77777777" w:rsidR="00331A82" w:rsidRPr="00595DCA" w:rsidRDefault="00331A82" w:rsidP="00CF5D13">
            <w:pPr>
              <w:rPr>
                <w:lang w:val="es-ES_tradnl"/>
              </w:rPr>
            </w:pPr>
          </w:p>
        </w:tc>
      </w:tr>
      <w:tr w:rsidR="00331A82" w:rsidRPr="00595DCA" w14:paraId="73D07ED3" w14:textId="77777777" w:rsidTr="00CF5D13">
        <w:sdt>
          <w:sdtPr>
            <w:rPr>
              <w:lang w:val="es-ES_tradnl"/>
            </w:rPr>
            <w:id w:val="93906492"/>
            <w15:repeatingSection/>
          </w:sdtPr>
          <w:sdtEndPr/>
          <w:sdtContent>
            <w:sdt>
              <w:sdtPr>
                <w:rPr>
                  <w:lang w:val="es-ES_tradnl"/>
                </w:rPr>
                <w:id w:val="159594162"/>
                <w:placeholder>
                  <w:docPart w:val="B456F60B82F04424ADE4E67DF52C01EC"/>
                </w:placeholder>
                <w15:repeatingSectionItem/>
              </w:sdtPr>
              <w:sdtEndPr/>
              <w:sdtContent>
                <w:sdt>
                  <w:sdtPr>
                    <w:rPr>
                      <w:lang w:val="es-ES_tradnl"/>
                    </w:rPr>
                    <w:id w:val="-294450074"/>
                    <w:placeholder>
                      <w:docPart w:val="1E74773321294A2FAF69ECB1E7B90EEC"/>
                    </w:placeholder>
                  </w:sdtPr>
                  <w:sdtEndPr/>
                  <w:sdtContent>
                    <w:sdt>
                      <w:sdtPr>
                        <w:rPr>
                          <w:lang w:val="es-ES_tradnl"/>
                        </w:rPr>
                        <w:alias w:val="Elija el tipo de documento"/>
                        <w:tag w:val="Choose type of document"/>
                        <w:id w:val="267597427"/>
                        <w:placeholder>
                          <w:docPart w:val="EF5DA00DBB504A4BAEDCA9C4FC6AAAD0"/>
                        </w:placeholder>
                        <w:dropDownList>
                          <w:listItem w:value="Choose an item."/>
                          <w:listItem w:displayText="Patente nacional o regional publicada" w:value="Published national or regional patent"/>
                          <w:listItem w:displayText="Solicitud publicada de patente nacional o regional" w:value="Published application for national or regional patent"/>
                          <w:listItem w:displayText="Modelo de utilidad emitido" w:value="Utiliy model issued"/>
                          <w:listItem w:displayText="Solicitud de modelo de utilidad" w:value="Utility model application"/>
                        </w:dropDownList>
                      </w:sdtPr>
                      <w:sdtEndPr/>
                      <w:sdtContent>
                        <w:tc>
                          <w:tcPr>
                            <w:tcW w:w="2231" w:type="dxa"/>
                          </w:tcPr>
                          <w:p w14:paraId="679D51B5" w14:textId="77777777" w:rsidR="00331A82" w:rsidRPr="00595DCA" w:rsidRDefault="00331A82" w:rsidP="00CF5D13">
                            <w:pPr>
                              <w:rPr>
                                <w:lang w:val="es-ES_tradnl"/>
                              </w:rPr>
                            </w:pPr>
                            <w:r w:rsidRPr="00595DCA">
                              <w:rPr>
                                <w:lang w:val="es-ES_tradnl"/>
                              </w:rPr>
                              <w:t>Solicitud publicada de patente nacional o regional</w:t>
                            </w:r>
                          </w:p>
                        </w:tc>
                      </w:sdtContent>
                    </w:sdt>
                  </w:sdtContent>
                </w:sdt>
              </w:sdtContent>
            </w:sdt>
          </w:sdtContent>
        </w:sdt>
        <w:sdt>
          <w:sdtPr>
            <w:id w:val="978192166"/>
            <w:placeholder>
              <w:docPart w:val="AE91D4D4FA2D40ACA9F9620C57366F0D"/>
            </w:placeholder>
            <w:date w:fullDate="2001-01-01T00:00:00Z">
              <w:dateFormat w:val="dd/MM/yyyy"/>
              <w:lid w:val="es-ES"/>
              <w:storeMappedDataAs w:val="dateTime"/>
              <w:calendar w:val="gregorian"/>
            </w:date>
          </w:sdtPr>
          <w:sdtEndPr/>
          <w:sdtContent>
            <w:tc>
              <w:tcPr>
                <w:tcW w:w="1318" w:type="dxa"/>
              </w:tcPr>
              <w:p w14:paraId="195478E1" w14:textId="77777777" w:rsidR="00331A82" w:rsidRPr="00595DCA" w:rsidRDefault="00331A82" w:rsidP="00CF5D13">
                <w:pPr>
                  <w:rPr>
                    <w:lang w:val="es-ES_tradnl"/>
                  </w:rPr>
                </w:pPr>
                <w:r w:rsidRPr="00595DCA">
                  <w:t>01/01/2001</w:t>
                </w:r>
              </w:p>
            </w:tc>
          </w:sdtContent>
        </w:sdt>
        <w:sdt>
          <w:sdtPr>
            <w:id w:val="268434937"/>
            <w:placeholder>
              <w:docPart w:val="AE91D4D4FA2D40ACA9F9620C57366F0D"/>
            </w:placeholder>
            <w:date w:fullDate="2025-09-01T00:00:00Z">
              <w:dateFormat w:val="dd/MM/yyyy"/>
              <w:lid w:val="es-ES"/>
              <w:storeMappedDataAs w:val="dateTime"/>
              <w:calendar w:val="gregorian"/>
            </w:date>
          </w:sdtPr>
          <w:sdtEndPr/>
          <w:sdtContent>
            <w:tc>
              <w:tcPr>
                <w:tcW w:w="1318" w:type="dxa"/>
              </w:tcPr>
              <w:p w14:paraId="58AE0755" w14:textId="77777777" w:rsidR="00331A82" w:rsidRPr="00595DCA" w:rsidRDefault="00331A82" w:rsidP="00CF5D13">
                <w:pPr>
                  <w:rPr>
                    <w:lang w:val="es-ES_tradnl"/>
                  </w:rPr>
                </w:pPr>
                <w:r w:rsidRPr="00595DCA">
                  <w:t>01/09/2025</w:t>
                </w:r>
              </w:p>
            </w:tc>
          </w:sdtContent>
        </w:sdt>
        <w:sdt>
          <w:sdtPr>
            <w:rPr>
              <w:lang w:val="es-ES_tradnl"/>
            </w:rPr>
            <w:alias w:val="Formato del documento"/>
            <w:tag w:val="Format of document"/>
            <w:id w:val="905654371"/>
            <w:placeholder>
              <w:docPart w:val="EF5DA00DBB504A4BAEDCA9C4FC6AAAD0"/>
            </w:placeholder>
            <w:dropDownList>
              <w:listItem w:value="Choose an item."/>
              <w:listItem w:displayText="Texto completo (ST.36)" w:value="Full text (ST.36)"/>
              <w:listItem w:displayText="Texto completo (ST.96)" w:value="Full text (ST.96)"/>
              <w:listItem w:displayText="Texto completo (sin formato)" w:value="Full text (plain text)"/>
              <w:listItem w:displayText="PDF (texto)" w:value="PDF (text-based)"/>
              <w:listItem w:displayText="PDF (imagen)" w:value="PDF (image-based)"/>
              <w:listItem w:displayText="Otros textos en línea" w:value="Other online text-based"/>
              <w:listItem w:displayText="Otras imágenes en línea" w:value="Other online image-based"/>
              <w:listItem w:displayText="Papel" w:value="Paper"/>
            </w:dropDownList>
          </w:sdtPr>
          <w:sdtEndPr/>
          <w:sdtContent>
            <w:tc>
              <w:tcPr>
                <w:tcW w:w="2295" w:type="dxa"/>
              </w:tcPr>
              <w:p w14:paraId="275C3F8B" w14:textId="77777777" w:rsidR="00331A82" w:rsidRPr="00595DCA" w:rsidRDefault="00331A82" w:rsidP="00CF5D13">
                <w:pPr>
                  <w:rPr>
                    <w:lang w:val="es-ES_tradnl"/>
                  </w:rPr>
                </w:pPr>
                <w:r w:rsidRPr="00595DCA">
                  <w:rPr>
                    <w:lang w:val="es-ES_tradnl"/>
                  </w:rPr>
                  <w:t>PDF (texto)</w:t>
                </w:r>
              </w:p>
            </w:tc>
          </w:sdtContent>
        </w:sdt>
        <w:sdt>
          <w:sdtPr>
            <w:rPr>
              <w:lang w:val="es-ES_tradnl"/>
            </w:rPr>
            <w:alias w:val="Fuente del documento"/>
            <w:tag w:val="Source of Document"/>
            <w:id w:val="1994527957"/>
            <w:placeholder>
              <w:docPart w:val="EF5DA00DBB504A4BAEDCA9C4FC6AAAD0"/>
            </w:placeholder>
            <w:dropDownList>
              <w:listItem w:value="Choose an item."/>
              <w:listItem w:displayText="Repositorio en línea alojado por esta Oficina" w:value="Online repository hosted by this Office"/>
              <w:listItem w:displayText="Repositorio en línea alojado por otra Oficina" w:value="Online repository hosted by another Office"/>
              <w:listItem w:displayText="Colecciones disponibles previa petición" w:value="Collections available on request"/>
              <w:listItem w:displayText="No disponible" w:value="Not available"/>
            </w:dropDownList>
          </w:sdtPr>
          <w:sdtEndPr/>
          <w:sdtContent>
            <w:tc>
              <w:tcPr>
                <w:tcW w:w="1901" w:type="dxa"/>
              </w:tcPr>
              <w:p w14:paraId="18FE6E0C" w14:textId="77777777" w:rsidR="00331A82" w:rsidRPr="00595DCA" w:rsidRDefault="00331A82" w:rsidP="00CF5D13">
                <w:pPr>
                  <w:rPr>
                    <w:lang w:val="es-ES_tradnl"/>
                  </w:rPr>
                </w:pPr>
                <w:r w:rsidRPr="00595DCA">
                  <w:rPr>
                    <w:lang w:val="es-ES_tradnl"/>
                  </w:rPr>
                  <w:t>Repositorio en línea alojado por esta Oficina</w:t>
                </w:r>
              </w:p>
            </w:tc>
          </w:sdtContent>
        </w:sdt>
      </w:tr>
      <w:tr w:rsidR="00331A82" w:rsidRPr="00595DCA" w14:paraId="262516F4" w14:textId="77777777" w:rsidTr="00CF5D13">
        <w:tc>
          <w:tcPr>
            <w:tcW w:w="2231" w:type="dxa"/>
          </w:tcPr>
          <w:sdt>
            <w:sdtPr>
              <w:rPr>
                <w:lang w:val="es-ES_tradnl"/>
              </w:rPr>
              <w:id w:val="-1907763082"/>
              <w15:repeatingSection/>
            </w:sdtPr>
            <w:sdtEndPr/>
            <w:sdtContent>
              <w:sdt>
                <w:sdtPr>
                  <w:rPr>
                    <w:lang w:val="es-ES_tradnl"/>
                  </w:rPr>
                  <w:id w:val="-2003809980"/>
                  <w:placeholder>
                    <w:docPart w:val="C92A37F3E4CE4A77BE0394C68F329759"/>
                  </w:placeholder>
                  <w15:repeatingSectionItem/>
                </w:sdtPr>
                <w:sdtEndPr/>
                <w:sdtContent>
                  <w:sdt>
                    <w:sdtPr>
                      <w:rPr>
                        <w:lang w:val="es-ES_tradnl"/>
                      </w:rPr>
                      <w:id w:val="201682153"/>
                      <w:placeholder>
                        <w:docPart w:val="7DE86FF99FCF483A945637A08B27BCE2"/>
                      </w:placeholder>
                    </w:sdtPr>
                    <w:sdtEndPr/>
                    <w:sdtContent>
                      <w:sdt>
                        <w:sdtPr>
                          <w:rPr>
                            <w:lang w:val="es-ES_tradnl"/>
                          </w:rPr>
                          <w:alias w:val="Elija el tipo de documento"/>
                          <w:tag w:val="Choose type of document"/>
                          <w:id w:val="-2109643822"/>
                          <w:placeholder>
                            <w:docPart w:val="7272251A6D1847678B82FCB3FB43424B"/>
                          </w:placeholder>
                          <w:dropDownList>
                            <w:listItem w:value="Choose an item."/>
                            <w:listItem w:displayText="Patente nacional o regional publicada" w:value="Published national or regional patent"/>
                            <w:listItem w:displayText="Solicitud publicada de patente nacional o regional" w:value="Published application for national or regional patent"/>
                            <w:listItem w:displayText="Modelo de utilidad emitido" w:value="Utiliy model issued"/>
                            <w:listItem w:displayText="Solicitud de modelo de utilidad" w:value="Utility model application"/>
                          </w:dropDownList>
                        </w:sdtPr>
                        <w:sdtEndPr/>
                        <w:sdtContent>
                          <w:p w14:paraId="752BB2EC" w14:textId="1C0A8D24" w:rsidR="00331A82" w:rsidRPr="00332E56" w:rsidRDefault="00331A82" w:rsidP="00CF5D13">
                            <w:pPr>
                              <w:rPr>
                                <w:lang w:val="es-ES_tradnl"/>
                              </w:rPr>
                            </w:pPr>
                            <w:r w:rsidRPr="00595DCA">
                              <w:rPr>
                                <w:lang w:val="es-ES_tradnl"/>
                              </w:rPr>
                              <w:t>Patente nacional o regional publicada</w:t>
                            </w:r>
                          </w:p>
                        </w:sdtContent>
                      </w:sdt>
                    </w:sdtContent>
                  </w:sdt>
                </w:sdtContent>
              </w:sdt>
            </w:sdtContent>
          </w:sdt>
        </w:tc>
        <w:sdt>
          <w:sdtPr>
            <w:id w:val="-1176261958"/>
            <w:placeholder>
              <w:docPart w:val="5450F89F94484F8482630722A13F2DFB"/>
            </w:placeholder>
            <w:date w:fullDate="2001-01-01T00:00:00Z">
              <w:dateFormat w:val="dd/MM/yyyy"/>
              <w:lid w:val="es-ES"/>
              <w:storeMappedDataAs w:val="dateTime"/>
              <w:calendar w:val="gregorian"/>
            </w:date>
          </w:sdtPr>
          <w:sdtEndPr/>
          <w:sdtContent>
            <w:tc>
              <w:tcPr>
                <w:tcW w:w="1318" w:type="dxa"/>
              </w:tcPr>
              <w:p w14:paraId="287C10DB" w14:textId="77777777" w:rsidR="00331A82" w:rsidRPr="00595DCA" w:rsidRDefault="00331A82" w:rsidP="00CF5D13">
                <w:pPr>
                  <w:rPr>
                    <w:lang w:val="es-ES_tradnl"/>
                  </w:rPr>
                </w:pPr>
                <w:r w:rsidRPr="00595DCA">
                  <w:t>01/01/2001</w:t>
                </w:r>
              </w:p>
            </w:tc>
          </w:sdtContent>
        </w:sdt>
        <w:sdt>
          <w:sdtPr>
            <w:id w:val="299426931"/>
            <w:placeholder>
              <w:docPart w:val="5450F89F94484F8482630722A13F2DFB"/>
            </w:placeholder>
            <w:date w:fullDate="2025-09-01T00:00:00Z">
              <w:dateFormat w:val="dd/MM/yyyy"/>
              <w:lid w:val="es-ES"/>
              <w:storeMappedDataAs w:val="dateTime"/>
              <w:calendar w:val="gregorian"/>
            </w:date>
          </w:sdtPr>
          <w:sdtEndPr/>
          <w:sdtContent>
            <w:tc>
              <w:tcPr>
                <w:tcW w:w="1318" w:type="dxa"/>
              </w:tcPr>
              <w:p w14:paraId="3A9F649F" w14:textId="77777777" w:rsidR="00331A82" w:rsidRPr="00595DCA" w:rsidRDefault="00331A82" w:rsidP="00CF5D13">
                <w:pPr>
                  <w:rPr>
                    <w:lang w:val="es-ES_tradnl"/>
                  </w:rPr>
                </w:pPr>
                <w:r w:rsidRPr="00595DCA">
                  <w:t>01/09/2025</w:t>
                </w:r>
              </w:p>
            </w:tc>
          </w:sdtContent>
        </w:sdt>
        <w:sdt>
          <w:sdtPr>
            <w:rPr>
              <w:lang w:val="es-ES_tradnl"/>
            </w:rPr>
            <w:alias w:val="Formato del documento"/>
            <w:tag w:val="Format of document"/>
            <w:id w:val="-1909999150"/>
            <w:placeholder>
              <w:docPart w:val="7272251A6D1847678B82FCB3FB43424B"/>
            </w:placeholder>
            <w:dropDownList>
              <w:listItem w:value="Choose an item."/>
              <w:listItem w:displayText="Texto completo (ST.36)" w:value="Full text (ST.36)"/>
              <w:listItem w:displayText="Texto completo (ST.96)" w:value="Full text (ST.96)"/>
              <w:listItem w:displayText="Texto completo (sin formato)" w:value="Full text (plain text)"/>
              <w:listItem w:displayText="PDF (texto)" w:value="PDF (text-based)"/>
              <w:listItem w:displayText="PDF (imagen)" w:value="PDF (image-based)"/>
              <w:listItem w:displayText="Otros textos en línea" w:value="Other online text-based"/>
              <w:listItem w:displayText="Otras imágenes en línea" w:value="Other online image-based"/>
              <w:listItem w:displayText="Papel" w:value="Paper"/>
            </w:dropDownList>
          </w:sdtPr>
          <w:sdtEndPr/>
          <w:sdtContent>
            <w:tc>
              <w:tcPr>
                <w:tcW w:w="2295" w:type="dxa"/>
              </w:tcPr>
              <w:p w14:paraId="0FE3F10B" w14:textId="77777777" w:rsidR="00331A82" w:rsidRPr="00595DCA" w:rsidRDefault="00331A82" w:rsidP="00CF5D13">
                <w:pPr>
                  <w:rPr>
                    <w:lang w:val="es-ES_tradnl"/>
                  </w:rPr>
                </w:pPr>
                <w:r w:rsidRPr="00595DCA">
                  <w:rPr>
                    <w:lang w:val="es-ES_tradnl"/>
                  </w:rPr>
                  <w:t>PDF (texto)</w:t>
                </w:r>
              </w:p>
            </w:tc>
          </w:sdtContent>
        </w:sdt>
        <w:sdt>
          <w:sdtPr>
            <w:rPr>
              <w:lang w:val="es-ES_tradnl"/>
            </w:rPr>
            <w:alias w:val="Fuente del documento"/>
            <w:tag w:val="Source of Document"/>
            <w:id w:val="254878955"/>
            <w:placeholder>
              <w:docPart w:val="7272251A6D1847678B82FCB3FB43424B"/>
            </w:placeholder>
            <w:dropDownList>
              <w:listItem w:value="Choose an item."/>
              <w:listItem w:displayText="Repositorio en línea alojado por esta Oficina" w:value="Online repository hosted by this Office"/>
              <w:listItem w:displayText="Repositorio en línea alojado por otra Oficina" w:value="Online repository hosted by another Office"/>
              <w:listItem w:displayText="Colecciones disponibles previa petición" w:value="Collections available on request"/>
              <w:listItem w:displayText="No disponible" w:value="Not available"/>
            </w:dropDownList>
          </w:sdtPr>
          <w:sdtEndPr/>
          <w:sdtContent>
            <w:tc>
              <w:tcPr>
                <w:tcW w:w="1901" w:type="dxa"/>
              </w:tcPr>
              <w:p w14:paraId="36A2FF33" w14:textId="77777777" w:rsidR="00331A82" w:rsidRPr="00595DCA" w:rsidRDefault="00331A82" w:rsidP="00CF5D13">
                <w:pPr>
                  <w:rPr>
                    <w:lang w:val="es-ES_tradnl"/>
                  </w:rPr>
                </w:pPr>
                <w:r w:rsidRPr="00595DCA">
                  <w:rPr>
                    <w:lang w:val="es-ES_tradnl"/>
                  </w:rPr>
                  <w:t>Repositorio en línea alojado por esta Oficina</w:t>
                </w:r>
              </w:p>
            </w:tc>
          </w:sdtContent>
        </w:sdt>
      </w:tr>
      <w:tr w:rsidR="00331A82" w:rsidRPr="00595DCA" w14:paraId="00B9F55E" w14:textId="77777777" w:rsidTr="00CF5D13">
        <w:sdt>
          <w:sdtPr>
            <w:rPr>
              <w:lang w:val="es-ES_tradnl"/>
            </w:rPr>
            <w:id w:val="1635438934"/>
            <w15:repeatingSection/>
          </w:sdtPr>
          <w:sdtEndPr/>
          <w:sdtContent>
            <w:sdt>
              <w:sdtPr>
                <w:rPr>
                  <w:lang w:val="es-ES_tradnl"/>
                </w:rPr>
                <w:id w:val="790165310"/>
                <w:placeholder>
                  <w:docPart w:val="44A1006A60B9461CAE974983C28F7DD3"/>
                </w:placeholder>
                <w15:repeatingSectionItem/>
              </w:sdtPr>
              <w:sdtEndPr/>
              <w:sdtContent>
                <w:sdt>
                  <w:sdtPr>
                    <w:rPr>
                      <w:lang w:val="es-ES_tradnl"/>
                    </w:rPr>
                    <w:id w:val="-2053379774"/>
                    <w:placeholder>
                      <w:docPart w:val="B01A72A664954FB1A72FD662DCF30BF7"/>
                    </w:placeholder>
                  </w:sdtPr>
                  <w:sdtEndPr/>
                  <w:sdtContent>
                    <w:sdt>
                      <w:sdtPr>
                        <w:rPr>
                          <w:lang w:val="es-ES_tradnl"/>
                        </w:rPr>
                        <w:alias w:val="Elija el tipo de documento"/>
                        <w:tag w:val="Choose type of document"/>
                        <w:id w:val="-86851572"/>
                        <w:placeholder>
                          <w:docPart w:val="8662ACF9C1134B049878A452B460B8D3"/>
                        </w:placeholder>
                        <w:dropDownList>
                          <w:listItem w:value="Choose an item."/>
                          <w:listItem w:displayText="Patente nacional o regional publicada" w:value="Published national or regional patent"/>
                          <w:listItem w:displayText="Solicitud publicada de patente nacional o regional" w:value="Published application for national or regional patent"/>
                          <w:listItem w:displayText="Modelo de utilidad emitido" w:value="Utiliy model issued"/>
                          <w:listItem w:displayText="Solicitud de modelo de utilidad" w:value="Utility model application"/>
                        </w:dropDownList>
                      </w:sdtPr>
                      <w:sdtEndPr/>
                      <w:sdtContent>
                        <w:tc>
                          <w:tcPr>
                            <w:tcW w:w="2231" w:type="dxa"/>
                          </w:tcPr>
                          <w:p w14:paraId="77EE56CB" w14:textId="77777777" w:rsidR="00331A82" w:rsidRPr="00595DCA" w:rsidRDefault="00331A82" w:rsidP="00CF5D13">
                            <w:pPr>
                              <w:rPr>
                                <w:lang w:val="es-ES_tradnl"/>
                              </w:rPr>
                            </w:pPr>
                            <w:r w:rsidRPr="00595DCA">
                              <w:rPr>
                                <w:lang w:val="es-ES_tradnl"/>
                              </w:rPr>
                              <w:t>Solicitud de modelo de utilidad</w:t>
                            </w:r>
                          </w:p>
                        </w:tc>
                      </w:sdtContent>
                    </w:sdt>
                  </w:sdtContent>
                </w:sdt>
              </w:sdtContent>
            </w:sdt>
          </w:sdtContent>
        </w:sdt>
        <w:sdt>
          <w:sdtPr>
            <w:id w:val="-234096986"/>
            <w:placeholder>
              <w:docPart w:val="B1C0DC4CF9A344DB9D3DDFE5BA4446F2"/>
            </w:placeholder>
            <w:date w:fullDate="2001-01-01T00:00:00Z">
              <w:dateFormat w:val="dd/MM/yyyy"/>
              <w:lid w:val="es-ES"/>
              <w:storeMappedDataAs w:val="dateTime"/>
              <w:calendar w:val="gregorian"/>
            </w:date>
          </w:sdtPr>
          <w:sdtEndPr/>
          <w:sdtContent>
            <w:tc>
              <w:tcPr>
                <w:tcW w:w="1318" w:type="dxa"/>
              </w:tcPr>
              <w:p w14:paraId="0D84A6E1" w14:textId="77777777" w:rsidR="00331A82" w:rsidRPr="00595DCA" w:rsidRDefault="00331A82" w:rsidP="00CF5D13">
                <w:pPr>
                  <w:rPr>
                    <w:lang w:val="es-ES_tradnl"/>
                  </w:rPr>
                </w:pPr>
                <w:r w:rsidRPr="00595DCA">
                  <w:t>01/01/2001</w:t>
                </w:r>
              </w:p>
            </w:tc>
          </w:sdtContent>
        </w:sdt>
        <w:sdt>
          <w:sdtPr>
            <w:id w:val="-1252889240"/>
            <w:placeholder>
              <w:docPart w:val="B1C0DC4CF9A344DB9D3DDFE5BA4446F2"/>
            </w:placeholder>
            <w:date w:fullDate="2025-09-01T00:00:00Z">
              <w:dateFormat w:val="dd/MM/yyyy"/>
              <w:lid w:val="es-ES"/>
              <w:storeMappedDataAs w:val="dateTime"/>
              <w:calendar w:val="gregorian"/>
            </w:date>
          </w:sdtPr>
          <w:sdtEndPr/>
          <w:sdtContent>
            <w:tc>
              <w:tcPr>
                <w:tcW w:w="1318" w:type="dxa"/>
              </w:tcPr>
              <w:p w14:paraId="3502C667" w14:textId="77777777" w:rsidR="00331A82" w:rsidRPr="00595DCA" w:rsidRDefault="00331A82" w:rsidP="00CF5D13">
                <w:pPr>
                  <w:rPr>
                    <w:lang w:val="es-ES_tradnl"/>
                  </w:rPr>
                </w:pPr>
                <w:r w:rsidRPr="00595DCA">
                  <w:t>01/09/2025</w:t>
                </w:r>
              </w:p>
            </w:tc>
          </w:sdtContent>
        </w:sdt>
        <w:sdt>
          <w:sdtPr>
            <w:rPr>
              <w:lang w:val="es-ES_tradnl"/>
            </w:rPr>
            <w:alias w:val="Formato del documento"/>
            <w:tag w:val="Format of document"/>
            <w:id w:val="2100131819"/>
            <w:placeholder>
              <w:docPart w:val="8662ACF9C1134B049878A452B460B8D3"/>
            </w:placeholder>
            <w:dropDownList>
              <w:listItem w:value="Choose an item."/>
              <w:listItem w:displayText="Texto completo (ST.36)" w:value="Full text (ST.36)"/>
              <w:listItem w:displayText="Texto completo (ST.96)" w:value="Full text (ST.96)"/>
              <w:listItem w:displayText="Texto completo (sin formato)" w:value="Full text (plain text)"/>
              <w:listItem w:displayText="PDF (texto)" w:value="PDF (text-based)"/>
              <w:listItem w:displayText="PDF (imagen)" w:value="PDF (image-based)"/>
              <w:listItem w:displayText="Otros textos en línea" w:value="Other online text-based"/>
              <w:listItem w:displayText="Otras imágenes en línea" w:value="Other online image-based"/>
              <w:listItem w:displayText="Papel" w:value="Paper"/>
            </w:dropDownList>
          </w:sdtPr>
          <w:sdtEndPr/>
          <w:sdtContent>
            <w:tc>
              <w:tcPr>
                <w:tcW w:w="2295" w:type="dxa"/>
              </w:tcPr>
              <w:p w14:paraId="46822DE4" w14:textId="77777777" w:rsidR="00331A82" w:rsidRPr="00595DCA" w:rsidRDefault="00331A82" w:rsidP="00CF5D13">
                <w:pPr>
                  <w:rPr>
                    <w:lang w:val="es-ES_tradnl"/>
                  </w:rPr>
                </w:pPr>
                <w:r w:rsidRPr="00595DCA">
                  <w:rPr>
                    <w:lang w:val="es-ES_tradnl"/>
                  </w:rPr>
                  <w:t>PDF (texto)</w:t>
                </w:r>
              </w:p>
            </w:tc>
          </w:sdtContent>
        </w:sdt>
        <w:sdt>
          <w:sdtPr>
            <w:rPr>
              <w:lang w:val="es-ES_tradnl"/>
            </w:rPr>
            <w:alias w:val="Fuente del documento"/>
            <w:tag w:val="Source of Document"/>
            <w:id w:val="-618998560"/>
            <w:placeholder>
              <w:docPart w:val="8662ACF9C1134B049878A452B460B8D3"/>
            </w:placeholder>
            <w:dropDownList>
              <w:listItem w:value="Choose an item."/>
              <w:listItem w:displayText="Repositorio en línea alojado por esta Oficina" w:value="Online repository hosted by this Office"/>
              <w:listItem w:displayText="Repositorio en línea alojado por otra Oficina" w:value="Online repository hosted by another Office"/>
              <w:listItem w:displayText="Colecciones disponibles previa petición" w:value="Collections available on request"/>
              <w:listItem w:displayText="No disponible" w:value="Not available"/>
            </w:dropDownList>
          </w:sdtPr>
          <w:sdtEndPr/>
          <w:sdtContent>
            <w:tc>
              <w:tcPr>
                <w:tcW w:w="1901" w:type="dxa"/>
              </w:tcPr>
              <w:p w14:paraId="0B2760D1" w14:textId="77777777" w:rsidR="00331A82" w:rsidRPr="00595DCA" w:rsidRDefault="00331A82" w:rsidP="00CF5D13">
                <w:pPr>
                  <w:rPr>
                    <w:lang w:val="es-ES_tradnl"/>
                  </w:rPr>
                </w:pPr>
                <w:r w:rsidRPr="00595DCA">
                  <w:rPr>
                    <w:lang w:val="es-ES_tradnl"/>
                  </w:rPr>
                  <w:t>Repositorio en línea alojado por esta Oficina</w:t>
                </w:r>
              </w:p>
            </w:tc>
          </w:sdtContent>
        </w:sdt>
      </w:tr>
      <w:tr w:rsidR="00331A82" w:rsidRPr="00595DCA" w14:paraId="6F0D3F6D" w14:textId="77777777" w:rsidTr="00CF5D13">
        <w:sdt>
          <w:sdtPr>
            <w:rPr>
              <w:lang w:val="es-ES_tradnl"/>
            </w:rPr>
            <w:id w:val="-633172890"/>
            <w15:repeatingSection/>
          </w:sdtPr>
          <w:sdtEndPr/>
          <w:sdtContent>
            <w:sdt>
              <w:sdtPr>
                <w:rPr>
                  <w:lang w:val="es-ES_tradnl"/>
                </w:rPr>
                <w:id w:val="-2136857278"/>
                <w:placeholder>
                  <w:docPart w:val="C1D17F454A69495F8D6CD450F287394B"/>
                </w:placeholder>
                <w15:repeatingSectionItem/>
              </w:sdtPr>
              <w:sdtEndPr/>
              <w:sdtContent>
                <w:sdt>
                  <w:sdtPr>
                    <w:rPr>
                      <w:lang w:val="es-ES_tradnl"/>
                    </w:rPr>
                    <w:id w:val="-1824345477"/>
                    <w:placeholder>
                      <w:docPart w:val="8FFA2A092EBB47DEA3FFD14377169242"/>
                    </w:placeholder>
                  </w:sdtPr>
                  <w:sdtEndPr/>
                  <w:sdtContent>
                    <w:sdt>
                      <w:sdtPr>
                        <w:rPr>
                          <w:lang w:val="es-ES_tradnl"/>
                        </w:rPr>
                        <w:alias w:val="Elija el tipo de documento"/>
                        <w:tag w:val="Choose type of document"/>
                        <w:id w:val="2138367572"/>
                        <w:placeholder>
                          <w:docPart w:val="4F24FF4BE77346BA91CDF4C2EA1BF05D"/>
                        </w:placeholder>
                        <w:dropDownList>
                          <w:listItem w:value="Choose an item."/>
                          <w:listItem w:displayText="Patente nacional o regional publicada" w:value="Published national or regional patent"/>
                          <w:listItem w:displayText="Solicitud publicada de patente nacional o regional" w:value="Published application for national or regional patent"/>
                          <w:listItem w:displayText="Modelo de utilidad emitido" w:value="Utiliy model issued"/>
                          <w:listItem w:displayText="Solicitud de modelo de utilidad" w:value="Utility model application"/>
                        </w:dropDownList>
                      </w:sdtPr>
                      <w:sdtEndPr/>
                      <w:sdtContent>
                        <w:tc>
                          <w:tcPr>
                            <w:tcW w:w="2231" w:type="dxa"/>
                          </w:tcPr>
                          <w:p w14:paraId="7906B68A" w14:textId="77777777" w:rsidR="00331A82" w:rsidRPr="00595DCA" w:rsidRDefault="00331A82" w:rsidP="00CF5D13">
                            <w:pPr>
                              <w:rPr>
                                <w:lang w:val="es-ES_tradnl"/>
                              </w:rPr>
                            </w:pPr>
                            <w:r w:rsidRPr="00595DCA">
                              <w:rPr>
                                <w:lang w:val="es-ES_tradnl"/>
                              </w:rPr>
                              <w:t>Modelo de utilidad emitido</w:t>
                            </w:r>
                          </w:p>
                        </w:tc>
                      </w:sdtContent>
                    </w:sdt>
                  </w:sdtContent>
                </w:sdt>
              </w:sdtContent>
            </w:sdt>
          </w:sdtContent>
        </w:sdt>
        <w:sdt>
          <w:sdtPr>
            <w:id w:val="-2059311996"/>
            <w:placeholder>
              <w:docPart w:val="CBE7B256E8F9493F803A485058312EB8"/>
            </w:placeholder>
            <w:date w:fullDate="2001-01-01T00:00:00Z">
              <w:dateFormat w:val="dd/MM/yyyy"/>
              <w:lid w:val="es-ES"/>
              <w:storeMappedDataAs w:val="dateTime"/>
              <w:calendar w:val="gregorian"/>
            </w:date>
          </w:sdtPr>
          <w:sdtEndPr/>
          <w:sdtContent>
            <w:tc>
              <w:tcPr>
                <w:tcW w:w="1318" w:type="dxa"/>
              </w:tcPr>
              <w:p w14:paraId="1195D076" w14:textId="77777777" w:rsidR="00331A82" w:rsidRPr="00595DCA" w:rsidRDefault="00331A82" w:rsidP="00CF5D13">
                <w:pPr>
                  <w:rPr>
                    <w:lang w:val="es-ES_tradnl"/>
                  </w:rPr>
                </w:pPr>
                <w:r w:rsidRPr="00595DCA">
                  <w:t>01/01/2001</w:t>
                </w:r>
              </w:p>
            </w:tc>
          </w:sdtContent>
        </w:sdt>
        <w:sdt>
          <w:sdtPr>
            <w:id w:val="2056657055"/>
            <w:placeholder>
              <w:docPart w:val="CBE7B256E8F9493F803A485058312EB8"/>
            </w:placeholder>
            <w:date w:fullDate="2025-09-01T00:00:00Z">
              <w:dateFormat w:val="dd/MM/yyyy"/>
              <w:lid w:val="es-ES"/>
              <w:storeMappedDataAs w:val="dateTime"/>
              <w:calendar w:val="gregorian"/>
            </w:date>
          </w:sdtPr>
          <w:sdtEndPr/>
          <w:sdtContent>
            <w:tc>
              <w:tcPr>
                <w:tcW w:w="1318" w:type="dxa"/>
              </w:tcPr>
              <w:p w14:paraId="3B6AF557" w14:textId="77777777" w:rsidR="00331A82" w:rsidRPr="00595DCA" w:rsidRDefault="00331A82" w:rsidP="00CF5D13">
                <w:pPr>
                  <w:rPr>
                    <w:lang w:val="es-ES_tradnl"/>
                  </w:rPr>
                </w:pPr>
                <w:r w:rsidRPr="00595DCA">
                  <w:t>01/09/2025</w:t>
                </w:r>
              </w:p>
            </w:tc>
          </w:sdtContent>
        </w:sdt>
        <w:sdt>
          <w:sdtPr>
            <w:rPr>
              <w:lang w:val="es-ES_tradnl"/>
            </w:rPr>
            <w:alias w:val="Formato del documento"/>
            <w:tag w:val="Format of document"/>
            <w:id w:val="-362130261"/>
            <w:placeholder>
              <w:docPart w:val="4F24FF4BE77346BA91CDF4C2EA1BF05D"/>
            </w:placeholder>
            <w:dropDownList>
              <w:listItem w:value="Choose an item."/>
              <w:listItem w:displayText="Texto completo (ST.36)" w:value="Full text (ST.36)"/>
              <w:listItem w:displayText="Texto completo (ST.96)" w:value="Full text (ST.96)"/>
              <w:listItem w:displayText="Texto completo (sin formato)" w:value="Full text (plain text)"/>
              <w:listItem w:displayText="PDF (texto)" w:value="PDF (text-based)"/>
              <w:listItem w:displayText="PDF (imagen)" w:value="PDF (image-based)"/>
              <w:listItem w:displayText="Otros textos en línea" w:value="Other online text-based"/>
              <w:listItem w:displayText="Otras imágenes en línea" w:value="Other online image-based"/>
              <w:listItem w:displayText="Papel" w:value="Paper"/>
            </w:dropDownList>
          </w:sdtPr>
          <w:sdtEndPr/>
          <w:sdtContent>
            <w:tc>
              <w:tcPr>
                <w:tcW w:w="2295" w:type="dxa"/>
              </w:tcPr>
              <w:p w14:paraId="1152E679" w14:textId="77777777" w:rsidR="00331A82" w:rsidRPr="00595DCA" w:rsidRDefault="00331A82" w:rsidP="00CF5D13">
                <w:pPr>
                  <w:rPr>
                    <w:lang w:val="es-ES_tradnl"/>
                  </w:rPr>
                </w:pPr>
                <w:r w:rsidRPr="00595DCA">
                  <w:rPr>
                    <w:lang w:val="es-ES_tradnl"/>
                  </w:rPr>
                  <w:t>PDF (texto)</w:t>
                </w:r>
              </w:p>
            </w:tc>
          </w:sdtContent>
        </w:sdt>
        <w:sdt>
          <w:sdtPr>
            <w:rPr>
              <w:lang w:val="es-ES_tradnl"/>
            </w:rPr>
            <w:alias w:val="Fuente del documento"/>
            <w:tag w:val="Source of Document"/>
            <w:id w:val="-1940674367"/>
            <w:placeholder>
              <w:docPart w:val="4F24FF4BE77346BA91CDF4C2EA1BF05D"/>
            </w:placeholder>
            <w:dropDownList>
              <w:listItem w:value="Choose an item."/>
              <w:listItem w:displayText="Repositorio en línea alojado por esta Oficina" w:value="Online repository hosted by this Office"/>
              <w:listItem w:displayText="Repositorio en línea alojado por otra Oficina" w:value="Online repository hosted by another Office"/>
              <w:listItem w:displayText="Colecciones disponibles previa petición" w:value="Collections available on request"/>
              <w:listItem w:displayText="No disponible" w:value="Not available"/>
            </w:dropDownList>
          </w:sdtPr>
          <w:sdtEndPr/>
          <w:sdtContent>
            <w:tc>
              <w:tcPr>
                <w:tcW w:w="1901" w:type="dxa"/>
              </w:tcPr>
              <w:p w14:paraId="34605798" w14:textId="77777777" w:rsidR="00331A82" w:rsidRPr="00595DCA" w:rsidRDefault="00331A82" w:rsidP="00CF5D13">
                <w:pPr>
                  <w:rPr>
                    <w:lang w:val="es-ES_tradnl"/>
                  </w:rPr>
                </w:pPr>
                <w:r w:rsidRPr="00595DCA">
                  <w:rPr>
                    <w:lang w:val="es-ES_tradnl"/>
                  </w:rPr>
                  <w:t>Repositorio en línea alojado por esta Oficina</w:t>
                </w:r>
              </w:p>
            </w:tc>
          </w:sdtContent>
        </w:sdt>
      </w:tr>
    </w:tbl>
    <w:p w14:paraId="6A47374D" w14:textId="77777777" w:rsidR="00331A82" w:rsidRPr="00595DCA" w:rsidRDefault="00331A82" w:rsidP="00331A82">
      <w:pPr>
        <w:jc w:val="both"/>
        <w:rPr>
          <w:lang w:val="es-ES_tradnl"/>
        </w:rPr>
      </w:pPr>
    </w:p>
    <w:p w14:paraId="492164CE" w14:textId="77777777" w:rsidR="00331A82" w:rsidRPr="00595DCA" w:rsidRDefault="00331A82" w:rsidP="00331A82">
      <w:pPr>
        <w:pStyle w:val="Answer"/>
        <w:spacing w:after="0"/>
        <w:ind w:left="0"/>
        <w:jc w:val="both"/>
        <w:rPr>
          <w:lang w:val="es-ES_tradnl"/>
        </w:rPr>
      </w:pPr>
      <w:r w:rsidRPr="00595DCA">
        <w:rPr>
          <w:lang w:val="es-ES_tradnl"/>
        </w:rPr>
        <w:t>Actualmente el IMPI no cuenta con la totalidad de los textos de las solicitudes en XML actualmente sólo se tiene disponible en ese formato el resumen en español e inglés. La descripción y las reivindicaciones están en formato PDF.</w:t>
      </w:r>
    </w:p>
    <w:p w14:paraId="212518E4" w14:textId="77777777" w:rsidR="00331A82" w:rsidRDefault="00331A82" w:rsidP="00331A82">
      <w:pPr>
        <w:jc w:val="both"/>
        <w:rPr>
          <w:lang w:val="es-ES_tradnl"/>
        </w:rPr>
      </w:pPr>
    </w:p>
    <w:p w14:paraId="2738A571" w14:textId="77777777" w:rsidR="00331A82" w:rsidRPr="00595DCA" w:rsidRDefault="00331A82" w:rsidP="00331A82">
      <w:pPr>
        <w:jc w:val="both"/>
        <w:rPr>
          <w:lang w:val="es-ES_tradnl"/>
        </w:rPr>
      </w:pPr>
      <w:r w:rsidRPr="00595DCA">
        <w:rPr>
          <w:lang w:val="es-ES_tradnl"/>
        </w:rPr>
        <w:t>El Instituto Mexicano de la Propiedad Industrial (IMPI) declara que cumplirá al momento de su designación como Administración encargada de la Búsqueda Internacional (ISA) y como Administración encargada del Examen Preliminar Internacional (IPEA) con la documentación mínima señalada en la Regla 34, de conformidad con los requisitos establecidos en las Instrucciones Administrativas aplicables. Asimismo, pondrá a</w:t>
      </w:r>
      <w:r w:rsidRPr="00595DCA">
        <w:t xml:space="preserve"> disposición sus documentos de patentes publicados a partir del 1 de enero de 2026 para su descarga masiva en los formatos previstos para tal fin (XML o TXT).</w:t>
      </w:r>
    </w:p>
    <w:p w14:paraId="432FA5E2" w14:textId="77777777" w:rsidR="00331A82" w:rsidRPr="00595DCA" w:rsidRDefault="00331A82" w:rsidP="00331A82">
      <w:pPr>
        <w:jc w:val="both"/>
        <w:rPr>
          <w:lang w:val="es-ES_tradnl"/>
        </w:rPr>
      </w:pPr>
    </w:p>
    <w:p w14:paraId="15FBB408" w14:textId="77777777" w:rsidR="00331A82" w:rsidRPr="00595DCA" w:rsidRDefault="00331A82" w:rsidP="00331A82">
      <w:pPr>
        <w:jc w:val="both"/>
        <w:rPr>
          <w:lang w:val="es-ES_tradnl"/>
        </w:rPr>
      </w:pPr>
      <w:r w:rsidRPr="00595DCA">
        <w:rPr>
          <w:lang w:val="es-ES_tradnl"/>
        </w:rPr>
        <w:t>Asimismo, el IMPI certifica que dicha documentación mínima será puesta a disposición respecto de toda patente concedida y toda solicitud de patente publicada por este Instituto y, en su caso, por su antecesor jurídico, atendiendo en todo momento a las disposiciones normativas vigentes y a las obligaciones correspondientes a las ISA/IPEA.</w:t>
      </w:r>
    </w:p>
    <w:p w14:paraId="74366414" w14:textId="77777777" w:rsidR="00331A82" w:rsidRPr="00595DCA" w:rsidRDefault="00331A82" w:rsidP="00331A82">
      <w:pPr>
        <w:jc w:val="both"/>
        <w:rPr>
          <w:lang w:val="es-ES_tradnl"/>
        </w:rPr>
      </w:pPr>
    </w:p>
    <w:p w14:paraId="65AA56EA" w14:textId="77777777" w:rsidR="00331A82" w:rsidRPr="00595DCA" w:rsidRDefault="00331A82" w:rsidP="00331A82">
      <w:pPr>
        <w:jc w:val="both"/>
        <w:rPr>
          <w:lang w:val="es-ES_tradnl"/>
        </w:rPr>
      </w:pPr>
      <w:r w:rsidRPr="00595DCA">
        <w:rPr>
          <w:lang w:val="es-ES_tradnl"/>
        </w:rPr>
        <w:t>El IMPI dará acceso a la OMPI y a la OEPM, a fin de probar y verificar la accesibilidad y el estado de su archivo de ISA/IPEA previo a su designación.</w:t>
      </w:r>
    </w:p>
    <w:p w14:paraId="52D52E64" w14:textId="77777777" w:rsidR="00331A82" w:rsidRPr="00595DCA" w:rsidRDefault="00331A82" w:rsidP="00331A82">
      <w:pPr>
        <w:rPr>
          <w:lang w:val="es-ES_tradnl"/>
        </w:rPr>
      </w:pPr>
    </w:p>
    <w:p w14:paraId="576194EF" w14:textId="77777777" w:rsidR="00331A82" w:rsidRPr="00595DCA" w:rsidRDefault="00331A82" w:rsidP="00331A82">
      <w:pPr>
        <w:pStyle w:val="SectionHeading"/>
        <w:spacing w:before="0" w:after="0" w:line="240" w:lineRule="auto"/>
        <w:rPr>
          <w:lang w:val="es-ES_tradnl"/>
        </w:rPr>
      </w:pPr>
      <w:r w:rsidRPr="00595DCA">
        <w:rPr>
          <w:lang w:val="es-ES_tradnl"/>
        </w:rPr>
        <w:t>2.3. Acceso a la documentación mínima</w:t>
      </w:r>
    </w:p>
    <w:p w14:paraId="559B7029" w14:textId="77777777" w:rsidR="00331A82" w:rsidRPr="00595DCA" w:rsidRDefault="00331A82" w:rsidP="00331A82">
      <w:pPr>
        <w:pStyle w:val="RuleQuote"/>
        <w:spacing w:after="0"/>
        <w:rPr>
          <w:lang w:val="es-ES_tradnl"/>
        </w:rPr>
      </w:pPr>
    </w:p>
    <w:p w14:paraId="472ABED8" w14:textId="77777777" w:rsidR="00331A82" w:rsidRPr="00595DCA" w:rsidRDefault="00331A82" w:rsidP="00331A82">
      <w:pPr>
        <w:pStyle w:val="RuleQuote"/>
        <w:spacing w:after="0"/>
        <w:rPr>
          <w:szCs w:val="24"/>
          <w:lang w:val="es-ES_tradnl"/>
        </w:rPr>
      </w:pPr>
      <w:r w:rsidRPr="00595DCA">
        <w:rPr>
          <w:lang w:val="es-ES_tradnl"/>
        </w:rPr>
        <w:t>Reglas 36.1.iii) y 63.1.iii): Esa Oficina u organización deberá poseer, por lo menos, la documentación mínima mencionada en la Regla 34, o mantener acceso a esa documentación mínima, con fines de búsqueda de conformidad con las Instrucciones Administrativas.</w:t>
      </w:r>
    </w:p>
    <w:p w14:paraId="4DE8382A" w14:textId="77777777" w:rsidR="00331A82" w:rsidRPr="00595DCA" w:rsidRDefault="00331A82" w:rsidP="00331A82">
      <w:pPr>
        <w:pStyle w:val="Question"/>
        <w:spacing w:after="0"/>
        <w:rPr>
          <w:lang w:val="es-ES_tradnl"/>
        </w:rPr>
      </w:pPr>
    </w:p>
    <w:p w14:paraId="60BF78F9" w14:textId="77777777" w:rsidR="00331A82" w:rsidRPr="00595DCA" w:rsidRDefault="00331A82" w:rsidP="00331A82">
      <w:pPr>
        <w:pStyle w:val="Question"/>
        <w:spacing w:after="0"/>
        <w:rPr>
          <w:lang w:val="es-ES_tradnl"/>
        </w:rPr>
      </w:pPr>
      <w:r w:rsidRPr="00595DCA">
        <w:rPr>
          <w:lang w:val="es-ES_tradnl"/>
        </w:rPr>
        <w:t>a)</w:t>
      </w:r>
      <w:r w:rsidRPr="00595DCA">
        <w:rPr>
          <w:lang w:val="es-ES_tradnl"/>
        </w:rPr>
        <w:tab/>
        <w:t>Acceso a la documentación mínima a los fines de la búsqueda:</w:t>
      </w:r>
    </w:p>
    <w:p w14:paraId="2C90E0DE" w14:textId="77777777" w:rsidR="00331A82" w:rsidRDefault="00331A82" w:rsidP="00331A82">
      <w:pPr>
        <w:jc w:val="both"/>
        <w:rPr>
          <w:lang w:val="es-ES_tradnl"/>
        </w:rPr>
      </w:pPr>
    </w:p>
    <w:p w14:paraId="4D0F7A84" w14:textId="77777777" w:rsidR="00331A82" w:rsidRPr="00595DCA" w:rsidRDefault="00331A82" w:rsidP="00331A82">
      <w:pPr>
        <w:pStyle w:val="Question"/>
        <w:spacing w:after="0"/>
        <w:jc w:val="both"/>
        <w:rPr>
          <w:b w:val="0"/>
          <w:bCs w:val="0"/>
          <w:lang w:val="es-ES_tradnl"/>
        </w:rPr>
      </w:pPr>
      <w:r w:rsidRPr="00595DCA">
        <w:rPr>
          <w:b w:val="0"/>
          <w:bCs w:val="0"/>
          <w:lang w:val="es-ES_tradnl"/>
        </w:rPr>
        <w:t xml:space="preserve">Actualmente, el IMPI tiene acceso a las bases de datos más importantes que recogen el mayor acervo de la literatura sobre patentes y no-patente con fines de búsqueda. Entre estas bases de datos están las de libre acceso como </w:t>
      </w:r>
      <w:proofErr w:type="spellStart"/>
      <w:r w:rsidRPr="00595DCA">
        <w:rPr>
          <w:b w:val="0"/>
          <w:bCs w:val="0"/>
          <w:lang w:val="es-ES_tradnl"/>
        </w:rPr>
        <w:t>Patentscope</w:t>
      </w:r>
      <w:proofErr w:type="spellEnd"/>
      <w:r w:rsidRPr="00595DCA">
        <w:rPr>
          <w:b w:val="0"/>
          <w:bCs w:val="0"/>
          <w:lang w:val="es-ES_tradnl"/>
        </w:rPr>
        <w:t xml:space="preserve">, </w:t>
      </w:r>
      <w:proofErr w:type="spellStart"/>
      <w:r w:rsidRPr="00595DCA">
        <w:rPr>
          <w:b w:val="0"/>
          <w:bCs w:val="0"/>
          <w:lang w:val="es-ES_tradnl"/>
        </w:rPr>
        <w:t>Espacenet</w:t>
      </w:r>
      <w:proofErr w:type="spellEnd"/>
      <w:r w:rsidRPr="00595DCA">
        <w:rPr>
          <w:b w:val="0"/>
          <w:bCs w:val="0"/>
          <w:lang w:val="es-ES_tradnl"/>
        </w:rPr>
        <w:t xml:space="preserve">, </w:t>
      </w:r>
      <w:proofErr w:type="spellStart"/>
      <w:r w:rsidRPr="00595DCA">
        <w:rPr>
          <w:b w:val="0"/>
          <w:bCs w:val="0"/>
          <w:lang w:val="es-ES_tradnl"/>
        </w:rPr>
        <w:t>Latipat</w:t>
      </w:r>
      <w:proofErr w:type="spellEnd"/>
      <w:r w:rsidRPr="00595DCA">
        <w:rPr>
          <w:b w:val="0"/>
          <w:bCs w:val="0"/>
          <w:lang w:val="es-ES_tradnl"/>
        </w:rPr>
        <w:t xml:space="preserve"> y las colecciones disponibles en las diferentes páginas web de las oficinas de P.I. (como las de la Oficina Española de Patentes y Marcas (OEPM), la Oficina de Patentes y Marcas de los Estados Unidos de América (USPTO), entre otras).</w:t>
      </w:r>
    </w:p>
    <w:p w14:paraId="65DBF9EF" w14:textId="77777777" w:rsidR="00331A82" w:rsidRDefault="00331A82" w:rsidP="00331A82">
      <w:pPr>
        <w:jc w:val="both"/>
        <w:rPr>
          <w:lang w:val="es-ES_tradnl"/>
        </w:rPr>
      </w:pPr>
    </w:p>
    <w:p w14:paraId="6086C14B" w14:textId="75478376" w:rsidR="00331A82" w:rsidRPr="00595DCA" w:rsidRDefault="00331A82" w:rsidP="000C6E93">
      <w:pPr>
        <w:pStyle w:val="Answer"/>
        <w:spacing w:after="0"/>
        <w:ind w:left="0"/>
        <w:jc w:val="both"/>
        <w:rPr>
          <w:lang w:val="es-ES_tradnl"/>
        </w:rPr>
      </w:pPr>
      <w:r w:rsidRPr="00595DCA">
        <w:rPr>
          <w:lang w:val="es-ES_tradnl"/>
        </w:rPr>
        <w:t xml:space="preserve">Asimismo, el IMPI también tiene acceso a bases de datos por suscripción diseñadas específicamente para la recopilación y puesta a disposición de documentación y literatura sobre patentes y no patentes, como CLARIVATE con los sistemas de búsqueda de </w:t>
      </w:r>
      <w:proofErr w:type="spellStart"/>
      <w:r w:rsidRPr="00595DCA">
        <w:rPr>
          <w:lang w:val="es-ES_tradnl"/>
        </w:rPr>
        <w:t>Derwent</w:t>
      </w:r>
      <w:proofErr w:type="spellEnd"/>
      <w:r w:rsidRPr="00595DCA">
        <w:rPr>
          <w:lang w:val="es-ES_tradnl"/>
        </w:rPr>
        <w:t xml:space="preserve"> </w:t>
      </w:r>
      <w:proofErr w:type="spellStart"/>
      <w:r w:rsidRPr="00595DCA">
        <w:rPr>
          <w:lang w:val="es-ES_tradnl"/>
        </w:rPr>
        <w:t>Innovation</w:t>
      </w:r>
      <w:proofErr w:type="spellEnd"/>
      <w:r w:rsidRPr="00595DCA">
        <w:rPr>
          <w:lang w:val="es-ES_tradnl"/>
        </w:rPr>
        <w:t xml:space="preserve"> y </w:t>
      </w:r>
      <w:proofErr w:type="spellStart"/>
      <w:r w:rsidRPr="00595DCA">
        <w:rPr>
          <w:lang w:val="es-ES_tradnl"/>
        </w:rPr>
        <w:t>Derwent</w:t>
      </w:r>
      <w:proofErr w:type="spellEnd"/>
      <w:r w:rsidRPr="00595DCA">
        <w:rPr>
          <w:lang w:val="es-ES_tradnl"/>
        </w:rPr>
        <w:t>/</w:t>
      </w:r>
      <w:proofErr w:type="spellStart"/>
      <w:r w:rsidRPr="00595DCA">
        <w:rPr>
          <w:lang w:val="es-ES_tradnl"/>
        </w:rPr>
        <w:t>Geneseq</w:t>
      </w:r>
      <w:proofErr w:type="spellEnd"/>
      <w:r w:rsidRPr="00595DCA">
        <w:rPr>
          <w:lang w:val="es-ES_tradnl"/>
        </w:rPr>
        <w:t xml:space="preserve"> y </w:t>
      </w:r>
      <w:r>
        <w:rPr>
          <w:lang w:val="es-ES_tradnl"/>
        </w:rPr>
        <w:t>ANSERA-</w:t>
      </w:r>
      <w:proofErr w:type="spellStart"/>
      <w:r>
        <w:rPr>
          <w:lang w:val="es-ES_tradnl"/>
        </w:rPr>
        <w:t>based</w:t>
      </w:r>
      <w:proofErr w:type="spellEnd"/>
      <w:r>
        <w:rPr>
          <w:lang w:val="es-ES_tradnl"/>
        </w:rPr>
        <w:t xml:space="preserve"> </w:t>
      </w:r>
      <w:proofErr w:type="spellStart"/>
      <w:r>
        <w:rPr>
          <w:lang w:val="es-ES_tradnl"/>
        </w:rPr>
        <w:t>Search</w:t>
      </w:r>
      <w:proofErr w:type="spellEnd"/>
      <w:r w:rsidRPr="00595DCA">
        <w:rPr>
          <w:lang w:val="es-ES_tradnl"/>
        </w:rPr>
        <w:t xml:space="preserve"> como parte de la colaboración con la EPO</w:t>
      </w:r>
    </w:p>
    <w:p w14:paraId="2CB24731" w14:textId="77777777" w:rsidR="00331A82" w:rsidRPr="00595DCA" w:rsidRDefault="00331A82" w:rsidP="00331A82">
      <w:pPr>
        <w:pStyle w:val="Answer"/>
        <w:spacing w:after="0"/>
        <w:ind w:left="0"/>
        <w:jc w:val="both"/>
        <w:rPr>
          <w:lang w:val="es-ES_tradnl"/>
        </w:rPr>
      </w:pPr>
    </w:p>
    <w:p w14:paraId="20C12A45" w14:textId="538B361C" w:rsidR="00331A82" w:rsidRPr="000C6E93" w:rsidRDefault="00331A82" w:rsidP="000C6E93">
      <w:pPr>
        <w:pStyle w:val="Question"/>
        <w:spacing w:after="0"/>
        <w:rPr>
          <w:lang w:val="es-ES_tradnl"/>
        </w:rPr>
      </w:pPr>
      <w:r w:rsidRPr="00595DCA">
        <w:rPr>
          <w:lang w:val="es-ES_tradnl"/>
        </w:rPr>
        <w:t>b)</w:t>
      </w:r>
      <w:r w:rsidRPr="00595DCA">
        <w:rPr>
          <w:lang w:val="es-ES_tradnl"/>
        </w:rPr>
        <w:tab/>
        <w:t>Sistemas de búsqueda:</w:t>
      </w:r>
    </w:p>
    <w:p w14:paraId="2D7F53BD" w14:textId="77777777" w:rsidR="00331A82" w:rsidRPr="00595DCA" w:rsidRDefault="00331A82" w:rsidP="00331A82">
      <w:pPr>
        <w:pStyle w:val="Answer"/>
        <w:spacing w:after="0"/>
        <w:ind w:left="0"/>
        <w:jc w:val="both"/>
        <w:rPr>
          <w:lang w:val="es-ES_tradnl"/>
        </w:rPr>
      </w:pPr>
    </w:p>
    <w:p w14:paraId="08BC35C2" w14:textId="77777777" w:rsidR="00331A82" w:rsidRDefault="00331A82" w:rsidP="00331A82">
      <w:pPr>
        <w:pStyle w:val="Answer"/>
        <w:spacing w:after="0"/>
        <w:ind w:left="0"/>
        <w:jc w:val="both"/>
        <w:rPr>
          <w:lang w:val="es-ES_tradnl"/>
        </w:rPr>
      </w:pPr>
      <w:r>
        <w:rPr>
          <w:lang w:val="es-ES_tradnl"/>
        </w:rPr>
        <w:t>E</w:t>
      </w:r>
      <w:r w:rsidRPr="00595DCA">
        <w:rPr>
          <w:lang w:val="es-ES_tradnl"/>
        </w:rPr>
        <w:t xml:space="preserve">l IMPI también tiene acceso a bases de datos por suscripción diseñadas específicamente para la recopilación y puesta a disposición de documentación y literatura sobre patentes y no patentes, como CLARIVATE con los sistemas de búsqueda de </w:t>
      </w:r>
      <w:proofErr w:type="spellStart"/>
      <w:r w:rsidRPr="00595DCA">
        <w:rPr>
          <w:lang w:val="es-ES_tradnl"/>
        </w:rPr>
        <w:t>Derwent</w:t>
      </w:r>
      <w:proofErr w:type="spellEnd"/>
      <w:r w:rsidRPr="00595DCA">
        <w:rPr>
          <w:lang w:val="es-ES_tradnl"/>
        </w:rPr>
        <w:t xml:space="preserve"> </w:t>
      </w:r>
      <w:proofErr w:type="spellStart"/>
      <w:r w:rsidRPr="00595DCA">
        <w:rPr>
          <w:lang w:val="es-ES_tradnl"/>
        </w:rPr>
        <w:t>Innovation</w:t>
      </w:r>
      <w:proofErr w:type="spellEnd"/>
      <w:r w:rsidRPr="00595DCA">
        <w:rPr>
          <w:lang w:val="es-ES_tradnl"/>
        </w:rPr>
        <w:t xml:space="preserve"> y </w:t>
      </w:r>
      <w:proofErr w:type="spellStart"/>
      <w:r w:rsidRPr="00595DCA">
        <w:rPr>
          <w:lang w:val="es-ES_tradnl"/>
        </w:rPr>
        <w:t>Derwent</w:t>
      </w:r>
      <w:proofErr w:type="spellEnd"/>
      <w:r w:rsidRPr="00595DCA">
        <w:rPr>
          <w:lang w:val="es-ES_tradnl"/>
        </w:rPr>
        <w:t>/</w:t>
      </w:r>
      <w:proofErr w:type="spellStart"/>
      <w:r w:rsidRPr="00595DCA">
        <w:rPr>
          <w:lang w:val="es-ES_tradnl"/>
        </w:rPr>
        <w:t>Geneseq</w:t>
      </w:r>
      <w:proofErr w:type="spellEnd"/>
      <w:r w:rsidRPr="00595DCA">
        <w:rPr>
          <w:lang w:val="es-ES_tradnl"/>
        </w:rPr>
        <w:t xml:space="preserve"> y </w:t>
      </w:r>
      <w:r>
        <w:rPr>
          <w:lang w:val="es-ES_tradnl"/>
        </w:rPr>
        <w:t>ANSERA-</w:t>
      </w:r>
      <w:proofErr w:type="spellStart"/>
      <w:r>
        <w:rPr>
          <w:lang w:val="es-ES_tradnl"/>
        </w:rPr>
        <w:t>based</w:t>
      </w:r>
      <w:proofErr w:type="spellEnd"/>
      <w:r>
        <w:rPr>
          <w:lang w:val="es-ES_tradnl"/>
        </w:rPr>
        <w:t xml:space="preserve"> </w:t>
      </w:r>
      <w:proofErr w:type="spellStart"/>
      <w:r>
        <w:rPr>
          <w:lang w:val="es-ES_tradnl"/>
        </w:rPr>
        <w:t>Search</w:t>
      </w:r>
      <w:proofErr w:type="spellEnd"/>
      <w:r w:rsidRPr="00595DCA">
        <w:rPr>
          <w:lang w:val="es-ES_tradnl"/>
        </w:rPr>
        <w:t xml:space="preserve"> como parte de la colaboración con la EPO</w:t>
      </w:r>
    </w:p>
    <w:p w14:paraId="3766FA84" w14:textId="77777777" w:rsidR="00331A82" w:rsidRPr="00595DCA" w:rsidRDefault="00331A82" w:rsidP="00331A82">
      <w:pPr>
        <w:pStyle w:val="Answer"/>
        <w:spacing w:after="0"/>
        <w:ind w:left="0"/>
        <w:jc w:val="both"/>
        <w:rPr>
          <w:lang w:val="es-ES_tradnl"/>
        </w:rPr>
      </w:pPr>
      <w:r w:rsidRPr="00595DCA">
        <w:rPr>
          <w:lang w:val="es-ES_tradnl"/>
        </w:rPr>
        <w:t>.</w:t>
      </w:r>
    </w:p>
    <w:p w14:paraId="04A565C9" w14:textId="77777777" w:rsidR="00331A82" w:rsidRPr="00595DCA" w:rsidRDefault="00331A82" w:rsidP="00331A82">
      <w:pPr>
        <w:jc w:val="both"/>
        <w:rPr>
          <w:lang w:val="es-ES_tradnl"/>
        </w:rPr>
      </w:pPr>
      <w:r w:rsidRPr="00595DCA">
        <w:rPr>
          <w:lang w:val="es-ES_tradnl"/>
        </w:rPr>
        <w:t>El Instituto Mexicano de la Propiedad Industrial (IMPI) declara que previo a su designación como Administración encargada de la Búsqueda Internacional (ISA) y como Administración encargada del Examen Preliminar Internacional (IPEA) demostrará que las herramientas de búsqueda utilizadas permiten realizar una búsqueda completa sobre las patentes y la literatura no patente en la documentación mínima del PCT.</w:t>
      </w:r>
    </w:p>
    <w:p w14:paraId="583E7C9A" w14:textId="77777777" w:rsidR="00331A82" w:rsidRPr="00595DCA" w:rsidRDefault="00331A82" w:rsidP="00331A82">
      <w:pPr>
        <w:jc w:val="both"/>
        <w:rPr>
          <w:lang w:val="es-ES_tradnl"/>
        </w:rPr>
      </w:pPr>
    </w:p>
    <w:p w14:paraId="0C613281" w14:textId="1EA7ADE9" w:rsidR="00331A82" w:rsidRPr="00595DCA" w:rsidRDefault="00331A82" w:rsidP="000C6E93">
      <w:pPr>
        <w:jc w:val="both"/>
        <w:rPr>
          <w:lang w:val="es-ES_tradnl"/>
        </w:rPr>
      </w:pPr>
      <w:r w:rsidRPr="00595DCA">
        <w:rPr>
          <w:lang w:val="es-ES_tradnl"/>
        </w:rPr>
        <w:t>El IMPI dará acceso a la OMPI y a la OEPM, a fin de probar y verificar previo a su designación como ISA/IPEA, que las herramientas de búsqueda que usan los examinadores del IMPI permiten realizar búsquedas internacionales conforme a los estándares del PCT.</w:t>
      </w:r>
    </w:p>
    <w:p w14:paraId="07DB3C4F" w14:textId="77777777" w:rsidR="00331A82" w:rsidRPr="00595DCA" w:rsidRDefault="00331A82" w:rsidP="00331A82">
      <w:pPr>
        <w:pStyle w:val="SectionHeading"/>
        <w:spacing w:before="0" w:after="0" w:line="240" w:lineRule="auto"/>
        <w:rPr>
          <w:lang w:val="es-ES_tradnl"/>
        </w:rPr>
      </w:pPr>
      <w:r w:rsidRPr="00595DCA">
        <w:rPr>
          <w:lang w:val="es-ES_tradnl"/>
        </w:rPr>
        <w:t>2.4. Gestión de la calidad</w:t>
      </w:r>
    </w:p>
    <w:p w14:paraId="00A55415" w14:textId="77777777" w:rsidR="00331A82" w:rsidRPr="00595DCA" w:rsidRDefault="00331A82" w:rsidP="00331A82">
      <w:pPr>
        <w:pStyle w:val="RuleQuote"/>
        <w:spacing w:after="0"/>
        <w:rPr>
          <w:lang w:val="es-ES_tradnl"/>
        </w:rPr>
      </w:pPr>
    </w:p>
    <w:p w14:paraId="619751A4" w14:textId="77777777" w:rsidR="00331A82" w:rsidRPr="00595DCA" w:rsidRDefault="00331A82" w:rsidP="00331A82">
      <w:pPr>
        <w:pStyle w:val="RuleQuote"/>
        <w:spacing w:after="0"/>
        <w:rPr>
          <w:lang w:val="es-ES_tradnl"/>
        </w:rPr>
      </w:pPr>
      <w:r w:rsidRPr="00595DCA">
        <w:rPr>
          <w:lang w:val="es-ES_tradnl"/>
        </w:rPr>
        <w:t>Reglas 36.1.iv) y 63.1.iv): Esa Oficina u organización deberá disponer de un sistema de gestión de calidad y un sistema de revisión interna, conforme a las reglas comunes de la búsqueda internacional.</w:t>
      </w:r>
    </w:p>
    <w:p w14:paraId="0523DA46" w14:textId="77777777" w:rsidR="00331A82" w:rsidRPr="00595DCA" w:rsidRDefault="00331A82" w:rsidP="00331A82">
      <w:pPr>
        <w:pStyle w:val="Question"/>
        <w:spacing w:after="0"/>
        <w:rPr>
          <w:lang w:val="es-ES_tradnl"/>
        </w:rPr>
      </w:pPr>
    </w:p>
    <w:p w14:paraId="4B795844" w14:textId="77777777" w:rsidR="00331A82" w:rsidRPr="00595DCA" w:rsidRDefault="00331A82" w:rsidP="00331A82">
      <w:pPr>
        <w:pStyle w:val="Question"/>
        <w:spacing w:after="0"/>
        <w:rPr>
          <w:lang w:val="es-ES_tradnl"/>
        </w:rPr>
      </w:pPr>
      <w:r w:rsidRPr="00595DCA">
        <w:rPr>
          <w:lang w:val="es-ES_tradnl"/>
        </w:rPr>
        <w:t>Sistema nacional de gestión de calidad que cumpla los requisitos del capítulo 21 de las Directrices de búsqueda internacional y de examen preliminar internacional:</w:t>
      </w:r>
    </w:p>
    <w:p w14:paraId="093C0252" w14:textId="77777777" w:rsidR="00331A82" w:rsidRPr="00595DCA" w:rsidRDefault="00331A82" w:rsidP="00331A82">
      <w:pPr>
        <w:pStyle w:val="Answer"/>
        <w:spacing w:after="0"/>
        <w:ind w:left="0"/>
        <w:jc w:val="both"/>
        <w:rPr>
          <w:i/>
          <w:iCs/>
          <w:lang w:val="es-ES_tradnl"/>
        </w:rPr>
      </w:pPr>
    </w:p>
    <w:p w14:paraId="5E31C08E" w14:textId="77777777" w:rsidR="00331A82" w:rsidRPr="00595DCA" w:rsidRDefault="00331A82" w:rsidP="00331A82">
      <w:pPr>
        <w:pStyle w:val="Answer"/>
        <w:spacing w:after="0"/>
        <w:ind w:left="0"/>
        <w:jc w:val="both"/>
        <w:rPr>
          <w:lang w:val="es-ES_tradnl"/>
        </w:rPr>
      </w:pPr>
      <w:r w:rsidRPr="00595DCA">
        <w:rPr>
          <w:lang w:val="es-ES_tradnl"/>
        </w:rPr>
        <w:t>El IMPI no cuenta con un sistema de control de calidad específico, ni ha sido certificada bajo ninguna norma establecida.</w:t>
      </w:r>
    </w:p>
    <w:p w14:paraId="35B4ED57" w14:textId="77777777" w:rsidR="00331A82" w:rsidRPr="00595DCA" w:rsidRDefault="00331A82" w:rsidP="00331A82">
      <w:pPr>
        <w:pStyle w:val="Answer"/>
        <w:spacing w:after="0"/>
        <w:ind w:left="0"/>
        <w:jc w:val="both"/>
        <w:rPr>
          <w:lang w:val="es-ES_tradnl"/>
        </w:rPr>
      </w:pPr>
    </w:p>
    <w:p w14:paraId="7901EFB4" w14:textId="77777777" w:rsidR="00331A82" w:rsidRPr="00595DCA" w:rsidRDefault="00331A82" w:rsidP="00331A82">
      <w:pPr>
        <w:jc w:val="both"/>
      </w:pPr>
      <w:r w:rsidRPr="00595DCA">
        <w:t xml:space="preserve">Para la clasificación de las solicitudes de patentes y modelos de utilidad el IMPI cuenta </w:t>
      </w:r>
      <w:proofErr w:type="spellStart"/>
      <w:r w:rsidRPr="00595DCA">
        <w:rPr>
          <w:b/>
          <w:bCs/>
        </w:rPr>
        <w:t>ProClass</w:t>
      </w:r>
      <w:proofErr w:type="spellEnd"/>
      <w:r w:rsidRPr="00595DCA">
        <w:rPr>
          <w:b/>
          <w:bCs/>
        </w:rPr>
        <w:t>,</w:t>
      </w:r>
      <w:r w:rsidRPr="00595DCA">
        <w:t xml:space="preserve"> una herramienta informática de desarrollo propio para realizar las actividades de Clasificación de las solicitudes de Patentes y Modelos de Utilidad, mediante la cual, los examinadores realizan la asignación de los símbolos de la Clasificación Internacional de Patentes (CIP) y Clasificación Cooperativa de Patentes (CPC), y todas las clasificaciones se revisan y pasan por el módulo de Gestión de calidad de Clasificación incorporado en dicha herramienta.</w:t>
      </w:r>
    </w:p>
    <w:p w14:paraId="5A55C912" w14:textId="77777777" w:rsidR="00331A82" w:rsidRPr="00595DCA" w:rsidRDefault="00331A82" w:rsidP="00331A82">
      <w:pPr>
        <w:jc w:val="both"/>
      </w:pPr>
    </w:p>
    <w:p w14:paraId="280F9AF8" w14:textId="77777777" w:rsidR="00331A82" w:rsidRPr="00595DCA" w:rsidRDefault="00331A82" w:rsidP="00331A82">
      <w:pPr>
        <w:jc w:val="both"/>
      </w:pPr>
      <w:r w:rsidRPr="00595DCA">
        <w:t>El módulo de Gestión de calidad de Clasificación tiene la finalidad de activar los avisos para revisar y asegurar que los símbolos asignados a cada solicitud correspondan con el campo técnico de la invención, que sigan las reglas del estándar de clasificación CIP y CPC, que los símbolos asignados entre ambos estándares sean congruentes entre ellos, que la invención corresponda y se asigne de manera automática al Departamento de Examen de Fondo al que pertenece el campo técnico de la invención.</w:t>
      </w:r>
    </w:p>
    <w:p w14:paraId="79B8F75A" w14:textId="77777777" w:rsidR="00331A82" w:rsidRPr="00595DCA" w:rsidRDefault="00331A82" w:rsidP="00331A82">
      <w:pPr>
        <w:jc w:val="both"/>
      </w:pPr>
    </w:p>
    <w:p w14:paraId="47F6410A" w14:textId="77777777" w:rsidR="00331A82" w:rsidRPr="00595DCA" w:rsidRDefault="00331A82" w:rsidP="00331A82">
      <w:pPr>
        <w:jc w:val="both"/>
      </w:pPr>
      <w:r w:rsidRPr="00595DCA">
        <w:t xml:space="preserve">Cuando el expediente fue canalizado a una Coordinación que no debe estudiar la invención entonces se canaliza al Departamento adecuado. Cuando se encuentra alguna deficiencia en la clasificación asignada, se le informa al Examinador para que realice las correcciones correspondientes. El Examinador debe corregir lo solicitado y vuelve a reportar. Se vuelve a evaluar las clasificaciones hasta que sean adecuadas y entonces se le considera que el expediente superó el control de calidad. </w:t>
      </w:r>
    </w:p>
    <w:p w14:paraId="4D29F486" w14:textId="77777777" w:rsidR="00331A82" w:rsidRPr="00595DCA" w:rsidRDefault="00331A82" w:rsidP="00331A82">
      <w:pPr>
        <w:jc w:val="both"/>
      </w:pPr>
    </w:p>
    <w:p w14:paraId="5D9694FD" w14:textId="77777777" w:rsidR="00331A82" w:rsidRPr="00595DCA" w:rsidRDefault="00331A82" w:rsidP="00331A82">
      <w:pPr>
        <w:jc w:val="both"/>
      </w:pPr>
      <w:r w:rsidRPr="00595DCA">
        <w:t>Este proceso ha logrado que los expedientes se canalicen de primera vez al Departamento de Examen de Fondo correspondiente al campo técnico de la invención, con este proceso se ha logrado que los expedientes se clasifiquen con símbolos acordes a su campo técnico, con símbolos vigentes y que cumplan con las reglas del estándar de clasificación. Se estima que el 95% de los expedientes tienen una clasificación adecuada y congruente con el Departamento donde deben estudiarse.</w:t>
      </w:r>
    </w:p>
    <w:p w14:paraId="74DEA5B8" w14:textId="77777777" w:rsidR="00331A82" w:rsidRPr="00595DCA" w:rsidRDefault="00331A82" w:rsidP="00331A82">
      <w:pPr>
        <w:jc w:val="both"/>
      </w:pPr>
    </w:p>
    <w:p w14:paraId="1C886EB2" w14:textId="77777777" w:rsidR="00331A82" w:rsidRPr="00595DCA" w:rsidRDefault="00331A82" w:rsidP="00331A82">
      <w:pPr>
        <w:pStyle w:val="Answer"/>
        <w:spacing w:after="0"/>
        <w:ind w:left="0"/>
        <w:jc w:val="both"/>
        <w:rPr>
          <w:lang w:val="es-ES_tradnl"/>
        </w:rPr>
      </w:pPr>
      <w:r w:rsidRPr="00595DCA">
        <w:rPr>
          <w:lang w:val="es-ES_tradnl"/>
        </w:rPr>
        <w:t xml:space="preserve">Por lo que hace al procedimiento de examen de fondo de patentes y modelos de utilidad éste se lleva a cabo por las 5 coordinaciones técnicas de examen de fondo, con el equipo de examinadores, supervisores y coordinadores de cada área. </w:t>
      </w:r>
    </w:p>
    <w:p w14:paraId="390B570A" w14:textId="77777777" w:rsidR="00331A82" w:rsidRPr="00595DCA" w:rsidRDefault="00331A82" w:rsidP="00331A82">
      <w:pPr>
        <w:pStyle w:val="Answer"/>
        <w:spacing w:after="0"/>
        <w:ind w:left="0"/>
        <w:jc w:val="both"/>
        <w:rPr>
          <w:lang w:val="es-ES_tradnl"/>
        </w:rPr>
      </w:pPr>
    </w:p>
    <w:p w14:paraId="0316F334" w14:textId="77777777" w:rsidR="00331A82" w:rsidRPr="00595DCA" w:rsidRDefault="00331A82" w:rsidP="00331A82">
      <w:pPr>
        <w:pStyle w:val="Answer"/>
        <w:spacing w:after="0"/>
        <w:ind w:left="0"/>
        <w:jc w:val="both"/>
        <w:rPr>
          <w:lang w:val="es-ES_tradnl"/>
        </w:rPr>
      </w:pPr>
      <w:r w:rsidRPr="00595DCA">
        <w:rPr>
          <w:lang w:val="es-ES_tradnl"/>
        </w:rPr>
        <w:t>La evolución del examen es gestionada a través del Sistema Automatizado de Gestión (SIAI) mediante el cual se da seguimiento y control de todos los expedientes relativos a su trámite. Mediante dicho Sistema se emiten todas las acciones oficiales, se supervisan y firman antes de su notificación al usuario, quedando un registro electrónico de todos los oficios, y las fechas de emisión y los plazos establecidos para los mismos. El supervisor y/o el coordinador de área, revisa cada una de las acciones oficiales emitidas por el grupo de examinadores y de ser el caso regresa al examinador para hacer correcciones o modificaciones, para ello se revisa el caso en conjunto (examinador/supervisor/coordinador). Esto permite mantener la calidad de examen, manteniendo los criterios de patentabilidad establecidos en el marco normativo nacional e internacional.</w:t>
      </w:r>
    </w:p>
    <w:p w14:paraId="227CB9D4" w14:textId="77777777" w:rsidR="00331A82" w:rsidRPr="00595DCA" w:rsidRDefault="00331A82" w:rsidP="00331A82">
      <w:pPr>
        <w:pStyle w:val="Answer"/>
        <w:spacing w:after="0"/>
        <w:ind w:left="0"/>
        <w:jc w:val="both"/>
        <w:rPr>
          <w:lang w:val="es-ES_tradnl"/>
        </w:rPr>
      </w:pPr>
    </w:p>
    <w:p w14:paraId="25F1CCBE" w14:textId="77777777" w:rsidR="00331A82" w:rsidRPr="00595DCA" w:rsidRDefault="00331A82" w:rsidP="00331A82">
      <w:pPr>
        <w:pStyle w:val="Answer"/>
        <w:spacing w:after="0"/>
        <w:ind w:left="0"/>
        <w:jc w:val="both"/>
        <w:rPr>
          <w:lang w:val="es-ES_tradnl"/>
        </w:rPr>
      </w:pPr>
      <w:r w:rsidRPr="00595DCA">
        <w:rPr>
          <w:lang w:val="es-ES_tradnl"/>
        </w:rPr>
        <w:t xml:space="preserve">No obstante, el IMPI ha iniciado trabajos para establecer un sistema de gestión de calidad que cumpla los requisitos del capítulo 21 de las directrices de búsqueda internacional y de examen preliminar internacional </w:t>
      </w:r>
      <w:r w:rsidRPr="00595DCA">
        <w:t xml:space="preserve">del PCT. Asimismo, se prevé obtener la certificación ISO 9001 para este sistema </w:t>
      </w:r>
      <w:r w:rsidRPr="00595DCA">
        <w:rPr>
          <w:lang w:val="es-ES_tradnl"/>
        </w:rPr>
        <w:t>de gestión de calidad.</w:t>
      </w:r>
    </w:p>
    <w:p w14:paraId="48484D85" w14:textId="77777777" w:rsidR="00331A82" w:rsidRPr="00595DCA" w:rsidRDefault="00331A82" w:rsidP="00331A82">
      <w:pPr>
        <w:pStyle w:val="Answer"/>
        <w:spacing w:after="0"/>
        <w:ind w:left="0"/>
        <w:jc w:val="both"/>
        <w:rPr>
          <w:lang w:val="es-ES_tradnl"/>
        </w:rPr>
      </w:pPr>
    </w:p>
    <w:p w14:paraId="18D2BF82" w14:textId="77777777" w:rsidR="00331A82" w:rsidRPr="00595DCA" w:rsidRDefault="00331A82" w:rsidP="00331A82">
      <w:pPr>
        <w:jc w:val="both"/>
        <w:rPr>
          <w:lang w:val="es-ES_tradnl"/>
        </w:rPr>
      </w:pPr>
      <w:r w:rsidRPr="00595DCA">
        <w:rPr>
          <w:lang w:val="es-ES_tradnl"/>
        </w:rPr>
        <w:t xml:space="preserve">El Instituto Mexicano de la Propiedad Industrial (IMPI) declara que previo a su designación como Administración encargada de la Búsqueda Internacional (ISA) y como Administración encargada del Examen Preliminar Internacional (IPEA) remitirá a la OMPI el estatus de la certificación correspondiente y el </w:t>
      </w:r>
      <w:r w:rsidRPr="00595DCA">
        <w:t>informe sobre el sistema de gestión de calidad conforme la plantilla titulada “Informe inicial sobre los sistemas de gestión de calidad”.</w:t>
      </w:r>
    </w:p>
    <w:p w14:paraId="6809B00C" w14:textId="77777777" w:rsidR="00331A82" w:rsidRPr="00595DCA" w:rsidRDefault="00331A82" w:rsidP="00331A82">
      <w:pPr>
        <w:pStyle w:val="Answer"/>
        <w:spacing w:after="0"/>
        <w:ind w:left="0"/>
        <w:jc w:val="both"/>
        <w:rPr>
          <w:lang w:val="es-ES_tradnl"/>
        </w:rPr>
      </w:pPr>
    </w:p>
    <w:p w14:paraId="56B3A3AF" w14:textId="77777777" w:rsidR="00331A82" w:rsidRPr="00595DCA" w:rsidRDefault="00331A82" w:rsidP="00331A82">
      <w:pPr>
        <w:pStyle w:val="SectionHeading"/>
        <w:spacing w:before="0" w:after="0" w:line="240" w:lineRule="auto"/>
        <w:rPr>
          <w:lang w:val="es-ES_tradnl"/>
        </w:rPr>
      </w:pPr>
      <w:r w:rsidRPr="00595DCA">
        <w:rPr>
          <w:lang w:val="es-ES_tradnl"/>
        </w:rPr>
        <w:t>3. Ámbito de aplicación previsto</w:t>
      </w:r>
    </w:p>
    <w:p w14:paraId="449B5CEC" w14:textId="77777777" w:rsidR="00331A82" w:rsidRPr="00595DCA" w:rsidRDefault="00331A82" w:rsidP="00331A82">
      <w:pPr>
        <w:pStyle w:val="Question"/>
        <w:spacing w:after="0"/>
        <w:rPr>
          <w:lang w:val="es-ES_tradnl"/>
        </w:rPr>
      </w:pPr>
    </w:p>
    <w:p w14:paraId="1748963D" w14:textId="77777777" w:rsidR="00331A82" w:rsidRPr="00595DCA" w:rsidRDefault="00331A82" w:rsidP="00331A82">
      <w:pPr>
        <w:pStyle w:val="Question"/>
        <w:spacing w:after="0"/>
        <w:rPr>
          <w:lang w:val="es-ES_tradnl"/>
        </w:rPr>
      </w:pPr>
      <w:r w:rsidRPr="00595DCA">
        <w:rPr>
          <w:lang w:val="es-ES_tradnl"/>
        </w:rPr>
        <w:t>a)</w:t>
      </w:r>
      <w:r w:rsidRPr="00595DCA">
        <w:rPr>
          <w:lang w:val="es-ES_tradnl"/>
        </w:rPr>
        <w:tab/>
        <w:t xml:space="preserve">Idiomas en los que se ofrecerán los servicios: </w:t>
      </w:r>
    </w:p>
    <w:p w14:paraId="56B86718" w14:textId="77777777" w:rsidR="00331A82" w:rsidRPr="00595DCA" w:rsidRDefault="00331A82" w:rsidP="00331A82">
      <w:pPr>
        <w:pStyle w:val="Question"/>
        <w:spacing w:after="0"/>
        <w:rPr>
          <w:lang w:val="es-ES_tradnl"/>
        </w:rPr>
      </w:pPr>
    </w:p>
    <w:p w14:paraId="7B57E1C0" w14:textId="0EBE009A" w:rsidR="00331A82" w:rsidRPr="00595DCA" w:rsidRDefault="00331A82" w:rsidP="00331A82">
      <w:pPr>
        <w:pStyle w:val="Question"/>
        <w:spacing w:after="0"/>
        <w:rPr>
          <w:lang w:val="es-ES_tradnl"/>
        </w:rPr>
      </w:pPr>
      <w:r w:rsidRPr="00595DCA">
        <w:rPr>
          <w:b w:val="0"/>
          <w:bCs w:val="0"/>
          <w:lang w:val="es-ES_tradnl"/>
        </w:rPr>
        <w:t>Español</w:t>
      </w:r>
      <w:r w:rsidR="003D7287">
        <w:rPr>
          <w:b w:val="0"/>
          <w:bCs w:val="0"/>
          <w:lang w:val="es-ES_tradnl"/>
        </w:rPr>
        <w:t xml:space="preserve"> </w:t>
      </w:r>
    </w:p>
    <w:p w14:paraId="757C8160" w14:textId="77777777" w:rsidR="00331A82" w:rsidRPr="00595DCA" w:rsidRDefault="00331A82" w:rsidP="00331A82">
      <w:pPr>
        <w:pStyle w:val="Question"/>
        <w:spacing w:after="0"/>
        <w:rPr>
          <w:lang w:val="es-ES_tradnl"/>
        </w:rPr>
      </w:pPr>
    </w:p>
    <w:p w14:paraId="447C3F2E" w14:textId="77777777" w:rsidR="00331A82" w:rsidRPr="00595DCA" w:rsidRDefault="00331A82" w:rsidP="00331A82">
      <w:pPr>
        <w:pStyle w:val="Question"/>
        <w:spacing w:after="0"/>
        <w:rPr>
          <w:lang w:val="es-ES_tradnl"/>
        </w:rPr>
      </w:pPr>
      <w:r w:rsidRPr="00595DCA">
        <w:rPr>
          <w:lang w:val="es-ES_tradnl"/>
        </w:rPr>
        <w:t>b)</w:t>
      </w:r>
      <w:r w:rsidRPr="00595DCA">
        <w:rPr>
          <w:lang w:val="es-ES_tradnl"/>
        </w:rPr>
        <w:tab/>
        <w:t xml:space="preserve">Estados u Oficinas receptoras para las cuales la Oficina se ofrecerá como Administración competente: </w:t>
      </w:r>
    </w:p>
    <w:p w14:paraId="6D909290" w14:textId="77777777" w:rsidR="00331A82" w:rsidRPr="00595DCA" w:rsidRDefault="00331A82" w:rsidP="00331A82">
      <w:pPr>
        <w:pStyle w:val="Question"/>
        <w:spacing w:after="0"/>
        <w:rPr>
          <w:b w:val="0"/>
          <w:bCs w:val="0"/>
          <w:lang w:val="es-MX"/>
        </w:rPr>
      </w:pPr>
    </w:p>
    <w:p w14:paraId="5E5389C2" w14:textId="77777777" w:rsidR="00331A82" w:rsidRPr="00595DCA" w:rsidRDefault="00331A82" w:rsidP="00331A82">
      <w:pPr>
        <w:pStyle w:val="Question"/>
        <w:spacing w:after="0"/>
        <w:jc w:val="both"/>
        <w:rPr>
          <w:b w:val="0"/>
          <w:bCs w:val="0"/>
          <w:lang w:val="es-MX"/>
        </w:rPr>
      </w:pPr>
      <w:r w:rsidRPr="00595DCA">
        <w:rPr>
          <w:b w:val="0"/>
          <w:bCs w:val="0"/>
          <w:lang w:val="es-MX"/>
        </w:rPr>
        <w:t>El IMPI ofrecerá sus servicios como ISA/IPEA a países hispanohablantes en la región de América Latina y el Caribe, así como, potencialmente, bajo solicitud, a cualquier otro país que acepte solicitudes internacionales en español.</w:t>
      </w:r>
    </w:p>
    <w:p w14:paraId="45D8C399" w14:textId="77777777" w:rsidR="00331A82" w:rsidRPr="00595DCA" w:rsidRDefault="00331A82" w:rsidP="00331A82">
      <w:pPr>
        <w:pStyle w:val="Question"/>
        <w:spacing w:after="0"/>
        <w:jc w:val="both"/>
        <w:rPr>
          <w:lang w:val="es-ES_tradnl"/>
        </w:rPr>
      </w:pPr>
    </w:p>
    <w:p w14:paraId="27D4A28B" w14:textId="77777777" w:rsidR="00331A82" w:rsidRPr="00595DCA" w:rsidRDefault="00331A82" w:rsidP="00331A82">
      <w:pPr>
        <w:pStyle w:val="Question"/>
        <w:spacing w:after="0"/>
        <w:jc w:val="both"/>
        <w:rPr>
          <w:lang w:val="es-ES_tradnl"/>
        </w:rPr>
      </w:pPr>
      <w:r w:rsidRPr="00595DCA">
        <w:rPr>
          <w:lang w:val="es-ES_tradnl"/>
        </w:rPr>
        <w:t>c)</w:t>
      </w:r>
      <w:r w:rsidRPr="00595DCA">
        <w:rPr>
          <w:lang w:val="es-ES_tradnl"/>
        </w:rPr>
        <w:tab/>
        <w:t xml:space="preserve">Limitaciones en el ámbito de aplicación: </w:t>
      </w:r>
    </w:p>
    <w:p w14:paraId="236C7FCC" w14:textId="77777777" w:rsidR="00331A82" w:rsidRPr="00595DCA" w:rsidRDefault="00331A82" w:rsidP="00331A82">
      <w:pPr>
        <w:pStyle w:val="Question"/>
        <w:spacing w:after="0"/>
        <w:jc w:val="both"/>
        <w:rPr>
          <w:b w:val="0"/>
          <w:bCs w:val="0"/>
          <w:szCs w:val="20"/>
          <w:lang w:val="es-ES_tradnl"/>
        </w:rPr>
      </w:pPr>
    </w:p>
    <w:p w14:paraId="146F6BA9" w14:textId="77777777" w:rsidR="00331A82" w:rsidRPr="00595DCA" w:rsidRDefault="00331A82" w:rsidP="00331A82">
      <w:pPr>
        <w:pStyle w:val="Question"/>
        <w:spacing w:after="0"/>
        <w:jc w:val="both"/>
        <w:rPr>
          <w:color w:val="0070C0"/>
          <w:lang w:val="es-ES_tradnl"/>
        </w:rPr>
      </w:pPr>
      <w:r w:rsidRPr="00595DCA">
        <w:rPr>
          <w:b w:val="0"/>
          <w:bCs w:val="0"/>
          <w:szCs w:val="20"/>
          <w:lang w:val="es-ES_tradnl"/>
        </w:rPr>
        <w:t xml:space="preserve">El IMPI no realizará búsquedas y exámenes preliminares internacionales para las solicitudes que se presenten en idiomas distintos del español. </w:t>
      </w:r>
    </w:p>
    <w:p w14:paraId="1181EEDD" w14:textId="77777777" w:rsidR="00331A82" w:rsidRPr="00595DCA" w:rsidRDefault="00331A82" w:rsidP="00331A82">
      <w:pPr>
        <w:pStyle w:val="Question"/>
        <w:spacing w:after="0"/>
        <w:rPr>
          <w:lang w:val="es-ES_tradnl"/>
        </w:rPr>
      </w:pPr>
    </w:p>
    <w:p w14:paraId="40B55E2A" w14:textId="77777777" w:rsidR="00331A82" w:rsidRDefault="00331A82" w:rsidP="00331A82">
      <w:pPr>
        <w:pStyle w:val="Question"/>
        <w:spacing w:after="0"/>
        <w:rPr>
          <w:lang w:val="es-ES_tradnl"/>
        </w:rPr>
      </w:pPr>
      <w:r w:rsidRPr="00595DCA">
        <w:rPr>
          <w:lang w:val="es-ES_tradnl"/>
        </w:rPr>
        <w:t>d)</w:t>
      </w:r>
      <w:r w:rsidRPr="00595DCA">
        <w:rPr>
          <w:lang w:val="es-ES_tradnl"/>
        </w:rPr>
        <w:tab/>
        <w:t xml:space="preserve">Otras Administraciones internacionales que seguirán siendo competentes para tramitar las solicitudes presentadas en la Oficina en su calidad de Oficina receptora: </w:t>
      </w:r>
    </w:p>
    <w:p w14:paraId="08EA4ED9" w14:textId="77777777" w:rsidR="00331A82" w:rsidRPr="00595DCA" w:rsidRDefault="00331A82" w:rsidP="00331A82">
      <w:pPr>
        <w:pStyle w:val="Question"/>
        <w:spacing w:after="0"/>
        <w:jc w:val="both"/>
        <w:rPr>
          <w:b w:val="0"/>
          <w:bCs w:val="0"/>
          <w:szCs w:val="20"/>
          <w:lang w:val="es-ES_tradnl"/>
        </w:rPr>
      </w:pPr>
      <w:r>
        <w:rPr>
          <w:b w:val="0"/>
          <w:bCs w:val="0"/>
          <w:szCs w:val="20"/>
          <w:lang w:val="es-ES_tradnl"/>
        </w:rPr>
        <w:br/>
      </w:r>
      <w:r w:rsidRPr="00595DCA">
        <w:rPr>
          <w:b w:val="0"/>
          <w:bCs w:val="0"/>
          <w:szCs w:val="20"/>
          <w:lang w:val="es-ES_tradnl"/>
        </w:rPr>
        <w:t>Oficina Española de Patentes y Marcas (OEPM)</w:t>
      </w:r>
    </w:p>
    <w:p w14:paraId="1FDF894A" w14:textId="77777777" w:rsidR="00331A82" w:rsidRPr="00595DCA" w:rsidRDefault="00331A82" w:rsidP="00331A82">
      <w:pPr>
        <w:pStyle w:val="Question"/>
        <w:spacing w:after="0"/>
        <w:jc w:val="both"/>
        <w:rPr>
          <w:b w:val="0"/>
          <w:bCs w:val="0"/>
          <w:szCs w:val="20"/>
          <w:lang w:val="es-ES_tradnl"/>
        </w:rPr>
      </w:pPr>
      <w:r w:rsidRPr="00595DCA">
        <w:rPr>
          <w:b w:val="0"/>
          <w:bCs w:val="0"/>
          <w:szCs w:val="20"/>
          <w:lang w:val="es-ES_tradnl"/>
        </w:rPr>
        <w:t>Oficina de Patentes de Austria (APO)</w:t>
      </w:r>
    </w:p>
    <w:p w14:paraId="5DA2A709" w14:textId="77777777" w:rsidR="00331A82" w:rsidRPr="00595DCA" w:rsidRDefault="00331A82" w:rsidP="00331A82">
      <w:pPr>
        <w:pStyle w:val="Question"/>
        <w:spacing w:after="0"/>
        <w:jc w:val="both"/>
        <w:rPr>
          <w:b w:val="0"/>
          <w:bCs w:val="0"/>
          <w:szCs w:val="20"/>
          <w:lang w:val="es-ES_tradnl"/>
        </w:rPr>
      </w:pPr>
      <w:r w:rsidRPr="00595DCA">
        <w:rPr>
          <w:b w:val="0"/>
          <w:bCs w:val="0"/>
          <w:szCs w:val="20"/>
          <w:lang w:val="es-ES_tradnl"/>
        </w:rPr>
        <w:t>Oficina Sueca de Propiedad Intelectual (PRV)</w:t>
      </w:r>
    </w:p>
    <w:p w14:paraId="43EEE53A" w14:textId="77777777" w:rsidR="00331A82" w:rsidRPr="00595DCA" w:rsidRDefault="00331A82" w:rsidP="00331A82">
      <w:pPr>
        <w:pStyle w:val="Question"/>
        <w:spacing w:after="0"/>
        <w:jc w:val="both"/>
        <w:rPr>
          <w:b w:val="0"/>
          <w:bCs w:val="0"/>
          <w:szCs w:val="20"/>
          <w:lang w:val="es-ES_tradnl"/>
        </w:rPr>
      </w:pPr>
      <w:r w:rsidRPr="00595DCA">
        <w:rPr>
          <w:b w:val="0"/>
          <w:bCs w:val="0"/>
          <w:szCs w:val="20"/>
          <w:lang w:val="es-ES_tradnl"/>
        </w:rPr>
        <w:t xml:space="preserve">Instituto Nacional de Propiedad Industrial (INAPI) </w:t>
      </w:r>
      <w:r>
        <w:rPr>
          <w:b w:val="0"/>
          <w:bCs w:val="0"/>
          <w:szCs w:val="20"/>
          <w:lang w:val="es-ES_tradnl"/>
        </w:rPr>
        <w:t>- Chile</w:t>
      </w:r>
    </w:p>
    <w:p w14:paraId="3EDCBD8F" w14:textId="77777777" w:rsidR="00331A82" w:rsidRPr="00595DCA" w:rsidRDefault="00331A82" w:rsidP="00331A82">
      <w:pPr>
        <w:pStyle w:val="Question"/>
        <w:spacing w:after="0"/>
        <w:jc w:val="both"/>
        <w:rPr>
          <w:b w:val="0"/>
          <w:bCs w:val="0"/>
          <w:szCs w:val="20"/>
          <w:lang w:val="es-ES_tradnl"/>
        </w:rPr>
      </w:pPr>
      <w:r w:rsidRPr="00595DCA">
        <w:rPr>
          <w:b w:val="0"/>
          <w:bCs w:val="0"/>
          <w:szCs w:val="20"/>
          <w:lang w:val="es-ES_tradnl"/>
        </w:rPr>
        <w:t>Oficina de Patentes y Marcas de los Estados Unidos de América (USPTO)</w:t>
      </w:r>
    </w:p>
    <w:p w14:paraId="3560E879" w14:textId="77777777" w:rsidR="00331A82" w:rsidRPr="00595DCA" w:rsidRDefault="00331A82" w:rsidP="00331A82">
      <w:pPr>
        <w:pStyle w:val="Question"/>
        <w:spacing w:after="0"/>
        <w:jc w:val="both"/>
        <w:rPr>
          <w:b w:val="0"/>
          <w:bCs w:val="0"/>
          <w:szCs w:val="20"/>
          <w:lang w:val="es-ES_tradnl"/>
        </w:rPr>
      </w:pPr>
      <w:r w:rsidRPr="00595DCA">
        <w:rPr>
          <w:b w:val="0"/>
          <w:bCs w:val="0"/>
          <w:szCs w:val="20"/>
          <w:lang w:val="es-ES_tradnl"/>
        </w:rPr>
        <w:t>Oficina de Propiedad Intelectual de Singapur (IPOS)</w:t>
      </w:r>
    </w:p>
    <w:p w14:paraId="61C33568" w14:textId="77777777" w:rsidR="00331A82" w:rsidRPr="00595DCA" w:rsidRDefault="00331A82" w:rsidP="00331A82">
      <w:pPr>
        <w:pStyle w:val="Question"/>
        <w:spacing w:after="0"/>
        <w:jc w:val="both"/>
        <w:rPr>
          <w:b w:val="0"/>
          <w:bCs w:val="0"/>
          <w:szCs w:val="20"/>
          <w:lang w:val="es-ES_tradnl"/>
        </w:rPr>
      </w:pPr>
      <w:r w:rsidRPr="00595DCA">
        <w:rPr>
          <w:b w:val="0"/>
          <w:bCs w:val="0"/>
          <w:szCs w:val="20"/>
          <w:lang w:val="es-ES_tradnl"/>
        </w:rPr>
        <w:t>Oficina Europea de Patentes (OEP)</w:t>
      </w:r>
    </w:p>
    <w:p w14:paraId="1D96F90A" w14:textId="21C7800A" w:rsidR="00331A82" w:rsidRDefault="00331A82" w:rsidP="000C6E93">
      <w:pPr>
        <w:pStyle w:val="Question"/>
        <w:spacing w:after="0"/>
        <w:jc w:val="both"/>
        <w:rPr>
          <w:b w:val="0"/>
          <w:bCs w:val="0"/>
          <w:szCs w:val="20"/>
          <w:lang w:val="es-ES_tradnl"/>
        </w:rPr>
      </w:pPr>
      <w:r w:rsidRPr="00D424E5">
        <w:rPr>
          <w:b w:val="0"/>
          <w:bCs w:val="0"/>
          <w:szCs w:val="20"/>
          <w:lang w:val="es-ES_tradnl"/>
        </w:rPr>
        <w:t>Ministerio de Propiedad Intelectual (MOIP) República de Corea</w:t>
      </w:r>
    </w:p>
    <w:p w14:paraId="43DCC7A7" w14:textId="77777777" w:rsidR="00331A82" w:rsidRPr="00595DCA" w:rsidRDefault="00331A82" w:rsidP="00331A82">
      <w:pPr>
        <w:pStyle w:val="Question"/>
        <w:spacing w:after="0"/>
        <w:jc w:val="both"/>
        <w:rPr>
          <w:b w:val="0"/>
          <w:bCs w:val="0"/>
          <w:szCs w:val="20"/>
          <w:lang w:val="es-ES_tradnl"/>
        </w:rPr>
      </w:pPr>
    </w:p>
    <w:p w14:paraId="07E43567" w14:textId="77777777" w:rsidR="00331A82" w:rsidRPr="00595DCA" w:rsidRDefault="00331A82" w:rsidP="000C6E93">
      <w:pPr>
        <w:pStyle w:val="SectionHeading"/>
        <w:keepNext w:val="0"/>
        <w:keepLines w:val="0"/>
        <w:spacing w:before="0" w:after="0" w:line="240" w:lineRule="auto"/>
        <w:rPr>
          <w:lang w:val="es-ES_tradnl"/>
        </w:rPr>
      </w:pPr>
      <w:r w:rsidRPr="00595DCA">
        <w:rPr>
          <w:lang w:val="es-ES_tradnl"/>
        </w:rPr>
        <w:t>4. Declaración de motivos</w:t>
      </w:r>
    </w:p>
    <w:p w14:paraId="58E15AD4" w14:textId="77777777" w:rsidR="00331A82" w:rsidRPr="00595DCA" w:rsidRDefault="00331A82" w:rsidP="000C6E93">
      <w:pPr>
        <w:pStyle w:val="SectionHeading"/>
        <w:keepNext w:val="0"/>
        <w:keepLines w:val="0"/>
        <w:spacing w:before="0" w:after="0" w:line="240" w:lineRule="auto"/>
        <w:jc w:val="both"/>
        <w:rPr>
          <w:rFonts w:eastAsia="SimSun"/>
          <w:b w:val="0"/>
          <w:bCs w:val="0"/>
          <w:caps w:val="0"/>
          <w:szCs w:val="20"/>
          <w:lang w:val="es-ES_tradnl"/>
        </w:rPr>
      </w:pPr>
    </w:p>
    <w:p w14:paraId="58664983" w14:textId="77777777" w:rsidR="00331A82" w:rsidRPr="00595DCA" w:rsidRDefault="00331A82" w:rsidP="000C6E93">
      <w:pPr>
        <w:pStyle w:val="SectionHeading"/>
        <w:keepNext w:val="0"/>
        <w:keepLines w:val="0"/>
        <w:spacing w:before="0" w:after="0" w:line="240" w:lineRule="auto"/>
        <w:jc w:val="both"/>
        <w:rPr>
          <w:rFonts w:eastAsia="SimSun"/>
          <w:b w:val="0"/>
          <w:bCs w:val="0"/>
          <w:caps w:val="0"/>
          <w:szCs w:val="20"/>
          <w:lang w:val="es-ES_tradnl"/>
        </w:rPr>
      </w:pPr>
      <w:r w:rsidRPr="00595DCA">
        <w:rPr>
          <w:rFonts w:eastAsia="SimSun"/>
          <w:b w:val="0"/>
          <w:bCs w:val="0"/>
          <w:caps w:val="0"/>
          <w:szCs w:val="20"/>
          <w:lang w:val="es-ES_tradnl"/>
        </w:rPr>
        <w:t>Desde su creación, el Instituto Mexicano de la Propiedad Industrial (IMPI) ha sido el organismo responsable de administrar el sistema de propiedad industrial en México con una visión moderna, técnica y eficiente, en línea con los más altos estándares internacionales. En este marco, ha consolidado su papel como un referente en América Latina en la protección de la propiedad industrial y la promoción de la innovación tecnológica.</w:t>
      </w:r>
    </w:p>
    <w:p w14:paraId="671EFFE7" w14:textId="77777777" w:rsidR="00331A82" w:rsidRPr="00595DCA" w:rsidRDefault="00331A82" w:rsidP="00331A82">
      <w:pPr>
        <w:pStyle w:val="SectionHeading"/>
        <w:spacing w:before="0" w:after="0" w:line="240" w:lineRule="auto"/>
        <w:jc w:val="both"/>
        <w:rPr>
          <w:rFonts w:eastAsia="SimSun"/>
          <w:b w:val="0"/>
          <w:bCs w:val="0"/>
          <w:caps w:val="0"/>
          <w:szCs w:val="20"/>
          <w:lang w:val="es-ES_tradnl"/>
        </w:rPr>
      </w:pPr>
    </w:p>
    <w:p w14:paraId="2B4C2E8A" w14:textId="77777777" w:rsidR="00331A82" w:rsidRPr="00595DCA" w:rsidRDefault="00331A82" w:rsidP="00331A82">
      <w:pPr>
        <w:pStyle w:val="SectionHeading"/>
        <w:spacing w:before="0" w:after="0" w:line="240" w:lineRule="auto"/>
        <w:jc w:val="both"/>
        <w:rPr>
          <w:rFonts w:eastAsia="SimSun"/>
          <w:b w:val="0"/>
          <w:bCs w:val="0"/>
          <w:caps w:val="0"/>
          <w:szCs w:val="20"/>
          <w:lang w:val="es-ES_tradnl"/>
        </w:rPr>
      </w:pPr>
      <w:r w:rsidRPr="00595DCA">
        <w:rPr>
          <w:rFonts w:eastAsia="SimSun"/>
          <w:b w:val="0"/>
          <w:bCs w:val="0"/>
          <w:caps w:val="0"/>
          <w:szCs w:val="20"/>
          <w:lang w:val="es-ES_tradnl"/>
        </w:rPr>
        <w:t>El IMPI reconoce plenamente la importancia estratégica del Tratado de Cooperación en materia de Patentes (PCT) como herramienta fundamental para facilitar el acceso de los inventores a la protección internacional de sus invenciones. México ha sido un miembro activo del sistema PCT desde 1995, y el IMPI ha desempeñado un papel clave como Oficina Receptora, gestionando de manera eficaz un número creciente de solicitudes internacionales provenientes tanto de solicitantes nacionales como extranjeros.</w:t>
      </w:r>
    </w:p>
    <w:p w14:paraId="24A23402" w14:textId="77777777" w:rsidR="00331A82" w:rsidRPr="00595DCA" w:rsidRDefault="00331A82" w:rsidP="00331A82">
      <w:pPr>
        <w:pStyle w:val="SectionHeading"/>
        <w:spacing w:before="0" w:after="0" w:line="240" w:lineRule="auto"/>
        <w:jc w:val="both"/>
        <w:rPr>
          <w:rFonts w:eastAsia="SimSun"/>
          <w:b w:val="0"/>
          <w:bCs w:val="0"/>
          <w:caps w:val="0"/>
          <w:szCs w:val="20"/>
          <w:lang w:val="es-ES_tradnl"/>
        </w:rPr>
      </w:pPr>
    </w:p>
    <w:p w14:paraId="7DB1FC53" w14:textId="77777777" w:rsidR="00331A82" w:rsidRPr="00595DCA" w:rsidRDefault="00331A82" w:rsidP="00331A82">
      <w:pPr>
        <w:pStyle w:val="SectionHeading"/>
        <w:spacing w:before="0" w:after="0" w:line="240" w:lineRule="auto"/>
        <w:jc w:val="both"/>
        <w:rPr>
          <w:rFonts w:eastAsia="SimSun"/>
          <w:b w:val="0"/>
          <w:bCs w:val="0"/>
          <w:caps w:val="0"/>
          <w:szCs w:val="20"/>
          <w:lang w:val="es-ES_tradnl"/>
        </w:rPr>
      </w:pPr>
      <w:r w:rsidRPr="00595DCA">
        <w:rPr>
          <w:rFonts w:eastAsia="SimSun"/>
          <w:b w:val="0"/>
          <w:bCs w:val="0"/>
          <w:caps w:val="0"/>
          <w:szCs w:val="20"/>
          <w:lang w:val="es-ES_tradnl"/>
        </w:rPr>
        <w:t>La solicitud del IMPI para ser designado como ISA/IPEA responde a su compromiso institucional de contribuir de manera más activa y directa al fortalecimiento del sistema PCT, particularmente en beneficio de los países hispanohablantes y del ecosistema de innovación en América Latina. Contar con una ISA/IPEA adicional en la región con capacidades técnicas avanzadas y personal altamente calificado representa una oportunidad para descentralizar recursos de búsqueda, diversificar opciones para los usuarios y fomentar un uso más amplio y equitativo del sistema en nuestra región.</w:t>
      </w:r>
    </w:p>
    <w:p w14:paraId="302A06EC" w14:textId="77777777" w:rsidR="00331A82" w:rsidRPr="00595DCA" w:rsidRDefault="00331A82" w:rsidP="00331A82">
      <w:pPr>
        <w:pStyle w:val="SectionHeading"/>
        <w:spacing w:before="0" w:after="0" w:line="240" w:lineRule="auto"/>
        <w:jc w:val="both"/>
        <w:rPr>
          <w:rFonts w:eastAsia="SimSun"/>
          <w:b w:val="0"/>
          <w:bCs w:val="0"/>
          <w:caps w:val="0"/>
          <w:szCs w:val="20"/>
          <w:lang w:val="es-ES_tradnl"/>
        </w:rPr>
      </w:pPr>
    </w:p>
    <w:p w14:paraId="57584E7F" w14:textId="77777777" w:rsidR="00331A82" w:rsidRPr="00595DCA" w:rsidRDefault="00331A82" w:rsidP="00331A82">
      <w:pPr>
        <w:pStyle w:val="SectionHeading"/>
        <w:spacing w:before="0" w:after="0" w:line="240" w:lineRule="auto"/>
        <w:jc w:val="both"/>
        <w:rPr>
          <w:rFonts w:eastAsia="SimSun"/>
          <w:b w:val="0"/>
          <w:bCs w:val="0"/>
          <w:caps w:val="0"/>
          <w:szCs w:val="20"/>
          <w:lang w:val="es-ES_tradnl"/>
        </w:rPr>
      </w:pPr>
      <w:r w:rsidRPr="00595DCA">
        <w:rPr>
          <w:rFonts w:eastAsia="SimSun"/>
          <w:b w:val="0"/>
          <w:bCs w:val="0"/>
          <w:caps w:val="0"/>
          <w:szCs w:val="20"/>
          <w:lang w:val="es-ES_tradnl"/>
        </w:rPr>
        <w:t>México cuenta con un sólido marco jurídico en materia de propiedad industrial y una infraestructura tecnológica que permite ofrecer servicios de búsqueda internacional y examen preliminar de alta calidad. El personal del IMPI ha recibido formación especializada en materia de búsquedas y examen conforme a las directrices del PCT, y se dispone de acceso a bases de datos y herramientas internacionales para llevar a cabo estos procesos con rigor y eficiencia.</w:t>
      </w:r>
    </w:p>
    <w:p w14:paraId="71C831E7" w14:textId="77777777" w:rsidR="00331A82" w:rsidRPr="00595DCA" w:rsidRDefault="00331A82" w:rsidP="00331A82">
      <w:pPr>
        <w:pStyle w:val="SectionHeading"/>
        <w:spacing w:before="0" w:after="0" w:line="240" w:lineRule="auto"/>
        <w:jc w:val="both"/>
        <w:rPr>
          <w:rFonts w:eastAsia="SimSun"/>
          <w:b w:val="0"/>
          <w:bCs w:val="0"/>
          <w:caps w:val="0"/>
          <w:szCs w:val="20"/>
          <w:lang w:val="es-ES_tradnl"/>
        </w:rPr>
      </w:pPr>
    </w:p>
    <w:p w14:paraId="282F6DF8" w14:textId="77777777" w:rsidR="00331A82" w:rsidRPr="00595DCA" w:rsidRDefault="00331A82" w:rsidP="00331A82">
      <w:pPr>
        <w:pStyle w:val="SectionHeading"/>
        <w:spacing w:before="0" w:after="0" w:line="240" w:lineRule="auto"/>
        <w:jc w:val="both"/>
        <w:rPr>
          <w:rFonts w:eastAsia="SimSun"/>
          <w:b w:val="0"/>
          <w:bCs w:val="0"/>
          <w:caps w:val="0"/>
          <w:szCs w:val="20"/>
          <w:lang w:val="es-ES_tradnl"/>
        </w:rPr>
      </w:pPr>
      <w:r w:rsidRPr="00595DCA">
        <w:rPr>
          <w:rFonts w:eastAsia="SimSun"/>
          <w:b w:val="0"/>
          <w:bCs w:val="0"/>
          <w:caps w:val="0"/>
          <w:szCs w:val="20"/>
          <w:lang w:val="es-ES_tradnl"/>
        </w:rPr>
        <w:t>Asimismo, el Gobierno de México, a través de su política nacional de innovación y desarrollo tecnológico, ha respaldado decididamente el fortalecimiento institucional del IMPI, reconociendo su papel estratégico en el impulso del emprendimiento, la competitividad y la transferencia de tecnología. La eventual designación del IMPI como ISA/IPEA se alinea con estos objetivos nacionales y contribuiría directamente a facilitar el acceso de más inventores, especialmente pequeñas y medianas empresas, al sistema de patentes internacional.</w:t>
      </w:r>
    </w:p>
    <w:p w14:paraId="3E9A9118" w14:textId="77777777" w:rsidR="00331A82" w:rsidRPr="00595DCA" w:rsidRDefault="00331A82" w:rsidP="00331A82">
      <w:pPr>
        <w:pStyle w:val="SectionHeading"/>
        <w:spacing w:before="0" w:after="0" w:line="240" w:lineRule="auto"/>
        <w:jc w:val="both"/>
        <w:rPr>
          <w:rFonts w:eastAsia="SimSun"/>
          <w:b w:val="0"/>
          <w:bCs w:val="0"/>
          <w:caps w:val="0"/>
          <w:szCs w:val="20"/>
          <w:lang w:val="es-ES_tradnl"/>
        </w:rPr>
      </w:pPr>
    </w:p>
    <w:p w14:paraId="4ABD22EE" w14:textId="77777777" w:rsidR="00331A82" w:rsidRPr="00595DCA" w:rsidRDefault="00331A82" w:rsidP="00331A82">
      <w:pPr>
        <w:pStyle w:val="SectionHeading"/>
        <w:spacing w:before="0" w:after="0" w:line="240" w:lineRule="auto"/>
        <w:jc w:val="both"/>
        <w:rPr>
          <w:rFonts w:eastAsia="SimSun"/>
          <w:b w:val="0"/>
          <w:bCs w:val="0"/>
          <w:caps w:val="0"/>
          <w:szCs w:val="20"/>
          <w:lang w:val="es-ES_tradnl"/>
        </w:rPr>
      </w:pPr>
      <w:r w:rsidRPr="00595DCA">
        <w:rPr>
          <w:rFonts w:eastAsia="SimSun"/>
          <w:b w:val="0"/>
          <w:bCs w:val="0"/>
          <w:caps w:val="0"/>
          <w:szCs w:val="20"/>
          <w:lang w:val="es-ES_tradnl"/>
        </w:rPr>
        <w:t>La experiencia del IMPI como Oficina Receptora ha demostrado una creciente confianza de los usuarios en sus servicios, reflejada en el número de solicitudes PCT presentadas a través de esta vía. Solo en los últimos años, México ha registrado un incremento sostenido en solicitudes internacionales, reflejo del dinamismo del ecosistema de innovación nacional y del interés de los inventores mexicanos por acceder a mercados internacionales.</w:t>
      </w:r>
    </w:p>
    <w:p w14:paraId="54F1DCCD" w14:textId="77777777" w:rsidR="00331A82" w:rsidRPr="00595DCA" w:rsidRDefault="00331A82" w:rsidP="00331A82">
      <w:pPr>
        <w:pStyle w:val="SectionHeading"/>
        <w:spacing w:before="0" w:after="0" w:line="240" w:lineRule="auto"/>
        <w:jc w:val="both"/>
        <w:rPr>
          <w:rFonts w:eastAsia="SimSun"/>
          <w:b w:val="0"/>
          <w:bCs w:val="0"/>
          <w:caps w:val="0"/>
          <w:szCs w:val="20"/>
          <w:lang w:val="es-ES_tradnl"/>
        </w:rPr>
      </w:pPr>
    </w:p>
    <w:p w14:paraId="5DB0843B" w14:textId="77777777" w:rsidR="00331A82" w:rsidRPr="00595DCA" w:rsidRDefault="00331A82" w:rsidP="00331A82">
      <w:pPr>
        <w:pStyle w:val="SectionHeading"/>
        <w:spacing w:before="0" w:after="0" w:line="240" w:lineRule="auto"/>
        <w:jc w:val="both"/>
        <w:rPr>
          <w:rFonts w:eastAsia="SimSun"/>
          <w:b w:val="0"/>
          <w:bCs w:val="0"/>
          <w:caps w:val="0"/>
          <w:szCs w:val="20"/>
          <w:lang w:val="es-ES_tradnl"/>
        </w:rPr>
      </w:pPr>
      <w:r w:rsidRPr="00595DCA">
        <w:rPr>
          <w:rFonts w:eastAsia="SimSun"/>
          <w:b w:val="0"/>
          <w:bCs w:val="0"/>
          <w:caps w:val="0"/>
          <w:szCs w:val="20"/>
          <w:lang w:val="es-ES_tradnl"/>
        </w:rPr>
        <w:t>Además, la posibilidad de contar con una ISA/IPEA hispanohablante con sede en México beneficiaría no solo a los usuarios mexicanos, sino también a solicitantes de otros países de América Latina y el Caribe, en particular aquellos que aún no han designado autoridades internacionales propias, promoviendo así la inclusión y la cooperación regional.</w:t>
      </w:r>
    </w:p>
    <w:p w14:paraId="57CDAA84" w14:textId="77777777" w:rsidR="00331A82" w:rsidRPr="00595DCA" w:rsidRDefault="00331A82" w:rsidP="00331A82">
      <w:pPr>
        <w:pStyle w:val="SectionHeading"/>
        <w:spacing w:before="0" w:after="0" w:line="240" w:lineRule="auto"/>
        <w:jc w:val="both"/>
        <w:rPr>
          <w:rFonts w:eastAsia="SimSun"/>
          <w:b w:val="0"/>
          <w:bCs w:val="0"/>
          <w:caps w:val="0"/>
          <w:szCs w:val="20"/>
          <w:lang w:val="es-ES_tradnl"/>
        </w:rPr>
      </w:pPr>
    </w:p>
    <w:p w14:paraId="0813770D" w14:textId="77777777" w:rsidR="00331A82" w:rsidRDefault="00331A82" w:rsidP="00331A82">
      <w:pPr>
        <w:pStyle w:val="SectionHeading"/>
        <w:spacing w:before="0" w:after="0" w:line="240" w:lineRule="auto"/>
        <w:jc w:val="both"/>
        <w:rPr>
          <w:rFonts w:eastAsia="SimSun"/>
          <w:b w:val="0"/>
          <w:bCs w:val="0"/>
          <w:caps w:val="0"/>
          <w:szCs w:val="20"/>
          <w:lang w:val="es-ES_tradnl"/>
        </w:rPr>
      </w:pPr>
      <w:r w:rsidRPr="00595DCA">
        <w:rPr>
          <w:rFonts w:eastAsia="SimSun"/>
          <w:b w:val="0"/>
          <w:bCs w:val="0"/>
          <w:caps w:val="0"/>
          <w:szCs w:val="20"/>
          <w:lang w:val="es-ES_tradnl"/>
        </w:rPr>
        <w:t>El IMPI tiene la firme convicción de que su designación como Autoridad Internacional de Búsqueda y de Examen Preliminar fortalecerá el sistema del PCT al brindar más opciones de calidad para los usuarios, fomentar la participación regional, y contribuir a la eficiencia general del sistema. El Instituto reitera su compromiso con los principios de calidad, transparencia y cooperación internacional que sustentan el Tratado, y está preparado técnica y operativamente para asumir con responsabilidad este nuevo papel dentro del sistema internacional de patentes.</w:t>
      </w:r>
    </w:p>
    <w:p w14:paraId="6DCAF32E" w14:textId="77777777" w:rsidR="00331A82" w:rsidRPr="00992A92" w:rsidRDefault="00331A82" w:rsidP="00331A82">
      <w:pPr>
        <w:rPr>
          <w:lang w:val="es-ES_tradnl"/>
        </w:rPr>
      </w:pPr>
    </w:p>
    <w:p w14:paraId="1DE0142A" w14:textId="77777777" w:rsidR="00331A82" w:rsidRPr="00595DCA" w:rsidRDefault="00331A82" w:rsidP="000C6E93">
      <w:pPr>
        <w:pStyle w:val="SectionHeading"/>
        <w:spacing w:before="0" w:after="0" w:line="240" w:lineRule="auto"/>
        <w:rPr>
          <w:lang w:val="es-ES_tradnl"/>
        </w:rPr>
      </w:pPr>
      <w:r w:rsidRPr="00595DCA">
        <w:rPr>
          <w:lang w:val="es-ES_tradnl"/>
        </w:rPr>
        <w:t>5. Estados solicitantes</w:t>
      </w:r>
    </w:p>
    <w:p w14:paraId="38724AD4" w14:textId="77777777" w:rsidR="00331A82" w:rsidRPr="00595DCA" w:rsidRDefault="00331A82" w:rsidP="000C6E93">
      <w:pPr>
        <w:keepNext/>
        <w:rPr>
          <w:lang w:val="es-ES_tradnl"/>
        </w:rPr>
      </w:pPr>
    </w:p>
    <w:p w14:paraId="13AD6A01" w14:textId="77777777" w:rsidR="00331A82" w:rsidRPr="00595DCA" w:rsidRDefault="00331A82" w:rsidP="000C6E93">
      <w:pPr>
        <w:pStyle w:val="Question"/>
        <w:rPr>
          <w:lang w:val="es-ES_tradnl"/>
        </w:rPr>
      </w:pPr>
      <w:r w:rsidRPr="00595DCA">
        <w:rPr>
          <w:lang w:val="es-ES_tradnl"/>
        </w:rPr>
        <w:t>a)</w:t>
      </w:r>
      <w:r w:rsidRPr="00595DCA">
        <w:rPr>
          <w:lang w:val="es-ES_tradnl"/>
        </w:rPr>
        <w:tab/>
        <w:t>Ubicación regional:</w:t>
      </w:r>
    </w:p>
    <w:p w14:paraId="7EC86AAC" w14:textId="77777777" w:rsidR="00331A82" w:rsidRPr="00595DCA" w:rsidRDefault="00331A82" w:rsidP="000C6E93">
      <w:pPr>
        <w:pStyle w:val="Answer"/>
        <w:keepNext/>
        <w:ind w:left="0"/>
        <w:rPr>
          <w:lang w:val="es-ES_tradnl"/>
        </w:rPr>
      </w:pPr>
      <w:r w:rsidRPr="00595DCA">
        <w:rPr>
          <w:lang w:val="es-ES_tradnl"/>
        </w:rPr>
        <w:t>Las sedes principales del IMPI se encuentran en la Ciudad de México, capital de México.</w:t>
      </w:r>
    </w:p>
    <w:p w14:paraId="69B13F2B" w14:textId="77777777" w:rsidR="00331A82" w:rsidRPr="00595DCA" w:rsidRDefault="00331A82" w:rsidP="00331A82">
      <w:pPr>
        <w:jc w:val="center"/>
        <w:rPr>
          <w:szCs w:val="22"/>
          <w:lang w:val="es-ES_tradnl"/>
        </w:rPr>
      </w:pPr>
      <w:r w:rsidRPr="00595DCA">
        <w:rPr>
          <w:noProof/>
          <w:szCs w:val="22"/>
          <w:lang w:val="es-ES_tradnl"/>
        </w:rPr>
        <w:drawing>
          <wp:inline distT="0" distB="0" distL="0" distR="0" wp14:anchorId="00169B0B" wp14:editId="7E469CEE">
            <wp:extent cx="2895600" cy="2509941"/>
            <wp:effectExtent l="0" t="0" r="0" b="5080"/>
            <wp:docPr id="812994945" name="Imagen 2" descr="Mapa de México mostrando la ubicación de la Ciudad de Méx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994945" name="Imagen 2" descr="Mapa de México mostrando la ubicación de la Ciudad de Méxic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5831" cy="2518809"/>
                    </a:xfrm>
                    <a:prstGeom prst="rect">
                      <a:avLst/>
                    </a:prstGeom>
                    <a:noFill/>
                    <a:ln>
                      <a:noFill/>
                    </a:ln>
                  </pic:spPr>
                </pic:pic>
              </a:graphicData>
            </a:graphic>
          </wp:inline>
        </w:drawing>
      </w:r>
    </w:p>
    <w:p w14:paraId="4FD14A08" w14:textId="77777777" w:rsidR="00331A82" w:rsidRPr="00595DCA" w:rsidRDefault="00331A82" w:rsidP="00331A82">
      <w:pPr>
        <w:jc w:val="center"/>
        <w:rPr>
          <w:szCs w:val="22"/>
          <w:lang w:val="es-ES_tradnl"/>
        </w:rPr>
      </w:pPr>
    </w:p>
    <w:p w14:paraId="2B1206F3" w14:textId="77777777" w:rsidR="00331A82" w:rsidRPr="00595DCA" w:rsidRDefault="00331A82" w:rsidP="00331A82">
      <w:pPr>
        <w:pStyle w:val="Question"/>
        <w:spacing w:after="0"/>
        <w:rPr>
          <w:lang w:val="es-ES_tradnl"/>
        </w:rPr>
      </w:pPr>
      <w:r w:rsidRPr="00595DCA">
        <w:rPr>
          <w:lang w:val="es-ES_tradnl"/>
        </w:rPr>
        <w:t>b)</w:t>
      </w:r>
      <w:r w:rsidRPr="00595DCA">
        <w:rPr>
          <w:lang w:val="es-ES_tradnl"/>
        </w:rPr>
        <w:tab/>
        <w:t>Pertenencia a organizaciones regionales:</w:t>
      </w:r>
    </w:p>
    <w:p w14:paraId="6DA15D49" w14:textId="77777777" w:rsidR="00331A82" w:rsidRPr="00595DCA" w:rsidRDefault="00331A82" w:rsidP="00331A82">
      <w:pPr>
        <w:pStyle w:val="Answer"/>
        <w:spacing w:after="0"/>
        <w:ind w:left="0"/>
        <w:rPr>
          <w:lang w:val="es-ES_tradnl"/>
        </w:rPr>
      </w:pPr>
    </w:p>
    <w:p w14:paraId="62849E85" w14:textId="77777777" w:rsidR="00331A82" w:rsidRPr="00595DCA" w:rsidRDefault="00331A82" w:rsidP="00331A82">
      <w:pPr>
        <w:pStyle w:val="Answer"/>
        <w:spacing w:after="0"/>
        <w:ind w:left="0"/>
        <w:rPr>
          <w:lang w:val="es-ES_tradnl"/>
        </w:rPr>
      </w:pPr>
      <w:r w:rsidRPr="00595DCA">
        <w:rPr>
          <w:lang w:val="es-ES_tradnl"/>
        </w:rPr>
        <w:t>México forma parte de la OMPI desde el 14 de junio de 1975. México es parte de 20 tratados administrados por la OMPI.</w:t>
      </w:r>
    </w:p>
    <w:p w14:paraId="14C24ED4" w14:textId="77777777" w:rsidR="00331A82" w:rsidRPr="00595DCA" w:rsidRDefault="00331A82" w:rsidP="00331A82">
      <w:pPr>
        <w:pStyle w:val="Answer"/>
        <w:spacing w:after="0"/>
        <w:ind w:left="0"/>
        <w:rPr>
          <w:lang w:val="es-ES_tradnl"/>
        </w:rPr>
      </w:pPr>
    </w:p>
    <w:p w14:paraId="7D56CDD0" w14:textId="77777777" w:rsidR="00331A82" w:rsidRPr="00595DCA" w:rsidRDefault="00331A82" w:rsidP="00331A82">
      <w:pPr>
        <w:pStyle w:val="Answer"/>
        <w:ind w:left="0"/>
        <w:rPr>
          <w:lang w:val="es-ES_tradnl"/>
        </w:rPr>
      </w:pPr>
      <w:r w:rsidRPr="00595DCA">
        <w:rPr>
          <w:lang w:val="es-ES_tradnl"/>
        </w:rPr>
        <w:t>Otras organizaciones regionales de las que México forma parte:</w:t>
      </w:r>
    </w:p>
    <w:p w14:paraId="0622AA9D" w14:textId="77777777" w:rsidR="00331A82" w:rsidRPr="00595DCA" w:rsidRDefault="00331A82" w:rsidP="00331A82">
      <w:pPr>
        <w:pStyle w:val="Answer"/>
        <w:numPr>
          <w:ilvl w:val="0"/>
          <w:numId w:val="23"/>
        </w:numPr>
        <w:rPr>
          <w:lang w:val="es-ES_tradnl"/>
        </w:rPr>
      </w:pPr>
      <w:r w:rsidRPr="00595DCA">
        <w:rPr>
          <w:lang w:val="es-ES_tradnl"/>
        </w:rPr>
        <w:t>Comunidad de Estados Latinoamericanos y Caribeños (CELAC)</w:t>
      </w:r>
    </w:p>
    <w:p w14:paraId="7AF7FADC" w14:textId="77777777" w:rsidR="00331A82" w:rsidRPr="00595DCA" w:rsidRDefault="00331A82" w:rsidP="00331A82">
      <w:pPr>
        <w:pStyle w:val="Answer"/>
        <w:numPr>
          <w:ilvl w:val="0"/>
          <w:numId w:val="23"/>
        </w:numPr>
        <w:rPr>
          <w:lang w:val="es-ES_tradnl"/>
        </w:rPr>
      </w:pPr>
      <w:r w:rsidRPr="00595DCA">
        <w:rPr>
          <w:lang w:val="es-ES_tradnl"/>
        </w:rPr>
        <w:t>Organización de los Estados Americanos (OEA)</w:t>
      </w:r>
    </w:p>
    <w:p w14:paraId="165FC21C" w14:textId="77777777" w:rsidR="00331A82" w:rsidRPr="00595DCA" w:rsidRDefault="00331A82" w:rsidP="00331A82">
      <w:pPr>
        <w:pStyle w:val="Answer"/>
        <w:numPr>
          <w:ilvl w:val="0"/>
          <w:numId w:val="23"/>
        </w:numPr>
        <w:rPr>
          <w:lang w:val="es-ES_tradnl"/>
        </w:rPr>
      </w:pPr>
      <w:r w:rsidRPr="00595DCA">
        <w:rPr>
          <w:lang w:val="es-ES_tradnl"/>
        </w:rPr>
        <w:t>Asociación de Estados del Caribe (AEC)</w:t>
      </w:r>
    </w:p>
    <w:p w14:paraId="72A66D22" w14:textId="77777777" w:rsidR="00331A82" w:rsidRPr="00595DCA" w:rsidRDefault="00331A82" w:rsidP="00331A82">
      <w:pPr>
        <w:pStyle w:val="Answer"/>
        <w:numPr>
          <w:ilvl w:val="0"/>
          <w:numId w:val="23"/>
        </w:numPr>
        <w:rPr>
          <w:lang w:val="es-ES_tradnl"/>
        </w:rPr>
      </w:pPr>
      <w:r w:rsidRPr="00595DCA">
        <w:rPr>
          <w:lang w:val="es-ES_tradnl"/>
        </w:rPr>
        <w:t>Asociación Latinoamericana de Integración (ALADI)</w:t>
      </w:r>
    </w:p>
    <w:p w14:paraId="75B59DB2" w14:textId="77777777" w:rsidR="00331A82" w:rsidRPr="00595DCA" w:rsidRDefault="00331A82" w:rsidP="00331A82">
      <w:pPr>
        <w:pStyle w:val="Answer"/>
        <w:numPr>
          <w:ilvl w:val="0"/>
          <w:numId w:val="23"/>
        </w:numPr>
        <w:spacing w:after="0"/>
        <w:rPr>
          <w:lang w:val="es-ES_tradnl"/>
        </w:rPr>
      </w:pPr>
      <w:r w:rsidRPr="00595DCA">
        <w:rPr>
          <w:lang w:val="es-ES_tradnl"/>
        </w:rPr>
        <w:t>Comisión Económica para América Latina y el Caribe (CEPAL)</w:t>
      </w:r>
    </w:p>
    <w:p w14:paraId="536FA8AE" w14:textId="77777777" w:rsidR="00331A82" w:rsidRPr="00595DCA" w:rsidRDefault="00331A82" w:rsidP="00331A82">
      <w:pPr>
        <w:pStyle w:val="Answer"/>
        <w:spacing w:after="0"/>
        <w:ind w:left="0"/>
        <w:rPr>
          <w:lang w:val="es-ES_tradnl"/>
        </w:rPr>
      </w:pPr>
    </w:p>
    <w:p w14:paraId="7DA6EE27" w14:textId="77777777" w:rsidR="00331A82" w:rsidRPr="00595DCA" w:rsidRDefault="00331A82" w:rsidP="00331A82">
      <w:pPr>
        <w:pStyle w:val="Question"/>
        <w:spacing w:after="0"/>
        <w:rPr>
          <w:lang w:val="es-ES_tradnl"/>
        </w:rPr>
      </w:pPr>
      <w:r w:rsidRPr="00595DCA">
        <w:rPr>
          <w:lang w:val="es-ES_tradnl"/>
        </w:rPr>
        <w:t>c)</w:t>
      </w:r>
      <w:r w:rsidRPr="00595DCA">
        <w:rPr>
          <w:lang w:val="es-ES_tradnl"/>
        </w:rPr>
        <w:tab/>
        <w:t>Población:</w:t>
      </w:r>
    </w:p>
    <w:p w14:paraId="080B514C" w14:textId="77777777" w:rsidR="00331A82" w:rsidRPr="00595DCA" w:rsidRDefault="00331A82" w:rsidP="00331A82">
      <w:pPr>
        <w:pStyle w:val="Answer"/>
        <w:spacing w:after="0"/>
        <w:ind w:left="0"/>
        <w:rPr>
          <w:lang w:val="es-ES_tradnl"/>
        </w:rPr>
      </w:pPr>
    </w:p>
    <w:p w14:paraId="353A7F4A" w14:textId="77777777" w:rsidR="00331A82" w:rsidRPr="00595DCA" w:rsidRDefault="00331A82" w:rsidP="00331A82">
      <w:pPr>
        <w:pStyle w:val="Answer"/>
        <w:spacing w:after="0"/>
        <w:ind w:left="0"/>
        <w:rPr>
          <w:lang w:val="es-ES_tradnl"/>
        </w:rPr>
      </w:pPr>
      <w:r w:rsidRPr="00595DCA">
        <w:rPr>
          <w:lang w:val="es-ES_tradnl"/>
        </w:rPr>
        <w:t>La población en México es de 130.9 millones de personas (2024, información del Banco Mundial)</w:t>
      </w:r>
    </w:p>
    <w:p w14:paraId="203219F1" w14:textId="77777777" w:rsidR="00331A82" w:rsidRPr="00595DCA" w:rsidRDefault="00331A82" w:rsidP="00331A82">
      <w:pPr>
        <w:pStyle w:val="Answer"/>
        <w:spacing w:after="0"/>
        <w:ind w:left="0"/>
        <w:rPr>
          <w:lang w:val="es-ES_tradnl"/>
        </w:rPr>
      </w:pPr>
    </w:p>
    <w:p w14:paraId="3D1A0725" w14:textId="77777777" w:rsidR="00331A82" w:rsidRPr="00595DCA" w:rsidRDefault="00331A82" w:rsidP="00331A82">
      <w:pPr>
        <w:pStyle w:val="Question"/>
        <w:spacing w:after="0"/>
        <w:rPr>
          <w:lang w:val="es-ES_tradnl"/>
        </w:rPr>
      </w:pPr>
      <w:r w:rsidRPr="00595DCA">
        <w:rPr>
          <w:lang w:val="es-ES_tradnl"/>
        </w:rPr>
        <w:t>d)</w:t>
      </w:r>
      <w:r w:rsidRPr="00595DCA">
        <w:rPr>
          <w:lang w:val="es-ES_tradnl"/>
        </w:rPr>
        <w:tab/>
        <w:t>PIB per cápita:</w:t>
      </w:r>
    </w:p>
    <w:p w14:paraId="2A90F30E" w14:textId="77777777" w:rsidR="00331A82" w:rsidRPr="00595DCA" w:rsidRDefault="00331A82" w:rsidP="00331A82">
      <w:pPr>
        <w:pStyle w:val="Answer"/>
        <w:spacing w:after="0"/>
        <w:ind w:left="0"/>
        <w:rPr>
          <w:lang w:val="es-ES_tradnl"/>
        </w:rPr>
      </w:pPr>
    </w:p>
    <w:p w14:paraId="15C9270C" w14:textId="77777777" w:rsidR="00331A82" w:rsidRPr="00595DCA" w:rsidRDefault="00331A82" w:rsidP="00331A82">
      <w:pPr>
        <w:pStyle w:val="Answer"/>
        <w:spacing w:after="0"/>
        <w:ind w:left="0"/>
        <w:rPr>
          <w:lang w:val="es-ES_tradnl"/>
        </w:rPr>
      </w:pPr>
      <w:r w:rsidRPr="00595DCA">
        <w:rPr>
          <w:lang w:val="es-ES_tradnl"/>
        </w:rPr>
        <w:t xml:space="preserve">14,157.9 dólares estadounidenses </w:t>
      </w:r>
      <w:r w:rsidRPr="00595DCA">
        <w:rPr>
          <w:lang w:val="es-MX"/>
        </w:rPr>
        <w:t>(2024, información del Banco Mundial)</w:t>
      </w:r>
    </w:p>
    <w:p w14:paraId="60EBAB5C" w14:textId="77777777" w:rsidR="00331A82" w:rsidRPr="00595DCA" w:rsidRDefault="00331A82" w:rsidP="00331A82">
      <w:pPr>
        <w:pStyle w:val="Answer"/>
        <w:spacing w:after="0"/>
        <w:rPr>
          <w:lang w:val="es-ES_tradnl"/>
        </w:rPr>
      </w:pPr>
    </w:p>
    <w:p w14:paraId="4C19C482" w14:textId="77777777" w:rsidR="00331A82" w:rsidRPr="00595DCA" w:rsidRDefault="00331A82" w:rsidP="00331A82">
      <w:pPr>
        <w:pStyle w:val="Question"/>
        <w:keepNext w:val="0"/>
        <w:keepLines w:val="0"/>
        <w:spacing w:after="0"/>
        <w:rPr>
          <w:lang w:val="es-ES_tradnl"/>
        </w:rPr>
      </w:pPr>
      <w:r w:rsidRPr="00595DCA">
        <w:rPr>
          <w:lang w:val="es-ES_tradnl"/>
        </w:rPr>
        <w:t>e)</w:t>
      </w:r>
      <w:r w:rsidRPr="00595DCA">
        <w:rPr>
          <w:lang w:val="es-ES_tradnl"/>
        </w:rPr>
        <w:tab/>
        <w:t>Gasto nacional estimado en I+D (% del PIB):</w:t>
      </w:r>
    </w:p>
    <w:p w14:paraId="13949223" w14:textId="77777777" w:rsidR="00331A82" w:rsidRPr="00595DCA" w:rsidRDefault="00331A82" w:rsidP="00331A82">
      <w:pPr>
        <w:pStyle w:val="Answer"/>
        <w:spacing w:after="0"/>
        <w:ind w:left="0"/>
        <w:rPr>
          <w:lang w:val="es-ES_tradnl"/>
        </w:rPr>
      </w:pPr>
    </w:p>
    <w:p w14:paraId="45B6F333" w14:textId="77777777" w:rsidR="00331A82" w:rsidRPr="00595DCA" w:rsidRDefault="00331A82" w:rsidP="00331A82">
      <w:pPr>
        <w:pStyle w:val="Answer"/>
        <w:spacing w:after="0"/>
        <w:ind w:left="0"/>
        <w:rPr>
          <w:lang w:val="es-ES_tradnl"/>
        </w:rPr>
      </w:pPr>
      <w:r w:rsidRPr="00595DCA">
        <w:rPr>
          <w:lang w:val="es-ES_tradnl"/>
        </w:rPr>
        <w:t>0.27% (2023, información del Banco Mundial)</w:t>
      </w:r>
    </w:p>
    <w:p w14:paraId="169CC4FF" w14:textId="77777777" w:rsidR="00331A82" w:rsidRPr="00595DCA" w:rsidRDefault="00331A82" w:rsidP="00331A82">
      <w:pPr>
        <w:pStyle w:val="Answer"/>
        <w:spacing w:after="0"/>
        <w:ind w:left="0"/>
        <w:rPr>
          <w:lang w:val="es-ES_tradnl"/>
        </w:rPr>
      </w:pPr>
    </w:p>
    <w:p w14:paraId="173E1978" w14:textId="77777777" w:rsidR="00331A82" w:rsidRPr="00595DCA" w:rsidRDefault="00331A82" w:rsidP="000C6E93">
      <w:pPr>
        <w:pStyle w:val="Answer"/>
        <w:keepNext/>
        <w:spacing w:after="0"/>
        <w:ind w:left="0"/>
        <w:jc w:val="both"/>
        <w:rPr>
          <w:lang w:val="es-ES_tradnl"/>
        </w:rPr>
      </w:pPr>
      <w:r w:rsidRPr="00595DCA">
        <w:rPr>
          <w:b/>
          <w:bCs/>
          <w:lang w:val="es-ES_tradnl"/>
        </w:rPr>
        <w:t>f)</w:t>
      </w:r>
      <w:r w:rsidRPr="00595DCA">
        <w:rPr>
          <w:lang w:val="es-ES_tradnl"/>
        </w:rPr>
        <w:tab/>
      </w:r>
      <w:r w:rsidRPr="004D6CB2">
        <w:rPr>
          <w:b/>
          <w:bCs/>
          <w:lang w:val="es-ES_tradnl"/>
        </w:rPr>
        <w:t>Número de universidades dedicadas a la investigación</w:t>
      </w:r>
      <w:r w:rsidRPr="00595DCA">
        <w:rPr>
          <w:lang w:val="es-ES_tradnl"/>
        </w:rPr>
        <w:t xml:space="preserve">: </w:t>
      </w:r>
    </w:p>
    <w:p w14:paraId="4463D83A" w14:textId="77777777" w:rsidR="00331A82" w:rsidRPr="00595DCA" w:rsidRDefault="00331A82" w:rsidP="000C6E93">
      <w:pPr>
        <w:pStyle w:val="Answer"/>
        <w:keepNext/>
        <w:spacing w:after="0"/>
        <w:ind w:left="0"/>
        <w:jc w:val="both"/>
        <w:rPr>
          <w:lang w:val="es-ES_tradnl"/>
        </w:rPr>
      </w:pPr>
    </w:p>
    <w:p w14:paraId="456AF56C" w14:textId="77777777" w:rsidR="00331A82" w:rsidRPr="00595DCA" w:rsidRDefault="00331A82" w:rsidP="000C6E93">
      <w:pPr>
        <w:pStyle w:val="Answer"/>
        <w:keepNext/>
        <w:spacing w:after="0"/>
        <w:ind w:left="0"/>
        <w:jc w:val="both"/>
        <w:rPr>
          <w:lang w:val="es-ES_tradnl"/>
        </w:rPr>
      </w:pPr>
      <w:r w:rsidRPr="00595DCA">
        <w:rPr>
          <w:lang w:val="es-ES_tradnl"/>
        </w:rPr>
        <w:t xml:space="preserve">En México cuenta con más de 900 universidades públicas, autónomas, tecnológicas, politécnicas, interculturales, entre otras y además cuenta con 3,401 universidades privadas. Todas ellas altamente comprometidas con los proyectos de investigación. </w:t>
      </w:r>
    </w:p>
    <w:p w14:paraId="33560D99" w14:textId="77777777" w:rsidR="00331A82" w:rsidRPr="00595DCA" w:rsidRDefault="00331A82" w:rsidP="00331A82">
      <w:pPr>
        <w:pStyle w:val="Answer"/>
        <w:spacing w:after="0"/>
        <w:ind w:left="0"/>
        <w:jc w:val="both"/>
        <w:rPr>
          <w:i/>
          <w:iCs/>
          <w:lang w:val="es-ES_tradnl"/>
        </w:rPr>
      </w:pPr>
    </w:p>
    <w:p w14:paraId="07546680" w14:textId="77777777" w:rsidR="00331A82" w:rsidRPr="00595DCA" w:rsidRDefault="00331A82" w:rsidP="00331A82">
      <w:pPr>
        <w:pStyle w:val="Answer"/>
        <w:spacing w:after="0"/>
        <w:ind w:left="0"/>
        <w:jc w:val="both"/>
        <w:rPr>
          <w:lang w:val="es-ES_tradnl"/>
        </w:rPr>
      </w:pPr>
      <w:r w:rsidRPr="00595DCA">
        <w:rPr>
          <w:b/>
          <w:bCs/>
          <w:lang w:val="es-ES_tradnl"/>
        </w:rPr>
        <w:t>g)</w:t>
      </w:r>
      <w:r w:rsidRPr="00595DCA">
        <w:rPr>
          <w:lang w:val="es-ES_tradnl"/>
        </w:rPr>
        <w:tab/>
      </w:r>
      <w:r w:rsidRPr="00595DCA">
        <w:rPr>
          <w:b/>
          <w:bCs/>
          <w:lang w:val="es-ES_tradnl"/>
        </w:rPr>
        <w:t>Breve descripción de la red nacional de información sobre patentes:</w:t>
      </w:r>
      <w:r w:rsidRPr="00595DCA">
        <w:rPr>
          <w:lang w:val="es-ES_tradnl"/>
        </w:rPr>
        <w:t xml:space="preserve"> </w:t>
      </w:r>
    </w:p>
    <w:p w14:paraId="4BECEDA7" w14:textId="77777777" w:rsidR="00331A82" w:rsidRPr="00595DCA" w:rsidRDefault="00331A82" w:rsidP="00331A82">
      <w:pPr>
        <w:pStyle w:val="Answer"/>
        <w:spacing w:after="0"/>
        <w:ind w:left="0"/>
        <w:jc w:val="both"/>
        <w:rPr>
          <w:lang w:val="es-ES_tradnl"/>
        </w:rPr>
      </w:pPr>
    </w:p>
    <w:p w14:paraId="5B65FF80" w14:textId="0AD07C56" w:rsidR="00331A82" w:rsidRPr="00595DCA" w:rsidRDefault="00331A82" w:rsidP="00331A82">
      <w:pPr>
        <w:pStyle w:val="Answer"/>
        <w:spacing w:after="0"/>
        <w:ind w:left="0"/>
        <w:jc w:val="both"/>
        <w:rPr>
          <w:lang w:val="es-ES_tradnl"/>
        </w:rPr>
      </w:pPr>
      <w:r w:rsidRPr="00595DCA">
        <w:rPr>
          <w:lang w:val="es-ES_tradnl"/>
        </w:rPr>
        <w:t xml:space="preserve">El IMPI cuenta con un portal denominado SIGA (Sistema de Información de la Gaceta de la Propiedad Industrial) en el que se publican las Gacetas de las Patentes, Registros o cualquier información de interés sobre la Propiedad Industrial y las materias que se determinen con el objeto de darle la difusión legal que mandata la Ley Federal de Protección a la Propiedad Industrial; además, el SIGA te permitirá buscar y consultar los expedientes completos en pdf desde 2001 y descargar en formato XML la información bibliográfica y resumen de los ejemplares de solicitudes y concesiones que se tienen disponible al público, misma que se puede acceder a través de la siguiente liga: </w:t>
      </w:r>
      <w:hyperlink r:id="rId16" w:history="1">
        <w:r w:rsidRPr="00595DCA">
          <w:rPr>
            <w:lang w:val="es-ES_tradnl"/>
          </w:rPr>
          <w:t>https://siga.impi.gob.mx/</w:t>
        </w:r>
      </w:hyperlink>
    </w:p>
    <w:p w14:paraId="7307B78D" w14:textId="77777777" w:rsidR="00331A82" w:rsidRPr="00595DCA" w:rsidRDefault="00331A82" w:rsidP="00331A82">
      <w:pPr>
        <w:pStyle w:val="Question"/>
        <w:keepNext w:val="0"/>
        <w:keepLines w:val="0"/>
        <w:spacing w:after="0"/>
        <w:rPr>
          <w:lang w:val="es-ES_tradnl"/>
        </w:rPr>
      </w:pPr>
    </w:p>
    <w:p w14:paraId="0A198533" w14:textId="77777777" w:rsidR="00331A82" w:rsidRPr="00595DCA" w:rsidRDefault="00331A82" w:rsidP="00331A82">
      <w:pPr>
        <w:pStyle w:val="Question"/>
        <w:keepNext w:val="0"/>
        <w:keepLines w:val="0"/>
        <w:spacing w:after="0"/>
        <w:rPr>
          <w:b w:val="0"/>
          <w:bCs w:val="0"/>
          <w:color w:val="0070C0"/>
          <w:lang w:val="es-ES_tradnl"/>
        </w:rPr>
      </w:pPr>
      <w:r w:rsidRPr="00595DCA">
        <w:rPr>
          <w:lang w:val="es-ES_tradnl"/>
        </w:rPr>
        <w:t>h)</w:t>
      </w:r>
      <w:r w:rsidRPr="00595DCA">
        <w:rPr>
          <w:lang w:val="es-ES_tradnl"/>
        </w:rPr>
        <w:tab/>
        <w:t xml:space="preserve">Industrias principales: </w:t>
      </w:r>
    </w:p>
    <w:p w14:paraId="1017BB70" w14:textId="77777777" w:rsidR="00331A82" w:rsidRPr="00595DCA" w:rsidRDefault="00331A82" w:rsidP="00331A82">
      <w:pPr>
        <w:pStyle w:val="Answer"/>
        <w:spacing w:after="0"/>
        <w:rPr>
          <w:lang w:val="es-ES_tradnl"/>
        </w:rPr>
      </w:pPr>
    </w:p>
    <w:p w14:paraId="797E7D38" w14:textId="77777777" w:rsidR="00331A82" w:rsidRPr="00595DCA" w:rsidRDefault="00331A82" w:rsidP="00331A82">
      <w:pPr>
        <w:pStyle w:val="Answer"/>
        <w:spacing w:after="0"/>
        <w:ind w:left="0"/>
        <w:rPr>
          <w:lang w:val="es-ES_tradnl"/>
        </w:rPr>
      </w:pPr>
      <w:r w:rsidRPr="00595DCA">
        <w:rPr>
          <w:lang w:val="es-ES_tradnl"/>
        </w:rPr>
        <w:t>Las principales industrias en México incluyen la manufactura (especialmente automotriz, electrónica y aeroespacial), la industria alimentaria, la construcción, la minería y el sector energético (Indicador Mensual de la Actividad Industrial del INEGI).</w:t>
      </w:r>
    </w:p>
    <w:p w14:paraId="0496BCC4" w14:textId="77777777" w:rsidR="00331A82" w:rsidRPr="00595DCA" w:rsidRDefault="00331A82" w:rsidP="00331A82">
      <w:pPr>
        <w:pStyle w:val="Question"/>
        <w:keepNext w:val="0"/>
        <w:keepLines w:val="0"/>
        <w:spacing w:after="0"/>
        <w:rPr>
          <w:lang w:val="es-ES_tradnl"/>
        </w:rPr>
      </w:pPr>
    </w:p>
    <w:p w14:paraId="25D46294" w14:textId="77777777" w:rsidR="00331A82" w:rsidRPr="00595DCA" w:rsidRDefault="00331A82" w:rsidP="00331A82">
      <w:pPr>
        <w:pStyle w:val="Answer"/>
        <w:spacing w:after="0"/>
        <w:ind w:left="0"/>
        <w:rPr>
          <w:b/>
          <w:bCs/>
          <w:lang w:val="es-ES_tradnl"/>
        </w:rPr>
      </w:pPr>
      <w:r w:rsidRPr="00595DCA">
        <w:rPr>
          <w:b/>
          <w:bCs/>
          <w:lang w:val="es-ES_tradnl"/>
        </w:rPr>
        <w:t>i)</w:t>
      </w:r>
      <w:r w:rsidRPr="00595DCA">
        <w:rPr>
          <w:b/>
          <w:bCs/>
          <w:lang w:val="es-ES_tradnl"/>
        </w:rPr>
        <w:tab/>
        <w:t>Principales socios comerciales:</w:t>
      </w:r>
    </w:p>
    <w:p w14:paraId="5FD68428" w14:textId="77777777" w:rsidR="00331A82" w:rsidRPr="00595DCA" w:rsidRDefault="00331A82" w:rsidP="00331A82">
      <w:pPr>
        <w:pStyle w:val="Answer"/>
        <w:spacing w:after="0"/>
        <w:ind w:left="0"/>
        <w:rPr>
          <w:b/>
          <w:bCs/>
          <w:lang w:val="es-ES_tradnl"/>
        </w:rPr>
      </w:pPr>
    </w:p>
    <w:p w14:paraId="4398DBCE" w14:textId="77777777" w:rsidR="00331A82" w:rsidRPr="00595DCA" w:rsidRDefault="00331A82" w:rsidP="00331A82">
      <w:pPr>
        <w:pStyle w:val="Answer"/>
        <w:spacing w:after="0"/>
        <w:ind w:left="0"/>
        <w:rPr>
          <w:lang w:val="es-ES_tradnl"/>
        </w:rPr>
      </w:pPr>
      <w:r w:rsidRPr="00595DCA">
        <w:rPr>
          <w:lang w:val="es-ES_tradnl"/>
        </w:rPr>
        <w:t xml:space="preserve">Estados Unidos de América, China, Alemania, Japón y </w:t>
      </w:r>
      <w:r w:rsidRPr="00D424E5">
        <w:rPr>
          <w:lang w:val="es-ES_tradnl"/>
        </w:rPr>
        <w:t>República de Corea</w:t>
      </w:r>
      <w:r w:rsidRPr="00595DCA">
        <w:rPr>
          <w:lang w:val="es-ES_tradnl"/>
        </w:rPr>
        <w:t xml:space="preserve"> (información de comercio exterior del INEGI).</w:t>
      </w:r>
    </w:p>
    <w:p w14:paraId="5A354F8B" w14:textId="77777777" w:rsidR="00331A82" w:rsidRPr="00595DCA" w:rsidRDefault="00331A82" w:rsidP="00331A82">
      <w:pPr>
        <w:pStyle w:val="Answer"/>
        <w:spacing w:after="0"/>
        <w:rPr>
          <w:lang w:val="es-ES_tradnl"/>
        </w:rPr>
      </w:pPr>
    </w:p>
    <w:p w14:paraId="4A395BF1" w14:textId="77777777" w:rsidR="00331A82" w:rsidRPr="00595DCA" w:rsidRDefault="00331A82" w:rsidP="00331A82">
      <w:pPr>
        <w:pStyle w:val="Question"/>
        <w:keepNext w:val="0"/>
        <w:keepLines w:val="0"/>
        <w:spacing w:after="0"/>
        <w:rPr>
          <w:lang w:val="es-ES_tradnl"/>
        </w:rPr>
      </w:pPr>
      <w:r w:rsidRPr="00595DCA">
        <w:rPr>
          <w:lang w:val="es-ES_tradnl"/>
        </w:rPr>
        <w:t>j)</w:t>
      </w:r>
      <w:r w:rsidRPr="00595DCA">
        <w:rPr>
          <w:lang w:val="es-ES_tradnl"/>
        </w:rPr>
        <w:tab/>
        <w:t>Otra información importante:</w:t>
      </w:r>
    </w:p>
    <w:p w14:paraId="1588FB3A" w14:textId="77777777" w:rsidR="00331A82" w:rsidRPr="00595DCA" w:rsidRDefault="00331A82" w:rsidP="00331A82">
      <w:pPr>
        <w:pStyle w:val="Answer"/>
        <w:spacing w:after="0"/>
        <w:ind w:left="0"/>
        <w:jc w:val="both"/>
        <w:rPr>
          <w:i/>
          <w:iCs/>
          <w:lang w:val="es-ES_tradnl"/>
        </w:rPr>
      </w:pPr>
    </w:p>
    <w:p w14:paraId="431AAF45" w14:textId="77777777" w:rsidR="00331A82" w:rsidRPr="00595DCA" w:rsidRDefault="00331A82" w:rsidP="00331A82">
      <w:pPr>
        <w:pStyle w:val="Answer"/>
        <w:spacing w:after="0"/>
        <w:ind w:left="0"/>
        <w:jc w:val="both"/>
        <w:rPr>
          <w:lang w:val="es-ES_tradnl"/>
        </w:rPr>
      </w:pPr>
      <w:r w:rsidRPr="00595DCA">
        <w:rPr>
          <w:lang w:val="es-ES_tradnl"/>
        </w:rPr>
        <w:t>Desde que México forma Parte contratante de la Organización Mundial de la Propiedad Intelectual (OMPI) en la década de los años 70, se ha demostrado un claro interés en fortalecer el sistema de protección de la propiedad intelectual en México y fomentar que ésta impulse la innovación.</w:t>
      </w:r>
    </w:p>
    <w:p w14:paraId="71C2C3AE" w14:textId="77777777" w:rsidR="00331A82" w:rsidRPr="00595DCA" w:rsidRDefault="00331A82" w:rsidP="00331A82">
      <w:pPr>
        <w:pStyle w:val="Answer"/>
        <w:spacing w:after="0"/>
        <w:ind w:left="0"/>
        <w:jc w:val="both"/>
        <w:rPr>
          <w:lang w:val="es-ES_tradnl"/>
        </w:rPr>
      </w:pPr>
    </w:p>
    <w:p w14:paraId="57D9CD57" w14:textId="77777777" w:rsidR="00331A82" w:rsidRPr="00595DCA" w:rsidRDefault="00331A82" w:rsidP="00331A82">
      <w:pPr>
        <w:pStyle w:val="Answer"/>
        <w:spacing w:after="0"/>
        <w:ind w:left="0"/>
        <w:jc w:val="both"/>
        <w:rPr>
          <w:lang w:val="es-ES_tradnl"/>
        </w:rPr>
      </w:pPr>
      <w:r w:rsidRPr="00595DCA">
        <w:rPr>
          <w:lang w:val="es-ES_tradnl"/>
        </w:rPr>
        <w:t>Actualmente, la presidenta de México emitió el "Plan México", el cual se centra en la innovación y la propiedad intelectual como pilares para el desarrollo económico, buscando transitar de un modelo de consumo a uno de producción de innovación. Esto se logra mediante el fortalecimiento de un sistema de propiedad intelectual que proteja las creaciones y, al mismo tiempo, impulse su transferencia del ámbito académico y científico al productivo.</w:t>
      </w:r>
    </w:p>
    <w:p w14:paraId="59A7686F" w14:textId="77777777" w:rsidR="00331A82" w:rsidRPr="00595DCA" w:rsidRDefault="00331A82" w:rsidP="00331A82">
      <w:pPr>
        <w:pStyle w:val="Answer"/>
        <w:spacing w:after="0"/>
        <w:ind w:left="0"/>
        <w:jc w:val="both"/>
        <w:rPr>
          <w:lang w:val="es-ES_tradnl"/>
        </w:rPr>
      </w:pPr>
    </w:p>
    <w:p w14:paraId="065E3E66" w14:textId="77777777" w:rsidR="00331A82" w:rsidRPr="00595DCA" w:rsidRDefault="00331A82" w:rsidP="00331A82">
      <w:pPr>
        <w:pStyle w:val="Answer"/>
        <w:spacing w:after="0"/>
        <w:ind w:left="0"/>
        <w:jc w:val="both"/>
        <w:rPr>
          <w:lang w:val="es-ES_tradnl"/>
        </w:rPr>
      </w:pPr>
      <w:r w:rsidRPr="00595DCA">
        <w:rPr>
          <w:lang w:val="es-ES_tradnl"/>
        </w:rPr>
        <w:t>De la misma forma, el Plan Nacional de Desarrollo 2025-2030 contempla convertir a México en una potencia científica, tecnológica y de innovación, el cual contempla el Eje Transversal 2: Innovación pública para el desarrollo tecnológico nacional, estableciendo que dicha innovación permitirá que México avance hacia la autosuficiencia digital y construir un gobierno del futuro, basado en la tecnología, la soberanía digital y la participación ciudadana, para lograr un desarrollo nacional inclusivo y sostenible.</w:t>
      </w:r>
    </w:p>
    <w:p w14:paraId="688C7AE3" w14:textId="77777777" w:rsidR="00331A82" w:rsidRPr="00595DCA" w:rsidRDefault="00331A82" w:rsidP="00331A82">
      <w:pPr>
        <w:pStyle w:val="Answer"/>
        <w:spacing w:after="0"/>
        <w:ind w:left="0"/>
        <w:jc w:val="both"/>
        <w:rPr>
          <w:lang w:val="es-ES_tradnl"/>
        </w:rPr>
      </w:pPr>
    </w:p>
    <w:p w14:paraId="70533A44" w14:textId="77777777" w:rsidR="00331A82" w:rsidRPr="00595DCA" w:rsidRDefault="00331A82" w:rsidP="00331A82">
      <w:pPr>
        <w:pStyle w:val="Answer"/>
        <w:keepNext/>
        <w:spacing w:after="0"/>
        <w:ind w:left="0"/>
        <w:jc w:val="both"/>
        <w:rPr>
          <w:lang w:val="es-ES_tradnl"/>
        </w:rPr>
      </w:pPr>
      <w:r w:rsidRPr="00595DCA">
        <w:rPr>
          <w:lang w:val="es-ES_tradnl"/>
        </w:rPr>
        <w:t>Asimismo, el Eje transversal 2 establece un objetivo relevante, a saber:</w:t>
      </w:r>
    </w:p>
    <w:p w14:paraId="43EF40CF" w14:textId="77777777" w:rsidR="00331A82" w:rsidRPr="00595DCA" w:rsidRDefault="00331A82" w:rsidP="00331A82">
      <w:pPr>
        <w:pStyle w:val="Answer"/>
        <w:keepNext/>
        <w:spacing w:after="0"/>
        <w:ind w:left="0"/>
        <w:jc w:val="both"/>
        <w:rPr>
          <w:lang w:val="es-ES_tradnl"/>
        </w:rPr>
      </w:pPr>
    </w:p>
    <w:p w14:paraId="4C9613A6" w14:textId="77777777" w:rsidR="00331A82" w:rsidRPr="00595DCA" w:rsidRDefault="00331A82" w:rsidP="00331A82">
      <w:pPr>
        <w:pStyle w:val="Answer"/>
        <w:keepNext/>
        <w:spacing w:after="0"/>
        <w:ind w:left="0"/>
        <w:jc w:val="both"/>
        <w:rPr>
          <w:i/>
          <w:iCs/>
          <w:lang w:val="es-ES_tradnl"/>
        </w:rPr>
      </w:pPr>
      <w:r w:rsidRPr="00595DCA">
        <w:rPr>
          <w:i/>
          <w:iCs/>
          <w:lang w:val="es-ES_tradnl"/>
        </w:rPr>
        <w:t>“Objetivo T2.4: Impulsar la investigación colaborativa, el desarrollo tecnológico y la innovación en sectores estratégicos, con el objetivo de convertir a México en una potencia científica y tecnológica soberana, orientada hacia un desarrollo con bienestar y prosperidad. Este enfoque promoverá la formación científica, la generación de conocimiento y la transferencia tecnológica con visión humanista, contribuyendo al progreso integral del país.”</w:t>
      </w:r>
    </w:p>
    <w:p w14:paraId="347CA7F7" w14:textId="77777777" w:rsidR="00331A82" w:rsidRPr="00595DCA" w:rsidRDefault="00331A82" w:rsidP="00331A82">
      <w:pPr>
        <w:pStyle w:val="Answer"/>
        <w:spacing w:after="0"/>
        <w:ind w:left="0"/>
        <w:jc w:val="both"/>
        <w:rPr>
          <w:lang w:val="es-ES_tradnl"/>
        </w:rPr>
      </w:pPr>
    </w:p>
    <w:p w14:paraId="2D446E59" w14:textId="77777777" w:rsidR="00331A82" w:rsidRPr="00595DCA" w:rsidRDefault="00331A82" w:rsidP="00331A82">
      <w:pPr>
        <w:pStyle w:val="Answer"/>
        <w:spacing w:after="0"/>
        <w:ind w:left="0"/>
        <w:jc w:val="both"/>
        <w:rPr>
          <w:lang w:val="es-ES_tradnl"/>
        </w:rPr>
      </w:pPr>
    </w:p>
    <w:p w14:paraId="354A07FA" w14:textId="77777777" w:rsidR="00331A82" w:rsidRPr="00595DCA" w:rsidRDefault="00331A82" w:rsidP="00331A82">
      <w:pPr>
        <w:pStyle w:val="SectionHeading"/>
        <w:spacing w:before="0" w:after="0" w:line="240" w:lineRule="auto"/>
        <w:rPr>
          <w:lang w:val="es-ES_tradnl"/>
        </w:rPr>
      </w:pPr>
      <w:r w:rsidRPr="00595DCA">
        <w:rPr>
          <w:lang w:val="es-ES_tradnl"/>
        </w:rPr>
        <w:t>6. Perfil de las solicitudes de patente</w:t>
      </w:r>
    </w:p>
    <w:p w14:paraId="7420CBC6" w14:textId="77777777" w:rsidR="00331A82" w:rsidRPr="00595DCA" w:rsidRDefault="00331A82" w:rsidP="00331A82">
      <w:pPr>
        <w:pStyle w:val="Answer"/>
        <w:spacing w:after="0"/>
        <w:ind w:left="0"/>
        <w:jc w:val="both"/>
        <w:rPr>
          <w:i/>
          <w:iCs/>
          <w:lang w:val="es-ES_tradnl"/>
        </w:rPr>
      </w:pPr>
    </w:p>
    <w:p w14:paraId="29364F7C" w14:textId="77777777" w:rsidR="00331A82" w:rsidRPr="00595DCA" w:rsidRDefault="00331A82" w:rsidP="00331A82">
      <w:pPr>
        <w:pStyle w:val="Question"/>
        <w:spacing w:after="0"/>
        <w:rPr>
          <w:lang w:val="es-ES_tradnl"/>
        </w:rPr>
      </w:pPr>
      <w:r w:rsidRPr="00595DCA">
        <w:rPr>
          <w:lang w:val="es-ES_tradnl"/>
        </w:rPr>
        <w:t>a)</w:t>
      </w:r>
      <w:r w:rsidRPr="00595DCA">
        <w:rPr>
          <w:lang w:val="es-ES_tradnl"/>
        </w:rPr>
        <w:tab/>
        <w:t>Número de solicitudes nacionales recibidas, por campo técnico:</w:t>
      </w:r>
    </w:p>
    <w:p w14:paraId="239418E6" w14:textId="77777777" w:rsidR="00331A82" w:rsidRPr="00595DCA" w:rsidRDefault="00331A82" w:rsidP="00331A82">
      <w:pPr>
        <w:pStyle w:val="Answer"/>
        <w:spacing w:after="0"/>
        <w:ind w:left="0"/>
        <w:jc w:val="both"/>
        <w:rPr>
          <w:i/>
          <w:iCs/>
          <w:lang w:val="es-ES_tradnl"/>
        </w:rPr>
      </w:pPr>
    </w:p>
    <w:p w14:paraId="038BE2A9" w14:textId="77777777" w:rsidR="00331A82" w:rsidRPr="00595DCA" w:rsidRDefault="00331A82" w:rsidP="00331A82">
      <w:pPr>
        <w:pStyle w:val="Answer"/>
        <w:spacing w:after="0"/>
        <w:ind w:left="0"/>
        <w:jc w:val="both"/>
        <w:rPr>
          <w:i/>
          <w:iCs/>
          <w:lang w:val="es-ES_tradnl"/>
        </w:rPr>
      </w:pPr>
    </w:p>
    <w:tbl>
      <w:tblPr>
        <w:tblW w:w="9405" w:type="dxa"/>
        <w:tblInd w:w="-3" w:type="dxa"/>
        <w:tblCellMar>
          <w:left w:w="0" w:type="dxa"/>
          <w:right w:w="0" w:type="dxa"/>
        </w:tblCellMar>
        <w:tblLook w:val="04A0" w:firstRow="1" w:lastRow="0" w:firstColumn="1" w:lastColumn="0" w:noHBand="0" w:noVBand="1"/>
        <w:tblCaption w:val="Número de solicitudes nacionales recibidas, por campo técnico"/>
        <w:tblDescription w:val="Este cuadro muestra el número de solicitudes nacionales presentadas por campo técnico para cada año de 2020 a 2024 inclusive."/>
      </w:tblPr>
      <w:tblGrid>
        <w:gridCol w:w="4020"/>
        <w:gridCol w:w="1077"/>
        <w:gridCol w:w="1077"/>
        <w:gridCol w:w="1077"/>
        <w:gridCol w:w="1077"/>
        <w:gridCol w:w="1077"/>
      </w:tblGrid>
      <w:tr w:rsidR="00331A82" w:rsidRPr="00595DCA" w14:paraId="242AE473" w14:textId="77777777" w:rsidTr="00CF5D13">
        <w:trPr>
          <w:trHeight w:val="300"/>
        </w:trPr>
        <w:tc>
          <w:tcPr>
            <w:tcW w:w="4020" w:type="dxa"/>
            <w:tcBorders>
              <w:top w:val="single" w:sz="8" w:space="0" w:color="auto"/>
              <w:left w:val="single" w:sz="8" w:space="0" w:color="auto"/>
              <w:bottom w:val="single" w:sz="8" w:space="0" w:color="auto"/>
              <w:right w:val="single" w:sz="8" w:space="0" w:color="auto"/>
            </w:tcBorders>
            <w:shd w:val="clear" w:color="auto" w:fill="1E5B4F"/>
            <w:noWrap/>
            <w:tcMar>
              <w:top w:w="0" w:type="dxa"/>
              <w:left w:w="70" w:type="dxa"/>
              <w:bottom w:w="0" w:type="dxa"/>
              <w:right w:w="70" w:type="dxa"/>
            </w:tcMar>
            <w:vAlign w:val="center"/>
            <w:hideMark/>
          </w:tcPr>
          <w:p w14:paraId="28831C3A" w14:textId="77777777" w:rsidR="00331A82" w:rsidRPr="00A0065F" w:rsidRDefault="00331A82" w:rsidP="00CF5D13">
            <w:pPr>
              <w:jc w:val="center"/>
              <w:rPr>
                <w:rFonts w:eastAsiaTheme="minorHAnsi"/>
                <w:b/>
                <w:bCs/>
                <w:color w:val="FFFFFF" w:themeColor="background1"/>
                <w:lang w:eastAsia="es-MX"/>
              </w:rPr>
            </w:pPr>
            <w:r w:rsidRPr="00A0065F">
              <w:rPr>
                <w:b/>
                <w:bCs/>
                <w:color w:val="FFFFFF" w:themeColor="background1"/>
                <w:lang w:val="es-ES_tradnl" w:eastAsia="es-MX"/>
              </w:rPr>
              <w:t>Año</w:t>
            </w:r>
          </w:p>
        </w:tc>
        <w:tc>
          <w:tcPr>
            <w:tcW w:w="1077" w:type="dxa"/>
            <w:vMerge w:val="restart"/>
            <w:tcBorders>
              <w:top w:val="single" w:sz="8" w:space="0" w:color="auto"/>
              <w:left w:val="nil"/>
              <w:bottom w:val="single" w:sz="8" w:space="0" w:color="auto"/>
              <w:right w:val="single" w:sz="8" w:space="0" w:color="auto"/>
            </w:tcBorders>
            <w:shd w:val="clear" w:color="auto" w:fill="1E5B4F"/>
            <w:noWrap/>
            <w:tcMar>
              <w:top w:w="0" w:type="dxa"/>
              <w:left w:w="70" w:type="dxa"/>
              <w:bottom w:w="0" w:type="dxa"/>
              <w:right w:w="70" w:type="dxa"/>
            </w:tcMar>
            <w:vAlign w:val="center"/>
            <w:hideMark/>
          </w:tcPr>
          <w:p w14:paraId="48DEA4B4" w14:textId="77777777" w:rsidR="00331A82" w:rsidRPr="00A0065F" w:rsidRDefault="00331A82" w:rsidP="00CF5D13">
            <w:pPr>
              <w:jc w:val="center"/>
              <w:rPr>
                <w:b/>
                <w:bCs/>
                <w:color w:val="FFFFFF" w:themeColor="background1"/>
                <w:lang w:eastAsia="es-MX"/>
              </w:rPr>
            </w:pPr>
            <w:r w:rsidRPr="00A0065F">
              <w:rPr>
                <w:b/>
                <w:bCs/>
                <w:color w:val="FFFFFF" w:themeColor="background1"/>
                <w:lang w:val="es-ES_tradnl" w:eastAsia="es-MX"/>
              </w:rPr>
              <w:t>2020</w:t>
            </w:r>
          </w:p>
        </w:tc>
        <w:tc>
          <w:tcPr>
            <w:tcW w:w="1077" w:type="dxa"/>
            <w:vMerge w:val="restart"/>
            <w:tcBorders>
              <w:top w:val="single" w:sz="8" w:space="0" w:color="auto"/>
              <w:left w:val="nil"/>
              <w:bottom w:val="single" w:sz="8" w:space="0" w:color="auto"/>
              <w:right w:val="single" w:sz="8" w:space="0" w:color="auto"/>
            </w:tcBorders>
            <w:shd w:val="clear" w:color="auto" w:fill="1E5B4F"/>
            <w:noWrap/>
            <w:tcMar>
              <w:top w:w="0" w:type="dxa"/>
              <w:left w:w="70" w:type="dxa"/>
              <w:bottom w:w="0" w:type="dxa"/>
              <w:right w:w="70" w:type="dxa"/>
            </w:tcMar>
            <w:vAlign w:val="center"/>
            <w:hideMark/>
          </w:tcPr>
          <w:p w14:paraId="206159BF" w14:textId="77777777" w:rsidR="00331A82" w:rsidRPr="00A0065F" w:rsidRDefault="00331A82" w:rsidP="00CF5D13">
            <w:pPr>
              <w:jc w:val="center"/>
              <w:rPr>
                <w:b/>
                <w:bCs/>
                <w:color w:val="FFFFFF" w:themeColor="background1"/>
                <w:lang w:eastAsia="es-MX"/>
              </w:rPr>
            </w:pPr>
            <w:r w:rsidRPr="00A0065F">
              <w:rPr>
                <w:b/>
                <w:bCs/>
                <w:color w:val="FFFFFF" w:themeColor="background1"/>
                <w:lang w:val="es-ES_tradnl" w:eastAsia="es-MX"/>
              </w:rPr>
              <w:t>2021</w:t>
            </w:r>
          </w:p>
        </w:tc>
        <w:tc>
          <w:tcPr>
            <w:tcW w:w="1077" w:type="dxa"/>
            <w:vMerge w:val="restart"/>
            <w:tcBorders>
              <w:top w:val="single" w:sz="8" w:space="0" w:color="auto"/>
              <w:left w:val="nil"/>
              <w:bottom w:val="single" w:sz="8" w:space="0" w:color="auto"/>
              <w:right w:val="single" w:sz="8" w:space="0" w:color="auto"/>
            </w:tcBorders>
            <w:shd w:val="clear" w:color="auto" w:fill="1E5B4F"/>
            <w:noWrap/>
            <w:tcMar>
              <w:top w:w="0" w:type="dxa"/>
              <w:left w:w="70" w:type="dxa"/>
              <w:bottom w:w="0" w:type="dxa"/>
              <w:right w:w="70" w:type="dxa"/>
            </w:tcMar>
            <w:vAlign w:val="center"/>
            <w:hideMark/>
          </w:tcPr>
          <w:p w14:paraId="51BCAB62" w14:textId="77777777" w:rsidR="00331A82" w:rsidRPr="00A0065F" w:rsidRDefault="00331A82" w:rsidP="00CF5D13">
            <w:pPr>
              <w:jc w:val="center"/>
              <w:rPr>
                <w:b/>
                <w:bCs/>
                <w:color w:val="FFFFFF" w:themeColor="background1"/>
                <w:lang w:eastAsia="es-MX"/>
              </w:rPr>
            </w:pPr>
            <w:r w:rsidRPr="00A0065F">
              <w:rPr>
                <w:b/>
                <w:bCs/>
                <w:color w:val="FFFFFF" w:themeColor="background1"/>
                <w:lang w:val="es-ES_tradnl" w:eastAsia="es-MX"/>
              </w:rPr>
              <w:t>2022</w:t>
            </w:r>
          </w:p>
        </w:tc>
        <w:tc>
          <w:tcPr>
            <w:tcW w:w="1077" w:type="dxa"/>
            <w:vMerge w:val="restart"/>
            <w:tcBorders>
              <w:top w:val="single" w:sz="8" w:space="0" w:color="auto"/>
              <w:left w:val="nil"/>
              <w:bottom w:val="single" w:sz="8" w:space="0" w:color="auto"/>
              <w:right w:val="single" w:sz="8" w:space="0" w:color="auto"/>
            </w:tcBorders>
            <w:shd w:val="clear" w:color="auto" w:fill="1E5B4F"/>
            <w:noWrap/>
            <w:tcMar>
              <w:top w:w="0" w:type="dxa"/>
              <w:left w:w="70" w:type="dxa"/>
              <w:bottom w:w="0" w:type="dxa"/>
              <w:right w:w="70" w:type="dxa"/>
            </w:tcMar>
            <w:vAlign w:val="center"/>
            <w:hideMark/>
          </w:tcPr>
          <w:p w14:paraId="4E07B4E1" w14:textId="77777777" w:rsidR="00331A82" w:rsidRPr="00A0065F" w:rsidRDefault="00331A82" w:rsidP="00CF5D13">
            <w:pPr>
              <w:jc w:val="center"/>
              <w:rPr>
                <w:b/>
                <w:bCs/>
                <w:color w:val="FFFFFF" w:themeColor="background1"/>
                <w:lang w:eastAsia="es-MX"/>
              </w:rPr>
            </w:pPr>
            <w:r w:rsidRPr="00A0065F">
              <w:rPr>
                <w:b/>
                <w:bCs/>
                <w:color w:val="FFFFFF" w:themeColor="background1"/>
                <w:lang w:val="es-ES_tradnl" w:eastAsia="es-MX"/>
              </w:rPr>
              <w:t>2023</w:t>
            </w:r>
          </w:p>
        </w:tc>
        <w:tc>
          <w:tcPr>
            <w:tcW w:w="1077" w:type="dxa"/>
            <w:vMerge w:val="restart"/>
            <w:tcBorders>
              <w:top w:val="single" w:sz="8" w:space="0" w:color="auto"/>
              <w:left w:val="nil"/>
              <w:bottom w:val="single" w:sz="8" w:space="0" w:color="auto"/>
              <w:right w:val="single" w:sz="8" w:space="0" w:color="auto"/>
            </w:tcBorders>
            <w:shd w:val="clear" w:color="auto" w:fill="1E5B4F"/>
            <w:noWrap/>
            <w:tcMar>
              <w:top w:w="0" w:type="dxa"/>
              <w:left w:w="70" w:type="dxa"/>
              <w:bottom w:w="0" w:type="dxa"/>
              <w:right w:w="70" w:type="dxa"/>
            </w:tcMar>
            <w:vAlign w:val="center"/>
            <w:hideMark/>
          </w:tcPr>
          <w:p w14:paraId="18B2F342" w14:textId="77777777" w:rsidR="00331A82" w:rsidRPr="00A0065F" w:rsidRDefault="00331A82" w:rsidP="00CF5D13">
            <w:pPr>
              <w:jc w:val="center"/>
              <w:rPr>
                <w:b/>
                <w:bCs/>
                <w:color w:val="FFFFFF" w:themeColor="background1"/>
                <w:lang w:eastAsia="es-MX"/>
              </w:rPr>
            </w:pPr>
            <w:r w:rsidRPr="00A0065F">
              <w:rPr>
                <w:b/>
                <w:bCs/>
                <w:color w:val="FFFFFF" w:themeColor="background1"/>
                <w:lang w:val="es-ES_tradnl" w:eastAsia="es-MX"/>
              </w:rPr>
              <w:t>2024</w:t>
            </w:r>
          </w:p>
        </w:tc>
      </w:tr>
      <w:tr w:rsidR="00331A82" w:rsidRPr="00595DCA" w14:paraId="4F0042C5" w14:textId="77777777" w:rsidTr="00CF5D13">
        <w:trPr>
          <w:trHeight w:val="300"/>
        </w:trPr>
        <w:tc>
          <w:tcPr>
            <w:tcW w:w="4020" w:type="dxa"/>
            <w:tcBorders>
              <w:top w:val="nil"/>
              <w:left w:val="single" w:sz="8" w:space="0" w:color="auto"/>
              <w:bottom w:val="single" w:sz="8" w:space="0" w:color="auto"/>
              <w:right w:val="single" w:sz="8" w:space="0" w:color="auto"/>
            </w:tcBorders>
            <w:shd w:val="clear" w:color="auto" w:fill="1E5B4F"/>
            <w:noWrap/>
            <w:tcMar>
              <w:top w:w="0" w:type="dxa"/>
              <w:left w:w="70" w:type="dxa"/>
              <w:bottom w:w="0" w:type="dxa"/>
              <w:right w:w="70" w:type="dxa"/>
            </w:tcMar>
            <w:vAlign w:val="center"/>
            <w:hideMark/>
          </w:tcPr>
          <w:p w14:paraId="1C8ACF78" w14:textId="77777777" w:rsidR="00331A82" w:rsidRPr="00A0065F" w:rsidRDefault="00331A82" w:rsidP="00CF5D13">
            <w:pPr>
              <w:jc w:val="center"/>
              <w:rPr>
                <w:b/>
                <w:bCs/>
                <w:color w:val="FFFFFF" w:themeColor="background1"/>
                <w:lang w:eastAsia="es-MX"/>
              </w:rPr>
            </w:pPr>
            <w:r w:rsidRPr="00A0065F">
              <w:rPr>
                <w:b/>
                <w:bCs/>
                <w:color w:val="FFFFFF" w:themeColor="background1"/>
                <w:lang w:val="es-ES_tradnl" w:eastAsia="es-MX"/>
              </w:rPr>
              <w:t>Campo técnico (Coordinación de estudio)</w:t>
            </w:r>
          </w:p>
        </w:tc>
        <w:tc>
          <w:tcPr>
            <w:tcW w:w="1077" w:type="dxa"/>
            <w:vMerge/>
            <w:tcBorders>
              <w:top w:val="single" w:sz="8" w:space="0" w:color="auto"/>
              <w:left w:val="nil"/>
              <w:bottom w:val="single" w:sz="8" w:space="0" w:color="auto"/>
              <w:right w:val="single" w:sz="8" w:space="0" w:color="auto"/>
            </w:tcBorders>
            <w:vAlign w:val="center"/>
            <w:hideMark/>
          </w:tcPr>
          <w:p w14:paraId="1445F135" w14:textId="77777777" w:rsidR="00331A82" w:rsidRPr="00A0065F" w:rsidRDefault="00331A82" w:rsidP="00CF5D13">
            <w:pPr>
              <w:rPr>
                <w:rFonts w:eastAsiaTheme="minorHAnsi"/>
                <w:b/>
                <w:bCs/>
                <w:color w:val="0070C0"/>
                <w:szCs w:val="22"/>
                <w:lang w:eastAsia="es-MX"/>
              </w:rPr>
            </w:pPr>
          </w:p>
        </w:tc>
        <w:tc>
          <w:tcPr>
            <w:tcW w:w="1077" w:type="dxa"/>
            <w:vMerge/>
            <w:tcBorders>
              <w:top w:val="single" w:sz="8" w:space="0" w:color="auto"/>
              <w:left w:val="nil"/>
              <w:bottom w:val="single" w:sz="8" w:space="0" w:color="auto"/>
              <w:right w:val="single" w:sz="8" w:space="0" w:color="auto"/>
            </w:tcBorders>
            <w:vAlign w:val="center"/>
            <w:hideMark/>
          </w:tcPr>
          <w:p w14:paraId="5A434416" w14:textId="77777777" w:rsidR="00331A82" w:rsidRPr="00A0065F" w:rsidRDefault="00331A82" w:rsidP="00CF5D13">
            <w:pPr>
              <w:rPr>
                <w:rFonts w:eastAsiaTheme="minorHAnsi"/>
                <w:b/>
                <w:bCs/>
                <w:color w:val="0070C0"/>
                <w:szCs w:val="22"/>
                <w:lang w:eastAsia="es-MX"/>
              </w:rPr>
            </w:pPr>
          </w:p>
        </w:tc>
        <w:tc>
          <w:tcPr>
            <w:tcW w:w="1077" w:type="dxa"/>
            <w:vMerge/>
            <w:tcBorders>
              <w:top w:val="single" w:sz="8" w:space="0" w:color="auto"/>
              <w:left w:val="nil"/>
              <w:bottom w:val="single" w:sz="8" w:space="0" w:color="auto"/>
              <w:right w:val="single" w:sz="8" w:space="0" w:color="auto"/>
            </w:tcBorders>
            <w:vAlign w:val="center"/>
            <w:hideMark/>
          </w:tcPr>
          <w:p w14:paraId="6197E4EB" w14:textId="77777777" w:rsidR="00331A82" w:rsidRPr="00A0065F" w:rsidRDefault="00331A82" w:rsidP="00CF5D13">
            <w:pPr>
              <w:rPr>
                <w:rFonts w:eastAsiaTheme="minorHAnsi"/>
                <w:b/>
                <w:bCs/>
                <w:color w:val="0070C0"/>
                <w:szCs w:val="22"/>
                <w:lang w:eastAsia="es-MX"/>
              </w:rPr>
            </w:pPr>
          </w:p>
        </w:tc>
        <w:tc>
          <w:tcPr>
            <w:tcW w:w="1077" w:type="dxa"/>
            <w:vMerge/>
            <w:tcBorders>
              <w:top w:val="single" w:sz="8" w:space="0" w:color="auto"/>
              <w:left w:val="nil"/>
              <w:bottom w:val="single" w:sz="8" w:space="0" w:color="auto"/>
              <w:right w:val="single" w:sz="8" w:space="0" w:color="auto"/>
            </w:tcBorders>
            <w:vAlign w:val="center"/>
            <w:hideMark/>
          </w:tcPr>
          <w:p w14:paraId="1B35FEEA" w14:textId="77777777" w:rsidR="00331A82" w:rsidRPr="00A0065F" w:rsidRDefault="00331A82" w:rsidP="00CF5D13">
            <w:pPr>
              <w:rPr>
                <w:rFonts w:eastAsiaTheme="minorHAnsi"/>
                <w:b/>
                <w:bCs/>
                <w:color w:val="0070C0"/>
                <w:szCs w:val="22"/>
                <w:lang w:eastAsia="es-MX"/>
              </w:rPr>
            </w:pPr>
          </w:p>
        </w:tc>
        <w:tc>
          <w:tcPr>
            <w:tcW w:w="1077" w:type="dxa"/>
            <w:vMerge/>
            <w:tcBorders>
              <w:top w:val="single" w:sz="8" w:space="0" w:color="auto"/>
              <w:left w:val="nil"/>
              <w:bottom w:val="single" w:sz="8" w:space="0" w:color="auto"/>
              <w:right w:val="single" w:sz="8" w:space="0" w:color="auto"/>
            </w:tcBorders>
            <w:vAlign w:val="center"/>
            <w:hideMark/>
          </w:tcPr>
          <w:p w14:paraId="01810DEF" w14:textId="77777777" w:rsidR="00331A82" w:rsidRPr="00A0065F" w:rsidRDefault="00331A82" w:rsidP="00CF5D13">
            <w:pPr>
              <w:rPr>
                <w:rFonts w:eastAsiaTheme="minorHAnsi"/>
                <w:b/>
                <w:bCs/>
                <w:color w:val="0070C0"/>
                <w:szCs w:val="22"/>
                <w:lang w:eastAsia="es-MX"/>
              </w:rPr>
            </w:pPr>
          </w:p>
        </w:tc>
      </w:tr>
      <w:tr w:rsidR="00331A82" w:rsidRPr="00595DCA" w14:paraId="0FF643CD" w14:textId="77777777" w:rsidTr="00CF5D13">
        <w:trPr>
          <w:trHeight w:val="300"/>
        </w:trPr>
        <w:tc>
          <w:tcPr>
            <w:tcW w:w="4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80E5B34" w14:textId="77777777" w:rsidR="00331A82" w:rsidRPr="00A0065F" w:rsidRDefault="00331A82" w:rsidP="00CF5D13">
            <w:pPr>
              <w:rPr>
                <w:lang w:eastAsia="es-MX"/>
              </w:rPr>
            </w:pPr>
            <w:r w:rsidRPr="00A0065F">
              <w:rPr>
                <w:lang w:eastAsia="es-MX"/>
              </w:rPr>
              <w:t>Biotecnológico</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9CDC4D0" w14:textId="77777777" w:rsidR="00331A82" w:rsidRPr="00A0065F" w:rsidRDefault="00331A82" w:rsidP="00CF5D13">
            <w:pPr>
              <w:jc w:val="center"/>
              <w:rPr>
                <w:lang w:eastAsia="es-MX"/>
              </w:rPr>
            </w:pPr>
            <w:r w:rsidRPr="00A0065F">
              <w:rPr>
                <w:lang w:eastAsia="es-MX"/>
              </w:rPr>
              <w:t>2,971</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604411F" w14:textId="77777777" w:rsidR="00331A82" w:rsidRPr="00A0065F" w:rsidRDefault="00331A82" w:rsidP="00CF5D13">
            <w:pPr>
              <w:jc w:val="center"/>
              <w:rPr>
                <w:lang w:eastAsia="es-MX"/>
              </w:rPr>
            </w:pPr>
            <w:r w:rsidRPr="00A0065F">
              <w:rPr>
                <w:lang w:eastAsia="es-MX"/>
              </w:rPr>
              <w:t>3,529</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C4308C6" w14:textId="77777777" w:rsidR="00331A82" w:rsidRPr="00A0065F" w:rsidRDefault="00331A82" w:rsidP="00CF5D13">
            <w:pPr>
              <w:jc w:val="center"/>
              <w:rPr>
                <w:lang w:eastAsia="es-MX"/>
              </w:rPr>
            </w:pPr>
            <w:r w:rsidRPr="00A0065F">
              <w:rPr>
                <w:lang w:eastAsia="es-MX"/>
              </w:rPr>
              <w:t>3,809</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2B4447D" w14:textId="77777777" w:rsidR="00331A82" w:rsidRPr="00A0065F" w:rsidRDefault="00331A82" w:rsidP="00CF5D13">
            <w:pPr>
              <w:jc w:val="center"/>
              <w:rPr>
                <w:lang w:eastAsia="es-MX"/>
              </w:rPr>
            </w:pPr>
            <w:r w:rsidRPr="00A0065F">
              <w:rPr>
                <w:lang w:eastAsia="es-MX"/>
              </w:rPr>
              <w:t>3,319</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8B4177F" w14:textId="77777777" w:rsidR="00331A82" w:rsidRPr="00A0065F" w:rsidRDefault="00331A82" w:rsidP="00CF5D13">
            <w:pPr>
              <w:jc w:val="center"/>
              <w:rPr>
                <w:lang w:eastAsia="es-MX"/>
              </w:rPr>
            </w:pPr>
            <w:r w:rsidRPr="00A0065F">
              <w:rPr>
                <w:lang w:eastAsia="es-MX"/>
              </w:rPr>
              <w:t>2,886</w:t>
            </w:r>
          </w:p>
        </w:tc>
      </w:tr>
      <w:tr w:rsidR="00331A82" w:rsidRPr="00595DCA" w14:paraId="7C0A12B4" w14:textId="77777777" w:rsidTr="00CF5D13">
        <w:trPr>
          <w:cantSplit/>
          <w:trHeight w:val="300"/>
        </w:trPr>
        <w:tc>
          <w:tcPr>
            <w:tcW w:w="4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593BFB9" w14:textId="77777777" w:rsidR="00331A82" w:rsidRPr="00A0065F" w:rsidRDefault="00331A82" w:rsidP="00CF5D13">
            <w:pPr>
              <w:rPr>
                <w:lang w:eastAsia="es-MX"/>
              </w:rPr>
            </w:pPr>
            <w:r w:rsidRPr="00A0065F">
              <w:rPr>
                <w:lang w:val="es-ES_tradnl" w:eastAsia="es-MX"/>
              </w:rPr>
              <w:t>Eléctrico/electrónico</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02F1B83" w14:textId="77777777" w:rsidR="00331A82" w:rsidRPr="00A0065F" w:rsidRDefault="00331A82" w:rsidP="00CF5D13">
            <w:pPr>
              <w:jc w:val="center"/>
              <w:rPr>
                <w:lang w:eastAsia="es-MX"/>
              </w:rPr>
            </w:pPr>
            <w:r w:rsidRPr="00A0065F">
              <w:rPr>
                <w:lang w:val="es-ES_tradnl" w:eastAsia="es-MX"/>
              </w:rPr>
              <w:t>3,128</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A3F3B71" w14:textId="77777777" w:rsidR="00331A82" w:rsidRPr="00A0065F" w:rsidRDefault="00331A82" w:rsidP="00CF5D13">
            <w:pPr>
              <w:jc w:val="center"/>
              <w:rPr>
                <w:lang w:eastAsia="es-MX"/>
              </w:rPr>
            </w:pPr>
            <w:r w:rsidRPr="00A0065F">
              <w:rPr>
                <w:lang w:val="es-ES_tradnl" w:eastAsia="es-MX"/>
              </w:rPr>
              <w:t>3,772</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6D84980" w14:textId="77777777" w:rsidR="00331A82" w:rsidRPr="00A0065F" w:rsidRDefault="00331A82" w:rsidP="00CF5D13">
            <w:pPr>
              <w:jc w:val="center"/>
              <w:rPr>
                <w:lang w:eastAsia="es-MX"/>
              </w:rPr>
            </w:pPr>
            <w:r w:rsidRPr="00A0065F">
              <w:rPr>
                <w:lang w:val="es-ES_tradnl" w:eastAsia="es-MX"/>
              </w:rPr>
              <w:t>3,662</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288791D" w14:textId="77777777" w:rsidR="00331A82" w:rsidRPr="00A0065F" w:rsidRDefault="00331A82" w:rsidP="00CF5D13">
            <w:pPr>
              <w:jc w:val="center"/>
              <w:rPr>
                <w:lang w:eastAsia="es-MX"/>
              </w:rPr>
            </w:pPr>
            <w:r w:rsidRPr="00A0065F">
              <w:rPr>
                <w:lang w:val="es-ES_tradnl" w:eastAsia="es-MX"/>
              </w:rPr>
              <w:t>2,811</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89AF732" w14:textId="77777777" w:rsidR="00331A82" w:rsidRPr="00A0065F" w:rsidRDefault="00331A82" w:rsidP="00CF5D13">
            <w:pPr>
              <w:jc w:val="center"/>
              <w:rPr>
                <w:lang w:eastAsia="es-MX"/>
              </w:rPr>
            </w:pPr>
            <w:r w:rsidRPr="00A0065F">
              <w:rPr>
                <w:lang w:val="es-ES_tradnl" w:eastAsia="es-MX"/>
              </w:rPr>
              <w:t>3,181</w:t>
            </w:r>
          </w:p>
        </w:tc>
      </w:tr>
      <w:tr w:rsidR="00331A82" w:rsidRPr="00595DCA" w14:paraId="022B0A20" w14:textId="77777777" w:rsidTr="00CF5D13">
        <w:trPr>
          <w:cantSplit/>
          <w:trHeight w:val="300"/>
        </w:trPr>
        <w:tc>
          <w:tcPr>
            <w:tcW w:w="4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97C768F" w14:textId="77777777" w:rsidR="00331A82" w:rsidRPr="00A0065F" w:rsidRDefault="00331A82" w:rsidP="00CF5D13">
            <w:pPr>
              <w:rPr>
                <w:lang w:eastAsia="es-MX"/>
              </w:rPr>
            </w:pPr>
            <w:r w:rsidRPr="00A0065F">
              <w:rPr>
                <w:lang w:val="es-ES_tradnl" w:eastAsia="es-MX"/>
              </w:rPr>
              <w:t>Farmacéutico</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6DD0678" w14:textId="77777777" w:rsidR="00331A82" w:rsidRPr="00A0065F" w:rsidRDefault="00331A82" w:rsidP="00CF5D13">
            <w:pPr>
              <w:jc w:val="center"/>
              <w:rPr>
                <w:lang w:eastAsia="es-MX"/>
              </w:rPr>
            </w:pPr>
            <w:r w:rsidRPr="00A0065F">
              <w:rPr>
                <w:lang w:val="es-ES_tradnl" w:eastAsia="es-MX"/>
              </w:rPr>
              <w:t>2,069</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84DFE1E" w14:textId="77777777" w:rsidR="00331A82" w:rsidRPr="00A0065F" w:rsidRDefault="00331A82" w:rsidP="00CF5D13">
            <w:pPr>
              <w:jc w:val="center"/>
              <w:rPr>
                <w:lang w:eastAsia="es-MX"/>
              </w:rPr>
            </w:pPr>
            <w:r w:rsidRPr="00A0065F">
              <w:rPr>
                <w:lang w:val="es-ES_tradnl" w:eastAsia="es-MX"/>
              </w:rPr>
              <w:t>2,314</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31A742E" w14:textId="77777777" w:rsidR="00331A82" w:rsidRPr="00A0065F" w:rsidRDefault="00331A82" w:rsidP="00CF5D13">
            <w:pPr>
              <w:jc w:val="center"/>
              <w:rPr>
                <w:lang w:eastAsia="es-MX"/>
              </w:rPr>
            </w:pPr>
            <w:r w:rsidRPr="00A0065F">
              <w:rPr>
                <w:lang w:val="es-ES_tradnl" w:eastAsia="es-MX"/>
              </w:rPr>
              <w:t>2,498</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8E7D3CB" w14:textId="77777777" w:rsidR="00331A82" w:rsidRPr="00A0065F" w:rsidRDefault="00331A82" w:rsidP="00CF5D13">
            <w:pPr>
              <w:jc w:val="center"/>
              <w:rPr>
                <w:lang w:eastAsia="es-MX"/>
              </w:rPr>
            </w:pPr>
            <w:r w:rsidRPr="00A0065F">
              <w:rPr>
                <w:lang w:val="es-ES_tradnl" w:eastAsia="es-MX"/>
              </w:rPr>
              <w:t>2,232</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0B4C660" w14:textId="77777777" w:rsidR="00331A82" w:rsidRPr="00A0065F" w:rsidRDefault="00331A82" w:rsidP="00CF5D13">
            <w:pPr>
              <w:jc w:val="center"/>
              <w:rPr>
                <w:lang w:eastAsia="es-MX"/>
              </w:rPr>
            </w:pPr>
            <w:r w:rsidRPr="00A0065F">
              <w:rPr>
                <w:lang w:val="es-ES_tradnl" w:eastAsia="es-MX"/>
              </w:rPr>
              <w:t>1,991</w:t>
            </w:r>
          </w:p>
        </w:tc>
      </w:tr>
      <w:tr w:rsidR="00331A82" w:rsidRPr="00595DCA" w14:paraId="6B689826" w14:textId="77777777" w:rsidTr="00CF5D13">
        <w:trPr>
          <w:cantSplit/>
          <w:trHeight w:val="300"/>
        </w:trPr>
        <w:tc>
          <w:tcPr>
            <w:tcW w:w="4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8301869" w14:textId="77777777" w:rsidR="00331A82" w:rsidRPr="00A0065F" w:rsidRDefault="00331A82" w:rsidP="00CF5D13">
            <w:pPr>
              <w:rPr>
                <w:lang w:eastAsia="es-MX"/>
              </w:rPr>
            </w:pPr>
            <w:r w:rsidRPr="00A0065F">
              <w:rPr>
                <w:lang w:val="es-ES_tradnl" w:eastAsia="es-MX"/>
              </w:rPr>
              <w:t>Mecánico</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825431E" w14:textId="77777777" w:rsidR="00331A82" w:rsidRPr="00A0065F" w:rsidRDefault="00331A82" w:rsidP="00CF5D13">
            <w:pPr>
              <w:jc w:val="center"/>
              <w:rPr>
                <w:lang w:eastAsia="es-MX"/>
              </w:rPr>
            </w:pPr>
            <w:r w:rsidRPr="00A0065F">
              <w:rPr>
                <w:lang w:val="es-ES_tradnl" w:eastAsia="es-MX"/>
              </w:rPr>
              <w:t>3,048</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88CD7F9" w14:textId="77777777" w:rsidR="00331A82" w:rsidRPr="00A0065F" w:rsidRDefault="00331A82" w:rsidP="00CF5D13">
            <w:pPr>
              <w:jc w:val="center"/>
              <w:rPr>
                <w:lang w:eastAsia="es-MX"/>
              </w:rPr>
            </w:pPr>
            <w:r w:rsidRPr="00A0065F">
              <w:rPr>
                <w:lang w:val="es-ES_tradnl" w:eastAsia="es-MX"/>
              </w:rPr>
              <w:t>3,365</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E4651E2" w14:textId="77777777" w:rsidR="00331A82" w:rsidRPr="00A0065F" w:rsidRDefault="00331A82" w:rsidP="00CF5D13">
            <w:pPr>
              <w:jc w:val="center"/>
              <w:rPr>
                <w:lang w:eastAsia="es-MX"/>
              </w:rPr>
            </w:pPr>
            <w:r w:rsidRPr="00A0065F">
              <w:rPr>
                <w:lang w:val="es-ES_tradnl" w:eastAsia="es-MX"/>
              </w:rPr>
              <w:t>3,158</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AC0308E" w14:textId="77777777" w:rsidR="00331A82" w:rsidRPr="00A0065F" w:rsidRDefault="00331A82" w:rsidP="00CF5D13">
            <w:pPr>
              <w:jc w:val="center"/>
              <w:rPr>
                <w:lang w:eastAsia="es-MX"/>
              </w:rPr>
            </w:pPr>
            <w:r w:rsidRPr="00A0065F">
              <w:rPr>
                <w:lang w:val="es-ES_tradnl" w:eastAsia="es-MX"/>
              </w:rPr>
              <w:t>3,857</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A138F2D" w14:textId="77777777" w:rsidR="00331A82" w:rsidRPr="00A0065F" w:rsidRDefault="00331A82" w:rsidP="00CF5D13">
            <w:pPr>
              <w:jc w:val="center"/>
              <w:rPr>
                <w:lang w:eastAsia="es-MX"/>
              </w:rPr>
            </w:pPr>
            <w:r w:rsidRPr="00A0065F">
              <w:rPr>
                <w:lang w:val="es-ES_tradnl" w:eastAsia="es-MX"/>
              </w:rPr>
              <w:t>4,069</w:t>
            </w:r>
          </w:p>
        </w:tc>
      </w:tr>
      <w:tr w:rsidR="00331A82" w:rsidRPr="00595DCA" w14:paraId="367586F3" w14:textId="77777777" w:rsidTr="00CF5D13">
        <w:trPr>
          <w:cantSplit/>
          <w:trHeight w:val="300"/>
        </w:trPr>
        <w:tc>
          <w:tcPr>
            <w:tcW w:w="4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6A1CBBD" w14:textId="77777777" w:rsidR="00331A82" w:rsidRPr="00A0065F" w:rsidRDefault="00331A82" w:rsidP="00CF5D13">
            <w:pPr>
              <w:rPr>
                <w:lang w:eastAsia="es-MX"/>
              </w:rPr>
            </w:pPr>
            <w:r w:rsidRPr="00A0065F">
              <w:rPr>
                <w:lang w:val="es-ES_tradnl" w:eastAsia="es-MX"/>
              </w:rPr>
              <w:t>Químico</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811D4B9" w14:textId="77777777" w:rsidR="00331A82" w:rsidRPr="00A0065F" w:rsidRDefault="00331A82" w:rsidP="00CF5D13">
            <w:pPr>
              <w:jc w:val="center"/>
              <w:rPr>
                <w:lang w:eastAsia="es-MX"/>
              </w:rPr>
            </w:pPr>
            <w:r w:rsidRPr="00A0065F">
              <w:rPr>
                <w:lang w:val="es-ES_tradnl" w:eastAsia="es-MX"/>
              </w:rPr>
              <w:t>2,713</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F1A867C" w14:textId="77777777" w:rsidR="00331A82" w:rsidRPr="00A0065F" w:rsidRDefault="00331A82" w:rsidP="00CF5D13">
            <w:pPr>
              <w:jc w:val="center"/>
              <w:rPr>
                <w:lang w:eastAsia="es-MX"/>
              </w:rPr>
            </w:pPr>
            <w:r w:rsidRPr="00A0065F">
              <w:rPr>
                <w:lang w:val="es-ES_tradnl" w:eastAsia="es-MX"/>
              </w:rPr>
              <w:t>2,810</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7A6359D" w14:textId="77777777" w:rsidR="00331A82" w:rsidRPr="00A0065F" w:rsidRDefault="00331A82" w:rsidP="00CF5D13">
            <w:pPr>
              <w:jc w:val="center"/>
              <w:rPr>
                <w:lang w:eastAsia="es-MX"/>
              </w:rPr>
            </w:pPr>
            <w:r w:rsidRPr="00A0065F">
              <w:rPr>
                <w:lang w:val="es-ES_tradnl" w:eastAsia="es-MX"/>
              </w:rPr>
              <w:t>3,234</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639775" w14:textId="77777777" w:rsidR="00331A82" w:rsidRPr="00A0065F" w:rsidRDefault="00331A82" w:rsidP="00CF5D13">
            <w:pPr>
              <w:jc w:val="center"/>
              <w:rPr>
                <w:lang w:eastAsia="es-MX"/>
              </w:rPr>
            </w:pPr>
            <w:r w:rsidRPr="00A0065F">
              <w:rPr>
                <w:lang w:val="es-ES_tradnl" w:eastAsia="es-MX"/>
              </w:rPr>
              <w:t>3,106</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DB65206" w14:textId="77777777" w:rsidR="00331A82" w:rsidRPr="00A0065F" w:rsidRDefault="00331A82" w:rsidP="00CF5D13">
            <w:pPr>
              <w:jc w:val="center"/>
              <w:rPr>
                <w:lang w:eastAsia="es-MX"/>
              </w:rPr>
            </w:pPr>
            <w:r w:rsidRPr="00A0065F">
              <w:rPr>
                <w:lang w:val="es-ES_tradnl" w:eastAsia="es-MX"/>
              </w:rPr>
              <w:t>2,833</w:t>
            </w:r>
          </w:p>
        </w:tc>
      </w:tr>
      <w:tr w:rsidR="00331A82" w:rsidRPr="00595DCA" w14:paraId="612958F8" w14:textId="77777777" w:rsidTr="00CF5D13">
        <w:trPr>
          <w:trHeight w:val="300"/>
        </w:trPr>
        <w:tc>
          <w:tcPr>
            <w:tcW w:w="4020" w:type="dxa"/>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55C6D8CA" w14:textId="77777777" w:rsidR="00331A82" w:rsidRPr="00A0065F" w:rsidRDefault="00331A82" w:rsidP="00CF5D13">
            <w:pPr>
              <w:rPr>
                <w:lang w:eastAsia="es-MX"/>
              </w:rPr>
            </w:pPr>
            <w:r w:rsidRPr="00A0065F">
              <w:rPr>
                <w:lang w:eastAsia="es-MX"/>
              </w:rPr>
              <w:t>En forma sin clasificación</w:t>
            </w:r>
          </w:p>
        </w:tc>
        <w:tc>
          <w:tcPr>
            <w:tcW w:w="1077"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4877A648" w14:textId="77777777" w:rsidR="00331A82" w:rsidRPr="00A0065F" w:rsidRDefault="00331A82" w:rsidP="00CF5D13">
            <w:pPr>
              <w:jc w:val="center"/>
              <w:rPr>
                <w:lang w:eastAsia="es-MX"/>
              </w:rPr>
            </w:pPr>
            <w:r w:rsidRPr="00A0065F">
              <w:rPr>
                <w:lang w:eastAsia="es-MX"/>
              </w:rPr>
              <w:t>0</w:t>
            </w:r>
          </w:p>
        </w:tc>
        <w:tc>
          <w:tcPr>
            <w:tcW w:w="1077"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3132FD63" w14:textId="77777777" w:rsidR="00331A82" w:rsidRPr="00A0065F" w:rsidRDefault="00331A82" w:rsidP="00CF5D13">
            <w:pPr>
              <w:jc w:val="center"/>
              <w:rPr>
                <w:lang w:eastAsia="es-MX"/>
              </w:rPr>
            </w:pPr>
            <w:r w:rsidRPr="00A0065F">
              <w:rPr>
                <w:lang w:eastAsia="es-MX"/>
              </w:rPr>
              <w:t>0</w:t>
            </w:r>
          </w:p>
        </w:tc>
        <w:tc>
          <w:tcPr>
            <w:tcW w:w="1077"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0C2F81A8" w14:textId="77777777" w:rsidR="00331A82" w:rsidRPr="00A0065F" w:rsidRDefault="00331A82" w:rsidP="00CF5D13">
            <w:pPr>
              <w:jc w:val="center"/>
              <w:rPr>
                <w:lang w:eastAsia="es-MX"/>
              </w:rPr>
            </w:pPr>
            <w:r w:rsidRPr="00A0065F">
              <w:rPr>
                <w:lang w:eastAsia="es-MX"/>
              </w:rPr>
              <w:t>2</w:t>
            </w:r>
          </w:p>
        </w:tc>
        <w:tc>
          <w:tcPr>
            <w:tcW w:w="1077"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158DB079" w14:textId="77777777" w:rsidR="00331A82" w:rsidRPr="00A0065F" w:rsidRDefault="00331A82" w:rsidP="00CF5D13">
            <w:pPr>
              <w:jc w:val="center"/>
              <w:rPr>
                <w:lang w:eastAsia="es-MX"/>
              </w:rPr>
            </w:pPr>
            <w:r w:rsidRPr="00A0065F">
              <w:rPr>
                <w:lang w:eastAsia="es-MX"/>
              </w:rPr>
              <w:t>14</w:t>
            </w:r>
          </w:p>
        </w:tc>
        <w:tc>
          <w:tcPr>
            <w:tcW w:w="1077"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77B7CC66" w14:textId="77777777" w:rsidR="00331A82" w:rsidRPr="00A0065F" w:rsidRDefault="00331A82" w:rsidP="00CF5D13">
            <w:pPr>
              <w:jc w:val="center"/>
              <w:rPr>
                <w:lang w:eastAsia="es-MX"/>
              </w:rPr>
            </w:pPr>
            <w:r w:rsidRPr="00A0065F">
              <w:rPr>
                <w:lang w:eastAsia="es-MX"/>
              </w:rPr>
              <w:t>879</w:t>
            </w:r>
          </w:p>
        </w:tc>
      </w:tr>
      <w:tr w:rsidR="00331A82" w:rsidRPr="00595DCA" w14:paraId="309ED2BD" w14:textId="77777777" w:rsidTr="00CF5D13">
        <w:trPr>
          <w:cantSplit/>
          <w:trHeight w:val="300"/>
        </w:trPr>
        <w:tc>
          <w:tcPr>
            <w:tcW w:w="4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A46FBF0" w14:textId="77777777" w:rsidR="00331A82" w:rsidRPr="00A0065F" w:rsidRDefault="00331A82" w:rsidP="00CF5D13">
            <w:pPr>
              <w:rPr>
                <w:b/>
                <w:bCs/>
                <w:lang w:eastAsia="es-MX"/>
              </w:rPr>
            </w:pPr>
            <w:r w:rsidRPr="00A0065F">
              <w:rPr>
                <w:b/>
                <w:bCs/>
                <w:lang w:val="es-ES_tradnl" w:eastAsia="es-MX"/>
              </w:rPr>
              <w:t>Total</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603BD17F" w14:textId="117980E1" w:rsidR="00331A82" w:rsidRPr="00A0065F" w:rsidRDefault="00331A82" w:rsidP="00CF5D13">
            <w:pPr>
              <w:jc w:val="center"/>
              <w:rPr>
                <w:b/>
                <w:bCs/>
                <w:lang w:eastAsia="es-MX"/>
              </w:rPr>
            </w:pPr>
            <w:r w:rsidRPr="00A0065F">
              <w:rPr>
                <w:b/>
                <w:bCs/>
                <w:lang w:eastAsia="es-MX"/>
              </w:rPr>
              <w:fldChar w:fldCharType="begin"/>
            </w:r>
            <w:r w:rsidRPr="00A0065F">
              <w:rPr>
                <w:b/>
                <w:bCs/>
                <w:lang w:eastAsia="es-MX"/>
              </w:rPr>
              <w:instrText xml:space="preserve"> =SUM(ABOVE) </w:instrText>
            </w:r>
            <w:r w:rsidRPr="00A0065F">
              <w:rPr>
                <w:b/>
                <w:bCs/>
                <w:lang w:eastAsia="es-MX"/>
              </w:rPr>
              <w:fldChar w:fldCharType="separate"/>
            </w:r>
            <w:r w:rsidR="009029DB">
              <w:rPr>
                <w:b/>
                <w:bCs/>
                <w:noProof/>
                <w:lang w:eastAsia="es-MX"/>
              </w:rPr>
              <w:t>15,949</w:t>
            </w:r>
            <w:r w:rsidRPr="00A0065F">
              <w:rPr>
                <w:b/>
                <w:bCs/>
                <w:lang w:eastAsia="es-MX"/>
              </w:rPr>
              <w:fldChar w:fldCharType="end"/>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71E0CE86" w14:textId="4BE46134" w:rsidR="00331A82" w:rsidRPr="00A0065F" w:rsidRDefault="00331A82" w:rsidP="00CF5D13">
            <w:pPr>
              <w:jc w:val="center"/>
              <w:rPr>
                <w:b/>
                <w:bCs/>
                <w:lang w:eastAsia="es-MX"/>
              </w:rPr>
            </w:pPr>
            <w:r w:rsidRPr="00A0065F">
              <w:rPr>
                <w:b/>
                <w:bCs/>
                <w:lang w:eastAsia="es-MX"/>
              </w:rPr>
              <w:fldChar w:fldCharType="begin"/>
            </w:r>
            <w:r w:rsidRPr="00A0065F">
              <w:rPr>
                <w:b/>
                <w:bCs/>
                <w:lang w:eastAsia="es-MX"/>
              </w:rPr>
              <w:instrText xml:space="preserve"> =SUM(ABOVE) </w:instrText>
            </w:r>
            <w:r w:rsidRPr="00A0065F">
              <w:rPr>
                <w:b/>
                <w:bCs/>
                <w:lang w:eastAsia="es-MX"/>
              </w:rPr>
              <w:fldChar w:fldCharType="separate"/>
            </w:r>
            <w:r w:rsidR="009029DB">
              <w:rPr>
                <w:b/>
                <w:bCs/>
                <w:noProof/>
                <w:lang w:eastAsia="es-MX"/>
              </w:rPr>
              <w:t>17,811</w:t>
            </w:r>
            <w:r w:rsidRPr="00A0065F">
              <w:rPr>
                <w:b/>
                <w:bCs/>
                <w:lang w:eastAsia="es-MX"/>
              </w:rPr>
              <w:fldChar w:fldCharType="end"/>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585FDF44" w14:textId="11E52082" w:rsidR="00331A82" w:rsidRPr="00A0065F" w:rsidRDefault="00331A82" w:rsidP="00CF5D13">
            <w:pPr>
              <w:jc w:val="center"/>
              <w:rPr>
                <w:b/>
                <w:bCs/>
                <w:lang w:eastAsia="es-MX"/>
              </w:rPr>
            </w:pPr>
            <w:r w:rsidRPr="00A0065F">
              <w:rPr>
                <w:b/>
                <w:bCs/>
                <w:lang w:eastAsia="es-MX"/>
              </w:rPr>
              <w:fldChar w:fldCharType="begin"/>
            </w:r>
            <w:r w:rsidRPr="00A0065F">
              <w:rPr>
                <w:b/>
                <w:bCs/>
                <w:lang w:eastAsia="es-MX"/>
              </w:rPr>
              <w:instrText xml:space="preserve"> =SUM(ABOVE) </w:instrText>
            </w:r>
            <w:r w:rsidRPr="00A0065F">
              <w:rPr>
                <w:b/>
                <w:bCs/>
                <w:lang w:eastAsia="es-MX"/>
              </w:rPr>
              <w:fldChar w:fldCharType="separate"/>
            </w:r>
            <w:r w:rsidR="009029DB">
              <w:rPr>
                <w:b/>
                <w:bCs/>
                <w:noProof/>
                <w:lang w:eastAsia="es-MX"/>
              </w:rPr>
              <w:t>18,385</w:t>
            </w:r>
            <w:r w:rsidRPr="00A0065F">
              <w:rPr>
                <w:b/>
                <w:bCs/>
                <w:lang w:eastAsia="es-MX"/>
              </w:rPr>
              <w:fldChar w:fldCharType="end"/>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710525D1" w14:textId="5174E999" w:rsidR="00331A82" w:rsidRPr="00A0065F" w:rsidRDefault="00331A82" w:rsidP="00CF5D13">
            <w:pPr>
              <w:jc w:val="center"/>
              <w:rPr>
                <w:b/>
                <w:bCs/>
                <w:lang w:eastAsia="es-MX"/>
              </w:rPr>
            </w:pPr>
            <w:r w:rsidRPr="00A0065F">
              <w:rPr>
                <w:b/>
                <w:bCs/>
                <w:lang w:eastAsia="es-MX"/>
              </w:rPr>
              <w:fldChar w:fldCharType="begin"/>
            </w:r>
            <w:r w:rsidRPr="00A0065F">
              <w:rPr>
                <w:b/>
                <w:bCs/>
                <w:lang w:eastAsia="es-MX"/>
              </w:rPr>
              <w:instrText xml:space="preserve"> =SUM(ABOVE) </w:instrText>
            </w:r>
            <w:r w:rsidRPr="00A0065F">
              <w:rPr>
                <w:b/>
                <w:bCs/>
                <w:lang w:eastAsia="es-MX"/>
              </w:rPr>
              <w:fldChar w:fldCharType="separate"/>
            </w:r>
            <w:r w:rsidR="009029DB">
              <w:rPr>
                <w:b/>
                <w:bCs/>
                <w:noProof/>
                <w:lang w:eastAsia="es-MX"/>
              </w:rPr>
              <w:t>17,362</w:t>
            </w:r>
            <w:r w:rsidRPr="00A0065F">
              <w:rPr>
                <w:b/>
                <w:bCs/>
                <w:lang w:eastAsia="es-MX"/>
              </w:rPr>
              <w:fldChar w:fldCharType="end"/>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6D88B544" w14:textId="62E937BB" w:rsidR="00331A82" w:rsidRPr="00A0065F" w:rsidRDefault="00331A82" w:rsidP="00CF5D13">
            <w:pPr>
              <w:jc w:val="center"/>
              <w:rPr>
                <w:b/>
                <w:bCs/>
                <w:lang w:eastAsia="es-MX"/>
              </w:rPr>
            </w:pPr>
            <w:r w:rsidRPr="00A0065F">
              <w:rPr>
                <w:b/>
                <w:bCs/>
                <w:lang w:eastAsia="es-MX"/>
              </w:rPr>
              <w:fldChar w:fldCharType="begin"/>
            </w:r>
            <w:r w:rsidRPr="00A0065F">
              <w:rPr>
                <w:b/>
                <w:bCs/>
                <w:lang w:eastAsia="es-MX"/>
              </w:rPr>
              <w:instrText xml:space="preserve"> =SUM(ABOVE) </w:instrText>
            </w:r>
            <w:r w:rsidRPr="00A0065F">
              <w:rPr>
                <w:b/>
                <w:bCs/>
                <w:lang w:eastAsia="es-MX"/>
              </w:rPr>
              <w:fldChar w:fldCharType="separate"/>
            </w:r>
            <w:r w:rsidR="009029DB">
              <w:rPr>
                <w:b/>
                <w:bCs/>
                <w:noProof/>
                <w:lang w:eastAsia="es-MX"/>
              </w:rPr>
              <w:t>17,863</w:t>
            </w:r>
            <w:r w:rsidRPr="00A0065F">
              <w:rPr>
                <w:b/>
                <w:bCs/>
                <w:lang w:eastAsia="es-MX"/>
              </w:rPr>
              <w:fldChar w:fldCharType="end"/>
            </w:r>
          </w:p>
        </w:tc>
      </w:tr>
    </w:tbl>
    <w:p w14:paraId="580758D4" w14:textId="77777777" w:rsidR="00331A82" w:rsidRPr="00595DCA" w:rsidRDefault="00331A82" w:rsidP="00331A82">
      <w:pPr>
        <w:pStyle w:val="Answer"/>
        <w:spacing w:after="0"/>
        <w:ind w:left="0"/>
        <w:jc w:val="both"/>
        <w:rPr>
          <w:lang w:val="es-ES_tradnl"/>
        </w:rPr>
      </w:pPr>
    </w:p>
    <w:p w14:paraId="2CE79163" w14:textId="77777777" w:rsidR="00331A82" w:rsidRPr="00595DCA" w:rsidRDefault="00331A82" w:rsidP="00331A82">
      <w:pPr>
        <w:pStyle w:val="Question"/>
        <w:spacing w:after="0"/>
      </w:pPr>
      <w:r w:rsidRPr="00595DCA">
        <w:rPr>
          <w:lang w:val="es-ES_tradnl"/>
        </w:rPr>
        <w:t>b)</w:t>
      </w:r>
      <w:r w:rsidRPr="00595DCA">
        <w:rPr>
          <w:lang w:val="es-ES_tradnl"/>
        </w:rPr>
        <w:tab/>
        <w:t>Número de solicitudes nacionales recibidas, por vía:</w:t>
      </w:r>
    </w:p>
    <w:p w14:paraId="4AC14AAC" w14:textId="77777777" w:rsidR="00331A82" w:rsidRPr="00595DCA" w:rsidRDefault="00331A82" w:rsidP="00331A82">
      <w:pPr>
        <w:rPr>
          <w:rFonts w:ascii="Times New Roman" w:eastAsia="Times New Roman" w:hAnsi="Times New Roman" w:cs="Times New Roman"/>
          <w:sz w:val="20"/>
          <w:lang w:val="es-MX" w:eastAsia="es-MX"/>
        </w:rPr>
      </w:pPr>
    </w:p>
    <w:tbl>
      <w:tblPr>
        <w:tblW w:w="9540" w:type="dxa"/>
        <w:tblInd w:w="-78" w:type="dxa"/>
        <w:tblCellMar>
          <w:left w:w="70" w:type="dxa"/>
          <w:right w:w="70" w:type="dxa"/>
        </w:tblCellMar>
        <w:tblLook w:val="04A0" w:firstRow="1" w:lastRow="0" w:firstColumn="1" w:lastColumn="0" w:noHBand="0" w:noVBand="1"/>
        <w:tblCaption w:val="Número de solicitudes nacionales recibidas, por vía"/>
        <w:tblDescription w:val="En este cuadro se indica el número de solicitudes recibidas en los últimos cinco años, desglosadas por vía de presentación."/>
      </w:tblPr>
      <w:tblGrid>
        <w:gridCol w:w="4155"/>
        <w:gridCol w:w="1077"/>
        <w:gridCol w:w="1077"/>
        <w:gridCol w:w="1077"/>
        <w:gridCol w:w="1077"/>
        <w:gridCol w:w="1077"/>
      </w:tblGrid>
      <w:tr w:rsidR="00331A82" w:rsidRPr="00595DCA" w14:paraId="1E3FC7D3" w14:textId="77777777" w:rsidTr="00CF5D13">
        <w:trPr>
          <w:trHeight w:val="231"/>
        </w:trPr>
        <w:tc>
          <w:tcPr>
            <w:tcW w:w="4155" w:type="dxa"/>
            <w:tcBorders>
              <w:top w:val="single" w:sz="4" w:space="0" w:color="auto"/>
              <w:left w:val="single" w:sz="4" w:space="0" w:color="auto"/>
              <w:bottom w:val="single" w:sz="4" w:space="0" w:color="auto"/>
              <w:right w:val="single" w:sz="4" w:space="0" w:color="auto"/>
            </w:tcBorders>
            <w:shd w:val="clear" w:color="000000" w:fill="1E5B4F"/>
            <w:noWrap/>
            <w:vAlign w:val="center"/>
          </w:tcPr>
          <w:p w14:paraId="745A7BCD" w14:textId="77777777" w:rsidR="00331A82" w:rsidRPr="00A0065F" w:rsidRDefault="00331A82" w:rsidP="00CF5D13">
            <w:pPr>
              <w:jc w:val="center"/>
              <w:rPr>
                <w:rFonts w:eastAsia="Times New Roman"/>
                <w:b/>
                <w:bCs/>
                <w:color w:val="FFFFFF"/>
                <w:szCs w:val="22"/>
                <w:lang w:val="es-MX" w:eastAsia="es-MX"/>
              </w:rPr>
            </w:pPr>
            <w:r w:rsidRPr="00A0065F">
              <w:rPr>
                <w:rFonts w:eastAsia="Times New Roman"/>
                <w:b/>
                <w:bCs/>
                <w:color w:val="FFFFFF"/>
                <w:szCs w:val="22"/>
                <w:lang w:val="es-MX" w:eastAsia="es-MX"/>
              </w:rPr>
              <w:t>Año</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4E4C6713" w14:textId="77777777" w:rsidR="00331A82" w:rsidRPr="00A0065F" w:rsidRDefault="00331A82" w:rsidP="00CF5D13">
            <w:pPr>
              <w:jc w:val="center"/>
              <w:rPr>
                <w:rFonts w:eastAsia="Times New Roman"/>
                <w:b/>
                <w:bCs/>
                <w:color w:val="FFFFFF"/>
                <w:szCs w:val="22"/>
                <w:lang w:val="es-MX" w:eastAsia="es-MX"/>
              </w:rPr>
            </w:pPr>
            <w:r w:rsidRPr="00A0065F">
              <w:rPr>
                <w:rFonts w:eastAsia="Times New Roman"/>
                <w:b/>
                <w:bCs/>
                <w:color w:val="FFFFFF"/>
                <w:szCs w:val="22"/>
                <w:lang w:val="es-MX" w:eastAsia="es-MX"/>
              </w:rPr>
              <w:t>2020</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641B2AA1" w14:textId="77777777" w:rsidR="00331A82" w:rsidRPr="00A0065F" w:rsidRDefault="00331A82" w:rsidP="00CF5D13">
            <w:pPr>
              <w:jc w:val="center"/>
              <w:rPr>
                <w:rFonts w:eastAsia="Times New Roman"/>
                <w:b/>
                <w:bCs/>
                <w:color w:val="FFFFFF"/>
                <w:szCs w:val="22"/>
                <w:lang w:val="es-MX" w:eastAsia="es-MX"/>
              </w:rPr>
            </w:pPr>
            <w:r w:rsidRPr="00A0065F">
              <w:rPr>
                <w:rFonts w:eastAsia="Times New Roman"/>
                <w:b/>
                <w:bCs/>
                <w:color w:val="FFFFFF"/>
                <w:szCs w:val="22"/>
                <w:lang w:val="es-MX" w:eastAsia="es-MX"/>
              </w:rPr>
              <w:t>2021</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013F3D75" w14:textId="77777777" w:rsidR="00331A82" w:rsidRPr="00A0065F" w:rsidRDefault="00331A82" w:rsidP="00CF5D13">
            <w:pPr>
              <w:jc w:val="center"/>
              <w:rPr>
                <w:rFonts w:eastAsia="Times New Roman"/>
                <w:b/>
                <w:bCs/>
                <w:color w:val="FFFFFF"/>
                <w:szCs w:val="22"/>
                <w:lang w:val="es-MX" w:eastAsia="es-MX"/>
              </w:rPr>
            </w:pPr>
            <w:r w:rsidRPr="00A0065F">
              <w:rPr>
                <w:rFonts w:eastAsia="Times New Roman"/>
                <w:b/>
                <w:bCs/>
                <w:color w:val="FFFFFF"/>
                <w:szCs w:val="22"/>
                <w:lang w:val="es-MX" w:eastAsia="es-MX"/>
              </w:rPr>
              <w:t>2022</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7225523F" w14:textId="77777777" w:rsidR="00331A82" w:rsidRPr="00A0065F" w:rsidRDefault="00331A82" w:rsidP="00CF5D13">
            <w:pPr>
              <w:jc w:val="center"/>
              <w:rPr>
                <w:rFonts w:eastAsia="Times New Roman"/>
                <w:b/>
                <w:bCs/>
                <w:color w:val="FFFFFF"/>
                <w:szCs w:val="22"/>
                <w:lang w:val="es-MX" w:eastAsia="es-MX"/>
              </w:rPr>
            </w:pPr>
            <w:r w:rsidRPr="00A0065F">
              <w:rPr>
                <w:rFonts w:eastAsia="Times New Roman"/>
                <w:b/>
                <w:bCs/>
                <w:color w:val="FFFFFF"/>
                <w:szCs w:val="22"/>
                <w:lang w:val="es-MX" w:eastAsia="es-MX"/>
              </w:rPr>
              <w:t>2023</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1CD12331" w14:textId="77777777" w:rsidR="00331A82" w:rsidRPr="00A0065F" w:rsidRDefault="00331A82" w:rsidP="00CF5D13">
            <w:pPr>
              <w:jc w:val="center"/>
              <w:rPr>
                <w:rFonts w:eastAsia="Times New Roman"/>
                <w:b/>
                <w:bCs/>
                <w:color w:val="FFFFFF"/>
                <w:szCs w:val="22"/>
                <w:lang w:val="es-MX" w:eastAsia="es-MX"/>
              </w:rPr>
            </w:pPr>
            <w:r w:rsidRPr="00A0065F">
              <w:rPr>
                <w:rFonts w:eastAsia="Times New Roman"/>
                <w:b/>
                <w:bCs/>
                <w:color w:val="FFFFFF"/>
                <w:szCs w:val="22"/>
                <w:lang w:val="es-MX" w:eastAsia="es-MX"/>
              </w:rPr>
              <w:t>2024</w:t>
            </w:r>
          </w:p>
        </w:tc>
      </w:tr>
      <w:tr w:rsidR="00331A82" w:rsidRPr="00595DCA" w14:paraId="3727028A" w14:textId="77777777" w:rsidTr="00CF5D13">
        <w:trPr>
          <w:trHeight w:val="231"/>
        </w:trPr>
        <w:tc>
          <w:tcPr>
            <w:tcW w:w="4155" w:type="dxa"/>
            <w:tcBorders>
              <w:top w:val="nil"/>
              <w:left w:val="single" w:sz="4" w:space="0" w:color="auto"/>
              <w:bottom w:val="single" w:sz="4" w:space="0" w:color="auto"/>
              <w:right w:val="single" w:sz="4" w:space="0" w:color="auto"/>
            </w:tcBorders>
            <w:shd w:val="clear" w:color="000000" w:fill="1E5B4F"/>
            <w:noWrap/>
            <w:vAlign w:val="center"/>
            <w:hideMark/>
          </w:tcPr>
          <w:p w14:paraId="0FE1A5E6" w14:textId="77777777" w:rsidR="00331A82" w:rsidRPr="00A0065F" w:rsidRDefault="00331A82" w:rsidP="00CF5D13">
            <w:pPr>
              <w:jc w:val="center"/>
              <w:rPr>
                <w:rFonts w:eastAsia="Times New Roman"/>
                <w:b/>
                <w:bCs/>
                <w:color w:val="FFFFFF"/>
                <w:szCs w:val="22"/>
                <w:lang w:val="es-MX" w:eastAsia="es-MX"/>
              </w:rPr>
            </w:pPr>
            <w:r w:rsidRPr="00A0065F">
              <w:rPr>
                <w:rFonts w:eastAsia="Times New Roman"/>
                <w:b/>
                <w:bCs/>
                <w:color w:val="FFFFFF"/>
                <w:szCs w:val="22"/>
                <w:lang w:val="es-MX" w:eastAsia="es-MX"/>
              </w:rPr>
              <w:t>Vía</w:t>
            </w: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EA61D87" w14:textId="77777777" w:rsidR="00331A82" w:rsidRPr="00A0065F" w:rsidRDefault="00331A82" w:rsidP="00CF5D13">
            <w:pPr>
              <w:rPr>
                <w:rFonts w:eastAsia="Times New Roman"/>
                <w:b/>
                <w:bCs/>
                <w:color w:val="FFFFFF"/>
                <w:szCs w:val="22"/>
                <w:lang w:val="es-MX" w:eastAsia="es-MX"/>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5C7ADFE" w14:textId="77777777" w:rsidR="00331A82" w:rsidRPr="00A0065F" w:rsidRDefault="00331A82" w:rsidP="00CF5D13">
            <w:pPr>
              <w:rPr>
                <w:rFonts w:eastAsia="Times New Roman"/>
                <w:b/>
                <w:bCs/>
                <w:color w:val="FFFFFF"/>
                <w:szCs w:val="22"/>
                <w:lang w:val="es-MX" w:eastAsia="es-MX"/>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86ABCF7" w14:textId="77777777" w:rsidR="00331A82" w:rsidRPr="00A0065F" w:rsidRDefault="00331A82" w:rsidP="00CF5D13">
            <w:pPr>
              <w:rPr>
                <w:rFonts w:eastAsia="Times New Roman"/>
                <w:b/>
                <w:bCs/>
                <w:color w:val="FFFFFF"/>
                <w:szCs w:val="22"/>
                <w:lang w:val="es-MX" w:eastAsia="es-MX"/>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1E04BD0" w14:textId="77777777" w:rsidR="00331A82" w:rsidRPr="00A0065F" w:rsidRDefault="00331A82" w:rsidP="00CF5D13">
            <w:pPr>
              <w:rPr>
                <w:rFonts w:eastAsia="Times New Roman"/>
                <w:b/>
                <w:bCs/>
                <w:color w:val="FFFFFF"/>
                <w:szCs w:val="22"/>
                <w:lang w:val="es-MX" w:eastAsia="es-MX"/>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4C93C9D" w14:textId="77777777" w:rsidR="00331A82" w:rsidRPr="00A0065F" w:rsidRDefault="00331A82" w:rsidP="00CF5D13">
            <w:pPr>
              <w:rPr>
                <w:rFonts w:eastAsia="Times New Roman"/>
                <w:b/>
                <w:bCs/>
                <w:color w:val="FFFFFF"/>
                <w:szCs w:val="22"/>
                <w:lang w:val="es-MX" w:eastAsia="es-MX"/>
              </w:rPr>
            </w:pPr>
          </w:p>
        </w:tc>
      </w:tr>
      <w:tr w:rsidR="00331A82" w:rsidRPr="00595DCA" w14:paraId="1D67563B" w14:textId="77777777" w:rsidTr="00CF5D13">
        <w:trPr>
          <w:trHeight w:val="416"/>
        </w:trPr>
        <w:tc>
          <w:tcPr>
            <w:tcW w:w="4155" w:type="dxa"/>
            <w:tcBorders>
              <w:top w:val="nil"/>
              <w:left w:val="single" w:sz="4" w:space="0" w:color="auto"/>
              <w:bottom w:val="single" w:sz="4" w:space="0" w:color="auto"/>
              <w:right w:val="single" w:sz="4" w:space="0" w:color="auto"/>
            </w:tcBorders>
            <w:vAlign w:val="center"/>
            <w:hideMark/>
          </w:tcPr>
          <w:p w14:paraId="6E99481D"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Primera presentación nacional/prioridad interna</w:t>
            </w:r>
          </w:p>
        </w:tc>
        <w:tc>
          <w:tcPr>
            <w:tcW w:w="1077" w:type="dxa"/>
            <w:tcBorders>
              <w:top w:val="nil"/>
              <w:left w:val="nil"/>
              <w:bottom w:val="single" w:sz="4" w:space="0" w:color="auto"/>
              <w:right w:val="single" w:sz="4" w:space="0" w:color="auto"/>
            </w:tcBorders>
            <w:noWrap/>
            <w:vAlign w:val="center"/>
            <w:hideMark/>
          </w:tcPr>
          <w:p w14:paraId="09707487"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1,085</w:t>
            </w:r>
          </w:p>
        </w:tc>
        <w:tc>
          <w:tcPr>
            <w:tcW w:w="1077" w:type="dxa"/>
            <w:tcBorders>
              <w:top w:val="nil"/>
              <w:left w:val="nil"/>
              <w:bottom w:val="single" w:sz="4" w:space="0" w:color="auto"/>
              <w:right w:val="single" w:sz="4" w:space="0" w:color="auto"/>
            </w:tcBorders>
            <w:noWrap/>
            <w:vAlign w:val="center"/>
            <w:hideMark/>
          </w:tcPr>
          <w:p w14:paraId="3A33196A"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1,070</w:t>
            </w:r>
          </w:p>
        </w:tc>
        <w:tc>
          <w:tcPr>
            <w:tcW w:w="1077" w:type="dxa"/>
            <w:tcBorders>
              <w:top w:val="nil"/>
              <w:left w:val="nil"/>
              <w:bottom w:val="single" w:sz="4" w:space="0" w:color="auto"/>
              <w:right w:val="single" w:sz="4" w:space="0" w:color="auto"/>
            </w:tcBorders>
            <w:noWrap/>
            <w:vAlign w:val="center"/>
            <w:hideMark/>
          </w:tcPr>
          <w:p w14:paraId="5562BE17"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950</w:t>
            </w:r>
          </w:p>
        </w:tc>
        <w:tc>
          <w:tcPr>
            <w:tcW w:w="1077" w:type="dxa"/>
            <w:tcBorders>
              <w:top w:val="nil"/>
              <w:left w:val="nil"/>
              <w:bottom w:val="single" w:sz="4" w:space="0" w:color="auto"/>
              <w:right w:val="single" w:sz="4" w:space="0" w:color="auto"/>
            </w:tcBorders>
            <w:noWrap/>
            <w:vAlign w:val="center"/>
            <w:hideMark/>
          </w:tcPr>
          <w:p w14:paraId="4823563E"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934</w:t>
            </w:r>
          </w:p>
        </w:tc>
        <w:tc>
          <w:tcPr>
            <w:tcW w:w="1077" w:type="dxa"/>
            <w:tcBorders>
              <w:top w:val="nil"/>
              <w:left w:val="nil"/>
              <w:bottom w:val="single" w:sz="4" w:space="0" w:color="auto"/>
              <w:right w:val="single" w:sz="4" w:space="0" w:color="auto"/>
            </w:tcBorders>
            <w:noWrap/>
            <w:vAlign w:val="center"/>
            <w:hideMark/>
          </w:tcPr>
          <w:p w14:paraId="0EB052DB"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1,144</w:t>
            </w:r>
          </w:p>
        </w:tc>
      </w:tr>
      <w:tr w:rsidR="00331A82" w:rsidRPr="00595DCA" w14:paraId="2E779286" w14:textId="77777777" w:rsidTr="00CF5D13">
        <w:trPr>
          <w:trHeight w:val="416"/>
        </w:trPr>
        <w:tc>
          <w:tcPr>
            <w:tcW w:w="4155" w:type="dxa"/>
            <w:tcBorders>
              <w:top w:val="nil"/>
              <w:left w:val="single" w:sz="4" w:space="0" w:color="auto"/>
              <w:bottom w:val="single" w:sz="4" w:space="0" w:color="auto"/>
              <w:right w:val="single" w:sz="4" w:space="0" w:color="auto"/>
            </w:tcBorders>
            <w:vAlign w:val="center"/>
            <w:hideMark/>
          </w:tcPr>
          <w:p w14:paraId="2063D187"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Prioridad con arreglo al Convenio de París</w:t>
            </w:r>
          </w:p>
        </w:tc>
        <w:tc>
          <w:tcPr>
            <w:tcW w:w="1077" w:type="dxa"/>
            <w:tcBorders>
              <w:top w:val="nil"/>
              <w:left w:val="nil"/>
              <w:bottom w:val="single" w:sz="4" w:space="0" w:color="auto"/>
              <w:right w:val="single" w:sz="4" w:space="0" w:color="auto"/>
            </w:tcBorders>
            <w:noWrap/>
            <w:vAlign w:val="center"/>
            <w:hideMark/>
          </w:tcPr>
          <w:p w14:paraId="3069F572"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1,187</w:t>
            </w:r>
          </w:p>
        </w:tc>
        <w:tc>
          <w:tcPr>
            <w:tcW w:w="1077" w:type="dxa"/>
            <w:tcBorders>
              <w:top w:val="nil"/>
              <w:left w:val="nil"/>
              <w:bottom w:val="single" w:sz="4" w:space="0" w:color="auto"/>
              <w:right w:val="single" w:sz="4" w:space="0" w:color="auto"/>
            </w:tcBorders>
            <w:noWrap/>
            <w:vAlign w:val="center"/>
            <w:hideMark/>
          </w:tcPr>
          <w:p w14:paraId="6BF9E23D"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1,900</w:t>
            </w:r>
          </w:p>
        </w:tc>
        <w:tc>
          <w:tcPr>
            <w:tcW w:w="1077" w:type="dxa"/>
            <w:tcBorders>
              <w:top w:val="nil"/>
              <w:left w:val="nil"/>
              <w:bottom w:val="single" w:sz="4" w:space="0" w:color="auto"/>
              <w:right w:val="single" w:sz="4" w:space="0" w:color="auto"/>
            </w:tcBorders>
            <w:noWrap/>
            <w:vAlign w:val="center"/>
            <w:hideMark/>
          </w:tcPr>
          <w:p w14:paraId="6C693777"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2,377</w:t>
            </w:r>
          </w:p>
        </w:tc>
        <w:tc>
          <w:tcPr>
            <w:tcW w:w="1077" w:type="dxa"/>
            <w:tcBorders>
              <w:top w:val="nil"/>
              <w:left w:val="nil"/>
              <w:bottom w:val="single" w:sz="4" w:space="0" w:color="auto"/>
              <w:right w:val="single" w:sz="4" w:space="0" w:color="auto"/>
            </w:tcBorders>
            <w:noWrap/>
            <w:vAlign w:val="center"/>
            <w:hideMark/>
          </w:tcPr>
          <w:p w14:paraId="1B81D36F"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2,352</w:t>
            </w:r>
          </w:p>
        </w:tc>
        <w:tc>
          <w:tcPr>
            <w:tcW w:w="1077" w:type="dxa"/>
            <w:tcBorders>
              <w:top w:val="nil"/>
              <w:left w:val="nil"/>
              <w:bottom w:val="single" w:sz="4" w:space="0" w:color="auto"/>
              <w:right w:val="single" w:sz="4" w:space="0" w:color="auto"/>
            </w:tcBorders>
            <w:noWrap/>
            <w:vAlign w:val="center"/>
            <w:hideMark/>
          </w:tcPr>
          <w:p w14:paraId="5E98FEE5"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3,143</w:t>
            </w:r>
          </w:p>
        </w:tc>
      </w:tr>
      <w:tr w:rsidR="00331A82" w:rsidRPr="00595DCA" w14:paraId="61FCDBB0" w14:textId="77777777" w:rsidTr="00CF5D13">
        <w:trPr>
          <w:trHeight w:val="416"/>
        </w:trPr>
        <w:tc>
          <w:tcPr>
            <w:tcW w:w="4155" w:type="dxa"/>
            <w:tcBorders>
              <w:top w:val="nil"/>
              <w:left w:val="single" w:sz="4" w:space="0" w:color="auto"/>
              <w:bottom w:val="single" w:sz="4" w:space="0" w:color="auto"/>
              <w:right w:val="single" w:sz="4" w:space="0" w:color="auto"/>
            </w:tcBorders>
            <w:vAlign w:val="center"/>
            <w:hideMark/>
          </w:tcPr>
          <w:p w14:paraId="3C3CF7C5"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Entradas en la fase nacional del PCT</w:t>
            </w:r>
          </w:p>
        </w:tc>
        <w:tc>
          <w:tcPr>
            <w:tcW w:w="1077" w:type="dxa"/>
            <w:tcBorders>
              <w:top w:val="nil"/>
              <w:left w:val="nil"/>
              <w:bottom w:val="single" w:sz="4" w:space="0" w:color="auto"/>
              <w:right w:val="single" w:sz="4" w:space="0" w:color="auto"/>
            </w:tcBorders>
            <w:noWrap/>
            <w:vAlign w:val="center"/>
            <w:hideMark/>
          </w:tcPr>
          <w:p w14:paraId="09FA1949"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12,038</w:t>
            </w:r>
          </w:p>
        </w:tc>
        <w:tc>
          <w:tcPr>
            <w:tcW w:w="1077" w:type="dxa"/>
            <w:tcBorders>
              <w:top w:val="nil"/>
              <w:left w:val="nil"/>
              <w:bottom w:val="single" w:sz="4" w:space="0" w:color="auto"/>
              <w:right w:val="single" w:sz="4" w:space="0" w:color="auto"/>
            </w:tcBorders>
            <w:noWrap/>
            <w:vAlign w:val="center"/>
            <w:hideMark/>
          </w:tcPr>
          <w:p w14:paraId="5AA8BB64"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13,191</w:t>
            </w:r>
          </w:p>
        </w:tc>
        <w:tc>
          <w:tcPr>
            <w:tcW w:w="1077" w:type="dxa"/>
            <w:tcBorders>
              <w:top w:val="nil"/>
              <w:left w:val="nil"/>
              <w:bottom w:val="single" w:sz="4" w:space="0" w:color="auto"/>
              <w:right w:val="single" w:sz="4" w:space="0" w:color="auto"/>
            </w:tcBorders>
            <w:noWrap/>
            <w:vAlign w:val="center"/>
            <w:hideMark/>
          </w:tcPr>
          <w:p w14:paraId="1629DC2C"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13,278</w:t>
            </w:r>
          </w:p>
        </w:tc>
        <w:tc>
          <w:tcPr>
            <w:tcW w:w="1077" w:type="dxa"/>
            <w:tcBorders>
              <w:top w:val="nil"/>
              <w:left w:val="nil"/>
              <w:bottom w:val="single" w:sz="4" w:space="0" w:color="auto"/>
              <w:right w:val="single" w:sz="4" w:space="0" w:color="auto"/>
            </w:tcBorders>
            <w:noWrap/>
            <w:vAlign w:val="center"/>
            <w:hideMark/>
          </w:tcPr>
          <w:p w14:paraId="5EF04C97"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12,344</w:t>
            </w:r>
          </w:p>
        </w:tc>
        <w:tc>
          <w:tcPr>
            <w:tcW w:w="1077" w:type="dxa"/>
            <w:tcBorders>
              <w:top w:val="nil"/>
              <w:left w:val="nil"/>
              <w:bottom w:val="single" w:sz="4" w:space="0" w:color="auto"/>
              <w:right w:val="single" w:sz="4" w:space="0" w:color="auto"/>
            </w:tcBorders>
            <w:noWrap/>
            <w:vAlign w:val="center"/>
            <w:hideMark/>
          </w:tcPr>
          <w:p w14:paraId="43B71712"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11,902</w:t>
            </w:r>
          </w:p>
        </w:tc>
      </w:tr>
      <w:tr w:rsidR="00331A82" w:rsidRPr="00595DCA" w14:paraId="6B08B75B" w14:textId="77777777" w:rsidTr="00CF5D13">
        <w:trPr>
          <w:trHeight w:val="416"/>
        </w:trPr>
        <w:tc>
          <w:tcPr>
            <w:tcW w:w="4155" w:type="dxa"/>
            <w:tcBorders>
              <w:top w:val="nil"/>
              <w:left w:val="single" w:sz="4" w:space="0" w:color="auto"/>
              <w:bottom w:val="single" w:sz="4" w:space="0" w:color="auto"/>
              <w:right w:val="single" w:sz="4" w:space="0" w:color="auto"/>
            </w:tcBorders>
            <w:noWrap/>
            <w:vAlign w:val="center"/>
            <w:hideMark/>
          </w:tcPr>
          <w:p w14:paraId="3C84DA16" w14:textId="77777777" w:rsidR="00331A82" w:rsidRPr="00A0065F" w:rsidRDefault="00331A82" w:rsidP="00CF5D13">
            <w:pPr>
              <w:jc w:val="center"/>
              <w:rPr>
                <w:rFonts w:eastAsia="Times New Roman"/>
                <w:b/>
                <w:bCs/>
                <w:szCs w:val="22"/>
                <w:lang w:val="es-MX" w:eastAsia="es-MX"/>
              </w:rPr>
            </w:pPr>
            <w:r w:rsidRPr="00A0065F">
              <w:rPr>
                <w:rFonts w:eastAsia="Times New Roman"/>
                <w:b/>
                <w:bCs/>
                <w:szCs w:val="22"/>
                <w:lang w:val="es-MX" w:eastAsia="es-MX"/>
              </w:rPr>
              <w:t>Total (Patentes recibidas por año)</w:t>
            </w:r>
          </w:p>
        </w:tc>
        <w:tc>
          <w:tcPr>
            <w:tcW w:w="1077" w:type="dxa"/>
            <w:tcBorders>
              <w:top w:val="nil"/>
              <w:left w:val="nil"/>
              <w:bottom w:val="single" w:sz="4" w:space="0" w:color="auto"/>
              <w:right w:val="single" w:sz="4" w:space="0" w:color="auto"/>
            </w:tcBorders>
            <w:noWrap/>
            <w:vAlign w:val="center"/>
            <w:hideMark/>
          </w:tcPr>
          <w:p w14:paraId="4FAF4E17" w14:textId="77777777" w:rsidR="00331A82" w:rsidRPr="00A0065F" w:rsidRDefault="00331A82" w:rsidP="00CF5D13">
            <w:pPr>
              <w:jc w:val="center"/>
              <w:rPr>
                <w:rFonts w:eastAsia="Times New Roman"/>
                <w:b/>
                <w:bCs/>
                <w:szCs w:val="22"/>
                <w:lang w:val="es-MX" w:eastAsia="es-MX"/>
              </w:rPr>
            </w:pPr>
            <w:r w:rsidRPr="00A0065F">
              <w:rPr>
                <w:rFonts w:eastAsia="Times New Roman"/>
                <w:b/>
                <w:bCs/>
                <w:szCs w:val="22"/>
                <w:lang w:val="es-MX" w:eastAsia="es-MX"/>
              </w:rPr>
              <w:t>14,310</w:t>
            </w:r>
          </w:p>
        </w:tc>
        <w:tc>
          <w:tcPr>
            <w:tcW w:w="1077" w:type="dxa"/>
            <w:tcBorders>
              <w:top w:val="nil"/>
              <w:left w:val="nil"/>
              <w:bottom w:val="single" w:sz="4" w:space="0" w:color="auto"/>
              <w:right w:val="single" w:sz="4" w:space="0" w:color="auto"/>
            </w:tcBorders>
            <w:noWrap/>
            <w:vAlign w:val="center"/>
            <w:hideMark/>
          </w:tcPr>
          <w:p w14:paraId="1353A8DE" w14:textId="77777777" w:rsidR="00331A82" w:rsidRPr="00A0065F" w:rsidRDefault="00331A82" w:rsidP="00CF5D13">
            <w:pPr>
              <w:jc w:val="center"/>
              <w:rPr>
                <w:rFonts w:eastAsia="Times New Roman"/>
                <w:b/>
                <w:bCs/>
                <w:szCs w:val="22"/>
                <w:lang w:val="es-MX" w:eastAsia="es-MX"/>
              </w:rPr>
            </w:pPr>
            <w:r w:rsidRPr="00A0065F">
              <w:rPr>
                <w:rFonts w:eastAsia="Times New Roman"/>
                <w:b/>
                <w:bCs/>
                <w:szCs w:val="22"/>
                <w:lang w:val="es-MX" w:eastAsia="es-MX"/>
              </w:rPr>
              <w:t>16,161</w:t>
            </w:r>
          </w:p>
        </w:tc>
        <w:tc>
          <w:tcPr>
            <w:tcW w:w="1077" w:type="dxa"/>
            <w:tcBorders>
              <w:top w:val="nil"/>
              <w:left w:val="nil"/>
              <w:bottom w:val="single" w:sz="4" w:space="0" w:color="auto"/>
              <w:right w:val="single" w:sz="4" w:space="0" w:color="auto"/>
            </w:tcBorders>
            <w:noWrap/>
            <w:vAlign w:val="center"/>
            <w:hideMark/>
          </w:tcPr>
          <w:p w14:paraId="0B81FE54" w14:textId="77777777" w:rsidR="00331A82" w:rsidRPr="00A0065F" w:rsidRDefault="00331A82" w:rsidP="00CF5D13">
            <w:pPr>
              <w:jc w:val="center"/>
              <w:rPr>
                <w:rFonts w:eastAsia="Times New Roman"/>
                <w:b/>
                <w:bCs/>
                <w:szCs w:val="22"/>
                <w:lang w:val="es-MX" w:eastAsia="es-MX"/>
              </w:rPr>
            </w:pPr>
            <w:r w:rsidRPr="00A0065F">
              <w:rPr>
                <w:rFonts w:eastAsia="Times New Roman"/>
                <w:b/>
                <w:bCs/>
                <w:szCs w:val="22"/>
                <w:lang w:val="es-MX" w:eastAsia="es-MX"/>
              </w:rPr>
              <w:t>16,605</w:t>
            </w:r>
          </w:p>
        </w:tc>
        <w:tc>
          <w:tcPr>
            <w:tcW w:w="1077" w:type="dxa"/>
            <w:tcBorders>
              <w:top w:val="nil"/>
              <w:left w:val="nil"/>
              <w:bottom w:val="single" w:sz="4" w:space="0" w:color="auto"/>
              <w:right w:val="single" w:sz="4" w:space="0" w:color="auto"/>
            </w:tcBorders>
            <w:noWrap/>
            <w:vAlign w:val="center"/>
            <w:hideMark/>
          </w:tcPr>
          <w:p w14:paraId="1506A067" w14:textId="77777777" w:rsidR="00331A82" w:rsidRPr="00A0065F" w:rsidRDefault="00331A82" w:rsidP="00CF5D13">
            <w:pPr>
              <w:jc w:val="center"/>
              <w:rPr>
                <w:rFonts w:eastAsia="Times New Roman"/>
                <w:b/>
                <w:bCs/>
                <w:szCs w:val="22"/>
                <w:lang w:val="es-MX" w:eastAsia="es-MX"/>
              </w:rPr>
            </w:pPr>
            <w:r w:rsidRPr="00A0065F">
              <w:rPr>
                <w:rFonts w:eastAsia="Times New Roman"/>
                <w:b/>
                <w:bCs/>
                <w:szCs w:val="22"/>
                <w:lang w:val="es-MX" w:eastAsia="es-MX"/>
              </w:rPr>
              <w:t>15,630</w:t>
            </w:r>
          </w:p>
        </w:tc>
        <w:tc>
          <w:tcPr>
            <w:tcW w:w="1077" w:type="dxa"/>
            <w:tcBorders>
              <w:top w:val="nil"/>
              <w:left w:val="nil"/>
              <w:bottom w:val="single" w:sz="4" w:space="0" w:color="auto"/>
              <w:right w:val="single" w:sz="4" w:space="0" w:color="auto"/>
            </w:tcBorders>
            <w:noWrap/>
            <w:vAlign w:val="center"/>
            <w:hideMark/>
          </w:tcPr>
          <w:p w14:paraId="3A4458A0" w14:textId="77777777" w:rsidR="00331A82" w:rsidRPr="00A0065F" w:rsidRDefault="00331A82" w:rsidP="00CF5D13">
            <w:pPr>
              <w:jc w:val="center"/>
              <w:rPr>
                <w:rFonts w:eastAsia="Times New Roman"/>
                <w:b/>
                <w:bCs/>
                <w:szCs w:val="22"/>
                <w:lang w:val="es-MX" w:eastAsia="es-MX"/>
              </w:rPr>
            </w:pPr>
            <w:r w:rsidRPr="00A0065F">
              <w:rPr>
                <w:rFonts w:eastAsia="Times New Roman"/>
                <w:b/>
                <w:bCs/>
                <w:szCs w:val="22"/>
                <w:lang w:val="es-MX" w:eastAsia="es-MX"/>
              </w:rPr>
              <w:t>16,189</w:t>
            </w:r>
          </w:p>
        </w:tc>
      </w:tr>
    </w:tbl>
    <w:p w14:paraId="486F17F7" w14:textId="77777777" w:rsidR="00331A82" w:rsidRPr="00595DCA" w:rsidRDefault="00331A82" w:rsidP="00331A82">
      <w:pPr>
        <w:pStyle w:val="Answer"/>
        <w:spacing w:after="0"/>
        <w:rPr>
          <w:lang w:val="es-ES_tradnl"/>
        </w:rPr>
      </w:pPr>
    </w:p>
    <w:p w14:paraId="68F74CF3" w14:textId="77777777" w:rsidR="00331A82" w:rsidRPr="00595DCA" w:rsidRDefault="00331A82" w:rsidP="00331A82">
      <w:pPr>
        <w:pStyle w:val="Question"/>
        <w:spacing w:after="0"/>
        <w:rPr>
          <w:lang w:val="es-ES_tradnl"/>
        </w:rPr>
      </w:pPr>
      <w:r w:rsidRPr="00595DCA">
        <w:rPr>
          <w:lang w:val="es-ES_tradnl"/>
        </w:rPr>
        <w:t>c)</w:t>
      </w:r>
      <w:r w:rsidRPr="00595DCA">
        <w:rPr>
          <w:lang w:val="es-ES_tradnl"/>
        </w:rPr>
        <w:tab/>
        <w:t>Número de solicitudes internacionales recibidas de nacionales y residentes:</w:t>
      </w:r>
    </w:p>
    <w:p w14:paraId="724FE788" w14:textId="77777777" w:rsidR="00331A82" w:rsidRPr="00595DCA" w:rsidRDefault="00331A82" w:rsidP="00331A82">
      <w:pPr>
        <w:pStyle w:val="Answer"/>
        <w:spacing w:after="0"/>
        <w:ind w:left="0"/>
        <w:rPr>
          <w:lang w:val="es-ES_tradnl"/>
        </w:rPr>
      </w:pPr>
    </w:p>
    <w:tbl>
      <w:tblPr>
        <w:tblW w:w="9960" w:type="dxa"/>
        <w:tblCellMar>
          <w:left w:w="70" w:type="dxa"/>
          <w:right w:w="70" w:type="dxa"/>
        </w:tblCellMar>
        <w:tblLook w:val="04A0" w:firstRow="1" w:lastRow="0" w:firstColumn="1" w:lastColumn="0" w:noHBand="0" w:noVBand="1"/>
        <w:tblCaption w:val="Número de solicitudes internacionales recibidas de nacionales y residentes de México"/>
        <w:tblDescription w:val="Este cuadro muestra el número de solicitudes internacionales recibidas en el IMPI de nacionales y residentes de México para cada año de 2020 a 2024 inclusive, desglosadas por campo técnico"/>
      </w:tblPr>
      <w:tblGrid>
        <w:gridCol w:w="3960"/>
        <w:gridCol w:w="1077"/>
        <w:gridCol w:w="1077"/>
        <w:gridCol w:w="1077"/>
        <w:gridCol w:w="1077"/>
        <w:gridCol w:w="1077"/>
        <w:gridCol w:w="615"/>
      </w:tblGrid>
      <w:tr w:rsidR="00331A82" w:rsidRPr="00595DCA" w14:paraId="7BD314CC" w14:textId="77777777" w:rsidTr="00CF5D13">
        <w:trPr>
          <w:gridAfter w:val="1"/>
          <w:wAfter w:w="615" w:type="dxa"/>
          <w:trHeight w:val="300"/>
        </w:trPr>
        <w:tc>
          <w:tcPr>
            <w:tcW w:w="3960" w:type="dxa"/>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7E7243C3" w14:textId="77777777" w:rsidR="00331A82" w:rsidRPr="00A0065F" w:rsidRDefault="00331A82" w:rsidP="00CF5D13">
            <w:pPr>
              <w:jc w:val="center"/>
              <w:rPr>
                <w:rFonts w:eastAsia="Times New Roman"/>
                <w:b/>
                <w:bCs/>
                <w:color w:val="FFFFFF"/>
                <w:szCs w:val="22"/>
                <w:lang w:val="es-MX" w:eastAsia="es-MX"/>
              </w:rPr>
            </w:pPr>
            <w:r w:rsidRPr="00A0065F">
              <w:rPr>
                <w:rFonts w:eastAsia="Times New Roman"/>
                <w:b/>
                <w:bCs/>
                <w:color w:val="FFFFFF"/>
                <w:szCs w:val="22"/>
                <w:lang w:val="es-MX" w:eastAsia="es-MX"/>
              </w:rPr>
              <w:t>Año</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009E9DAF" w14:textId="77777777" w:rsidR="00331A82" w:rsidRPr="00A0065F" w:rsidRDefault="00331A82" w:rsidP="00CF5D13">
            <w:pPr>
              <w:jc w:val="center"/>
              <w:rPr>
                <w:rFonts w:eastAsia="Times New Roman"/>
                <w:b/>
                <w:bCs/>
                <w:color w:val="FFFFFF"/>
                <w:szCs w:val="22"/>
                <w:lang w:val="es-MX" w:eastAsia="es-MX"/>
              </w:rPr>
            </w:pPr>
            <w:r w:rsidRPr="00A0065F">
              <w:rPr>
                <w:rFonts w:eastAsia="Times New Roman"/>
                <w:b/>
                <w:bCs/>
                <w:color w:val="FFFFFF"/>
                <w:szCs w:val="22"/>
                <w:lang w:val="es-MX" w:eastAsia="es-MX"/>
              </w:rPr>
              <w:t>2020</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6013F034" w14:textId="77777777" w:rsidR="00331A82" w:rsidRPr="00A0065F" w:rsidRDefault="00331A82" w:rsidP="00CF5D13">
            <w:pPr>
              <w:jc w:val="center"/>
              <w:rPr>
                <w:rFonts w:eastAsia="Times New Roman"/>
                <w:b/>
                <w:bCs/>
                <w:color w:val="FFFFFF"/>
                <w:szCs w:val="22"/>
                <w:lang w:val="es-MX" w:eastAsia="es-MX"/>
              </w:rPr>
            </w:pPr>
            <w:r w:rsidRPr="00A0065F">
              <w:rPr>
                <w:rFonts w:eastAsia="Times New Roman"/>
                <w:b/>
                <w:bCs/>
                <w:color w:val="FFFFFF"/>
                <w:szCs w:val="22"/>
                <w:lang w:val="es-MX" w:eastAsia="es-MX"/>
              </w:rPr>
              <w:t>2021</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77F2EC7B" w14:textId="77777777" w:rsidR="00331A82" w:rsidRPr="00A0065F" w:rsidRDefault="00331A82" w:rsidP="00CF5D13">
            <w:pPr>
              <w:jc w:val="center"/>
              <w:rPr>
                <w:rFonts w:eastAsia="Times New Roman"/>
                <w:b/>
                <w:bCs/>
                <w:color w:val="FFFFFF"/>
                <w:szCs w:val="22"/>
                <w:lang w:val="es-MX" w:eastAsia="es-MX"/>
              </w:rPr>
            </w:pPr>
            <w:r w:rsidRPr="00A0065F">
              <w:rPr>
                <w:rFonts w:eastAsia="Times New Roman"/>
                <w:b/>
                <w:bCs/>
                <w:color w:val="FFFFFF"/>
                <w:szCs w:val="22"/>
                <w:lang w:val="es-MX" w:eastAsia="es-MX"/>
              </w:rPr>
              <w:t>2022</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3D671E13" w14:textId="77777777" w:rsidR="00331A82" w:rsidRPr="00A0065F" w:rsidRDefault="00331A82" w:rsidP="00CF5D13">
            <w:pPr>
              <w:jc w:val="center"/>
              <w:rPr>
                <w:rFonts w:eastAsia="Times New Roman"/>
                <w:b/>
                <w:bCs/>
                <w:color w:val="FFFFFF"/>
                <w:szCs w:val="22"/>
                <w:lang w:val="es-MX" w:eastAsia="es-MX"/>
              </w:rPr>
            </w:pPr>
            <w:r w:rsidRPr="00A0065F">
              <w:rPr>
                <w:rFonts w:eastAsia="Times New Roman"/>
                <w:b/>
                <w:bCs/>
                <w:color w:val="FFFFFF"/>
                <w:szCs w:val="22"/>
                <w:lang w:val="es-MX" w:eastAsia="es-MX"/>
              </w:rPr>
              <w:t>2023</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37F98E41" w14:textId="77777777" w:rsidR="00331A82" w:rsidRPr="00A0065F" w:rsidRDefault="00331A82" w:rsidP="00CF5D13">
            <w:pPr>
              <w:jc w:val="center"/>
              <w:rPr>
                <w:rFonts w:eastAsia="Times New Roman"/>
                <w:b/>
                <w:bCs/>
                <w:color w:val="FFFFFF"/>
                <w:szCs w:val="22"/>
                <w:lang w:val="es-MX" w:eastAsia="es-MX"/>
              </w:rPr>
            </w:pPr>
            <w:r w:rsidRPr="00A0065F">
              <w:rPr>
                <w:rFonts w:eastAsia="Times New Roman"/>
                <w:b/>
                <w:bCs/>
                <w:color w:val="FFFFFF"/>
                <w:szCs w:val="22"/>
                <w:lang w:val="es-MX" w:eastAsia="es-MX"/>
              </w:rPr>
              <w:t>2024</w:t>
            </w:r>
          </w:p>
        </w:tc>
      </w:tr>
      <w:tr w:rsidR="00331A82" w:rsidRPr="00595DCA" w14:paraId="5677E2B3" w14:textId="77777777" w:rsidTr="00CF5D13">
        <w:trPr>
          <w:gridAfter w:val="1"/>
          <w:wAfter w:w="615" w:type="dxa"/>
          <w:trHeight w:val="300"/>
        </w:trPr>
        <w:tc>
          <w:tcPr>
            <w:tcW w:w="3960" w:type="dxa"/>
            <w:tcBorders>
              <w:top w:val="nil"/>
              <w:left w:val="single" w:sz="4" w:space="0" w:color="auto"/>
              <w:bottom w:val="single" w:sz="4" w:space="0" w:color="auto"/>
              <w:right w:val="single" w:sz="4" w:space="0" w:color="auto"/>
            </w:tcBorders>
            <w:shd w:val="clear" w:color="000000" w:fill="1E5B4F"/>
            <w:noWrap/>
            <w:vAlign w:val="center"/>
            <w:hideMark/>
          </w:tcPr>
          <w:p w14:paraId="6BD1D75C" w14:textId="77777777" w:rsidR="00331A82" w:rsidRPr="00A0065F" w:rsidRDefault="00331A82" w:rsidP="00CF5D13">
            <w:pPr>
              <w:jc w:val="center"/>
              <w:rPr>
                <w:rFonts w:eastAsia="Times New Roman"/>
                <w:b/>
                <w:bCs/>
                <w:color w:val="FFFFFF"/>
                <w:szCs w:val="22"/>
                <w:lang w:val="es-MX" w:eastAsia="es-MX"/>
              </w:rPr>
            </w:pPr>
            <w:r w:rsidRPr="00A0065F">
              <w:rPr>
                <w:rFonts w:eastAsia="Times New Roman"/>
                <w:b/>
                <w:bCs/>
                <w:color w:val="FFFFFF"/>
                <w:szCs w:val="22"/>
                <w:lang w:val="es-MX" w:eastAsia="es-MX"/>
              </w:rPr>
              <w:t>Campo técnico (Coordinación de estudio)</w:t>
            </w: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C3FCAFF" w14:textId="77777777" w:rsidR="00331A82" w:rsidRPr="00A0065F" w:rsidRDefault="00331A82" w:rsidP="00CF5D13">
            <w:pPr>
              <w:rPr>
                <w:rFonts w:eastAsia="Times New Roman"/>
                <w:b/>
                <w:bCs/>
                <w:color w:val="FFFFFF"/>
                <w:szCs w:val="22"/>
                <w:lang w:val="es-MX" w:eastAsia="es-MX"/>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65B8C19" w14:textId="77777777" w:rsidR="00331A82" w:rsidRPr="00A0065F" w:rsidRDefault="00331A82" w:rsidP="00CF5D13">
            <w:pPr>
              <w:rPr>
                <w:rFonts w:eastAsia="Times New Roman"/>
                <w:b/>
                <w:bCs/>
                <w:color w:val="FFFFFF"/>
                <w:szCs w:val="22"/>
                <w:lang w:val="es-MX" w:eastAsia="es-MX"/>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11A97D6" w14:textId="77777777" w:rsidR="00331A82" w:rsidRPr="00A0065F" w:rsidRDefault="00331A82" w:rsidP="00CF5D13">
            <w:pPr>
              <w:rPr>
                <w:rFonts w:eastAsia="Times New Roman"/>
                <w:b/>
                <w:bCs/>
                <w:color w:val="FFFFFF"/>
                <w:szCs w:val="22"/>
                <w:lang w:val="es-MX" w:eastAsia="es-MX"/>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43FD724" w14:textId="77777777" w:rsidR="00331A82" w:rsidRPr="00A0065F" w:rsidRDefault="00331A82" w:rsidP="00CF5D13">
            <w:pPr>
              <w:rPr>
                <w:rFonts w:eastAsia="Times New Roman"/>
                <w:b/>
                <w:bCs/>
                <w:color w:val="FFFFFF"/>
                <w:szCs w:val="22"/>
                <w:lang w:val="es-MX" w:eastAsia="es-MX"/>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02D5739" w14:textId="77777777" w:rsidR="00331A82" w:rsidRPr="00A0065F" w:rsidRDefault="00331A82" w:rsidP="00CF5D13">
            <w:pPr>
              <w:rPr>
                <w:rFonts w:eastAsia="Times New Roman"/>
                <w:b/>
                <w:bCs/>
                <w:color w:val="FFFFFF"/>
                <w:szCs w:val="22"/>
                <w:lang w:val="es-MX" w:eastAsia="es-MX"/>
              </w:rPr>
            </w:pPr>
          </w:p>
        </w:tc>
      </w:tr>
      <w:tr w:rsidR="00331A82" w:rsidRPr="00595DCA" w14:paraId="4AC914B5" w14:textId="77777777" w:rsidTr="00CF5D13">
        <w:trPr>
          <w:gridAfter w:val="1"/>
          <w:wAfter w:w="615" w:type="dxa"/>
          <w:trHeight w:val="300"/>
        </w:trPr>
        <w:tc>
          <w:tcPr>
            <w:tcW w:w="3960" w:type="dxa"/>
            <w:tcBorders>
              <w:top w:val="nil"/>
              <w:left w:val="single" w:sz="4" w:space="0" w:color="auto"/>
              <w:bottom w:val="single" w:sz="4" w:space="0" w:color="auto"/>
              <w:right w:val="single" w:sz="4" w:space="0" w:color="auto"/>
            </w:tcBorders>
            <w:noWrap/>
            <w:vAlign w:val="center"/>
            <w:hideMark/>
          </w:tcPr>
          <w:p w14:paraId="5040C152" w14:textId="77777777" w:rsidR="00331A82" w:rsidRPr="00A0065F" w:rsidRDefault="00331A82" w:rsidP="00CF5D13">
            <w:pPr>
              <w:rPr>
                <w:rFonts w:eastAsia="Times New Roman"/>
                <w:szCs w:val="22"/>
                <w:lang w:val="es-MX" w:eastAsia="es-MX"/>
              </w:rPr>
            </w:pPr>
            <w:r w:rsidRPr="00A0065F">
              <w:rPr>
                <w:rFonts w:eastAsia="Times New Roman"/>
                <w:szCs w:val="22"/>
                <w:lang w:val="es-MX" w:eastAsia="es-MX"/>
              </w:rPr>
              <w:t>Biotecnología</w:t>
            </w:r>
          </w:p>
        </w:tc>
        <w:tc>
          <w:tcPr>
            <w:tcW w:w="1077" w:type="dxa"/>
            <w:tcBorders>
              <w:top w:val="nil"/>
              <w:left w:val="nil"/>
              <w:bottom w:val="single" w:sz="4" w:space="0" w:color="auto"/>
              <w:right w:val="single" w:sz="4" w:space="0" w:color="auto"/>
            </w:tcBorders>
            <w:noWrap/>
            <w:vAlign w:val="center"/>
            <w:hideMark/>
          </w:tcPr>
          <w:p w14:paraId="5F454DE4"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2</w:t>
            </w:r>
          </w:p>
        </w:tc>
        <w:tc>
          <w:tcPr>
            <w:tcW w:w="1077" w:type="dxa"/>
            <w:tcBorders>
              <w:top w:val="nil"/>
              <w:left w:val="nil"/>
              <w:bottom w:val="single" w:sz="4" w:space="0" w:color="auto"/>
              <w:right w:val="single" w:sz="4" w:space="0" w:color="auto"/>
            </w:tcBorders>
            <w:noWrap/>
            <w:vAlign w:val="center"/>
            <w:hideMark/>
          </w:tcPr>
          <w:p w14:paraId="00C9FB46"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6</w:t>
            </w:r>
          </w:p>
        </w:tc>
        <w:tc>
          <w:tcPr>
            <w:tcW w:w="1077" w:type="dxa"/>
            <w:tcBorders>
              <w:top w:val="nil"/>
              <w:left w:val="nil"/>
              <w:bottom w:val="single" w:sz="4" w:space="0" w:color="auto"/>
              <w:right w:val="single" w:sz="4" w:space="0" w:color="auto"/>
            </w:tcBorders>
            <w:noWrap/>
            <w:vAlign w:val="center"/>
            <w:hideMark/>
          </w:tcPr>
          <w:p w14:paraId="5FB95EEE"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3</w:t>
            </w:r>
          </w:p>
        </w:tc>
        <w:tc>
          <w:tcPr>
            <w:tcW w:w="1077" w:type="dxa"/>
            <w:tcBorders>
              <w:top w:val="nil"/>
              <w:left w:val="nil"/>
              <w:bottom w:val="single" w:sz="4" w:space="0" w:color="auto"/>
              <w:right w:val="single" w:sz="4" w:space="0" w:color="auto"/>
            </w:tcBorders>
            <w:noWrap/>
            <w:vAlign w:val="center"/>
            <w:hideMark/>
          </w:tcPr>
          <w:p w14:paraId="657BBAA2"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4</w:t>
            </w:r>
          </w:p>
        </w:tc>
        <w:tc>
          <w:tcPr>
            <w:tcW w:w="1077" w:type="dxa"/>
            <w:tcBorders>
              <w:top w:val="nil"/>
              <w:left w:val="nil"/>
              <w:bottom w:val="single" w:sz="4" w:space="0" w:color="auto"/>
              <w:right w:val="single" w:sz="4" w:space="0" w:color="auto"/>
            </w:tcBorders>
            <w:noWrap/>
            <w:vAlign w:val="center"/>
            <w:hideMark/>
          </w:tcPr>
          <w:p w14:paraId="56B3CCEA"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1</w:t>
            </w:r>
          </w:p>
        </w:tc>
      </w:tr>
      <w:tr w:rsidR="00331A82" w:rsidRPr="00595DCA" w14:paraId="109B7902" w14:textId="77777777" w:rsidTr="00CF5D13">
        <w:trPr>
          <w:gridAfter w:val="1"/>
          <w:wAfter w:w="615" w:type="dxa"/>
          <w:trHeight w:val="300"/>
        </w:trPr>
        <w:tc>
          <w:tcPr>
            <w:tcW w:w="3960" w:type="dxa"/>
            <w:tcBorders>
              <w:top w:val="nil"/>
              <w:left w:val="single" w:sz="4" w:space="0" w:color="auto"/>
              <w:bottom w:val="single" w:sz="4" w:space="0" w:color="auto"/>
              <w:right w:val="single" w:sz="4" w:space="0" w:color="auto"/>
            </w:tcBorders>
            <w:noWrap/>
            <w:vAlign w:val="center"/>
            <w:hideMark/>
          </w:tcPr>
          <w:p w14:paraId="1F2C4C95" w14:textId="77777777" w:rsidR="00331A82" w:rsidRPr="00A0065F" w:rsidRDefault="00331A82" w:rsidP="00CF5D13">
            <w:pPr>
              <w:rPr>
                <w:rFonts w:eastAsia="Times New Roman"/>
                <w:szCs w:val="22"/>
                <w:lang w:val="es-MX" w:eastAsia="es-MX"/>
              </w:rPr>
            </w:pPr>
            <w:r w:rsidRPr="00A0065F">
              <w:rPr>
                <w:rFonts w:eastAsia="Times New Roman"/>
                <w:szCs w:val="22"/>
                <w:lang w:val="es-MX" w:eastAsia="es-MX"/>
              </w:rPr>
              <w:t>Eléctrica</w:t>
            </w:r>
          </w:p>
        </w:tc>
        <w:tc>
          <w:tcPr>
            <w:tcW w:w="1077" w:type="dxa"/>
            <w:tcBorders>
              <w:top w:val="nil"/>
              <w:left w:val="nil"/>
              <w:bottom w:val="single" w:sz="4" w:space="0" w:color="auto"/>
              <w:right w:val="single" w:sz="4" w:space="0" w:color="auto"/>
            </w:tcBorders>
            <w:noWrap/>
            <w:vAlign w:val="center"/>
            <w:hideMark/>
          </w:tcPr>
          <w:p w14:paraId="0182A808"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9</w:t>
            </w:r>
          </w:p>
        </w:tc>
        <w:tc>
          <w:tcPr>
            <w:tcW w:w="1077" w:type="dxa"/>
            <w:tcBorders>
              <w:top w:val="nil"/>
              <w:left w:val="nil"/>
              <w:bottom w:val="single" w:sz="4" w:space="0" w:color="auto"/>
              <w:right w:val="single" w:sz="4" w:space="0" w:color="auto"/>
            </w:tcBorders>
            <w:noWrap/>
            <w:vAlign w:val="center"/>
            <w:hideMark/>
          </w:tcPr>
          <w:p w14:paraId="0C74DB5B"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2</w:t>
            </w:r>
          </w:p>
        </w:tc>
        <w:tc>
          <w:tcPr>
            <w:tcW w:w="1077" w:type="dxa"/>
            <w:tcBorders>
              <w:top w:val="nil"/>
              <w:left w:val="nil"/>
              <w:bottom w:val="single" w:sz="4" w:space="0" w:color="auto"/>
              <w:right w:val="single" w:sz="4" w:space="0" w:color="auto"/>
            </w:tcBorders>
            <w:noWrap/>
            <w:vAlign w:val="center"/>
            <w:hideMark/>
          </w:tcPr>
          <w:p w14:paraId="7A0FD81F"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3</w:t>
            </w:r>
          </w:p>
        </w:tc>
        <w:tc>
          <w:tcPr>
            <w:tcW w:w="1077" w:type="dxa"/>
            <w:tcBorders>
              <w:top w:val="nil"/>
              <w:left w:val="nil"/>
              <w:bottom w:val="single" w:sz="4" w:space="0" w:color="auto"/>
              <w:right w:val="single" w:sz="4" w:space="0" w:color="auto"/>
            </w:tcBorders>
            <w:noWrap/>
            <w:vAlign w:val="center"/>
            <w:hideMark/>
          </w:tcPr>
          <w:p w14:paraId="4CE30D17"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6</w:t>
            </w:r>
          </w:p>
        </w:tc>
        <w:tc>
          <w:tcPr>
            <w:tcW w:w="1077" w:type="dxa"/>
            <w:tcBorders>
              <w:top w:val="nil"/>
              <w:left w:val="nil"/>
              <w:bottom w:val="single" w:sz="4" w:space="0" w:color="auto"/>
              <w:right w:val="single" w:sz="4" w:space="0" w:color="auto"/>
            </w:tcBorders>
            <w:noWrap/>
            <w:vAlign w:val="center"/>
            <w:hideMark/>
          </w:tcPr>
          <w:p w14:paraId="3D7A1C46"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5</w:t>
            </w:r>
          </w:p>
        </w:tc>
      </w:tr>
      <w:tr w:rsidR="00331A82" w:rsidRPr="00595DCA" w14:paraId="3B9D02E1" w14:textId="77777777" w:rsidTr="00CF5D13">
        <w:trPr>
          <w:gridAfter w:val="1"/>
          <w:wAfter w:w="615" w:type="dxa"/>
          <w:trHeight w:val="300"/>
        </w:trPr>
        <w:tc>
          <w:tcPr>
            <w:tcW w:w="3960" w:type="dxa"/>
            <w:tcBorders>
              <w:top w:val="nil"/>
              <w:left w:val="single" w:sz="4" w:space="0" w:color="auto"/>
              <w:bottom w:val="single" w:sz="4" w:space="0" w:color="auto"/>
              <w:right w:val="single" w:sz="4" w:space="0" w:color="auto"/>
            </w:tcBorders>
            <w:noWrap/>
            <w:vAlign w:val="center"/>
            <w:hideMark/>
          </w:tcPr>
          <w:p w14:paraId="377DF175" w14:textId="77777777" w:rsidR="00331A82" w:rsidRPr="00A0065F" w:rsidRDefault="00331A82" w:rsidP="00CF5D13">
            <w:pPr>
              <w:rPr>
                <w:rFonts w:eastAsia="Times New Roman"/>
                <w:szCs w:val="22"/>
                <w:lang w:val="es-MX" w:eastAsia="es-MX"/>
              </w:rPr>
            </w:pPr>
            <w:r w:rsidRPr="00A0065F">
              <w:rPr>
                <w:rFonts w:eastAsia="Times New Roman"/>
                <w:szCs w:val="22"/>
                <w:lang w:val="es-MX" w:eastAsia="es-MX"/>
              </w:rPr>
              <w:t>Farmacia</w:t>
            </w:r>
          </w:p>
        </w:tc>
        <w:tc>
          <w:tcPr>
            <w:tcW w:w="1077" w:type="dxa"/>
            <w:tcBorders>
              <w:top w:val="nil"/>
              <w:left w:val="nil"/>
              <w:bottom w:val="single" w:sz="4" w:space="0" w:color="auto"/>
              <w:right w:val="single" w:sz="4" w:space="0" w:color="auto"/>
            </w:tcBorders>
            <w:noWrap/>
            <w:vAlign w:val="center"/>
            <w:hideMark/>
          </w:tcPr>
          <w:p w14:paraId="75A4E407"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2</w:t>
            </w:r>
          </w:p>
        </w:tc>
        <w:tc>
          <w:tcPr>
            <w:tcW w:w="1077" w:type="dxa"/>
            <w:tcBorders>
              <w:top w:val="nil"/>
              <w:left w:val="nil"/>
              <w:bottom w:val="single" w:sz="4" w:space="0" w:color="auto"/>
              <w:right w:val="single" w:sz="4" w:space="0" w:color="auto"/>
            </w:tcBorders>
            <w:noWrap/>
            <w:vAlign w:val="center"/>
            <w:hideMark/>
          </w:tcPr>
          <w:p w14:paraId="51CCC82B"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4</w:t>
            </w:r>
          </w:p>
        </w:tc>
        <w:tc>
          <w:tcPr>
            <w:tcW w:w="1077" w:type="dxa"/>
            <w:tcBorders>
              <w:top w:val="nil"/>
              <w:left w:val="nil"/>
              <w:bottom w:val="single" w:sz="4" w:space="0" w:color="auto"/>
              <w:right w:val="single" w:sz="4" w:space="0" w:color="auto"/>
            </w:tcBorders>
            <w:noWrap/>
            <w:vAlign w:val="center"/>
            <w:hideMark/>
          </w:tcPr>
          <w:p w14:paraId="3827FB8E"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6</w:t>
            </w:r>
          </w:p>
        </w:tc>
        <w:tc>
          <w:tcPr>
            <w:tcW w:w="1077" w:type="dxa"/>
            <w:tcBorders>
              <w:top w:val="nil"/>
              <w:left w:val="nil"/>
              <w:bottom w:val="single" w:sz="4" w:space="0" w:color="auto"/>
              <w:right w:val="single" w:sz="4" w:space="0" w:color="auto"/>
            </w:tcBorders>
            <w:noWrap/>
            <w:vAlign w:val="center"/>
            <w:hideMark/>
          </w:tcPr>
          <w:p w14:paraId="70EA3992"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5</w:t>
            </w:r>
          </w:p>
        </w:tc>
        <w:tc>
          <w:tcPr>
            <w:tcW w:w="1077" w:type="dxa"/>
            <w:tcBorders>
              <w:top w:val="nil"/>
              <w:left w:val="nil"/>
              <w:bottom w:val="single" w:sz="4" w:space="0" w:color="auto"/>
              <w:right w:val="single" w:sz="4" w:space="0" w:color="auto"/>
            </w:tcBorders>
            <w:noWrap/>
            <w:vAlign w:val="center"/>
            <w:hideMark/>
          </w:tcPr>
          <w:p w14:paraId="64AF7EB6"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2</w:t>
            </w:r>
          </w:p>
        </w:tc>
      </w:tr>
      <w:tr w:rsidR="00331A82" w:rsidRPr="00595DCA" w14:paraId="0DE861E6" w14:textId="77777777" w:rsidTr="00CF5D13">
        <w:trPr>
          <w:gridAfter w:val="1"/>
          <w:wAfter w:w="615" w:type="dxa"/>
          <w:trHeight w:val="300"/>
        </w:trPr>
        <w:tc>
          <w:tcPr>
            <w:tcW w:w="3960" w:type="dxa"/>
            <w:tcBorders>
              <w:top w:val="nil"/>
              <w:left w:val="single" w:sz="4" w:space="0" w:color="auto"/>
              <w:bottom w:val="single" w:sz="4" w:space="0" w:color="auto"/>
              <w:right w:val="single" w:sz="4" w:space="0" w:color="auto"/>
            </w:tcBorders>
            <w:noWrap/>
            <w:vAlign w:val="center"/>
            <w:hideMark/>
          </w:tcPr>
          <w:p w14:paraId="118447C2" w14:textId="77777777" w:rsidR="00331A82" w:rsidRPr="00A0065F" w:rsidRDefault="00331A82" w:rsidP="00CF5D13">
            <w:pPr>
              <w:rPr>
                <w:rFonts w:eastAsia="Times New Roman"/>
                <w:szCs w:val="22"/>
                <w:lang w:val="es-MX" w:eastAsia="es-MX"/>
              </w:rPr>
            </w:pPr>
            <w:r w:rsidRPr="00A0065F">
              <w:rPr>
                <w:rFonts w:eastAsia="Times New Roman"/>
                <w:szCs w:val="22"/>
                <w:lang w:val="es-MX" w:eastAsia="es-MX"/>
              </w:rPr>
              <w:t>Mecánica</w:t>
            </w:r>
          </w:p>
        </w:tc>
        <w:tc>
          <w:tcPr>
            <w:tcW w:w="1077" w:type="dxa"/>
            <w:tcBorders>
              <w:top w:val="nil"/>
              <w:left w:val="nil"/>
              <w:bottom w:val="single" w:sz="4" w:space="0" w:color="auto"/>
              <w:right w:val="single" w:sz="4" w:space="0" w:color="auto"/>
            </w:tcBorders>
            <w:noWrap/>
            <w:vAlign w:val="center"/>
            <w:hideMark/>
          </w:tcPr>
          <w:p w14:paraId="1AC1A509"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15</w:t>
            </w:r>
          </w:p>
        </w:tc>
        <w:tc>
          <w:tcPr>
            <w:tcW w:w="1077" w:type="dxa"/>
            <w:tcBorders>
              <w:top w:val="nil"/>
              <w:left w:val="nil"/>
              <w:bottom w:val="single" w:sz="4" w:space="0" w:color="auto"/>
              <w:right w:val="single" w:sz="4" w:space="0" w:color="auto"/>
            </w:tcBorders>
            <w:noWrap/>
            <w:vAlign w:val="center"/>
            <w:hideMark/>
          </w:tcPr>
          <w:p w14:paraId="11E50FA8"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6</w:t>
            </w:r>
          </w:p>
        </w:tc>
        <w:tc>
          <w:tcPr>
            <w:tcW w:w="1077" w:type="dxa"/>
            <w:tcBorders>
              <w:top w:val="nil"/>
              <w:left w:val="nil"/>
              <w:bottom w:val="single" w:sz="4" w:space="0" w:color="auto"/>
              <w:right w:val="single" w:sz="4" w:space="0" w:color="auto"/>
            </w:tcBorders>
            <w:noWrap/>
            <w:vAlign w:val="center"/>
            <w:hideMark/>
          </w:tcPr>
          <w:p w14:paraId="1B965B27"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1</w:t>
            </w:r>
          </w:p>
        </w:tc>
        <w:tc>
          <w:tcPr>
            <w:tcW w:w="1077" w:type="dxa"/>
            <w:tcBorders>
              <w:top w:val="nil"/>
              <w:left w:val="nil"/>
              <w:bottom w:val="single" w:sz="4" w:space="0" w:color="auto"/>
              <w:right w:val="single" w:sz="4" w:space="0" w:color="auto"/>
            </w:tcBorders>
            <w:noWrap/>
            <w:vAlign w:val="center"/>
            <w:hideMark/>
          </w:tcPr>
          <w:p w14:paraId="7233A6B4"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7</w:t>
            </w:r>
          </w:p>
        </w:tc>
        <w:tc>
          <w:tcPr>
            <w:tcW w:w="1077" w:type="dxa"/>
            <w:tcBorders>
              <w:top w:val="nil"/>
              <w:left w:val="nil"/>
              <w:bottom w:val="single" w:sz="4" w:space="0" w:color="auto"/>
              <w:right w:val="single" w:sz="4" w:space="0" w:color="auto"/>
            </w:tcBorders>
            <w:noWrap/>
            <w:vAlign w:val="center"/>
            <w:hideMark/>
          </w:tcPr>
          <w:p w14:paraId="428F48CB"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6</w:t>
            </w:r>
          </w:p>
        </w:tc>
      </w:tr>
      <w:tr w:rsidR="00331A82" w:rsidRPr="00595DCA" w14:paraId="4B452BB6" w14:textId="77777777" w:rsidTr="00CF5D13">
        <w:trPr>
          <w:gridAfter w:val="1"/>
          <w:wAfter w:w="615" w:type="dxa"/>
          <w:trHeight w:val="300"/>
        </w:trPr>
        <w:tc>
          <w:tcPr>
            <w:tcW w:w="3960" w:type="dxa"/>
            <w:tcBorders>
              <w:top w:val="nil"/>
              <w:left w:val="single" w:sz="4" w:space="0" w:color="auto"/>
              <w:bottom w:val="single" w:sz="4" w:space="0" w:color="auto"/>
              <w:right w:val="single" w:sz="4" w:space="0" w:color="auto"/>
            </w:tcBorders>
            <w:noWrap/>
            <w:vAlign w:val="center"/>
            <w:hideMark/>
          </w:tcPr>
          <w:p w14:paraId="27007957" w14:textId="77777777" w:rsidR="00331A82" w:rsidRPr="00A0065F" w:rsidRDefault="00331A82" w:rsidP="00CF5D13">
            <w:pPr>
              <w:rPr>
                <w:rFonts w:eastAsia="Times New Roman"/>
                <w:szCs w:val="22"/>
                <w:lang w:val="es-MX" w:eastAsia="es-MX"/>
              </w:rPr>
            </w:pPr>
            <w:r w:rsidRPr="00A0065F">
              <w:rPr>
                <w:rFonts w:eastAsia="Times New Roman"/>
                <w:szCs w:val="22"/>
                <w:lang w:val="es-MX" w:eastAsia="es-MX"/>
              </w:rPr>
              <w:t>Química</w:t>
            </w:r>
          </w:p>
        </w:tc>
        <w:tc>
          <w:tcPr>
            <w:tcW w:w="1077" w:type="dxa"/>
            <w:tcBorders>
              <w:top w:val="nil"/>
              <w:left w:val="nil"/>
              <w:bottom w:val="single" w:sz="4" w:space="0" w:color="auto"/>
              <w:right w:val="single" w:sz="4" w:space="0" w:color="auto"/>
            </w:tcBorders>
            <w:noWrap/>
            <w:vAlign w:val="center"/>
            <w:hideMark/>
          </w:tcPr>
          <w:p w14:paraId="583BCEB4"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6</w:t>
            </w:r>
          </w:p>
        </w:tc>
        <w:tc>
          <w:tcPr>
            <w:tcW w:w="1077" w:type="dxa"/>
            <w:tcBorders>
              <w:top w:val="nil"/>
              <w:left w:val="nil"/>
              <w:bottom w:val="single" w:sz="4" w:space="0" w:color="auto"/>
              <w:right w:val="single" w:sz="4" w:space="0" w:color="auto"/>
            </w:tcBorders>
            <w:noWrap/>
            <w:vAlign w:val="center"/>
            <w:hideMark/>
          </w:tcPr>
          <w:p w14:paraId="0975AFE7"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18</w:t>
            </w:r>
          </w:p>
        </w:tc>
        <w:tc>
          <w:tcPr>
            <w:tcW w:w="1077" w:type="dxa"/>
            <w:tcBorders>
              <w:top w:val="nil"/>
              <w:left w:val="nil"/>
              <w:bottom w:val="single" w:sz="4" w:space="0" w:color="auto"/>
              <w:right w:val="single" w:sz="4" w:space="0" w:color="auto"/>
            </w:tcBorders>
            <w:noWrap/>
            <w:vAlign w:val="center"/>
            <w:hideMark/>
          </w:tcPr>
          <w:p w14:paraId="02E9E299"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10</w:t>
            </w:r>
          </w:p>
        </w:tc>
        <w:tc>
          <w:tcPr>
            <w:tcW w:w="1077" w:type="dxa"/>
            <w:tcBorders>
              <w:top w:val="nil"/>
              <w:left w:val="nil"/>
              <w:bottom w:val="single" w:sz="4" w:space="0" w:color="auto"/>
              <w:right w:val="single" w:sz="4" w:space="0" w:color="auto"/>
            </w:tcBorders>
            <w:noWrap/>
            <w:vAlign w:val="center"/>
            <w:hideMark/>
          </w:tcPr>
          <w:p w14:paraId="61A6CB77"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11</w:t>
            </w:r>
          </w:p>
        </w:tc>
        <w:tc>
          <w:tcPr>
            <w:tcW w:w="1077" w:type="dxa"/>
            <w:tcBorders>
              <w:top w:val="nil"/>
              <w:left w:val="nil"/>
              <w:bottom w:val="single" w:sz="4" w:space="0" w:color="auto"/>
              <w:right w:val="single" w:sz="4" w:space="0" w:color="auto"/>
            </w:tcBorders>
            <w:noWrap/>
            <w:vAlign w:val="center"/>
            <w:hideMark/>
          </w:tcPr>
          <w:p w14:paraId="56D883CD"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9</w:t>
            </w:r>
          </w:p>
        </w:tc>
      </w:tr>
      <w:tr w:rsidR="00331A82" w:rsidRPr="00595DCA" w14:paraId="3851DE82" w14:textId="77777777" w:rsidTr="00CF5D13">
        <w:trPr>
          <w:gridAfter w:val="1"/>
          <w:wAfter w:w="615" w:type="dxa"/>
          <w:trHeight w:val="300"/>
        </w:trPr>
        <w:tc>
          <w:tcPr>
            <w:tcW w:w="3960" w:type="dxa"/>
            <w:tcBorders>
              <w:top w:val="nil"/>
              <w:left w:val="single" w:sz="4" w:space="0" w:color="auto"/>
              <w:bottom w:val="single" w:sz="4" w:space="0" w:color="auto"/>
              <w:right w:val="single" w:sz="4" w:space="0" w:color="auto"/>
            </w:tcBorders>
            <w:noWrap/>
            <w:vAlign w:val="center"/>
            <w:hideMark/>
          </w:tcPr>
          <w:p w14:paraId="37AAAF99" w14:textId="77777777" w:rsidR="00331A82" w:rsidRPr="00A0065F" w:rsidRDefault="00331A82" w:rsidP="00CF5D13">
            <w:pPr>
              <w:rPr>
                <w:rFonts w:eastAsia="Times New Roman"/>
                <w:szCs w:val="22"/>
                <w:lang w:val="es-MX" w:eastAsia="es-MX"/>
              </w:rPr>
            </w:pPr>
            <w:r w:rsidRPr="00A0065F">
              <w:rPr>
                <w:rFonts w:eastAsia="Times New Roman"/>
                <w:szCs w:val="22"/>
                <w:lang w:val="es-MX" w:eastAsia="es-MX"/>
              </w:rPr>
              <w:t>En forma sin clasificación</w:t>
            </w:r>
          </w:p>
        </w:tc>
        <w:tc>
          <w:tcPr>
            <w:tcW w:w="1077" w:type="dxa"/>
            <w:tcBorders>
              <w:top w:val="nil"/>
              <w:left w:val="nil"/>
              <w:bottom w:val="single" w:sz="4" w:space="0" w:color="auto"/>
              <w:right w:val="single" w:sz="4" w:space="0" w:color="auto"/>
            </w:tcBorders>
            <w:noWrap/>
            <w:vAlign w:val="center"/>
            <w:hideMark/>
          </w:tcPr>
          <w:p w14:paraId="2A1F4930"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0</w:t>
            </w:r>
          </w:p>
        </w:tc>
        <w:tc>
          <w:tcPr>
            <w:tcW w:w="1077" w:type="dxa"/>
            <w:tcBorders>
              <w:top w:val="nil"/>
              <w:left w:val="nil"/>
              <w:bottom w:val="single" w:sz="4" w:space="0" w:color="auto"/>
              <w:right w:val="single" w:sz="4" w:space="0" w:color="auto"/>
            </w:tcBorders>
            <w:noWrap/>
            <w:vAlign w:val="center"/>
            <w:hideMark/>
          </w:tcPr>
          <w:p w14:paraId="0D4790A8"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0</w:t>
            </w:r>
          </w:p>
        </w:tc>
        <w:tc>
          <w:tcPr>
            <w:tcW w:w="1077" w:type="dxa"/>
            <w:tcBorders>
              <w:top w:val="nil"/>
              <w:left w:val="nil"/>
              <w:bottom w:val="single" w:sz="4" w:space="0" w:color="auto"/>
              <w:right w:val="single" w:sz="4" w:space="0" w:color="auto"/>
            </w:tcBorders>
            <w:noWrap/>
            <w:vAlign w:val="center"/>
            <w:hideMark/>
          </w:tcPr>
          <w:p w14:paraId="0D8524D2"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0</w:t>
            </w:r>
          </w:p>
        </w:tc>
        <w:tc>
          <w:tcPr>
            <w:tcW w:w="1077" w:type="dxa"/>
            <w:tcBorders>
              <w:top w:val="nil"/>
              <w:left w:val="nil"/>
              <w:bottom w:val="single" w:sz="4" w:space="0" w:color="auto"/>
              <w:right w:val="single" w:sz="4" w:space="0" w:color="auto"/>
            </w:tcBorders>
            <w:noWrap/>
            <w:vAlign w:val="center"/>
            <w:hideMark/>
          </w:tcPr>
          <w:p w14:paraId="47E25113"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0</w:t>
            </w:r>
          </w:p>
        </w:tc>
        <w:tc>
          <w:tcPr>
            <w:tcW w:w="1077" w:type="dxa"/>
            <w:tcBorders>
              <w:top w:val="nil"/>
              <w:left w:val="nil"/>
              <w:bottom w:val="single" w:sz="4" w:space="0" w:color="auto"/>
              <w:right w:val="single" w:sz="4" w:space="0" w:color="auto"/>
            </w:tcBorders>
            <w:noWrap/>
            <w:vAlign w:val="center"/>
            <w:hideMark/>
          </w:tcPr>
          <w:p w14:paraId="504D1600"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2</w:t>
            </w:r>
          </w:p>
        </w:tc>
      </w:tr>
      <w:tr w:rsidR="00331A82" w:rsidRPr="00595DCA" w14:paraId="2F5D405F" w14:textId="77777777" w:rsidTr="00CF5D13">
        <w:trPr>
          <w:gridAfter w:val="1"/>
          <w:wAfter w:w="615" w:type="dxa"/>
          <w:trHeight w:val="300"/>
        </w:trPr>
        <w:tc>
          <w:tcPr>
            <w:tcW w:w="3960" w:type="dxa"/>
            <w:tcBorders>
              <w:top w:val="nil"/>
              <w:left w:val="single" w:sz="4" w:space="0" w:color="auto"/>
              <w:bottom w:val="single" w:sz="4" w:space="0" w:color="auto"/>
              <w:right w:val="single" w:sz="4" w:space="0" w:color="auto"/>
            </w:tcBorders>
            <w:noWrap/>
            <w:vAlign w:val="center"/>
            <w:hideMark/>
          </w:tcPr>
          <w:p w14:paraId="37D1F945" w14:textId="77777777" w:rsidR="00331A82" w:rsidRPr="00A0065F" w:rsidRDefault="00331A82" w:rsidP="00CF5D13">
            <w:pPr>
              <w:rPr>
                <w:rFonts w:eastAsia="Times New Roman"/>
                <w:szCs w:val="22"/>
                <w:lang w:val="es-MX" w:eastAsia="es-MX"/>
              </w:rPr>
            </w:pPr>
            <w:r w:rsidRPr="00A0065F">
              <w:rPr>
                <w:rFonts w:eastAsia="Times New Roman"/>
                <w:szCs w:val="22"/>
                <w:lang w:val="es-MX" w:eastAsia="es-MX"/>
              </w:rPr>
              <w:t>Concluyó en Examen de Forma</w:t>
            </w:r>
          </w:p>
        </w:tc>
        <w:tc>
          <w:tcPr>
            <w:tcW w:w="1077" w:type="dxa"/>
            <w:tcBorders>
              <w:top w:val="nil"/>
              <w:left w:val="nil"/>
              <w:bottom w:val="single" w:sz="4" w:space="0" w:color="auto"/>
              <w:right w:val="single" w:sz="4" w:space="0" w:color="auto"/>
            </w:tcBorders>
            <w:noWrap/>
            <w:vAlign w:val="center"/>
            <w:hideMark/>
          </w:tcPr>
          <w:p w14:paraId="0D548FF4"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4</w:t>
            </w:r>
          </w:p>
        </w:tc>
        <w:tc>
          <w:tcPr>
            <w:tcW w:w="1077" w:type="dxa"/>
            <w:tcBorders>
              <w:top w:val="nil"/>
              <w:left w:val="nil"/>
              <w:bottom w:val="single" w:sz="4" w:space="0" w:color="auto"/>
              <w:right w:val="single" w:sz="4" w:space="0" w:color="auto"/>
            </w:tcBorders>
            <w:noWrap/>
            <w:vAlign w:val="center"/>
            <w:hideMark/>
          </w:tcPr>
          <w:p w14:paraId="00234CDA"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2</w:t>
            </w:r>
          </w:p>
        </w:tc>
        <w:tc>
          <w:tcPr>
            <w:tcW w:w="1077" w:type="dxa"/>
            <w:tcBorders>
              <w:top w:val="nil"/>
              <w:left w:val="nil"/>
              <w:bottom w:val="single" w:sz="4" w:space="0" w:color="auto"/>
              <w:right w:val="single" w:sz="4" w:space="0" w:color="auto"/>
            </w:tcBorders>
            <w:noWrap/>
            <w:vAlign w:val="center"/>
            <w:hideMark/>
          </w:tcPr>
          <w:p w14:paraId="6547E610"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2</w:t>
            </w:r>
          </w:p>
        </w:tc>
        <w:tc>
          <w:tcPr>
            <w:tcW w:w="1077" w:type="dxa"/>
            <w:tcBorders>
              <w:top w:val="nil"/>
              <w:left w:val="nil"/>
              <w:bottom w:val="single" w:sz="4" w:space="0" w:color="auto"/>
              <w:right w:val="single" w:sz="4" w:space="0" w:color="auto"/>
            </w:tcBorders>
            <w:noWrap/>
            <w:vAlign w:val="center"/>
            <w:hideMark/>
          </w:tcPr>
          <w:p w14:paraId="1251EDBA"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4</w:t>
            </w:r>
          </w:p>
        </w:tc>
        <w:tc>
          <w:tcPr>
            <w:tcW w:w="1077" w:type="dxa"/>
            <w:tcBorders>
              <w:top w:val="nil"/>
              <w:left w:val="nil"/>
              <w:bottom w:val="single" w:sz="4" w:space="0" w:color="auto"/>
              <w:right w:val="single" w:sz="4" w:space="0" w:color="auto"/>
            </w:tcBorders>
            <w:noWrap/>
            <w:vAlign w:val="center"/>
            <w:hideMark/>
          </w:tcPr>
          <w:p w14:paraId="6C19A85F"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2</w:t>
            </w:r>
          </w:p>
        </w:tc>
      </w:tr>
      <w:tr w:rsidR="00331A82" w:rsidRPr="00595DCA" w14:paraId="28D5BBE8" w14:textId="77777777" w:rsidTr="00CF5D13">
        <w:trPr>
          <w:gridAfter w:val="1"/>
          <w:wAfter w:w="615" w:type="dxa"/>
          <w:trHeight w:val="300"/>
        </w:trPr>
        <w:tc>
          <w:tcPr>
            <w:tcW w:w="3960" w:type="dxa"/>
            <w:tcBorders>
              <w:top w:val="nil"/>
              <w:left w:val="single" w:sz="4" w:space="0" w:color="auto"/>
              <w:bottom w:val="single" w:sz="4" w:space="0" w:color="auto"/>
              <w:right w:val="single" w:sz="4" w:space="0" w:color="auto"/>
            </w:tcBorders>
            <w:noWrap/>
            <w:vAlign w:val="center"/>
            <w:hideMark/>
          </w:tcPr>
          <w:p w14:paraId="277B39BB" w14:textId="77777777" w:rsidR="00331A82" w:rsidRPr="00A0065F" w:rsidRDefault="00331A82" w:rsidP="00CF5D13">
            <w:pPr>
              <w:rPr>
                <w:rFonts w:eastAsia="Times New Roman"/>
                <w:b/>
                <w:bCs/>
                <w:szCs w:val="22"/>
                <w:lang w:val="es-MX" w:eastAsia="es-MX"/>
              </w:rPr>
            </w:pPr>
            <w:r w:rsidRPr="00A0065F">
              <w:rPr>
                <w:rFonts w:eastAsia="Times New Roman"/>
                <w:b/>
                <w:bCs/>
                <w:szCs w:val="22"/>
                <w:lang w:val="es-MX" w:eastAsia="es-MX"/>
              </w:rPr>
              <w:t>Total (Patentes recibidas por año)</w:t>
            </w:r>
          </w:p>
        </w:tc>
        <w:tc>
          <w:tcPr>
            <w:tcW w:w="1077" w:type="dxa"/>
            <w:tcBorders>
              <w:top w:val="nil"/>
              <w:left w:val="nil"/>
              <w:bottom w:val="single" w:sz="4" w:space="0" w:color="auto"/>
              <w:right w:val="single" w:sz="4" w:space="0" w:color="auto"/>
            </w:tcBorders>
            <w:noWrap/>
            <w:vAlign w:val="center"/>
            <w:hideMark/>
          </w:tcPr>
          <w:p w14:paraId="3D627DC5" w14:textId="77777777" w:rsidR="00331A82" w:rsidRPr="00A0065F" w:rsidRDefault="00331A82" w:rsidP="00CF5D13">
            <w:pPr>
              <w:jc w:val="center"/>
              <w:rPr>
                <w:rFonts w:eastAsia="Times New Roman"/>
                <w:b/>
                <w:bCs/>
                <w:szCs w:val="22"/>
                <w:lang w:val="es-MX" w:eastAsia="es-MX"/>
              </w:rPr>
            </w:pPr>
            <w:r w:rsidRPr="00A0065F">
              <w:rPr>
                <w:rFonts w:eastAsia="Times New Roman"/>
                <w:b/>
                <w:bCs/>
                <w:szCs w:val="22"/>
                <w:lang w:val="es-MX" w:eastAsia="es-MX"/>
              </w:rPr>
              <w:t>38</w:t>
            </w:r>
          </w:p>
        </w:tc>
        <w:tc>
          <w:tcPr>
            <w:tcW w:w="1077" w:type="dxa"/>
            <w:tcBorders>
              <w:top w:val="nil"/>
              <w:left w:val="nil"/>
              <w:bottom w:val="single" w:sz="4" w:space="0" w:color="auto"/>
              <w:right w:val="single" w:sz="4" w:space="0" w:color="auto"/>
            </w:tcBorders>
            <w:noWrap/>
            <w:vAlign w:val="center"/>
            <w:hideMark/>
          </w:tcPr>
          <w:p w14:paraId="067FC94F" w14:textId="77777777" w:rsidR="00331A82" w:rsidRPr="00A0065F" w:rsidRDefault="00331A82" w:rsidP="00CF5D13">
            <w:pPr>
              <w:jc w:val="center"/>
              <w:rPr>
                <w:rFonts w:eastAsia="Times New Roman"/>
                <w:b/>
                <w:bCs/>
                <w:szCs w:val="22"/>
                <w:lang w:val="es-MX" w:eastAsia="es-MX"/>
              </w:rPr>
            </w:pPr>
            <w:r w:rsidRPr="00A0065F">
              <w:rPr>
                <w:rFonts w:eastAsia="Times New Roman"/>
                <w:b/>
                <w:bCs/>
                <w:szCs w:val="22"/>
                <w:lang w:val="es-MX" w:eastAsia="es-MX"/>
              </w:rPr>
              <w:t>38</w:t>
            </w:r>
          </w:p>
        </w:tc>
        <w:tc>
          <w:tcPr>
            <w:tcW w:w="1077" w:type="dxa"/>
            <w:tcBorders>
              <w:top w:val="nil"/>
              <w:left w:val="nil"/>
              <w:bottom w:val="single" w:sz="4" w:space="0" w:color="auto"/>
              <w:right w:val="single" w:sz="4" w:space="0" w:color="auto"/>
            </w:tcBorders>
            <w:noWrap/>
            <w:vAlign w:val="center"/>
            <w:hideMark/>
          </w:tcPr>
          <w:p w14:paraId="6F5A8DE6" w14:textId="77777777" w:rsidR="00331A82" w:rsidRPr="00A0065F" w:rsidRDefault="00331A82" w:rsidP="00CF5D13">
            <w:pPr>
              <w:jc w:val="center"/>
              <w:rPr>
                <w:rFonts w:eastAsia="Times New Roman"/>
                <w:b/>
                <w:bCs/>
                <w:szCs w:val="22"/>
                <w:lang w:val="es-MX" w:eastAsia="es-MX"/>
              </w:rPr>
            </w:pPr>
            <w:r w:rsidRPr="00A0065F">
              <w:rPr>
                <w:rFonts w:eastAsia="Times New Roman"/>
                <w:b/>
                <w:bCs/>
                <w:szCs w:val="22"/>
                <w:lang w:val="es-MX" w:eastAsia="es-MX"/>
              </w:rPr>
              <w:t>25</w:t>
            </w:r>
          </w:p>
        </w:tc>
        <w:tc>
          <w:tcPr>
            <w:tcW w:w="1077" w:type="dxa"/>
            <w:tcBorders>
              <w:top w:val="nil"/>
              <w:left w:val="nil"/>
              <w:bottom w:val="single" w:sz="4" w:space="0" w:color="auto"/>
              <w:right w:val="single" w:sz="4" w:space="0" w:color="auto"/>
            </w:tcBorders>
            <w:noWrap/>
            <w:vAlign w:val="center"/>
            <w:hideMark/>
          </w:tcPr>
          <w:p w14:paraId="0002A539" w14:textId="77777777" w:rsidR="00331A82" w:rsidRPr="00A0065F" w:rsidRDefault="00331A82" w:rsidP="00CF5D13">
            <w:pPr>
              <w:jc w:val="center"/>
              <w:rPr>
                <w:rFonts w:eastAsia="Times New Roman"/>
                <w:b/>
                <w:bCs/>
                <w:szCs w:val="22"/>
                <w:lang w:val="es-MX" w:eastAsia="es-MX"/>
              </w:rPr>
            </w:pPr>
            <w:r w:rsidRPr="00A0065F">
              <w:rPr>
                <w:rFonts w:eastAsia="Times New Roman"/>
                <w:b/>
                <w:bCs/>
                <w:szCs w:val="22"/>
                <w:lang w:val="es-MX" w:eastAsia="es-MX"/>
              </w:rPr>
              <w:t>37</w:t>
            </w:r>
          </w:p>
        </w:tc>
        <w:tc>
          <w:tcPr>
            <w:tcW w:w="1077" w:type="dxa"/>
            <w:tcBorders>
              <w:top w:val="nil"/>
              <w:left w:val="nil"/>
              <w:bottom w:val="single" w:sz="4" w:space="0" w:color="auto"/>
              <w:right w:val="single" w:sz="4" w:space="0" w:color="auto"/>
            </w:tcBorders>
            <w:noWrap/>
            <w:vAlign w:val="center"/>
            <w:hideMark/>
          </w:tcPr>
          <w:p w14:paraId="00892825" w14:textId="77777777" w:rsidR="00331A82" w:rsidRPr="00A0065F" w:rsidRDefault="00331A82" w:rsidP="00CF5D13">
            <w:pPr>
              <w:jc w:val="center"/>
              <w:rPr>
                <w:rFonts w:eastAsia="Times New Roman"/>
                <w:b/>
                <w:bCs/>
                <w:szCs w:val="22"/>
                <w:lang w:val="es-MX" w:eastAsia="es-MX"/>
              </w:rPr>
            </w:pPr>
            <w:r w:rsidRPr="00A0065F">
              <w:rPr>
                <w:rFonts w:eastAsia="Times New Roman"/>
                <w:b/>
                <w:bCs/>
                <w:szCs w:val="22"/>
                <w:lang w:val="es-MX" w:eastAsia="es-MX"/>
              </w:rPr>
              <w:t>27</w:t>
            </w:r>
          </w:p>
        </w:tc>
      </w:tr>
      <w:tr w:rsidR="00331A82" w:rsidRPr="00595DCA" w14:paraId="69822C12" w14:textId="77777777" w:rsidTr="00CF5D13">
        <w:trPr>
          <w:trHeight w:val="300"/>
        </w:trPr>
        <w:tc>
          <w:tcPr>
            <w:tcW w:w="9960" w:type="dxa"/>
            <w:gridSpan w:val="7"/>
            <w:tcBorders>
              <w:top w:val="nil"/>
              <w:left w:val="nil"/>
              <w:bottom w:val="nil"/>
              <w:right w:val="nil"/>
            </w:tcBorders>
            <w:noWrap/>
            <w:vAlign w:val="bottom"/>
            <w:hideMark/>
          </w:tcPr>
          <w:p w14:paraId="2A9677E4" w14:textId="77777777" w:rsidR="00331A82" w:rsidRPr="00595DCA" w:rsidRDefault="00331A82" w:rsidP="00CF5D13">
            <w:pPr>
              <w:rPr>
                <w:rFonts w:ascii="Times New Roman" w:eastAsia="Times New Roman" w:hAnsi="Times New Roman" w:cs="Times New Roman"/>
                <w:sz w:val="20"/>
                <w:lang w:val="es-MX" w:eastAsia="es-MX"/>
              </w:rPr>
            </w:pPr>
            <w:r w:rsidRPr="00595DCA">
              <w:rPr>
                <w:rFonts w:ascii="Calibri" w:eastAsia="Times New Roman" w:hAnsi="Calibri" w:cs="Calibri"/>
                <w:color w:val="000000"/>
                <w:sz w:val="16"/>
                <w:szCs w:val="16"/>
                <w:lang w:val="es-MX" w:eastAsia="es-MX"/>
              </w:rPr>
              <w:t>*Solicitudes internacionales: Se consideraron las patentes subtipo PCT de nacionalidad y/o residencia MX.</w:t>
            </w:r>
          </w:p>
        </w:tc>
      </w:tr>
    </w:tbl>
    <w:p w14:paraId="41E1A69D" w14:textId="77777777" w:rsidR="00331A82" w:rsidRPr="00595DCA" w:rsidRDefault="00331A82" w:rsidP="00331A82">
      <w:pPr>
        <w:pStyle w:val="Question"/>
        <w:spacing w:after="0"/>
        <w:rPr>
          <w:lang w:val="es-ES_tradnl"/>
        </w:rPr>
      </w:pPr>
    </w:p>
    <w:p w14:paraId="08C19EC5" w14:textId="77777777" w:rsidR="00331A82" w:rsidRPr="00595DCA" w:rsidRDefault="00331A82" w:rsidP="000C6E93">
      <w:pPr>
        <w:pStyle w:val="Question"/>
        <w:spacing w:after="0"/>
        <w:rPr>
          <w:lang w:val="es-ES_tradnl"/>
        </w:rPr>
      </w:pPr>
      <w:r w:rsidRPr="00595DCA">
        <w:rPr>
          <w:lang w:val="es-ES_tradnl"/>
        </w:rPr>
        <w:t>d)</w:t>
      </w:r>
      <w:r w:rsidRPr="00595DCA">
        <w:rPr>
          <w:lang w:val="es-ES_tradnl"/>
        </w:rPr>
        <w:tab/>
        <w:t>Tiempo medio de tramitación de patentes nacionales:</w:t>
      </w:r>
    </w:p>
    <w:p w14:paraId="06F494DB" w14:textId="77777777" w:rsidR="00331A82" w:rsidRPr="00595DCA" w:rsidRDefault="00331A82" w:rsidP="000C6E93">
      <w:pPr>
        <w:pStyle w:val="Answer"/>
        <w:keepNext/>
        <w:spacing w:after="0"/>
        <w:ind w:left="0"/>
        <w:jc w:val="both"/>
        <w:rPr>
          <w:i/>
          <w:iCs/>
          <w:lang w:val="es-ES_tradnl"/>
        </w:rPr>
      </w:pPr>
    </w:p>
    <w:tbl>
      <w:tblPr>
        <w:tblW w:w="9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Tiempo promedio requerido para el procesamiento de patentes nacionales en el IMPI"/>
        <w:tblDescription w:val="Este cuadro muestra el número de solicitudes internacionales recibidas en el IMPI de nacionales y residentes de México para cada año de 2020 a 2024 inclusive, desglosadas por campo técnico."/>
      </w:tblPr>
      <w:tblGrid>
        <w:gridCol w:w="2560"/>
        <w:gridCol w:w="2154"/>
        <w:gridCol w:w="2154"/>
        <w:gridCol w:w="2154"/>
      </w:tblGrid>
      <w:tr w:rsidR="00331A82" w:rsidRPr="00595DCA" w14:paraId="4F0C24CD" w14:textId="77777777" w:rsidTr="00CF5D13">
        <w:trPr>
          <w:trHeight w:val="300"/>
        </w:trPr>
        <w:tc>
          <w:tcPr>
            <w:tcW w:w="2560" w:type="dxa"/>
            <w:shd w:val="clear" w:color="auto" w:fill="235B4E"/>
            <w:noWrap/>
            <w:vAlign w:val="center"/>
            <w:hideMark/>
          </w:tcPr>
          <w:p w14:paraId="6FFF4C41" w14:textId="77777777" w:rsidR="00331A82" w:rsidRPr="00A0065F" w:rsidRDefault="00331A82" w:rsidP="000C6E93">
            <w:pPr>
              <w:keepNext/>
              <w:jc w:val="center"/>
              <w:rPr>
                <w:rFonts w:eastAsia="Times New Roman"/>
                <w:b/>
                <w:bCs/>
                <w:color w:val="FFFFFF" w:themeColor="background1"/>
                <w:szCs w:val="22"/>
                <w:lang w:val="es-MX" w:eastAsia="es-MX"/>
              </w:rPr>
            </w:pPr>
            <w:r w:rsidRPr="00A0065F">
              <w:rPr>
                <w:rFonts w:eastAsia="Times New Roman"/>
                <w:b/>
                <w:bCs/>
                <w:color w:val="FFFFFF" w:themeColor="background1"/>
                <w:szCs w:val="22"/>
                <w:lang w:val="es-MX" w:eastAsia="es-MX"/>
              </w:rPr>
              <w:t>Indicador</w:t>
            </w:r>
          </w:p>
        </w:tc>
        <w:tc>
          <w:tcPr>
            <w:tcW w:w="2154" w:type="dxa"/>
            <w:shd w:val="clear" w:color="auto" w:fill="235B4E"/>
            <w:noWrap/>
            <w:vAlign w:val="center"/>
            <w:hideMark/>
          </w:tcPr>
          <w:p w14:paraId="301D4A62" w14:textId="77777777" w:rsidR="00331A82" w:rsidRPr="00A0065F" w:rsidRDefault="00331A82" w:rsidP="000C6E93">
            <w:pPr>
              <w:keepNext/>
              <w:jc w:val="center"/>
              <w:rPr>
                <w:rFonts w:eastAsia="Times New Roman"/>
                <w:b/>
                <w:bCs/>
                <w:color w:val="FFFFFF" w:themeColor="background1"/>
                <w:szCs w:val="22"/>
                <w:lang w:val="es-MX" w:eastAsia="es-MX"/>
              </w:rPr>
            </w:pPr>
            <w:r w:rsidRPr="00A0065F">
              <w:rPr>
                <w:rFonts w:eastAsia="Times New Roman"/>
                <w:b/>
                <w:bCs/>
                <w:color w:val="FFFFFF" w:themeColor="background1"/>
                <w:szCs w:val="22"/>
                <w:lang w:val="es-MX" w:eastAsia="es-MX"/>
              </w:rPr>
              <w:t>Contabilizado desde</w:t>
            </w:r>
          </w:p>
        </w:tc>
        <w:tc>
          <w:tcPr>
            <w:tcW w:w="2154" w:type="dxa"/>
            <w:shd w:val="clear" w:color="auto" w:fill="235B4E"/>
            <w:noWrap/>
            <w:vAlign w:val="center"/>
            <w:hideMark/>
          </w:tcPr>
          <w:p w14:paraId="6EBB5350" w14:textId="77777777" w:rsidR="00331A82" w:rsidRPr="00A0065F" w:rsidRDefault="00331A82" w:rsidP="000C6E93">
            <w:pPr>
              <w:keepNext/>
              <w:jc w:val="center"/>
              <w:rPr>
                <w:rFonts w:eastAsia="Times New Roman"/>
                <w:b/>
                <w:bCs/>
                <w:color w:val="FFFFFF" w:themeColor="background1"/>
                <w:szCs w:val="22"/>
                <w:lang w:val="es-MX" w:eastAsia="es-MX"/>
              </w:rPr>
            </w:pPr>
            <w:r w:rsidRPr="00A0065F">
              <w:rPr>
                <w:rFonts w:eastAsia="Times New Roman"/>
                <w:b/>
                <w:bCs/>
                <w:color w:val="FFFFFF" w:themeColor="background1"/>
                <w:szCs w:val="22"/>
                <w:lang w:val="es-MX" w:eastAsia="es-MX"/>
              </w:rPr>
              <w:t>Tiempo (meses)</w:t>
            </w:r>
          </w:p>
        </w:tc>
        <w:tc>
          <w:tcPr>
            <w:tcW w:w="2154" w:type="dxa"/>
            <w:shd w:val="clear" w:color="auto" w:fill="235B4E"/>
            <w:noWrap/>
            <w:vAlign w:val="bottom"/>
            <w:hideMark/>
          </w:tcPr>
          <w:p w14:paraId="2378095E" w14:textId="77777777" w:rsidR="00331A82" w:rsidRPr="00A0065F" w:rsidRDefault="00331A82" w:rsidP="000C6E93">
            <w:pPr>
              <w:keepNext/>
              <w:jc w:val="center"/>
              <w:rPr>
                <w:rFonts w:eastAsia="Times New Roman"/>
                <w:b/>
                <w:bCs/>
                <w:color w:val="FFFFFF" w:themeColor="background1"/>
                <w:szCs w:val="22"/>
                <w:lang w:val="es-MX" w:eastAsia="es-MX"/>
              </w:rPr>
            </w:pPr>
            <w:r w:rsidRPr="00A0065F">
              <w:rPr>
                <w:rFonts w:eastAsia="Times New Roman"/>
                <w:b/>
                <w:bCs/>
                <w:color w:val="FFFFFF" w:themeColor="background1"/>
                <w:szCs w:val="22"/>
                <w:lang w:val="es-MX" w:eastAsia="es-MX"/>
              </w:rPr>
              <w:t>comentarios</w:t>
            </w:r>
          </w:p>
        </w:tc>
      </w:tr>
      <w:tr w:rsidR="00331A82" w:rsidRPr="00595DCA" w14:paraId="2D405B70" w14:textId="77777777" w:rsidTr="00CF5D13">
        <w:trPr>
          <w:trHeight w:val="300"/>
        </w:trPr>
        <w:tc>
          <w:tcPr>
            <w:tcW w:w="2560" w:type="dxa"/>
            <w:noWrap/>
            <w:vAlign w:val="center"/>
            <w:hideMark/>
          </w:tcPr>
          <w:p w14:paraId="1FECBB85" w14:textId="77777777" w:rsidR="00331A82" w:rsidRPr="00A0065F" w:rsidRDefault="00331A82" w:rsidP="000C6E93">
            <w:pPr>
              <w:keepNext/>
              <w:jc w:val="center"/>
              <w:rPr>
                <w:rFonts w:eastAsia="Times New Roman"/>
                <w:szCs w:val="22"/>
                <w:lang w:val="es-MX" w:eastAsia="es-MX"/>
              </w:rPr>
            </w:pPr>
            <w:r w:rsidRPr="00A0065F">
              <w:rPr>
                <w:rFonts w:eastAsia="Times New Roman"/>
                <w:szCs w:val="22"/>
                <w:lang w:val="es-MX" w:eastAsia="es-MX"/>
              </w:rPr>
              <w:t>Búsqueda</w:t>
            </w:r>
          </w:p>
        </w:tc>
        <w:tc>
          <w:tcPr>
            <w:tcW w:w="2154" w:type="dxa"/>
            <w:noWrap/>
            <w:vAlign w:val="center"/>
            <w:hideMark/>
          </w:tcPr>
          <w:p w14:paraId="57E29822" w14:textId="77777777" w:rsidR="00331A82" w:rsidRPr="00A0065F" w:rsidRDefault="00331A82" w:rsidP="000C6E93">
            <w:pPr>
              <w:keepNext/>
              <w:jc w:val="center"/>
              <w:rPr>
                <w:rFonts w:eastAsia="Times New Roman"/>
                <w:szCs w:val="22"/>
                <w:lang w:val="es-MX" w:eastAsia="es-MX"/>
              </w:rPr>
            </w:pPr>
            <w:r w:rsidRPr="00A0065F">
              <w:rPr>
                <w:rFonts w:eastAsia="Times New Roman"/>
                <w:szCs w:val="22"/>
                <w:lang w:val="es-MX" w:eastAsia="es-MX"/>
              </w:rPr>
              <w:t>N/A</w:t>
            </w:r>
          </w:p>
        </w:tc>
        <w:tc>
          <w:tcPr>
            <w:tcW w:w="2154" w:type="dxa"/>
            <w:noWrap/>
            <w:vAlign w:val="center"/>
            <w:hideMark/>
          </w:tcPr>
          <w:p w14:paraId="2AF340BF" w14:textId="77777777" w:rsidR="00331A82" w:rsidRPr="00A0065F" w:rsidRDefault="00331A82" w:rsidP="000C6E93">
            <w:pPr>
              <w:keepNext/>
              <w:jc w:val="center"/>
              <w:rPr>
                <w:rFonts w:eastAsia="Times New Roman"/>
                <w:szCs w:val="22"/>
                <w:lang w:val="es-MX" w:eastAsia="es-MX"/>
              </w:rPr>
            </w:pPr>
            <w:r w:rsidRPr="00A0065F">
              <w:rPr>
                <w:rFonts w:eastAsia="Times New Roman"/>
                <w:szCs w:val="22"/>
                <w:lang w:val="es-MX" w:eastAsia="es-MX"/>
              </w:rPr>
              <w:t>N/A</w:t>
            </w:r>
          </w:p>
        </w:tc>
        <w:tc>
          <w:tcPr>
            <w:tcW w:w="2154" w:type="dxa"/>
            <w:noWrap/>
            <w:vAlign w:val="bottom"/>
            <w:hideMark/>
          </w:tcPr>
          <w:p w14:paraId="5107A48B" w14:textId="77777777" w:rsidR="00331A82" w:rsidRPr="00A0065F" w:rsidRDefault="00331A82" w:rsidP="000C6E93">
            <w:pPr>
              <w:keepNext/>
              <w:jc w:val="center"/>
              <w:rPr>
                <w:rFonts w:eastAsia="Times New Roman"/>
                <w:szCs w:val="22"/>
                <w:lang w:val="es-MX" w:eastAsia="es-MX"/>
              </w:rPr>
            </w:pPr>
            <w:r w:rsidRPr="00A0065F">
              <w:rPr>
                <w:rFonts w:eastAsia="Times New Roman"/>
                <w:szCs w:val="22"/>
                <w:lang w:val="es-MX" w:eastAsia="es-MX"/>
              </w:rPr>
              <w:t>N/A</w:t>
            </w:r>
          </w:p>
        </w:tc>
      </w:tr>
      <w:tr w:rsidR="00331A82" w:rsidRPr="00595DCA" w14:paraId="1CD6146F" w14:textId="77777777" w:rsidTr="00CF5D13">
        <w:trPr>
          <w:trHeight w:val="2100"/>
        </w:trPr>
        <w:tc>
          <w:tcPr>
            <w:tcW w:w="2560" w:type="dxa"/>
            <w:noWrap/>
            <w:vAlign w:val="center"/>
            <w:hideMark/>
          </w:tcPr>
          <w:p w14:paraId="1900A398" w14:textId="77777777" w:rsidR="00331A82" w:rsidRPr="00A0065F" w:rsidRDefault="00331A82" w:rsidP="000C6E93">
            <w:pPr>
              <w:keepNext/>
              <w:jc w:val="center"/>
              <w:rPr>
                <w:rFonts w:eastAsia="Times New Roman"/>
                <w:szCs w:val="22"/>
                <w:lang w:val="es-MX" w:eastAsia="es-MX"/>
              </w:rPr>
            </w:pPr>
            <w:r w:rsidRPr="00A0065F">
              <w:rPr>
                <w:rFonts w:eastAsia="Times New Roman"/>
                <w:szCs w:val="22"/>
                <w:lang w:val="es-MX" w:eastAsia="es-MX"/>
              </w:rPr>
              <w:t>Primer examen</w:t>
            </w:r>
          </w:p>
        </w:tc>
        <w:tc>
          <w:tcPr>
            <w:tcW w:w="2154" w:type="dxa"/>
            <w:vAlign w:val="center"/>
            <w:hideMark/>
          </w:tcPr>
          <w:p w14:paraId="4890B1C5" w14:textId="77777777" w:rsidR="00331A82" w:rsidRPr="00A0065F" w:rsidRDefault="00331A82" w:rsidP="00A0065F">
            <w:pPr>
              <w:keepNext/>
              <w:rPr>
                <w:rFonts w:eastAsia="Times New Roman"/>
                <w:szCs w:val="22"/>
                <w:lang w:val="es-MX" w:eastAsia="es-MX"/>
              </w:rPr>
            </w:pPr>
            <w:r w:rsidRPr="00A0065F">
              <w:rPr>
                <w:rFonts w:eastAsia="Times New Roman"/>
                <w:szCs w:val="22"/>
                <w:lang w:val="es-MX" w:eastAsia="es-MX"/>
              </w:rPr>
              <w:t>Para el cálculo se consideró a partir de la fecha de recepción en IMPI hasta la fecha de emisión de la primera acción oficial de examen de fondo.</w:t>
            </w:r>
          </w:p>
        </w:tc>
        <w:tc>
          <w:tcPr>
            <w:tcW w:w="2154" w:type="dxa"/>
            <w:noWrap/>
            <w:vAlign w:val="center"/>
            <w:hideMark/>
          </w:tcPr>
          <w:p w14:paraId="7200AB34" w14:textId="77777777" w:rsidR="00331A82" w:rsidRPr="00A0065F" w:rsidRDefault="00331A82" w:rsidP="000C6E93">
            <w:pPr>
              <w:keepNext/>
              <w:jc w:val="center"/>
              <w:rPr>
                <w:rFonts w:eastAsia="Times New Roman"/>
                <w:szCs w:val="22"/>
                <w:lang w:val="es-MX" w:eastAsia="es-MX"/>
              </w:rPr>
            </w:pPr>
            <w:r w:rsidRPr="00A0065F">
              <w:rPr>
                <w:rFonts w:eastAsia="Times New Roman"/>
                <w:szCs w:val="22"/>
                <w:lang w:val="es-MX" w:eastAsia="es-MX"/>
              </w:rPr>
              <w:t>45.99 meses</w:t>
            </w:r>
          </w:p>
        </w:tc>
        <w:tc>
          <w:tcPr>
            <w:tcW w:w="2154" w:type="dxa"/>
            <w:vAlign w:val="center"/>
            <w:hideMark/>
          </w:tcPr>
          <w:p w14:paraId="1EB4E586" w14:textId="77777777" w:rsidR="00331A82" w:rsidRPr="00A0065F" w:rsidRDefault="00331A82" w:rsidP="00A0065F">
            <w:pPr>
              <w:keepNext/>
              <w:rPr>
                <w:rFonts w:eastAsia="Times New Roman"/>
                <w:szCs w:val="22"/>
                <w:lang w:val="es-MX" w:eastAsia="es-MX"/>
              </w:rPr>
            </w:pPr>
            <w:r w:rsidRPr="00A0065F">
              <w:rPr>
                <w:rFonts w:eastAsia="Times New Roman"/>
                <w:szCs w:val="22"/>
                <w:lang w:val="es-MX" w:eastAsia="es-MX"/>
              </w:rPr>
              <w:t xml:space="preserve">El tiempo promedio de emisión para las Patentes Mexicanas Examinadas en 2024 es de </w:t>
            </w:r>
            <w:r w:rsidRPr="00A0065F">
              <w:rPr>
                <w:rFonts w:eastAsia="Times New Roman"/>
                <w:b/>
                <w:bCs/>
                <w:szCs w:val="22"/>
                <w:lang w:val="es-MX" w:eastAsia="es-MX"/>
              </w:rPr>
              <w:t>45.99 meses (3.83 años)</w:t>
            </w:r>
            <w:r w:rsidRPr="00A0065F">
              <w:rPr>
                <w:rFonts w:eastAsia="Times New Roman"/>
                <w:szCs w:val="22"/>
                <w:lang w:val="es-MX" w:eastAsia="es-MX"/>
              </w:rPr>
              <w:t>.</w:t>
            </w:r>
          </w:p>
        </w:tc>
      </w:tr>
      <w:tr w:rsidR="00331A82" w:rsidRPr="00595DCA" w14:paraId="2504210F" w14:textId="77777777" w:rsidTr="00CF5D13">
        <w:trPr>
          <w:trHeight w:val="2700"/>
        </w:trPr>
        <w:tc>
          <w:tcPr>
            <w:tcW w:w="2560" w:type="dxa"/>
            <w:noWrap/>
            <w:vAlign w:val="center"/>
            <w:hideMark/>
          </w:tcPr>
          <w:p w14:paraId="5BDA9621"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Concesión</w:t>
            </w:r>
          </w:p>
        </w:tc>
        <w:tc>
          <w:tcPr>
            <w:tcW w:w="2154" w:type="dxa"/>
            <w:vAlign w:val="center"/>
            <w:hideMark/>
          </w:tcPr>
          <w:p w14:paraId="6BBE457B" w14:textId="77777777" w:rsidR="00331A82" w:rsidRPr="00A0065F" w:rsidRDefault="00331A82" w:rsidP="00A0065F">
            <w:pPr>
              <w:rPr>
                <w:rFonts w:eastAsia="Times New Roman"/>
                <w:szCs w:val="22"/>
                <w:lang w:val="es-MX" w:eastAsia="es-MX"/>
              </w:rPr>
            </w:pPr>
            <w:r w:rsidRPr="00A0065F">
              <w:rPr>
                <w:rFonts w:eastAsia="Times New Roman"/>
                <w:szCs w:val="22"/>
                <w:lang w:val="es-MX" w:eastAsia="es-MX"/>
              </w:rPr>
              <w:t>Para el cálculo se consideró a partir de la fecha de recepción en IMPI hasta la fecha de emisión de la comunicación de procedencia de otorgamiento en examen de fondo.</w:t>
            </w:r>
          </w:p>
        </w:tc>
        <w:tc>
          <w:tcPr>
            <w:tcW w:w="2154" w:type="dxa"/>
            <w:noWrap/>
            <w:vAlign w:val="center"/>
            <w:hideMark/>
          </w:tcPr>
          <w:p w14:paraId="7D7C632F" w14:textId="77777777" w:rsidR="00331A82" w:rsidRPr="00A0065F" w:rsidRDefault="00331A82" w:rsidP="00CF5D13">
            <w:pPr>
              <w:jc w:val="center"/>
              <w:rPr>
                <w:rFonts w:eastAsia="Times New Roman"/>
                <w:szCs w:val="22"/>
                <w:lang w:val="es-MX" w:eastAsia="es-MX"/>
              </w:rPr>
            </w:pPr>
            <w:r w:rsidRPr="00A0065F">
              <w:rPr>
                <w:rFonts w:eastAsia="Times New Roman"/>
                <w:szCs w:val="22"/>
                <w:lang w:val="es-MX" w:eastAsia="es-MX"/>
              </w:rPr>
              <w:t>59.70 meses</w:t>
            </w:r>
          </w:p>
        </w:tc>
        <w:tc>
          <w:tcPr>
            <w:tcW w:w="2154" w:type="dxa"/>
            <w:vAlign w:val="center"/>
            <w:hideMark/>
          </w:tcPr>
          <w:p w14:paraId="27F60AAC" w14:textId="77777777" w:rsidR="00331A82" w:rsidRPr="00A0065F" w:rsidRDefault="00331A82" w:rsidP="00A0065F">
            <w:pPr>
              <w:rPr>
                <w:rFonts w:eastAsia="Times New Roman"/>
                <w:szCs w:val="22"/>
                <w:lang w:val="es-MX" w:eastAsia="es-MX"/>
              </w:rPr>
            </w:pPr>
            <w:r w:rsidRPr="00A0065F">
              <w:rPr>
                <w:rFonts w:eastAsia="Times New Roman"/>
                <w:szCs w:val="22"/>
                <w:lang w:val="es-MX" w:eastAsia="es-MX"/>
              </w:rPr>
              <w:t xml:space="preserve">El tiempo promedio de otorgamiento para las 700 Patentes Mexicanas Concedidas en 2024 es de </w:t>
            </w:r>
            <w:r w:rsidRPr="00A0065F">
              <w:rPr>
                <w:rFonts w:eastAsia="Times New Roman"/>
                <w:b/>
                <w:bCs/>
                <w:szCs w:val="22"/>
                <w:lang w:val="es-MX" w:eastAsia="es-MX"/>
              </w:rPr>
              <w:t>59.70 meses (4.98 años)</w:t>
            </w:r>
            <w:r w:rsidRPr="00A0065F">
              <w:rPr>
                <w:rFonts w:eastAsia="Times New Roman"/>
                <w:szCs w:val="22"/>
                <w:lang w:val="es-MX" w:eastAsia="es-MX"/>
              </w:rPr>
              <w:t>.</w:t>
            </w:r>
          </w:p>
        </w:tc>
      </w:tr>
    </w:tbl>
    <w:p w14:paraId="2A74F53F" w14:textId="77777777" w:rsidR="00331A82" w:rsidRPr="00595DCA" w:rsidRDefault="00331A82" w:rsidP="00331A82">
      <w:pPr>
        <w:pStyle w:val="Answer"/>
        <w:spacing w:after="0"/>
        <w:ind w:left="0"/>
        <w:jc w:val="both"/>
        <w:rPr>
          <w:i/>
          <w:iCs/>
          <w:lang w:val="es-MX"/>
        </w:rPr>
      </w:pPr>
    </w:p>
    <w:p w14:paraId="63F13F96" w14:textId="77777777" w:rsidR="00331A82" w:rsidRPr="00595DCA" w:rsidRDefault="00331A82" w:rsidP="00331A82">
      <w:pPr>
        <w:pStyle w:val="Answer"/>
        <w:spacing w:after="0"/>
        <w:ind w:left="0"/>
        <w:jc w:val="both"/>
        <w:rPr>
          <w:lang w:val="es-ES_tradnl"/>
        </w:rPr>
      </w:pPr>
      <w:r w:rsidRPr="00595DCA">
        <w:rPr>
          <w:lang w:val="es-ES_tradnl"/>
        </w:rPr>
        <w:t>En el IMPI el trámite de examen de fondo se inicia en orden de prelación considerando la carga de solicitudes en trámite vs el número de examinadores.</w:t>
      </w:r>
    </w:p>
    <w:p w14:paraId="39214532" w14:textId="77777777" w:rsidR="00331A82" w:rsidRPr="00595DCA" w:rsidRDefault="00331A82" w:rsidP="00331A82">
      <w:pPr>
        <w:pStyle w:val="Answer"/>
        <w:spacing w:after="0"/>
        <w:ind w:left="0"/>
        <w:jc w:val="both"/>
        <w:rPr>
          <w:lang w:val="es-ES_tradnl"/>
        </w:rPr>
      </w:pPr>
    </w:p>
    <w:p w14:paraId="4C6851A0" w14:textId="77777777" w:rsidR="00331A82" w:rsidRPr="00595DCA" w:rsidRDefault="00331A82" w:rsidP="00331A82">
      <w:pPr>
        <w:pStyle w:val="Answer"/>
        <w:spacing w:after="0"/>
        <w:ind w:left="0"/>
        <w:jc w:val="both"/>
        <w:rPr>
          <w:lang w:val="es-ES_tradnl"/>
        </w:rPr>
      </w:pPr>
      <w:r w:rsidRPr="00595DCA">
        <w:rPr>
          <w:lang w:val="es-ES_tradnl"/>
        </w:rPr>
        <w:t xml:space="preserve">IMPI ha firmado varios acuerdos PPH (Patent </w:t>
      </w:r>
      <w:proofErr w:type="spellStart"/>
      <w:r w:rsidRPr="00595DCA">
        <w:rPr>
          <w:lang w:val="es-ES_tradnl"/>
        </w:rPr>
        <w:t>Prosecution</w:t>
      </w:r>
      <w:proofErr w:type="spellEnd"/>
      <w:r w:rsidRPr="00595DCA">
        <w:rPr>
          <w:lang w:val="es-ES_tradnl"/>
        </w:rPr>
        <w:t xml:space="preserve"> </w:t>
      </w:r>
      <w:proofErr w:type="spellStart"/>
      <w:r w:rsidRPr="00595DCA">
        <w:rPr>
          <w:lang w:val="es-ES_tradnl"/>
        </w:rPr>
        <w:t>Highway</w:t>
      </w:r>
      <w:proofErr w:type="spellEnd"/>
      <w:r w:rsidRPr="00595DCA">
        <w:rPr>
          <w:lang w:val="es-ES_tradnl"/>
        </w:rPr>
        <w:t>) con diversos países como USPTO, EPO, OE</w:t>
      </w:r>
      <w:r>
        <w:rPr>
          <w:lang w:val="es-ES_tradnl"/>
        </w:rPr>
        <w:t>PM</w:t>
      </w:r>
      <w:r w:rsidRPr="00595DCA">
        <w:rPr>
          <w:lang w:val="es-ES_tradnl"/>
        </w:rPr>
        <w:t xml:space="preserve">, </w:t>
      </w:r>
      <w:r>
        <w:rPr>
          <w:lang w:val="es-ES_tradnl"/>
        </w:rPr>
        <w:t>MOIP</w:t>
      </w:r>
      <w:r w:rsidRPr="00595DCA">
        <w:rPr>
          <w:lang w:val="es-ES_tradnl"/>
        </w:rPr>
        <w:t>, CIPO, entre otras oficinas lo que permite acelerar el examen de las solicitudes cuando el solicitante así lo requiere, basándose en resultados de patentabilidad en otros países o una opinión favorable de PCT.</w:t>
      </w:r>
    </w:p>
    <w:p w14:paraId="59104562" w14:textId="77777777" w:rsidR="00331A82" w:rsidRPr="00595DCA" w:rsidRDefault="00331A82" w:rsidP="00331A82">
      <w:pPr>
        <w:pStyle w:val="Answer"/>
        <w:spacing w:after="0"/>
        <w:ind w:left="0"/>
        <w:jc w:val="both"/>
        <w:rPr>
          <w:lang w:val="es-ES_tradnl"/>
        </w:rPr>
      </w:pPr>
    </w:p>
    <w:p w14:paraId="6042ADC5" w14:textId="77777777" w:rsidR="00331A82" w:rsidRPr="00595DCA" w:rsidRDefault="00331A82" w:rsidP="00331A82">
      <w:pPr>
        <w:pStyle w:val="Answer"/>
        <w:spacing w:after="0"/>
        <w:ind w:left="0"/>
        <w:jc w:val="both"/>
        <w:rPr>
          <w:lang w:val="es-ES_tradnl"/>
        </w:rPr>
      </w:pPr>
      <w:r w:rsidRPr="00595DCA">
        <w:rPr>
          <w:lang w:val="es-ES_tradnl"/>
        </w:rPr>
        <w:t>Adicional a ello se tienen firmado memorándums de entendimiento con USPTO y EPO para reconocer los trabajos de esas oficinas relacionados con las patentes concedidas cuando las presentadas en el IMPI tienen una solicitud correspondiente.</w:t>
      </w:r>
    </w:p>
    <w:p w14:paraId="7911515A" w14:textId="77777777" w:rsidR="00331A82" w:rsidRPr="00595DCA" w:rsidRDefault="00331A82" w:rsidP="00331A82">
      <w:pPr>
        <w:pStyle w:val="Answer"/>
        <w:spacing w:after="0"/>
        <w:ind w:left="0"/>
        <w:jc w:val="both"/>
        <w:rPr>
          <w:lang w:val="es-ES_tradnl"/>
        </w:rPr>
      </w:pPr>
    </w:p>
    <w:p w14:paraId="286AF464" w14:textId="77777777" w:rsidR="00331A82" w:rsidRPr="00595DCA" w:rsidRDefault="00331A82" w:rsidP="00331A82">
      <w:pPr>
        <w:pStyle w:val="Answer"/>
        <w:spacing w:after="0"/>
        <w:ind w:left="0"/>
        <w:jc w:val="both"/>
        <w:rPr>
          <w:lang w:val="es-ES_tradnl"/>
        </w:rPr>
      </w:pPr>
      <w:r w:rsidRPr="00595DCA">
        <w:rPr>
          <w:lang w:val="es-ES_tradnl"/>
        </w:rPr>
        <w:t>Finalmente, el IMPI está comprometido con mejorar su servicio al cliente en general, pero reconoce los límites de tiempo estrictos impuestos por el PCT para la búsqueda internacional y el examen preliminar internacional y aseguraría que las solicitudes internacionales sean priorizadas en consecuencia.</w:t>
      </w:r>
    </w:p>
    <w:p w14:paraId="2A2E5C33" w14:textId="77777777" w:rsidR="00331A82" w:rsidRPr="00595DCA" w:rsidRDefault="00331A82" w:rsidP="00331A82">
      <w:pPr>
        <w:pStyle w:val="Answer"/>
        <w:spacing w:after="0"/>
        <w:ind w:left="0"/>
        <w:jc w:val="both"/>
        <w:rPr>
          <w:i/>
          <w:iCs/>
          <w:lang w:val="es-ES_tradnl"/>
        </w:rPr>
      </w:pPr>
    </w:p>
    <w:p w14:paraId="4F93C906" w14:textId="77777777" w:rsidR="00331A82" w:rsidRPr="00595DCA" w:rsidRDefault="00331A82" w:rsidP="00331A82">
      <w:pPr>
        <w:pStyle w:val="Question"/>
        <w:spacing w:after="0"/>
        <w:rPr>
          <w:lang w:val="es-ES_tradnl"/>
        </w:rPr>
      </w:pPr>
      <w:r w:rsidRPr="00595DCA">
        <w:rPr>
          <w:lang w:val="es-ES_tradnl"/>
        </w:rPr>
        <w:t>e)</w:t>
      </w:r>
      <w:r w:rsidRPr="00595DCA">
        <w:rPr>
          <w:lang w:val="es-ES_tradnl"/>
        </w:rPr>
        <w:tab/>
        <w:t>Carga de trabajo nacional:</w:t>
      </w:r>
    </w:p>
    <w:p w14:paraId="7393C35E" w14:textId="77777777" w:rsidR="00331A82" w:rsidRPr="00595DCA" w:rsidRDefault="00331A82" w:rsidP="00331A82">
      <w:pPr>
        <w:pStyle w:val="Answer"/>
        <w:spacing w:after="0"/>
        <w:rPr>
          <w:lang w:val="es-ES_tradnl"/>
        </w:rPr>
      </w:pPr>
    </w:p>
    <w:tbl>
      <w:tblPr>
        <w:tblW w:w="0" w:type="auto"/>
        <w:tblCellMar>
          <w:left w:w="0" w:type="dxa"/>
          <w:right w:w="0" w:type="dxa"/>
        </w:tblCellMar>
        <w:tblLook w:val="04A0" w:firstRow="1" w:lastRow="0" w:firstColumn="1" w:lastColumn="0" w:noHBand="0" w:noVBand="1"/>
        <w:tblCaption w:val="Carga de trabajo nacional"/>
        <w:tblDescription w:val="Este cuadro muestra el número de solicitudes de patente pendientes en la oficina candidata, con valores globales, el número de solicitudes pendientes de búsqueda y el número de solicitudes pendientes de primer examen. "/>
      </w:tblPr>
      <w:tblGrid>
        <w:gridCol w:w="2984"/>
        <w:gridCol w:w="2050"/>
        <w:gridCol w:w="1940"/>
        <w:gridCol w:w="2079"/>
      </w:tblGrid>
      <w:tr w:rsidR="00331A82" w:rsidRPr="00595DCA" w14:paraId="577546B1" w14:textId="77777777" w:rsidTr="00CF5D13">
        <w:trPr>
          <w:cantSplit/>
          <w:tblHeader/>
        </w:trPr>
        <w:tc>
          <w:tcPr>
            <w:tcW w:w="4643" w:type="dxa"/>
            <w:tcBorders>
              <w:top w:val="single" w:sz="8" w:space="0" w:color="auto"/>
              <w:left w:val="single" w:sz="8" w:space="0" w:color="auto"/>
              <w:bottom w:val="single" w:sz="8" w:space="0" w:color="auto"/>
              <w:right w:val="single" w:sz="8" w:space="0" w:color="auto"/>
            </w:tcBorders>
            <w:shd w:val="clear" w:color="auto" w:fill="235B4E"/>
            <w:tcMar>
              <w:top w:w="0" w:type="dxa"/>
              <w:left w:w="108" w:type="dxa"/>
              <w:bottom w:w="0" w:type="dxa"/>
              <w:right w:w="108" w:type="dxa"/>
            </w:tcMar>
            <w:vAlign w:val="center"/>
            <w:hideMark/>
          </w:tcPr>
          <w:p w14:paraId="06BAE556" w14:textId="77777777" w:rsidR="00331A82" w:rsidRPr="00595DCA" w:rsidRDefault="00331A82" w:rsidP="00CF5D13">
            <w:pPr>
              <w:keepNext/>
              <w:jc w:val="center"/>
              <w:rPr>
                <w:rFonts w:ascii="Aptos" w:eastAsiaTheme="minorHAnsi" w:hAnsi="Aptos" w:cs="Aptos"/>
                <w:b/>
                <w:bCs/>
                <w:color w:val="FFFFFF" w:themeColor="background1"/>
                <w:lang w:val="es-ES_tradnl" w:eastAsia="en-US"/>
              </w:rPr>
            </w:pPr>
            <w:r w:rsidRPr="00595DCA">
              <w:rPr>
                <w:b/>
                <w:bCs/>
                <w:color w:val="FFFFFF" w:themeColor="background1"/>
                <w:lang w:val="es-ES_tradnl"/>
              </w:rPr>
              <w:t>Tarea</w:t>
            </w:r>
          </w:p>
        </w:tc>
        <w:tc>
          <w:tcPr>
            <w:tcW w:w="2720" w:type="dxa"/>
            <w:tcBorders>
              <w:top w:val="single" w:sz="8" w:space="0" w:color="auto"/>
              <w:left w:val="nil"/>
              <w:bottom w:val="single" w:sz="8" w:space="0" w:color="auto"/>
              <w:right w:val="single" w:sz="8" w:space="0" w:color="auto"/>
            </w:tcBorders>
            <w:shd w:val="clear" w:color="auto" w:fill="235B4E"/>
            <w:tcMar>
              <w:top w:w="0" w:type="dxa"/>
              <w:left w:w="108" w:type="dxa"/>
              <w:bottom w:w="0" w:type="dxa"/>
              <w:right w:w="108" w:type="dxa"/>
            </w:tcMar>
            <w:vAlign w:val="center"/>
            <w:hideMark/>
          </w:tcPr>
          <w:p w14:paraId="4AFCD534" w14:textId="77777777" w:rsidR="00331A82" w:rsidRPr="00595DCA" w:rsidRDefault="00331A82" w:rsidP="00CF5D13">
            <w:pPr>
              <w:keepNext/>
              <w:jc w:val="center"/>
              <w:rPr>
                <w:b/>
                <w:bCs/>
                <w:color w:val="FFFFFF" w:themeColor="background1"/>
                <w:lang w:val="es-ES_tradnl"/>
              </w:rPr>
            </w:pPr>
            <w:r w:rsidRPr="00595DCA">
              <w:rPr>
                <w:b/>
                <w:bCs/>
                <w:color w:val="FFFFFF" w:themeColor="background1"/>
                <w:lang w:val="es-ES_tradnl"/>
              </w:rPr>
              <w:t>Número de solicitudes MX</w:t>
            </w:r>
          </w:p>
        </w:tc>
        <w:tc>
          <w:tcPr>
            <w:tcW w:w="2694" w:type="dxa"/>
            <w:tcBorders>
              <w:top w:val="single" w:sz="8" w:space="0" w:color="auto"/>
              <w:left w:val="nil"/>
              <w:bottom w:val="single" w:sz="8" w:space="0" w:color="auto"/>
              <w:right w:val="single" w:sz="8" w:space="0" w:color="auto"/>
            </w:tcBorders>
            <w:shd w:val="clear" w:color="auto" w:fill="235B4E"/>
            <w:vAlign w:val="center"/>
            <w:hideMark/>
          </w:tcPr>
          <w:p w14:paraId="608C183C" w14:textId="77777777" w:rsidR="00331A82" w:rsidRPr="00595DCA" w:rsidRDefault="00331A82" w:rsidP="00CF5D13">
            <w:pPr>
              <w:keepNext/>
              <w:jc w:val="center"/>
              <w:rPr>
                <w:b/>
                <w:bCs/>
                <w:color w:val="FFFFFF" w:themeColor="background1"/>
                <w:lang w:val="es-ES_tradnl"/>
              </w:rPr>
            </w:pPr>
            <w:r w:rsidRPr="00595DCA">
              <w:rPr>
                <w:b/>
                <w:bCs/>
                <w:color w:val="FFFFFF" w:themeColor="background1"/>
                <w:lang w:val="es-ES_tradnl"/>
              </w:rPr>
              <w:t>Número de solicitudes EX</w:t>
            </w:r>
          </w:p>
        </w:tc>
        <w:tc>
          <w:tcPr>
            <w:tcW w:w="2970" w:type="dxa"/>
            <w:tcBorders>
              <w:top w:val="single" w:sz="8" w:space="0" w:color="auto"/>
              <w:left w:val="nil"/>
              <w:bottom w:val="single" w:sz="8" w:space="0" w:color="auto"/>
              <w:right w:val="single" w:sz="8" w:space="0" w:color="auto"/>
            </w:tcBorders>
            <w:shd w:val="clear" w:color="auto" w:fill="235B4E"/>
            <w:vAlign w:val="center"/>
            <w:hideMark/>
          </w:tcPr>
          <w:p w14:paraId="798AA8A9" w14:textId="77777777" w:rsidR="00331A82" w:rsidRPr="00595DCA" w:rsidRDefault="00331A82" w:rsidP="00CF5D13">
            <w:pPr>
              <w:keepNext/>
              <w:jc w:val="center"/>
              <w:rPr>
                <w:b/>
                <w:bCs/>
                <w:color w:val="FFFFFF" w:themeColor="background1"/>
                <w:lang w:val="es-ES_tradnl"/>
              </w:rPr>
            </w:pPr>
            <w:r w:rsidRPr="00595DCA">
              <w:rPr>
                <w:b/>
                <w:bCs/>
                <w:color w:val="FFFFFF" w:themeColor="background1"/>
                <w:lang w:val="es-ES_tradnl"/>
              </w:rPr>
              <w:t>Número de solicitudes Totales</w:t>
            </w:r>
          </w:p>
        </w:tc>
      </w:tr>
      <w:tr w:rsidR="00331A82" w:rsidRPr="00595DCA" w14:paraId="37D132C1" w14:textId="77777777" w:rsidTr="00CF5D13">
        <w:trPr>
          <w:cantSplit/>
        </w:trPr>
        <w:tc>
          <w:tcPr>
            <w:tcW w:w="4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25D256" w14:textId="77777777" w:rsidR="00331A82" w:rsidRPr="00595DCA" w:rsidRDefault="00331A82" w:rsidP="00CF5D13">
            <w:pPr>
              <w:keepNext/>
              <w:rPr>
                <w:lang w:val="es-ES_tradnl"/>
              </w:rPr>
            </w:pPr>
            <w:r w:rsidRPr="00595DCA">
              <w:rPr>
                <w:lang w:val="es-ES_tradnl"/>
              </w:rPr>
              <w:t>Solicitudes pendientes</w:t>
            </w:r>
          </w:p>
        </w:tc>
        <w:tc>
          <w:tcPr>
            <w:tcW w:w="2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030582" w14:textId="77777777" w:rsidR="00331A82" w:rsidRPr="00595DCA" w:rsidRDefault="00331A82" w:rsidP="00CF5D13">
            <w:pPr>
              <w:jc w:val="center"/>
              <w:rPr>
                <w:lang w:val="es-MX" w:eastAsia="es-MX"/>
              </w:rPr>
            </w:pPr>
            <w:r w:rsidRPr="00595DCA">
              <w:rPr>
                <w:lang w:val="es-ES_tradnl"/>
              </w:rPr>
              <w:t>3,520</w:t>
            </w:r>
          </w:p>
        </w:tc>
        <w:tc>
          <w:tcPr>
            <w:tcW w:w="2694" w:type="dxa"/>
            <w:tcBorders>
              <w:top w:val="nil"/>
              <w:left w:val="nil"/>
              <w:bottom w:val="single" w:sz="8" w:space="0" w:color="auto"/>
              <w:right w:val="single" w:sz="8" w:space="0" w:color="auto"/>
            </w:tcBorders>
            <w:vAlign w:val="center"/>
            <w:hideMark/>
          </w:tcPr>
          <w:p w14:paraId="4DF72504" w14:textId="77777777" w:rsidR="00331A82" w:rsidRPr="00595DCA" w:rsidRDefault="00331A82" w:rsidP="00CF5D13">
            <w:pPr>
              <w:jc w:val="center"/>
              <w:rPr>
                <w:lang w:eastAsia="en-US"/>
                <w14:ligatures w14:val="standardContextual"/>
              </w:rPr>
            </w:pPr>
            <w:r w:rsidRPr="00595DCA">
              <w:rPr>
                <w:lang w:val="es-ES_tradnl"/>
              </w:rPr>
              <w:t>56,599</w:t>
            </w:r>
          </w:p>
        </w:tc>
        <w:tc>
          <w:tcPr>
            <w:tcW w:w="2970" w:type="dxa"/>
            <w:tcBorders>
              <w:top w:val="nil"/>
              <w:left w:val="nil"/>
              <w:bottom w:val="single" w:sz="8" w:space="0" w:color="auto"/>
              <w:right w:val="single" w:sz="8" w:space="0" w:color="auto"/>
            </w:tcBorders>
            <w:vAlign w:val="center"/>
            <w:hideMark/>
          </w:tcPr>
          <w:p w14:paraId="1D53EDA9" w14:textId="77777777" w:rsidR="00331A82" w:rsidRPr="00595DCA" w:rsidRDefault="00331A82" w:rsidP="00CF5D13">
            <w:pPr>
              <w:jc w:val="center"/>
            </w:pPr>
            <w:r w:rsidRPr="00595DCA">
              <w:rPr>
                <w:lang w:val="es-ES_tradnl"/>
              </w:rPr>
              <w:t>60,119</w:t>
            </w:r>
          </w:p>
        </w:tc>
      </w:tr>
      <w:tr w:rsidR="00331A82" w:rsidRPr="00595DCA" w14:paraId="18E080C5" w14:textId="77777777" w:rsidTr="00CF5D13">
        <w:trPr>
          <w:cantSplit/>
        </w:trPr>
        <w:tc>
          <w:tcPr>
            <w:tcW w:w="4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94DF17" w14:textId="77777777" w:rsidR="00331A82" w:rsidRPr="00595DCA" w:rsidRDefault="00331A82" w:rsidP="00CF5D13">
            <w:pPr>
              <w:keepNext/>
              <w:rPr>
                <w:lang w:val="es-ES_tradnl"/>
              </w:rPr>
            </w:pPr>
            <w:r w:rsidRPr="00595DCA">
              <w:rPr>
                <w:lang w:val="es-ES_tradnl"/>
              </w:rPr>
              <w:t>Solicitudes En examen de fondo en proceso</w:t>
            </w:r>
          </w:p>
        </w:tc>
        <w:tc>
          <w:tcPr>
            <w:tcW w:w="2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3F7269" w14:textId="77777777" w:rsidR="00331A82" w:rsidRPr="00595DCA" w:rsidRDefault="00331A82" w:rsidP="00CF5D13">
            <w:pPr>
              <w:jc w:val="center"/>
              <w:rPr>
                <w:lang w:val="es-MX" w:eastAsia="en-US"/>
              </w:rPr>
            </w:pPr>
            <w:r w:rsidRPr="00595DCA">
              <w:rPr>
                <w:lang w:val="es-ES_tradnl"/>
              </w:rPr>
              <w:t>1,867</w:t>
            </w:r>
          </w:p>
        </w:tc>
        <w:tc>
          <w:tcPr>
            <w:tcW w:w="2694" w:type="dxa"/>
            <w:tcBorders>
              <w:top w:val="nil"/>
              <w:left w:val="nil"/>
              <w:bottom w:val="single" w:sz="8" w:space="0" w:color="auto"/>
              <w:right w:val="single" w:sz="8" w:space="0" w:color="auto"/>
            </w:tcBorders>
            <w:vAlign w:val="center"/>
            <w:hideMark/>
          </w:tcPr>
          <w:p w14:paraId="46150621" w14:textId="77777777" w:rsidR="00331A82" w:rsidRPr="00595DCA" w:rsidRDefault="00331A82" w:rsidP="00CF5D13">
            <w:pPr>
              <w:jc w:val="center"/>
            </w:pPr>
            <w:r w:rsidRPr="00595DCA">
              <w:rPr>
                <w:lang w:val="es-ES_tradnl"/>
              </w:rPr>
              <w:t>9,524</w:t>
            </w:r>
          </w:p>
        </w:tc>
        <w:tc>
          <w:tcPr>
            <w:tcW w:w="2970" w:type="dxa"/>
            <w:tcBorders>
              <w:top w:val="nil"/>
              <w:left w:val="nil"/>
              <w:bottom w:val="single" w:sz="8" w:space="0" w:color="auto"/>
              <w:right w:val="single" w:sz="8" w:space="0" w:color="auto"/>
            </w:tcBorders>
            <w:vAlign w:val="center"/>
            <w:hideMark/>
          </w:tcPr>
          <w:p w14:paraId="2F98ED9E" w14:textId="77777777" w:rsidR="00331A82" w:rsidRPr="00595DCA" w:rsidRDefault="00331A82" w:rsidP="00CF5D13">
            <w:pPr>
              <w:jc w:val="center"/>
            </w:pPr>
            <w:r w:rsidRPr="00595DCA">
              <w:rPr>
                <w:lang w:val="es-ES_tradnl"/>
              </w:rPr>
              <w:t>11,391</w:t>
            </w:r>
          </w:p>
        </w:tc>
      </w:tr>
      <w:tr w:rsidR="00331A82" w:rsidRPr="00595DCA" w14:paraId="67F3BEA9" w14:textId="77777777" w:rsidTr="00CF5D13">
        <w:trPr>
          <w:cantSplit/>
        </w:trPr>
        <w:tc>
          <w:tcPr>
            <w:tcW w:w="4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B8CC25" w14:textId="77777777" w:rsidR="00331A82" w:rsidRPr="00595DCA" w:rsidRDefault="00331A82" w:rsidP="00CF5D13">
            <w:pPr>
              <w:rPr>
                <w:lang w:val="es-ES_tradnl"/>
              </w:rPr>
            </w:pPr>
            <w:r w:rsidRPr="00595DCA">
              <w:rPr>
                <w:lang w:val="es-ES_tradnl"/>
              </w:rPr>
              <w:t>Solicitudes En examen de fondo sin iniciar</w:t>
            </w:r>
          </w:p>
        </w:tc>
        <w:tc>
          <w:tcPr>
            <w:tcW w:w="2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7CABB2" w14:textId="77777777" w:rsidR="00331A82" w:rsidRPr="00595DCA" w:rsidRDefault="00331A82" w:rsidP="00CF5D13">
            <w:pPr>
              <w:jc w:val="center"/>
              <w:rPr>
                <w:lang w:val="es-MX"/>
              </w:rPr>
            </w:pPr>
            <w:r w:rsidRPr="00595DCA">
              <w:rPr>
                <w:lang w:val="es-ES_tradnl"/>
              </w:rPr>
              <w:t>363</w:t>
            </w:r>
          </w:p>
        </w:tc>
        <w:tc>
          <w:tcPr>
            <w:tcW w:w="2694" w:type="dxa"/>
            <w:tcBorders>
              <w:top w:val="nil"/>
              <w:left w:val="nil"/>
              <w:bottom w:val="single" w:sz="8" w:space="0" w:color="auto"/>
              <w:right w:val="single" w:sz="8" w:space="0" w:color="auto"/>
            </w:tcBorders>
            <w:vAlign w:val="center"/>
            <w:hideMark/>
          </w:tcPr>
          <w:p w14:paraId="54D36FB4" w14:textId="77777777" w:rsidR="00331A82" w:rsidRPr="00595DCA" w:rsidRDefault="00331A82" w:rsidP="00CF5D13">
            <w:pPr>
              <w:jc w:val="center"/>
            </w:pPr>
            <w:r w:rsidRPr="00595DCA">
              <w:rPr>
                <w:lang w:val="es-ES_tradnl"/>
              </w:rPr>
              <w:t>41,785</w:t>
            </w:r>
          </w:p>
        </w:tc>
        <w:tc>
          <w:tcPr>
            <w:tcW w:w="2970" w:type="dxa"/>
            <w:tcBorders>
              <w:top w:val="nil"/>
              <w:left w:val="nil"/>
              <w:bottom w:val="single" w:sz="8" w:space="0" w:color="auto"/>
              <w:right w:val="single" w:sz="8" w:space="0" w:color="auto"/>
            </w:tcBorders>
            <w:vAlign w:val="center"/>
            <w:hideMark/>
          </w:tcPr>
          <w:p w14:paraId="4E713464" w14:textId="77777777" w:rsidR="00331A82" w:rsidRPr="00595DCA" w:rsidRDefault="00331A82" w:rsidP="00CF5D13">
            <w:pPr>
              <w:jc w:val="center"/>
            </w:pPr>
            <w:r w:rsidRPr="00595DCA">
              <w:t>42,148</w:t>
            </w:r>
          </w:p>
        </w:tc>
      </w:tr>
      <w:tr w:rsidR="00331A82" w:rsidRPr="00595DCA" w14:paraId="02E89135" w14:textId="77777777" w:rsidTr="00CF5D13">
        <w:trPr>
          <w:cantSplit/>
        </w:trPr>
        <w:tc>
          <w:tcPr>
            <w:tcW w:w="4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E64D89" w14:textId="77777777" w:rsidR="00331A82" w:rsidRPr="00595DCA" w:rsidRDefault="00331A82" w:rsidP="00CF5D13">
            <w:pPr>
              <w:rPr>
                <w:lang w:val="es-ES_tradnl"/>
              </w:rPr>
            </w:pPr>
            <w:r w:rsidRPr="00595DCA">
              <w:rPr>
                <w:lang w:val="es-ES_tradnl"/>
              </w:rPr>
              <w:t>Solicitudes Antes de Fondo</w:t>
            </w:r>
          </w:p>
        </w:tc>
        <w:tc>
          <w:tcPr>
            <w:tcW w:w="2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394912" w14:textId="77777777" w:rsidR="00331A82" w:rsidRPr="00595DCA" w:rsidRDefault="00331A82" w:rsidP="00CF5D13">
            <w:pPr>
              <w:jc w:val="center"/>
              <w:rPr>
                <w:lang w:val="es-MX" w:eastAsia="en-US"/>
              </w:rPr>
            </w:pPr>
            <w:r w:rsidRPr="00595DCA">
              <w:rPr>
                <w:lang w:val="es-ES_tradnl"/>
              </w:rPr>
              <w:t>1,290</w:t>
            </w:r>
          </w:p>
        </w:tc>
        <w:tc>
          <w:tcPr>
            <w:tcW w:w="2694" w:type="dxa"/>
            <w:tcBorders>
              <w:top w:val="nil"/>
              <w:left w:val="nil"/>
              <w:bottom w:val="single" w:sz="8" w:space="0" w:color="auto"/>
              <w:right w:val="single" w:sz="8" w:space="0" w:color="auto"/>
            </w:tcBorders>
            <w:vAlign w:val="center"/>
            <w:hideMark/>
          </w:tcPr>
          <w:p w14:paraId="02B5429C" w14:textId="77777777" w:rsidR="00331A82" w:rsidRPr="00595DCA" w:rsidRDefault="00331A82" w:rsidP="00CF5D13">
            <w:pPr>
              <w:jc w:val="center"/>
            </w:pPr>
            <w:r w:rsidRPr="00595DCA">
              <w:rPr>
                <w:lang w:val="es-ES_tradnl"/>
              </w:rPr>
              <w:t>5,290</w:t>
            </w:r>
          </w:p>
        </w:tc>
        <w:tc>
          <w:tcPr>
            <w:tcW w:w="2970" w:type="dxa"/>
            <w:tcBorders>
              <w:top w:val="nil"/>
              <w:left w:val="nil"/>
              <w:bottom w:val="single" w:sz="8" w:space="0" w:color="auto"/>
              <w:right w:val="single" w:sz="8" w:space="0" w:color="auto"/>
            </w:tcBorders>
            <w:vAlign w:val="center"/>
            <w:hideMark/>
          </w:tcPr>
          <w:p w14:paraId="7EC912F1" w14:textId="77777777" w:rsidR="00331A82" w:rsidRPr="00595DCA" w:rsidRDefault="00331A82" w:rsidP="00CF5D13">
            <w:pPr>
              <w:jc w:val="center"/>
            </w:pPr>
            <w:r w:rsidRPr="00595DCA">
              <w:t>6,580</w:t>
            </w:r>
          </w:p>
        </w:tc>
      </w:tr>
    </w:tbl>
    <w:p w14:paraId="2F1746CB" w14:textId="77777777" w:rsidR="00331A82" w:rsidRPr="00595DCA" w:rsidRDefault="00331A82" w:rsidP="00331A82">
      <w:pPr>
        <w:pStyle w:val="Answer"/>
        <w:spacing w:after="0"/>
        <w:rPr>
          <w:lang w:val="es-ES_tradnl"/>
        </w:rPr>
      </w:pPr>
    </w:p>
    <w:p w14:paraId="2B03977E" w14:textId="77777777" w:rsidR="00331A82" w:rsidRPr="00595DCA" w:rsidRDefault="00331A82" w:rsidP="00331A82">
      <w:pPr>
        <w:pStyle w:val="Question"/>
        <w:spacing w:after="0"/>
        <w:rPr>
          <w:lang w:val="es-ES_tradnl"/>
        </w:rPr>
      </w:pPr>
      <w:r w:rsidRPr="00595DCA">
        <w:rPr>
          <w:lang w:val="es-ES_tradnl"/>
        </w:rPr>
        <w:t>f)</w:t>
      </w:r>
      <w:r w:rsidRPr="00595DCA">
        <w:rPr>
          <w:lang w:val="es-ES_tradnl"/>
        </w:rPr>
        <w:tab/>
        <w:t>Tiempo y entorno de trabajo de que disponen los examinadores para efectuar las búsquedas y los exámenes:</w:t>
      </w:r>
    </w:p>
    <w:p w14:paraId="43D77AAA" w14:textId="77777777" w:rsidR="00331A82" w:rsidRPr="00595DCA" w:rsidRDefault="00331A82" w:rsidP="00331A82">
      <w:pPr>
        <w:pStyle w:val="Answer"/>
        <w:spacing w:after="0"/>
        <w:ind w:left="0"/>
        <w:jc w:val="both"/>
        <w:rPr>
          <w:i/>
          <w:iCs/>
          <w:lang w:val="es-ES_tradnl"/>
        </w:rPr>
      </w:pPr>
    </w:p>
    <w:p w14:paraId="3C89A6F2" w14:textId="77777777" w:rsidR="00331A82" w:rsidRPr="00595DCA" w:rsidRDefault="00331A82" w:rsidP="00331A82">
      <w:pPr>
        <w:pStyle w:val="Answer"/>
        <w:spacing w:after="0"/>
        <w:ind w:left="0"/>
        <w:jc w:val="both"/>
        <w:rPr>
          <w:lang w:val="es-ES_tradnl"/>
        </w:rPr>
      </w:pPr>
      <w:r w:rsidRPr="00595DCA">
        <w:rPr>
          <w:lang w:val="es-ES_tradnl"/>
        </w:rPr>
        <w:t>La realización de búsqueda de anterioridades y de examen de fondo de la invención en estudio le toma en promedio a un examinador en el IMPI de 16 a 30 horas, dependiendo de la complejidad técnica de la invención y de la experiencia del examinador a cargo.</w:t>
      </w:r>
    </w:p>
    <w:p w14:paraId="07D66DEE" w14:textId="77777777" w:rsidR="00331A82" w:rsidRPr="00595DCA" w:rsidRDefault="00331A82" w:rsidP="00331A82">
      <w:pPr>
        <w:pStyle w:val="Answer"/>
        <w:spacing w:after="0"/>
        <w:ind w:left="0"/>
        <w:jc w:val="both"/>
        <w:rPr>
          <w:lang w:val="es-ES_tradnl"/>
        </w:rPr>
      </w:pPr>
      <w:r w:rsidRPr="00595DCA">
        <w:rPr>
          <w:lang w:val="es-ES_tradnl"/>
        </w:rPr>
        <w:t>Los examinadores cuentan con las herramientas tecnológicas necesarias para hacer las búsquedas en bases de datos tanto públicas como de paga sobre documentos de patente y documentos de literatura no patente, en estaciones de trabajo equipadas con computadoras con acceso a internet de alta velocidad y doble monitor para facilitar su trabajo.</w:t>
      </w:r>
    </w:p>
    <w:p w14:paraId="4843F909" w14:textId="77777777" w:rsidR="00331A82" w:rsidRPr="00595DCA" w:rsidRDefault="00331A82" w:rsidP="00331A82">
      <w:pPr>
        <w:pStyle w:val="Answer"/>
        <w:spacing w:after="0"/>
        <w:ind w:left="0"/>
        <w:jc w:val="both"/>
        <w:rPr>
          <w:lang w:val="es-ES_tradnl"/>
        </w:rPr>
      </w:pPr>
    </w:p>
    <w:p w14:paraId="72B5A33C" w14:textId="204186FE" w:rsidR="00331A82" w:rsidRPr="00595DCA" w:rsidRDefault="00331A82" w:rsidP="00331A82">
      <w:pPr>
        <w:pStyle w:val="Question"/>
        <w:spacing w:after="0"/>
        <w:jc w:val="both"/>
        <w:rPr>
          <w:lang w:val="es-ES_tradnl"/>
        </w:rPr>
      </w:pPr>
      <w:r w:rsidRPr="00595DCA">
        <w:rPr>
          <w:lang w:val="es-ES_tradnl"/>
        </w:rPr>
        <w:t>g)</w:t>
      </w:r>
      <w:r w:rsidRPr="00595DCA">
        <w:rPr>
          <w:lang w:val="es-ES_tradnl"/>
        </w:rPr>
        <w:tab/>
        <w:t>Calidad de la búsqueda y el examen nacionales:</w:t>
      </w:r>
      <w:r w:rsidR="003D7287">
        <w:rPr>
          <w:lang w:val="es-ES_tradnl"/>
        </w:rPr>
        <w:t xml:space="preserve"> </w:t>
      </w:r>
    </w:p>
    <w:p w14:paraId="3D443440" w14:textId="77777777" w:rsidR="00331A82" w:rsidRPr="00595DCA" w:rsidRDefault="00331A82" w:rsidP="00331A82">
      <w:pPr>
        <w:pStyle w:val="Question"/>
        <w:spacing w:after="0"/>
        <w:jc w:val="both"/>
        <w:rPr>
          <w:b w:val="0"/>
          <w:bCs w:val="0"/>
          <w:color w:val="0070C0"/>
          <w:lang w:val="es-ES_tradnl"/>
        </w:rPr>
      </w:pPr>
    </w:p>
    <w:p w14:paraId="7C955409" w14:textId="77777777" w:rsidR="00331A82" w:rsidRPr="00595DCA" w:rsidRDefault="00331A82" w:rsidP="00331A82">
      <w:pPr>
        <w:pStyle w:val="Question"/>
        <w:spacing w:after="0"/>
        <w:jc w:val="both"/>
        <w:rPr>
          <w:b w:val="0"/>
          <w:bCs w:val="0"/>
          <w:color w:val="000000" w:themeColor="text1"/>
          <w:lang w:val="es-ES_tradnl"/>
        </w:rPr>
      </w:pPr>
      <w:r w:rsidRPr="00595DCA">
        <w:rPr>
          <w:b w:val="0"/>
          <w:bCs w:val="0"/>
          <w:color w:val="000000" w:themeColor="text1"/>
          <w:lang w:val="es-ES_tradnl"/>
        </w:rPr>
        <w:t xml:space="preserve">La baja tasa de procedimientos contenciosos administrativos de infracción o nulidad de patentes frente al número de patentes concedidas por año permite estimar la calidad del examen de búsqueda y patentabilidad que se realiza en el IMPI. </w:t>
      </w:r>
    </w:p>
    <w:p w14:paraId="07C5E6D7" w14:textId="77777777" w:rsidR="00331A82" w:rsidRPr="00595DCA" w:rsidRDefault="00331A82" w:rsidP="00331A82">
      <w:pPr>
        <w:pStyle w:val="Answer"/>
        <w:spacing w:after="0"/>
        <w:ind w:left="0"/>
        <w:jc w:val="both"/>
        <w:rPr>
          <w:lang w:val="es-ES_tradnl"/>
        </w:rPr>
      </w:pPr>
    </w:p>
    <w:p w14:paraId="4E358C76" w14:textId="77777777" w:rsidR="00331A82" w:rsidRPr="00595DCA" w:rsidRDefault="00331A82" w:rsidP="00331A82">
      <w:pPr>
        <w:pStyle w:val="Answer"/>
        <w:spacing w:after="0"/>
        <w:ind w:left="0"/>
        <w:jc w:val="both"/>
        <w:rPr>
          <w:lang w:val="es-ES_tradnl"/>
        </w:rPr>
      </w:pPr>
      <w:r w:rsidRPr="00595DCA">
        <w:rPr>
          <w:lang w:val="es-ES_tradnl"/>
        </w:rPr>
        <w:t>Otra forma de demostrar la alta calidad de la búsqueda y examen realizado por el IMPI es revisar los programas para acelerar el otorgamiento de patentes. En el caso de la Oficina de Patentes y Marcas de Estados Unidos (USPTO) se han presentado 31 solicitudes bajo el Programa del Procedimiento Acelerado de Patentes (PPH) entre el IMPI y la USPTO, de las cuales se han otorgado 25 patentes y se han negado 6.</w:t>
      </w:r>
    </w:p>
    <w:p w14:paraId="775A7A35" w14:textId="77777777" w:rsidR="00331A82" w:rsidRPr="00595DCA" w:rsidRDefault="00331A82" w:rsidP="00331A82">
      <w:pPr>
        <w:pStyle w:val="Answer"/>
        <w:spacing w:after="0"/>
        <w:ind w:left="0"/>
        <w:jc w:val="both"/>
        <w:rPr>
          <w:i/>
          <w:iCs/>
          <w:lang w:val="es-ES_tradnl"/>
        </w:rPr>
      </w:pPr>
    </w:p>
    <w:p w14:paraId="650F404F" w14:textId="77777777" w:rsidR="00331A82" w:rsidRPr="00595DCA" w:rsidRDefault="00331A82" w:rsidP="00331A82">
      <w:pPr>
        <w:pStyle w:val="SectionHeading"/>
        <w:spacing w:before="0" w:after="0" w:line="240" w:lineRule="auto"/>
        <w:rPr>
          <w:lang w:val="es-ES_tradnl"/>
        </w:rPr>
      </w:pPr>
      <w:r w:rsidRPr="00595DCA">
        <w:rPr>
          <w:lang w:val="es-ES_tradnl"/>
        </w:rPr>
        <w:t>7. Apoyo necesario</w:t>
      </w:r>
    </w:p>
    <w:p w14:paraId="1522F6AF" w14:textId="77777777" w:rsidR="00331A82" w:rsidRPr="00595DCA" w:rsidRDefault="00331A82" w:rsidP="00331A82">
      <w:pPr>
        <w:pStyle w:val="Answer"/>
        <w:spacing w:after="0"/>
        <w:ind w:left="0"/>
        <w:jc w:val="both"/>
        <w:rPr>
          <w:i/>
          <w:iCs/>
          <w:lang w:val="es-ES_tradnl"/>
        </w:rPr>
      </w:pPr>
    </w:p>
    <w:p w14:paraId="795E6532" w14:textId="77777777" w:rsidR="00331A82" w:rsidRPr="00595DCA" w:rsidRDefault="00331A82" w:rsidP="00331A82">
      <w:pPr>
        <w:pStyle w:val="Answer"/>
        <w:spacing w:after="0"/>
        <w:ind w:left="0"/>
        <w:jc w:val="both"/>
        <w:rPr>
          <w:i/>
          <w:iCs/>
          <w:lang w:val="es-ES_tradnl"/>
        </w:rPr>
      </w:pPr>
      <w:r w:rsidRPr="00595DCA">
        <w:rPr>
          <w:lang w:val="es-MX"/>
        </w:rPr>
        <w:t>El IMPI está en posibilidad de utilizar sus propios recursos para cumplir la función de Administración encargada de la búsqueda internacional y del examen preliminar internacional en virtud del PCT. El IMPI esta consiente de la necesidad de mejorar continuamente las competencias de su personal en beneficio de su labor como Administración ISA/IPEA, por lo cual buscará a otras administraciones ISA/IPEA para obtener asesoramiento</w:t>
      </w:r>
      <w:r w:rsidRPr="00595DCA">
        <w:rPr>
          <w:i/>
          <w:iCs/>
          <w:lang w:val="es-ES_tradnl"/>
        </w:rPr>
        <w:t>.</w:t>
      </w:r>
    </w:p>
    <w:p w14:paraId="355D3643" w14:textId="77777777" w:rsidR="00331A82" w:rsidRPr="00595DCA" w:rsidRDefault="00331A82" w:rsidP="00331A82">
      <w:pPr>
        <w:pStyle w:val="Answer"/>
        <w:spacing w:after="0"/>
        <w:ind w:left="0"/>
        <w:jc w:val="both"/>
        <w:rPr>
          <w:lang w:val="es-MX"/>
        </w:rPr>
      </w:pPr>
    </w:p>
    <w:p w14:paraId="53F76EFF" w14:textId="77777777" w:rsidR="00331A82" w:rsidRPr="00595DCA" w:rsidRDefault="00331A82" w:rsidP="00331A82">
      <w:pPr>
        <w:pStyle w:val="SectionHeading"/>
        <w:spacing w:before="0" w:after="0" w:line="240" w:lineRule="auto"/>
        <w:rPr>
          <w:lang w:val="es-ES_tradnl"/>
        </w:rPr>
      </w:pPr>
      <w:r w:rsidRPr="00595DCA">
        <w:rPr>
          <w:lang w:val="es-ES_tradnl"/>
        </w:rPr>
        <w:t>8. Otra información</w:t>
      </w:r>
    </w:p>
    <w:p w14:paraId="566A117D" w14:textId="77777777" w:rsidR="00331A82" w:rsidRPr="00595DCA" w:rsidRDefault="00331A82" w:rsidP="00331A82">
      <w:pPr>
        <w:pStyle w:val="Answer"/>
        <w:spacing w:after="0"/>
        <w:ind w:left="0"/>
        <w:jc w:val="both"/>
        <w:rPr>
          <w:i/>
          <w:iCs/>
          <w:lang w:val="es-ES_tradnl"/>
        </w:rPr>
      </w:pPr>
    </w:p>
    <w:p w14:paraId="3E2DD4FB" w14:textId="77777777" w:rsidR="00331A82" w:rsidRPr="00595DCA" w:rsidRDefault="00331A82" w:rsidP="00331A82">
      <w:pPr>
        <w:pStyle w:val="Answer"/>
        <w:spacing w:after="0"/>
        <w:ind w:left="0"/>
        <w:jc w:val="both"/>
        <w:rPr>
          <w:lang w:val="es-ES_tradnl"/>
        </w:rPr>
      </w:pPr>
      <w:r w:rsidRPr="00595DCA">
        <w:rPr>
          <w:lang w:val="es-ES_tradnl"/>
        </w:rPr>
        <w:t>N/A</w:t>
      </w:r>
    </w:p>
    <w:p w14:paraId="7F508296" w14:textId="77777777" w:rsidR="00331A82" w:rsidRPr="00595DCA" w:rsidRDefault="00331A82" w:rsidP="00331A82">
      <w:pPr>
        <w:pStyle w:val="Answer"/>
        <w:spacing w:after="0"/>
        <w:ind w:left="0"/>
        <w:jc w:val="both"/>
        <w:rPr>
          <w:i/>
          <w:iCs/>
          <w:lang w:val="es-ES_tradnl"/>
        </w:rPr>
      </w:pPr>
    </w:p>
    <w:p w14:paraId="4EAEB9CA" w14:textId="77777777" w:rsidR="00331A82" w:rsidRPr="00595DCA" w:rsidRDefault="00331A82" w:rsidP="00331A82">
      <w:pPr>
        <w:pStyle w:val="SectionHeading"/>
        <w:spacing w:before="0" w:after="0" w:line="240" w:lineRule="auto"/>
        <w:rPr>
          <w:lang w:val="es-ES_tradnl"/>
        </w:rPr>
      </w:pPr>
      <w:r w:rsidRPr="00595DCA">
        <w:rPr>
          <w:lang w:val="es-ES_tradnl"/>
        </w:rPr>
        <w:t>9. Evaluación por otras Administraciones</w:t>
      </w:r>
    </w:p>
    <w:p w14:paraId="201A599E" w14:textId="77777777" w:rsidR="00331A82" w:rsidRPr="00595DCA" w:rsidRDefault="00331A82" w:rsidP="00331A82">
      <w:pPr>
        <w:jc w:val="both"/>
        <w:rPr>
          <w:i/>
          <w:iCs/>
          <w:lang w:val="es-ES_tradnl"/>
        </w:rPr>
      </w:pPr>
    </w:p>
    <w:p w14:paraId="2DECD712" w14:textId="77777777" w:rsidR="00331A82" w:rsidRPr="00595DCA" w:rsidRDefault="00331A82" w:rsidP="00331A82">
      <w:pPr>
        <w:jc w:val="both"/>
        <w:rPr>
          <w:lang w:val="es-ES_tradnl"/>
        </w:rPr>
      </w:pPr>
      <w:r w:rsidRPr="00595DCA">
        <w:rPr>
          <w:lang w:val="es-ES_tradnl"/>
        </w:rPr>
        <w:t>La Oficina Española de Patentes y Marcas (OEPM) se desempeñó como oficina asociada que ayudó al IMPI a evaluar si cumplía los requisitos para ser designada como Administración internacional de conformidad con el Sistema del PCT.</w:t>
      </w:r>
    </w:p>
    <w:p w14:paraId="72038AC1" w14:textId="77777777" w:rsidR="00331A82" w:rsidRPr="00595DCA" w:rsidRDefault="00331A82" w:rsidP="00331A82">
      <w:pPr>
        <w:jc w:val="both"/>
        <w:rPr>
          <w:lang w:val="es-ES_tradnl"/>
        </w:rPr>
      </w:pPr>
    </w:p>
    <w:p w14:paraId="0CEEF751" w14:textId="77777777" w:rsidR="00331A82" w:rsidRPr="009E0621" w:rsidRDefault="00331A82" w:rsidP="00331A82">
      <w:pPr>
        <w:jc w:val="both"/>
        <w:rPr>
          <w:lang w:val="es-ES_tradnl"/>
        </w:rPr>
      </w:pPr>
      <w:r w:rsidRPr="00595DCA">
        <w:rPr>
          <w:lang w:val="es-ES_tradnl"/>
        </w:rPr>
        <w:t>En el Anexo (1) figurará el informe de la OEPM acerca de la medida en que el IMPI cumple los criterios para ser designada como Administración internacional en virtud del Sistema del PCT.</w:t>
      </w:r>
    </w:p>
    <w:p w14:paraId="469292CD" w14:textId="77777777" w:rsidR="00331A82" w:rsidRDefault="00331A82" w:rsidP="00331A82">
      <w:pPr>
        <w:jc w:val="both"/>
        <w:rPr>
          <w:i/>
          <w:iCs/>
          <w:lang w:val="es-ES_tradnl"/>
        </w:rPr>
      </w:pPr>
    </w:p>
    <w:p w14:paraId="1FA5037C" w14:textId="77777777" w:rsidR="006C1E00" w:rsidRPr="00CB6D7D" w:rsidRDefault="006C1E00" w:rsidP="006C1E00">
      <w:pPr>
        <w:pStyle w:val="Endofdocument-Annex"/>
        <w:rPr>
          <w:lang w:val="es-ES_tradnl"/>
        </w:rPr>
        <w:sectPr w:rsidR="006C1E00" w:rsidRPr="00CB6D7D" w:rsidSect="00331A82">
          <w:headerReference w:type="default" r:id="rId17"/>
          <w:headerReference w:type="first" r:id="rId18"/>
          <w:pgSz w:w="11907" w:h="16840" w:code="9"/>
          <w:pgMar w:top="1417" w:right="1417" w:bottom="1417" w:left="1417" w:header="709" w:footer="709" w:gutter="0"/>
          <w:pgNumType w:start="1"/>
          <w:cols w:space="720"/>
          <w:titlePg/>
          <w:docGrid w:linePitch="299"/>
        </w:sectPr>
      </w:pPr>
      <w:r w:rsidRPr="00CB6D7D">
        <w:rPr>
          <w:lang w:val="es-ES_tradnl"/>
        </w:rPr>
        <w:t>[Sigue el Anexo II]</w:t>
      </w:r>
    </w:p>
    <w:p w14:paraId="11953A80" w14:textId="50AB16B0" w:rsidR="0038255A" w:rsidRDefault="0038255A" w:rsidP="005B61B6">
      <w:pPr>
        <w:jc w:val="center"/>
        <w:rPr>
          <w:caps/>
          <w:lang w:val="es-ES_tradnl"/>
        </w:rPr>
      </w:pPr>
      <w:r w:rsidRPr="0038255A">
        <w:rPr>
          <w:caps/>
          <w:lang w:val="es-ES_tradnl"/>
        </w:rPr>
        <w:t>Solicitud de Instituto Mexicano de la Propiedad Industrial (IMPI) de adquirir la condición de Administración internacional de búsqueda y de examen preliminar internacional en el marco del Tratado de Cooperación en materia de Patentes</w:t>
      </w:r>
    </w:p>
    <w:p w14:paraId="16DE534E" w14:textId="77777777" w:rsidR="00CB6D7D" w:rsidRDefault="00CB6D7D" w:rsidP="005B61B6">
      <w:pPr>
        <w:jc w:val="center"/>
        <w:rPr>
          <w:caps/>
          <w:lang w:val="es-ES_tradnl"/>
        </w:rPr>
      </w:pPr>
    </w:p>
    <w:p w14:paraId="0CC2142C" w14:textId="1FF173C6" w:rsidR="00CB6D7D" w:rsidRPr="00CB6D7D" w:rsidRDefault="00CB6D7D" w:rsidP="005B61B6">
      <w:pPr>
        <w:jc w:val="center"/>
        <w:rPr>
          <w:caps/>
          <w:lang w:val="es-ES_tradnl"/>
        </w:rPr>
      </w:pPr>
      <w:r w:rsidRPr="00CB6D7D">
        <w:rPr>
          <w:caps/>
        </w:rPr>
        <w:t>Informe de la Oficina Española de Patentes y Marcas</w:t>
      </w:r>
    </w:p>
    <w:p w14:paraId="67EDDE79" w14:textId="3822686A" w:rsidR="0038255A" w:rsidRPr="0038255A" w:rsidRDefault="0038255A" w:rsidP="005B61B6">
      <w:pPr>
        <w:pStyle w:val="Heading1"/>
        <w:rPr>
          <w:lang w:val="es-ES_tradnl"/>
        </w:rPr>
      </w:pPr>
      <w:r w:rsidRPr="0038255A">
        <w:rPr>
          <w:lang w:val="es-ES_tradnl"/>
        </w:rPr>
        <w:t>I.</w:t>
      </w:r>
      <w:r w:rsidR="003D7287">
        <w:rPr>
          <w:lang w:val="es-ES_tradnl"/>
        </w:rPr>
        <w:t xml:space="preserve"> </w:t>
      </w:r>
      <w:r w:rsidRPr="0038255A">
        <w:rPr>
          <w:lang w:val="es-ES_tradnl"/>
        </w:rPr>
        <w:t>Marco legal</w:t>
      </w:r>
    </w:p>
    <w:p w14:paraId="2B7CB8CD" w14:textId="5AA1A7D6" w:rsidR="0038255A" w:rsidRDefault="0038255A" w:rsidP="0038255A">
      <w:pPr>
        <w:pStyle w:val="ONUMFS"/>
        <w:numPr>
          <w:ilvl w:val="0"/>
          <w:numId w:val="25"/>
        </w:numPr>
        <w:rPr>
          <w:lang w:val="es-ES_tradnl"/>
        </w:rPr>
      </w:pPr>
      <w:r w:rsidRPr="0038255A">
        <w:rPr>
          <w:lang w:val="es-ES_tradnl"/>
        </w:rPr>
        <w:t>Las Reglas 36 y 63 del Reglamento de ejecución del Tratado de Cooperación en materia de Patentes (en adelante, PCT, en sus siglas en inglés) tal como entrarán en vigor en enero de 2026 establecen los requisitos mínimos para que una Oficina nacional pueda adquirir la condición de Administración de Búsqueda y Examen Preliminar Internacionales. Estos requisitos mínimos son los siguientes:</w:t>
      </w:r>
    </w:p>
    <w:p w14:paraId="3058F7BB" w14:textId="3C1E49D4" w:rsidR="0038255A" w:rsidRDefault="0038255A" w:rsidP="0038255A">
      <w:pPr>
        <w:pStyle w:val="ONUMFS"/>
        <w:numPr>
          <w:ilvl w:val="1"/>
          <w:numId w:val="25"/>
        </w:numPr>
        <w:rPr>
          <w:lang w:val="es-ES_tradnl"/>
        </w:rPr>
      </w:pPr>
      <w:r w:rsidRPr="0038255A">
        <w:rPr>
          <w:lang w:val="es-ES_tradnl"/>
        </w:rPr>
        <w:t>la Oficina nacional deberá tener, por lo menos, 100 empleados con plena dedicación, con calificaciones técnicas suficientes para efectuar las búsquedas en los sectores técnicos adecuados</w:t>
      </w:r>
      <w:r>
        <w:rPr>
          <w:lang w:val="es-ES_tradnl"/>
        </w:rPr>
        <w:t>;</w:t>
      </w:r>
    </w:p>
    <w:p w14:paraId="2101D48B" w14:textId="3D9F1B0A" w:rsidR="0038255A" w:rsidRDefault="0038255A" w:rsidP="0038255A">
      <w:pPr>
        <w:pStyle w:val="ONUMFS"/>
        <w:numPr>
          <w:ilvl w:val="1"/>
          <w:numId w:val="25"/>
        </w:numPr>
        <w:rPr>
          <w:lang w:val="es-ES_tradnl"/>
        </w:rPr>
      </w:pPr>
      <w:r w:rsidRPr="0038255A">
        <w:rPr>
          <w:lang w:val="es-ES_tradnl"/>
        </w:rPr>
        <w:t>esa Oficina deberá poner a disposición para su consulta, como parte de la documentación mínima mencionada en la Regla 34, de conformidad con los requisitos especificados en las Instrucciones Administrativas, toda patente concedida y toda solicitud de patente publicada por ella y, en su caso, por su antecesor jurídico;</w:t>
      </w:r>
    </w:p>
    <w:p w14:paraId="0F40F1CE" w14:textId="768AF886" w:rsidR="0038255A" w:rsidRDefault="0038255A" w:rsidP="0038255A">
      <w:pPr>
        <w:pStyle w:val="ONUMFS"/>
        <w:numPr>
          <w:ilvl w:val="1"/>
          <w:numId w:val="25"/>
        </w:numPr>
        <w:rPr>
          <w:lang w:val="es-ES_tradnl"/>
        </w:rPr>
      </w:pPr>
      <w:r w:rsidRPr="0038255A">
        <w:rPr>
          <w:lang w:val="es-ES_tradnl"/>
        </w:rPr>
        <w:t>esa Oficina deberá poseer, por lo menos, la documentación mínima mencionada en la Regla 34, o mantener acceso a esa documentación mínima, con fines de búsqueda de conformidad con las Instrucciones Administrativas; asimismo, deberá disponer fácilmente, por lo menos, de la documentación mínima mencionada en la Regla 34, ordenada en forma adecuada a los fines del examen;</w:t>
      </w:r>
    </w:p>
    <w:p w14:paraId="4DEF444B" w14:textId="20FF304E" w:rsidR="0038255A" w:rsidRDefault="0038255A" w:rsidP="0038255A">
      <w:pPr>
        <w:pStyle w:val="ONUMFS"/>
        <w:numPr>
          <w:ilvl w:val="1"/>
          <w:numId w:val="25"/>
        </w:numPr>
        <w:rPr>
          <w:lang w:val="es-ES_tradnl"/>
        </w:rPr>
      </w:pPr>
      <w:r w:rsidRPr="0038255A">
        <w:rPr>
          <w:lang w:val="es-ES_tradnl"/>
        </w:rPr>
        <w:t>esa Oficina deberá disponer de un sistema de gestión de calidad y un sistema de revisión interna, conforme a las reglas comunes de la búsqueda internacional y examen preliminar internacional;</w:t>
      </w:r>
    </w:p>
    <w:p w14:paraId="31C2D602" w14:textId="5E027619" w:rsidR="0038255A" w:rsidRDefault="0038255A" w:rsidP="0038255A">
      <w:pPr>
        <w:pStyle w:val="ONUMFS"/>
        <w:numPr>
          <w:ilvl w:val="1"/>
          <w:numId w:val="25"/>
        </w:numPr>
        <w:rPr>
          <w:lang w:val="es-ES_tradnl"/>
        </w:rPr>
      </w:pPr>
      <w:r w:rsidRPr="0038255A">
        <w:rPr>
          <w:lang w:val="es-ES_tradnl"/>
        </w:rPr>
        <w:t>esa Oficina u organización deberá ser nombrada al mismo tiempo en calidad Administración encargada de la búsqueda internacional (ISA) y de Administración encargada del examen preliminar internacional (IPEA).</w:t>
      </w:r>
    </w:p>
    <w:p w14:paraId="150A286C" w14:textId="4B12D26F" w:rsidR="0038255A" w:rsidRPr="005B61B6" w:rsidRDefault="005B61B6" w:rsidP="005B61B6">
      <w:pPr>
        <w:pStyle w:val="Heading1"/>
        <w:rPr>
          <w:lang w:val="es-ES_tradnl"/>
        </w:rPr>
      </w:pPr>
      <w:r w:rsidRPr="005B61B6">
        <w:rPr>
          <w:lang w:val="es-ES_tradnl"/>
        </w:rPr>
        <w:t>II.</w:t>
      </w:r>
      <w:r w:rsidR="003D7287">
        <w:rPr>
          <w:lang w:val="es-ES_tradnl"/>
        </w:rPr>
        <w:t xml:space="preserve"> </w:t>
      </w:r>
      <w:r w:rsidRPr="005B61B6">
        <w:rPr>
          <w:lang w:val="es-ES_tradnl"/>
        </w:rPr>
        <w:t>Instituto Mexicano de la Propiedad Industrial (IMPI)</w:t>
      </w:r>
    </w:p>
    <w:p w14:paraId="2000AABA" w14:textId="77777777" w:rsidR="005B61B6" w:rsidRDefault="0038255A" w:rsidP="0038255A">
      <w:pPr>
        <w:pStyle w:val="ONUMFS"/>
        <w:numPr>
          <w:ilvl w:val="0"/>
          <w:numId w:val="25"/>
        </w:numPr>
        <w:rPr>
          <w:lang w:val="es-ES_tradnl"/>
        </w:rPr>
      </w:pPr>
      <w:r w:rsidRPr="005B61B6">
        <w:rPr>
          <w:lang w:val="es-ES_tradnl"/>
        </w:rPr>
        <w:t>El IMPI ha presentado su solicitud de designación como ISA e IPEA.</w:t>
      </w:r>
    </w:p>
    <w:p w14:paraId="3225E2D3" w14:textId="35CA8A94" w:rsidR="0038255A" w:rsidRDefault="0038255A" w:rsidP="0038255A">
      <w:pPr>
        <w:pStyle w:val="ONUMFS"/>
        <w:numPr>
          <w:ilvl w:val="1"/>
          <w:numId w:val="25"/>
        </w:numPr>
        <w:rPr>
          <w:lang w:val="es-ES_tradnl"/>
        </w:rPr>
      </w:pPr>
      <w:r w:rsidRPr="005B61B6">
        <w:rPr>
          <w:lang w:val="es-ES_tradnl"/>
        </w:rPr>
        <w:t xml:space="preserve"> El IMPI dispone de más de 100 empleados dedicados a examen de fondo a tiempo completo, en particular, dispone de 196 examinadores tanto de patentes como de modelos de utilidad, especializados en distintos campos técnicos (mecánico, eléctrico/electrónico, químico, farmacia y biotecnológico)</w:t>
      </w:r>
      <w:r w:rsidR="005B61B6">
        <w:rPr>
          <w:lang w:val="es-ES_tradnl"/>
        </w:rPr>
        <w:t>.</w:t>
      </w:r>
    </w:p>
    <w:p w14:paraId="64CFC578" w14:textId="11F705AD" w:rsidR="005B61B6" w:rsidRDefault="005B61B6" w:rsidP="0038255A">
      <w:pPr>
        <w:pStyle w:val="ONUMFS"/>
        <w:numPr>
          <w:ilvl w:val="1"/>
          <w:numId w:val="25"/>
        </w:numPr>
        <w:rPr>
          <w:lang w:val="es-ES_tradnl"/>
        </w:rPr>
      </w:pPr>
      <w:r w:rsidRPr="0038255A">
        <w:rPr>
          <w:lang w:val="es-ES_tradnl"/>
        </w:rPr>
        <w:t>Respecto de la documentación mínima PCT:</w:t>
      </w:r>
    </w:p>
    <w:p w14:paraId="6B2E902C" w14:textId="5AB07752" w:rsidR="005B61B6" w:rsidRDefault="005B61B6" w:rsidP="005B61B6">
      <w:pPr>
        <w:pStyle w:val="ONUMFS"/>
        <w:numPr>
          <w:ilvl w:val="2"/>
          <w:numId w:val="25"/>
        </w:numPr>
        <w:rPr>
          <w:lang w:val="es-ES_tradnl"/>
        </w:rPr>
      </w:pPr>
      <w:r w:rsidRPr="0038255A">
        <w:rPr>
          <w:lang w:val="es-ES_tradnl"/>
        </w:rPr>
        <w:t>Puesta a disposición para consulta: se indica que solo se encuentran en formato PDF (texto)</w:t>
      </w:r>
      <w:r>
        <w:rPr>
          <w:lang w:val="es-ES_tradnl"/>
        </w:rPr>
        <w:t>.</w:t>
      </w:r>
    </w:p>
    <w:p w14:paraId="77B82BED" w14:textId="380C77D2" w:rsidR="005B61B6" w:rsidRDefault="005B61B6" w:rsidP="005B61B6">
      <w:pPr>
        <w:pStyle w:val="ONUMFS"/>
        <w:numPr>
          <w:ilvl w:val="2"/>
          <w:numId w:val="25"/>
        </w:numPr>
        <w:rPr>
          <w:lang w:val="es-ES_tradnl"/>
        </w:rPr>
      </w:pPr>
      <w:r w:rsidRPr="0038255A">
        <w:rPr>
          <w:lang w:val="es-ES_tradnl"/>
        </w:rPr>
        <w:t>Acceso a la documentación mínima a los fines de la búsqueda: se indica que no se cuenta con la totalidad de los textos de las solicitudes en XML actualmente sólo se tiene disponible en ese formato el resumen en español e inglés. La descripción y las reivindicaciones están en formato PDF.</w:t>
      </w:r>
    </w:p>
    <w:p w14:paraId="57D738CF" w14:textId="5BDDEF59" w:rsidR="005B61B6" w:rsidRDefault="005B61B6" w:rsidP="005B61B6">
      <w:pPr>
        <w:pStyle w:val="ONUMFS"/>
        <w:numPr>
          <w:ilvl w:val="1"/>
          <w:numId w:val="25"/>
        </w:numPr>
        <w:rPr>
          <w:lang w:val="es-ES_tradnl"/>
        </w:rPr>
      </w:pPr>
      <w:r w:rsidRPr="0038255A">
        <w:rPr>
          <w:lang w:val="es-ES_tradnl"/>
        </w:rPr>
        <w:t>El IMPI no cuenta con un sistema de control de calidad específico, ni ha sido certificada bajo ninguna norma establecida.</w:t>
      </w:r>
    </w:p>
    <w:p w14:paraId="23CEF09F" w14:textId="5A3B8858" w:rsidR="005B61B6" w:rsidRDefault="005B61B6" w:rsidP="005B61B6">
      <w:pPr>
        <w:pStyle w:val="ONUMFS"/>
        <w:numPr>
          <w:ilvl w:val="1"/>
          <w:numId w:val="25"/>
        </w:numPr>
        <w:rPr>
          <w:lang w:val="es-ES_tradnl"/>
        </w:rPr>
      </w:pPr>
      <w:r w:rsidRPr="0038255A">
        <w:rPr>
          <w:lang w:val="es-ES_tradnl"/>
        </w:rPr>
        <w:t>Ha solicitado ser tanto Administración Internacional de Búsqueda como Autoridad de</w:t>
      </w:r>
      <w:r w:rsidR="003D7287">
        <w:rPr>
          <w:lang w:val="es-ES_tradnl"/>
        </w:rPr>
        <w:t xml:space="preserve"> </w:t>
      </w:r>
      <w:r w:rsidRPr="0038255A">
        <w:rPr>
          <w:lang w:val="es-ES_tradnl"/>
        </w:rPr>
        <w:t>Examen Internacional en el marco del Tratado de Cooperación en materia de Patentes</w:t>
      </w:r>
      <w:r>
        <w:rPr>
          <w:lang w:val="es-ES_tradnl"/>
        </w:rPr>
        <w:t>.</w:t>
      </w:r>
    </w:p>
    <w:p w14:paraId="76FC4A5B" w14:textId="77777777" w:rsidR="005B61B6" w:rsidRDefault="005B61B6" w:rsidP="005B61B6">
      <w:pPr>
        <w:pStyle w:val="ONUMFS"/>
        <w:numPr>
          <w:ilvl w:val="0"/>
          <w:numId w:val="25"/>
        </w:numPr>
        <w:rPr>
          <w:lang w:val="es-ES_tradnl"/>
        </w:rPr>
      </w:pPr>
      <w:r w:rsidRPr="005B61B6">
        <w:rPr>
          <w:lang w:val="es-ES_tradnl"/>
        </w:rPr>
        <w:t xml:space="preserve">Por tanto, </w:t>
      </w:r>
      <w:proofErr w:type="gramStart"/>
      <w:r w:rsidRPr="005B61B6">
        <w:rPr>
          <w:lang w:val="es-ES_tradnl"/>
        </w:rPr>
        <w:t>a día de hoy</w:t>
      </w:r>
      <w:proofErr w:type="gramEnd"/>
      <w:r w:rsidRPr="005B61B6">
        <w:rPr>
          <w:lang w:val="es-ES_tradnl"/>
        </w:rPr>
        <w:t>, el IMPI no cumple los requisitos siguientes:</w:t>
      </w:r>
    </w:p>
    <w:p w14:paraId="58FFE92B" w14:textId="57E0B9E4" w:rsidR="005B61B6" w:rsidRDefault="005B61B6" w:rsidP="005B61B6">
      <w:pPr>
        <w:pStyle w:val="ONUMFS"/>
        <w:numPr>
          <w:ilvl w:val="0"/>
          <w:numId w:val="26"/>
        </w:numPr>
        <w:rPr>
          <w:lang w:val="es-ES_tradnl"/>
        </w:rPr>
      </w:pPr>
      <w:r w:rsidRPr="0038255A">
        <w:rPr>
          <w:lang w:val="es-ES_tradnl"/>
        </w:rPr>
        <w:t>No cuenta con un sistema de gestión de calidad previsto en el Capítulo 21 de las Directrices de búsqueda internacional y de examen preliminar internacional del PCT</w:t>
      </w:r>
      <w:r>
        <w:rPr>
          <w:lang w:val="es-ES_tradnl"/>
        </w:rPr>
        <w:t>.</w:t>
      </w:r>
    </w:p>
    <w:p w14:paraId="651863F2" w14:textId="36E7F120" w:rsidR="005B61B6" w:rsidRPr="005B61B6" w:rsidRDefault="005B61B6" w:rsidP="005B61B6">
      <w:pPr>
        <w:pStyle w:val="ONUMFS"/>
        <w:numPr>
          <w:ilvl w:val="0"/>
          <w:numId w:val="26"/>
        </w:numPr>
        <w:rPr>
          <w:lang w:val="es-ES_tradnl"/>
        </w:rPr>
      </w:pPr>
      <w:r w:rsidRPr="0038255A">
        <w:rPr>
          <w:lang w:val="es-ES_tradnl"/>
        </w:rPr>
        <w:t>No dispone de la documentación mínima PCT en los formatos de texto de la información de patentes admitidos por la OMPI (XML o TXT)</w:t>
      </w:r>
      <w:r>
        <w:rPr>
          <w:lang w:val="es-ES_tradnl"/>
        </w:rPr>
        <w:t>.</w:t>
      </w:r>
    </w:p>
    <w:p w14:paraId="55934C4B" w14:textId="61B3D3DF" w:rsidR="005B61B6" w:rsidRDefault="005B61B6" w:rsidP="005B61B6">
      <w:pPr>
        <w:pStyle w:val="ONUMFS"/>
        <w:numPr>
          <w:ilvl w:val="0"/>
          <w:numId w:val="25"/>
        </w:numPr>
        <w:rPr>
          <w:lang w:val="es-ES_tradnl"/>
        </w:rPr>
      </w:pPr>
      <w:r w:rsidRPr="005B61B6">
        <w:rPr>
          <w:lang w:val="es-ES_tradnl"/>
        </w:rPr>
        <w:t>Ello no obstante, en la reunión mantenida entre la Oficina Española de Patentes y Marcas, O.A. (OEPM) y el IMPI el pasado 1 de diciembre de 2025 se les ha trasladado información para orientar y encauzar el trabajo que necesitan.</w:t>
      </w:r>
    </w:p>
    <w:p w14:paraId="4F764B60" w14:textId="77777777" w:rsidR="005B61B6" w:rsidRDefault="005B61B6" w:rsidP="005B61B6">
      <w:pPr>
        <w:pStyle w:val="ONUMFS"/>
        <w:numPr>
          <w:ilvl w:val="0"/>
          <w:numId w:val="25"/>
        </w:numPr>
        <w:rPr>
          <w:lang w:val="es-ES_tradnl"/>
        </w:rPr>
      </w:pPr>
      <w:r w:rsidRPr="005B61B6">
        <w:rPr>
          <w:lang w:val="es-ES_tradnl"/>
        </w:rPr>
        <w:t>Asimismo, la OEPM se ha comprometido a acompañarlos en el cumplimiento de estos requisitos, por lo que en 2026 realizará la visita necesaria para comprobar que se cumplen plenamente todos los requisitos técnicos que una administración debe cumplir para ser designada como Administración Internacional de Búsqueda y de Examen Internacionales en el marco del PCT.</w:t>
      </w:r>
    </w:p>
    <w:p w14:paraId="05831C9B" w14:textId="14312E7B" w:rsidR="005B61B6" w:rsidRPr="005B61B6" w:rsidRDefault="005B61B6" w:rsidP="005B61B6">
      <w:pPr>
        <w:pStyle w:val="Heading1"/>
        <w:rPr>
          <w:lang w:val="es-ES_tradnl"/>
        </w:rPr>
      </w:pPr>
      <w:r>
        <w:rPr>
          <w:lang w:val="es-ES_tradnl"/>
        </w:rPr>
        <w:t>III.</w:t>
      </w:r>
      <w:r w:rsidR="003D7287">
        <w:rPr>
          <w:lang w:val="es-ES_tradnl"/>
        </w:rPr>
        <w:t xml:space="preserve"> </w:t>
      </w:r>
      <w:r>
        <w:rPr>
          <w:lang w:val="es-ES_tradnl"/>
        </w:rPr>
        <w:t>Conclusion</w:t>
      </w:r>
    </w:p>
    <w:p w14:paraId="41F45A5F" w14:textId="57CBA136" w:rsidR="005B61B6" w:rsidRDefault="005B61B6" w:rsidP="005B61B6">
      <w:pPr>
        <w:pStyle w:val="ONUMFS"/>
        <w:numPr>
          <w:ilvl w:val="0"/>
          <w:numId w:val="25"/>
        </w:numPr>
        <w:rPr>
          <w:lang w:val="es-ES_tradnl"/>
        </w:rPr>
      </w:pPr>
      <w:r w:rsidRPr="005B61B6">
        <w:rPr>
          <w:lang w:val="es-ES_tradnl"/>
        </w:rPr>
        <w:t>Por todo ello, se informa que la OEPM apoya la candidatura del Instituto Mexicano de la Propiedad Industrial, sujeto a que el IMPI:</w:t>
      </w:r>
    </w:p>
    <w:p w14:paraId="489316A6" w14:textId="6AC692A3" w:rsidR="005B61B6" w:rsidRDefault="005B61B6" w:rsidP="005B61B6">
      <w:pPr>
        <w:pStyle w:val="ONUMFS"/>
        <w:numPr>
          <w:ilvl w:val="1"/>
          <w:numId w:val="25"/>
        </w:numPr>
        <w:rPr>
          <w:lang w:val="es-ES_tradnl"/>
        </w:rPr>
      </w:pPr>
      <w:r w:rsidRPr="005B61B6">
        <w:rPr>
          <w:lang w:val="es-ES_tradnl"/>
        </w:rPr>
        <w:t>cumpla con el sistema de gestión de la calidad previsto en el Capítulo 21 de las Directrices de búsqueda internacional y de examen preliminar internacional del PCT;</w:t>
      </w:r>
    </w:p>
    <w:p w14:paraId="62BFEF4A" w14:textId="4EA2243D" w:rsidR="005B61B6" w:rsidRDefault="005B61B6" w:rsidP="005B61B6">
      <w:pPr>
        <w:pStyle w:val="ONUMFS"/>
        <w:numPr>
          <w:ilvl w:val="1"/>
          <w:numId w:val="25"/>
        </w:numPr>
        <w:rPr>
          <w:lang w:val="es-ES_tradnl"/>
        </w:rPr>
      </w:pPr>
      <w:r w:rsidRPr="005B61B6">
        <w:rPr>
          <w:lang w:val="es-ES_tradnl"/>
        </w:rPr>
        <w:t>cuente con los formatos de texto de la información de patentes admitidos por la OMPI (XML o TXT).</w:t>
      </w:r>
    </w:p>
    <w:p w14:paraId="71FC07A3" w14:textId="06C1BC88" w:rsidR="005B61B6" w:rsidRPr="005B61B6" w:rsidRDefault="005B61B6" w:rsidP="005B61B6">
      <w:pPr>
        <w:pStyle w:val="ONUMFS"/>
        <w:numPr>
          <w:ilvl w:val="0"/>
          <w:numId w:val="25"/>
        </w:numPr>
        <w:rPr>
          <w:lang w:val="es-ES_tradnl"/>
        </w:rPr>
      </w:pPr>
      <w:r w:rsidRPr="005B61B6">
        <w:rPr>
          <w:lang w:val="es-ES_tradnl"/>
        </w:rPr>
        <w:t>La OEPM verificará lo anterior tras una visita a la sede del IMPI en 2026.</w:t>
      </w:r>
    </w:p>
    <w:p w14:paraId="076DC73F" w14:textId="77777777" w:rsidR="0038255A" w:rsidRPr="0038255A" w:rsidRDefault="0038255A" w:rsidP="0038255A">
      <w:pPr>
        <w:rPr>
          <w:lang w:val="es-ES_tradnl"/>
        </w:rPr>
      </w:pPr>
    </w:p>
    <w:p w14:paraId="5D92C449" w14:textId="01AF9F39" w:rsidR="0038255A" w:rsidRPr="0038255A" w:rsidRDefault="005B61B6" w:rsidP="005B61B6">
      <w:pPr>
        <w:pStyle w:val="Endofdocument-Annex"/>
        <w:rPr>
          <w:lang w:val="es-ES_tradnl"/>
        </w:rPr>
      </w:pPr>
      <w:r w:rsidRPr="00806136">
        <w:rPr>
          <w:lang w:val="es-ES_tradnl"/>
        </w:rPr>
        <w:t>[Fin del Anexo II y del documento]</w:t>
      </w:r>
    </w:p>
    <w:p w14:paraId="73B61222" w14:textId="516A5BA3" w:rsidR="0038255A" w:rsidRPr="0038255A" w:rsidRDefault="0038255A" w:rsidP="0038255A">
      <w:pPr>
        <w:rPr>
          <w:lang w:val="es-ES_tradnl"/>
        </w:rPr>
      </w:pPr>
    </w:p>
    <w:sectPr w:rsidR="0038255A" w:rsidRPr="0038255A" w:rsidSect="00331A82">
      <w:headerReference w:type="default" r:id="rId19"/>
      <w:headerReference w:type="first" r:id="rId20"/>
      <w:pgSz w:w="11907" w:h="16840" w:code="9"/>
      <w:pgMar w:top="1417" w:right="1417" w:bottom="1417" w:left="1417"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47860" w14:textId="77777777" w:rsidR="00A5115E" w:rsidRDefault="00A5115E">
      <w:r>
        <w:separator/>
      </w:r>
    </w:p>
  </w:endnote>
  <w:endnote w:type="continuationSeparator" w:id="0">
    <w:p w14:paraId="7C3971DB" w14:textId="77777777" w:rsidR="00A5115E" w:rsidRPr="009D30E6" w:rsidRDefault="00A5115E" w:rsidP="007E663E">
      <w:pPr>
        <w:rPr>
          <w:sz w:val="17"/>
          <w:szCs w:val="17"/>
        </w:rPr>
      </w:pPr>
      <w:r w:rsidRPr="009D30E6">
        <w:rPr>
          <w:sz w:val="17"/>
          <w:szCs w:val="17"/>
        </w:rPr>
        <w:separator/>
      </w:r>
    </w:p>
    <w:p w14:paraId="42D1C9C8" w14:textId="77777777" w:rsidR="00A5115E" w:rsidRPr="007E663E" w:rsidRDefault="00A5115E" w:rsidP="007E663E">
      <w:pPr>
        <w:spacing w:after="60"/>
        <w:rPr>
          <w:sz w:val="17"/>
          <w:szCs w:val="17"/>
        </w:rPr>
      </w:pPr>
      <w:r>
        <w:rPr>
          <w:sz w:val="17"/>
        </w:rPr>
        <w:t>[Continuación de la nota de la página anterior]</w:t>
      </w:r>
    </w:p>
  </w:endnote>
  <w:endnote w:type="continuationNotice" w:id="1">
    <w:p w14:paraId="238E7977" w14:textId="77777777" w:rsidR="00A5115E" w:rsidRPr="007E663E" w:rsidRDefault="00A5115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TheSansArabic Light">
    <w:altName w:val="Times New Roman"/>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Noto Sans">
    <w:charset w:val="00"/>
    <w:family w:val="swiss"/>
    <w:pitch w:val="variable"/>
    <w:sig w:usb0="E00082FF" w:usb1="400078FF" w:usb2="00000021" w:usb3="00000000" w:csb0="0000019F" w:csb1="00000000"/>
  </w:font>
  <w:font w:name="Montserrat Ligh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D3F35" w14:textId="26C21472" w:rsidR="00761D20" w:rsidRDefault="00761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56D2" w14:textId="0760C715" w:rsidR="00761D20" w:rsidRDefault="00761D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1D80B" w14:textId="2D5A9708" w:rsidR="00761D20" w:rsidRDefault="00761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6A43D" w14:textId="77777777" w:rsidR="00A5115E" w:rsidRDefault="00A5115E">
      <w:r>
        <w:separator/>
      </w:r>
    </w:p>
  </w:footnote>
  <w:footnote w:type="continuationSeparator" w:id="0">
    <w:p w14:paraId="7E23E319" w14:textId="77777777" w:rsidR="00A5115E" w:rsidRPr="009D30E6" w:rsidRDefault="00A5115E" w:rsidP="007E663E">
      <w:pPr>
        <w:rPr>
          <w:sz w:val="17"/>
          <w:szCs w:val="17"/>
        </w:rPr>
      </w:pPr>
      <w:r w:rsidRPr="009D30E6">
        <w:rPr>
          <w:sz w:val="17"/>
          <w:szCs w:val="17"/>
        </w:rPr>
        <w:separator/>
      </w:r>
    </w:p>
    <w:p w14:paraId="41CC3AEE" w14:textId="77777777" w:rsidR="00A5115E" w:rsidRPr="007E663E" w:rsidRDefault="00A5115E" w:rsidP="007E663E">
      <w:pPr>
        <w:spacing w:after="60"/>
        <w:rPr>
          <w:sz w:val="17"/>
          <w:szCs w:val="17"/>
        </w:rPr>
      </w:pPr>
      <w:r>
        <w:rPr>
          <w:sz w:val="17"/>
        </w:rPr>
        <w:t>[Continuación de la nota de la página anterior]</w:t>
      </w:r>
    </w:p>
  </w:footnote>
  <w:footnote w:type="continuationNotice" w:id="1">
    <w:p w14:paraId="65C69648" w14:textId="77777777" w:rsidR="00A5115E" w:rsidRPr="007E663E" w:rsidRDefault="00A5115E" w:rsidP="007E663E">
      <w:pPr>
        <w:spacing w:before="60"/>
        <w:jc w:val="right"/>
        <w:rPr>
          <w:sz w:val="17"/>
          <w:szCs w:val="17"/>
        </w:rPr>
      </w:pPr>
      <w:r w:rsidRPr="007E663E">
        <w:rPr>
          <w:sz w:val="17"/>
          <w:szCs w:val="17"/>
        </w:rPr>
        <w:t>[Sigue la nota en la página siguiente]</w:t>
      </w:r>
    </w:p>
  </w:footnote>
  <w:footnote w:id="2">
    <w:p w14:paraId="75FF4F8B" w14:textId="77777777" w:rsidR="00331A82" w:rsidRPr="00340C6B" w:rsidRDefault="00331A82" w:rsidP="00331A82">
      <w:pPr>
        <w:pStyle w:val="FootnoteText"/>
        <w:rPr>
          <w:lang w:val="es-MX"/>
        </w:rPr>
      </w:pPr>
      <w:r>
        <w:rPr>
          <w:rStyle w:val="FootnoteReference"/>
        </w:rPr>
        <w:footnoteRef/>
      </w:r>
      <w:r>
        <w:t xml:space="preserve"> </w:t>
      </w:r>
      <w:r w:rsidRPr="00340C6B">
        <w:t>Incluye examinadores de modelo de utilidad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350F4" w14:textId="5F47878B" w:rsidR="00AE7F20" w:rsidRPr="00EB0D93" w:rsidRDefault="00A5115E" w:rsidP="00477D6B">
    <w:pPr>
      <w:jc w:val="right"/>
      <w:rPr>
        <w:caps/>
      </w:rPr>
    </w:pPr>
    <w:bookmarkStart w:id="5" w:name="Code2"/>
    <w:bookmarkEnd w:id="5"/>
    <w:r>
      <w:rPr>
        <w:caps/>
      </w:rPr>
      <w:t>PCT/CTC/33/27</w:t>
    </w:r>
  </w:p>
  <w:p w14:paraId="17553E17" w14:textId="77777777" w:rsidR="00AE7F20" w:rsidRDefault="00AE7F20" w:rsidP="00477D6B">
    <w:pPr>
      <w:jc w:val="right"/>
    </w:pPr>
    <w:r>
      <w:t xml:space="preserve">página </w:t>
    </w:r>
    <w:r>
      <w:fldChar w:fldCharType="begin"/>
    </w:r>
    <w:r>
      <w:instrText xml:space="preserve"> PAGE  \* MERGEFORMAT </w:instrText>
    </w:r>
    <w:r>
      <w:fldChar w:fldCharType="separate"/>
    </w:r>
    <w:r w:rsidR="00EB0D93">
      <w:rPr>
        <w:noProof/>
      </w:rPr>
      <w:t>2</w:t>
    </w:r>
    <w:r>
      <w:fldChar w:fldCharType="end"/>
    </w:r>
  </w:p>
  <w:p w14:paraId="3C3BBA98" w14:textId="77777777" w:rsidR="00AE7F20" w:rsidRDefault="00AE7F20" w:rsidP="00477D6B">
    <w:pPr>
      <w:jc w:val="right"/>
    </w:pPr>
  </w:p>
  <w:p w14:paraId="5A7230F1" w14:textId="77777777" w:rsidR="00EC1AA7" w:rsidRDefault="00EC1AA7"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991553"/>
      <w:docPartObj>
        <w:docPartGallery w:val="Page Numbers (Top of Page)"/>
        <w:docPartUnique/>
      </w:docPartObj>
    </w:sdtPr>
    <w:sdtEndPr>
      <w:rPr>
        <w:noProof/>
      </w:rPr>
    </w:sdtEndPr>
    <w:sdtContent>
      <w:p w14:paraId="5E9B8380" w14:textId="2AE717D6" w:rsidR="00331A82" w:rsidRDefault="00331A82" w:rsidP="00F33EDD">
        <w:pPr>
          <w:pStyle w:val="Header"/>
          <w:jc w:val="right"/>
        </w:pPr>
        <w:r>
          <w:t>PCT/CTC/33/27</w:t>
        </w:r>
        <w:r>
          <w:br/>
          <w:t>Anexo</w:t>
        </w:r>
        <w:r w:rsidR="005B61B6">
          <w:t xml:space="preserve"> I</w:t>
        </w:r>
        <w:r>
          <w:t xml:space="preserve">, página </w:t>
        </w:r>
        <w:r>
          <w:fldChar w:fldCharType="begin"/>
        </w:r>
        <w:r>
          <w:instrText xml:space="preserve"> PAGE   \* MERGEFORMAT </w:instrText>
        </w:r>
        <w:r>
          <w:fldChar w:fldCharType="separate"/>
        </w:r>
        <w:r>
          <w:rPr>
            <w:noProof/>
          </w:rPr>
          <w:t>1</w:t>
        </w:r>
        <w:r>
          <w:rPr>
            <w:noProof/>
          </w:rPr>
          <w:fldChar w:fldCharType="end"/>
        </w:r>
        <w:r>
          <w:t> </w:t>
        </w:r>
      </w:p>
    </w:sdtContent>
  </w:sdt>
  <w:p w14:paraId="0F10B705" w14:textId="77777777" w:rsidR="00331A82" w:rsidRDefault="00331A82" w:rsidP="00F33ED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612E" w14:textId="1EBBDE17" w:rsidR="00331A82" w:rsidRDefault="00331A82" w:rsidP="00331A82">
    <w:pPr>
      <w:pStyle w:val="Header"/>
      <w:jc w:val="right"/>
    </w:pPr>
    <w:r>
      <w:t>PCT/CTC/33/27</w:t>
    </w:r>
    <w:r>
      <w:br/>
      <w:t>ANEXO 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852714"/>
      <w:docPartObj>
        <w:docPartGallery w:val="Page Numbers (Top of Page)"/>
        <w:docPartUnique/>
      </w:docPartObj>
    </w:sdtPr>
    <w:sdtEndPr>
      <w:rPr>
        <w:noProof/>
      </w:rPr>
    </w:sdtEndPr>
    <w:sdtContent>
      <w:p w14:paraId="142AACEC" w14:textId="4A516DFC" w:rsidR="005B61B6" w:rsidRDefault="005B61B6" w:rsidP="00F33EDD">
        <w:pPr>
          <w:pStyle w:val="Header"/>
          <w:jc w:val="right"/>
        </w:pPr>
        <w:r>
          <w:t>PCT/CTC/33/27</w:t>
        </w:r>
        <w:r>
          <w:br/>
          <w:t xml:space="preserve">Anexo II, página </w:t>
        </w:r>
        <w:r>
          <w:fldChar w:fldCharType="begin"/>
        </w:r>
        <w:r>
          <w:instrText xml:space="preserve"> PAGE   \* MERGEFORMAT </w:instrText>
        </w:r>
        <w:r>
          <w:fldChar w:fldCharType="separate"/>
        </w:r>
        <w:r>
          <w:rPr>
            <w:noProof/>
          </w:rPr>
          <w:t>1</w:t>
        </w:r>
        <w:r>
          <w:rPr>
            <w:noProof/>
          </w:rPr>
          <w:fldChar w:fldCharType="end"/>
        </w:r>
        <w:r>
          <w:t> </w:t>
        </w:r>
      </w:p>
    </w:sdtContent>
  </w:sdt>
  <w:p w14:paraId="443898F9" w14:textId="77777777" w:rsidR="005B61B6" w:rsidRDefault="005B61B6" w:rsidP="00F33EDD">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888F" w14:textId="1790A3BA" w:rsidR="006C1E00" w:rsidRDefault="006C1E00" w:rsidP="00331A82">
    <w:pPr>
      <w:pStyle w:val="Header"/>
      <w:jc w:val="right"/>
    </w:pPr>
    <w:r>
      <w:t>PCT/CTC/33/27</w:t>
    </w:r>
    <w:r>
      <w:br/>
      <w:t>ANEXO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0B6F1C"/>
    <w:multiLevelType w:val="hybridMultilevel"/>
    <w:tmpl w:val="89F042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124323"/>
    <w:multiLevelType w:val="hybridMultilevel"/>
    <w:tmpl w:val="A3069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5D075E"/>
    <w:multiLevelType w:val="hybridMultilevel"/>
    <w:tmpl w:val="D472D246"/>
    <w:lvl w:ilvl="0" w:tplc="6590E3BE">
      <w:start w:val="1"/>
      <w:numFmt w:val="lowerLetter"/>
      <w:lvlText w:val="%1)"/>
      <w:lvlJc w:val="left"/>
      <w:pPr>
        <w:ind w:left="570" w:hanging="57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0A0D3671"/>
    <w:multiLevelType w:val="hybridMultilevel"/>
    <w:tmpl w:val="A8DA3D4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8B1263"/>
    <w:multiLevelType w:val="multilevel"/>
    <w:tmpl w:val="15C0AB36"/>
    <w:lvl w:ilvl="0">
      <w:start w:val="9"/>
      <w:numFmt w:val="decimal"/>
      <w:lvlText w:val="%1"/>
      <w:lvlJc w:val="left"/>
      <w:pPr>
        <w:ind w:left="360" w:hanging="360"/>
      </w:pPr>
      <w:rPr>
        <w:rFonts w:hint="default"/>
        <w:color w:val="13322B"/>
      </w:rPr>
    </w:lvl>
    <w:lvl w:ilvl="1">
      <w:start w:val="1"/>
      <w:numFmt w:val="decimal"/>
      <w:lvlText w:val="%1.%2"/>
      <w:lvlJc w:val="left"/>
      <w:pPr>
        <w:ind w:left="720" w:hanging="360"/>
      </w:pPr>
      <w:rPr>
        <w:rFonts w:hint="default"/>
        <w:color w:val="13322B"/>
      </w:rPr>
    </w:lvl>
    <w:lvl w:ilvl="2">
      <w:start w:val="1"/>
      <w:numFmt w:val="decimal"/>
      <w:lvlText w:val="%1.%2.%3"/>
      <w:lvlJc w:val="left"/>
      <w:pPr>
        <w:ind w:left="1440" w:hanging="720"/>
      </w:pPr>
      <w:rPr>
        <w:rFonts w:hint="default"/>
        <w:color w:val="13322B"/>
      </w:rPr>
    </w:lvl>
    <w:lvl w:ilvl="3">
      <w:start w:val="1"/>
      <w:numFmt w:val="decimal"/>
      <w:lvlText w:val="%1.%2.%3.%4"/>
      <w:lvlJc w:val="left"/>
      <w:pPr>
        <w:ind w:left="1800" w:hanging="720"/>
      </w:pPr>
      <w:rPr>
        <w:rFonts w:hint="default"/>
        <w:color w:val="13322B"/>
      </w:rPr>
    </w:lvl>
    <w:lvl w:ilvl="4">
      <w:start w:val="1"/>
      <w:numFmt w:val="decimal"/>
      <w:lvlText w:val="%1.%2.%3.%4.%5"/>
      <w:lvlJc w:val="left"/>
      <w:pPr>
        <w:ind w:left="2520" w:hanging="1080"/>
      </w:pPr>
      <w:rPr>
        <w:rFonts w:hint="default"/>
        <w:color w:val="13322B"/>
      </w:rPr>
    </w:lvl>
    <w:lvl w:ilvl="5">
      <w:start w:val="1"/>
      <w:numFmt w:val="decimal"/>
      <w:lvlText w:val="%1.%2.%3.%4.%5.%6"/>
      <w:lvlJc w:val="left"/>
      <w:pPr>
        <w:ind w:left="2880" w:hanging="1080"/>
      </w:pPr>
      <w:rPr>
        <w:rFonts w:hint="default"/>
        <w:color w:val="13322B"/>
      </w:rPr>
    </w:lvl>
    <w:lvl w:ilvl="6">
      <w:start w:val="1"/>
      <w:numFmt w:val="decimal"/>
      <w:lvlText w:val="%1.%2.%3.%4.%5.%6.%7"/>
      <w:lvlJc w:val="left"/>
      <w:pPr>
        <w:ind w:left="3600" w:hanging="1440"/>
      </w:pPr>
      <w:rPr>
        <w:rFonts w:hint="default"/>
        <w:color w:val="13322B"/>
      </w:rPr>
    </w:lvl>
    <w:lvl w:ilvl="7">
      <w:start w:val="1"/>
      <w:numFmt w:val="decimal"/>
      <w:lvlText w:val="%1.%2.%3.%4.%5.%6.%7.%8"/>
      <w:lvlJc w:val="left"/>
      <w:pPr>
        <w:ind w:left="3960" w:hanging="1440"/>
      </w:pPr>
      <w:rPr>
        <w:rFonts w:hint="default"/>
        <w:color w:val="13322B"/>
      </w:rPr>
    </w:lvl>
    <w:lvl w:ilvl="8">
      <w:start w:val="1"/>
      <w:numFmt w:val="decimal"/>
      <w:lvlText w:val="%1.%2.%3.%4.%5.%6.%7.%8.%9"/>
      <w:lvlJc w:val="left"/>
      <w:pPr>
        <w:ind w:left="4680" w:hanging="1800"/>
      </w:pPr>
      <w:rPr>
        <w:rFonts w:hint="default"/>
        <w:color w:val="13322B"/>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E1C5B7A"/>
    <w:multiLevelType w:val="multilevel"/>
    <w:tmpl w:val="54F49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BDF3EDD"/>
    <w:multiLevelType w:val="hybridMultilevel"/>
    <w:tmpl w:val="A80AFF90"/>
    <w:lvl w:ilvl="0" w:tplc="DF787C76">
      <w:start w:val="1"/>
      <w:numFmt w:val="bullet"/>
      <w:lvlText w:val=""/>
      <w:lvlJc w:val="left"/>
      <w:pPr>
        <w:ind w:left="1440" w:hanging="360"/>
      </w:pPr>
      <w:rPr>
        <w:rFonts w:ascii="Symbol" w:hAnsi="Symbol"/>
      </w:rPr>
    </w:lvl>
    <w:lvl w:ilvl="1" w:tplc="5FACC314">
      <w:start w:val="1"/>
      <w:numFmt w:val="bullet"/>
      <w:lvlText w:val=""/>
      <w:lvlJc w:val="left"/>
      <w:pPr>
        <w:ind w:left="1440" w:hanging="360"/>
      </w:pPr>
      <w:rPr>
        <w:rFonts w:ascii="Symbol" w:hAnsi="Symbol"/>
      </w:rPr>
    </w:lvl>
    <w:lvl w:ilvl="2" w:tplc="58622312">
      <w:start w:val="1"/>
      <w:numFmt w:val="bullet"/>
      <w:lvlText w:val=""/>
      <w:lvlJc w:val="left"/>
      <w:pPr>
        <w:ind w:left="1440" w:hanging="360"/>
      </w:pPr>
      <w:rPr>
        <w:rFonts w:ascii="Symbol" w:hAnsi="Symbol"/>
      </w:rPr>
    </w:lvl>
    <w:lvl w:ilvl="3" w:tplc="F566DBEC">
      <w:start w:val="1"/>
      <w:numFmt w:val="bullet"/>
      <w:lvlText w:val=""/>
      <w:lvlJc w:val="left"/>
      <w:pPr>
        <w:ind w:left="1440" w:hanging="360"/>
      </w:pPr>
      <w:rPr>
        <w:rFonts w:ascii="Symbol" w:hAnsi="Symbol"/>
      </w:rPr>
    </w:lvl>
    <w:lvl w:ilvl="4" w:tplc="733ADF24">
      <w:start w:val="1"/>
      <w:numFmt w:val="bullet"/>
      <w:lvlText w:val=""/>
      <w:lvlJc w:val="left"/>
      <w:pPr>
        <w:ind w:left="1440" w:hanging="360"/>
      </w:pPr>
      <w:rPr>
        <w:rFonts w:ascii="Symbol" w:hAnsi="Symbol"/>
      </w:rPr>
    </w:lvl>
    <w:lvl w:ilvl="5" w:tplc="12C441F2">
      <w:start w:val="1"/>
      <w:numFmt w:val="bullet"/>
      <w:lvlText w:val=""/>
      <w:lvlJc w:val="left"/>
      <w:pPr>
        <w:ind w:left="1440" w:hanging="360"/>
      </w:pPr>
      <w:rPr>
        <w:rFonts w:ascii="Symbol" w:hAnsi="Symbol"/>
      </w:rPr>
    </w:lvl>
    <w:lvl w:ilvl="6" w:tplc="3816F18A">
      <w:start w:val="1"/>
      <w:numFmt w:val="bullet"/>
      <w:lvlText w:val=""/>
      <w:lvlJc w:val="left"/>
      <w:pPr>
        <w:ind w:left="1440" w:hanging="360"/>
      </w:pPr>
      <w:rPr>
        <w:rFonts w:ascii="Symbol" w:hAnsi="Symbol"/>
      </w:rPr>
    </w:lvl>
    <w:lvl w:ilvl="7" w:tplc="C37C05EC">
      <w:start w:val="1"/>
      <w:numFmt w:val="bullet"/>
      <w:lvlText w:val=""/>
      <w:lvlJc w:val="left"/>
      <w:pPr>
        <w:ind w:left="1440" w:hanging="360"/>
      </w:pPr>
      <w:rPr>
        <w:rFonts w:ascii="Symbol" w:hAnsi="Symbol"/>
      </w:rPr>
    </w:lvl>
    <w:lvl w:ilvl="8" w:tplc="AED6DEA6">
      <w:start w:val="1"/>
      <w:numFmt w:val="bullet"/>
      <w:lvlText w:val=""/>
      <w:lvlJc w:val="left"/>
      <w:pPr>
        <w:ind w:left="1440" w:hanging="360"/>
      </w:pPr>
      <w:rPr>
        <w:rFonts w:ascii="Symbol" w:hAnsi="Symbol"/>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9B86AA4"/>
    <w:multiLevelType w:val="hybridMultilevel"/>
    <w:tmpl w:val="E7380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587D98"/>
    <w:multiLevelType w:val="hybridMultilevel"/>
    <w:tmpl w:val="D6BC96A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512C4D96"/>
    <w:multiLevelType w:val="multilevel"/>
    <w:tmpl w:val="8CCE224A"/>
    <w:lvl w:ilvl="0">
      <w:start w:val="4"/>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4"/>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16" w15:restartNumberingAfterBreak="0">
    <w:nsid w:val="53BE5D3B"/>
    <w:multiLevelType w:val="multilevel"/>
    <w:tmpl w:val="3F6EB11C"/>
    <w:lvl w:ilvl="0">
      <w:start w:val="1"/>
      <w:numFmt w:val="decimal"/>
      <w:lvlText w:val="%1."/>
      <w:lvlJc w:val="left"/>
      <w:pPr>
        <w:ind w:left="5037"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15:restartNumberingAfterBreak="0">
    <w:nsid w:val="54F03708"/>
    <w:multiLevelType w:val="multilevel"/>
    <w:tmpl w:val="D33AE760"/>
    <w:lvl w:ilvl="0">
      <w:start w:val="6"/>
      <w:numFmt w:val="decimal"/>
      <w:lvlText w:val="%1"/>
      <w:lvlJc w:val="left"/>
      <w:pPr>
        <w:ind w:left="360" w:hanging="360"/>
      </w:pPr>
      <w:rPr>
        <w:rFonts w:hint="default"/>
        <w:color w:val="13322B"/>
      </w:rPr>
    </w:lvl>
    <w:lvl w:ilvl="1">
      <w:start w:val="1"/>
      <w:numFmt w:val="decimal"/>
      <w:lvlText w:val="%1.%2"/>
      <w:lvlJc w:val="left"/>
      <w:pPr>
        <w:ind w:left="720" w:hanging="360"/>
      </w:pPr>
      <w:rPr>
        <w:rFonts w:hint="default"/>
        <w:color w:val="13322B"/>
      </w:rPr>
    </w:lvl>
    <w:lvl w:ilvl="2">
      <w:start w:val="1"/>
      <w:numFmt w:val="decimal"/>
      <w:lvlText w:val="%1.%2.%3"/>
      <w:lvlJc w:val="left"/>
      <w:pPr>
        <w:ind w:left="1440" w:hanging="720"/>
      </w:pPr>
      <w:rPr>
        <w:rFonts w:hint="default"/>
        <w:color w:val="13322B"/>
      </w:rPr>
    </w:lvl>
    <w:lvl w:ilvl="3">
      <w:start w:val="1"/>
      <w:numFmt w:val="decimal"/>
      <w:lvlText w:val="%1.%2.%3.%4"/>
      <w:lvlJc w:val="left"/>
      <w:pPr>
        <w:ind w:left="1800" w:hanging="720"/>
      </w:pPr>
      <w:rPr>
        <w:rFonts w:hint="default"/>
        <w:color w:val="13322B"/>
      </w:rPr>
    </w:lvl>
    <w:lvl w:ilvl="4">
      <w:start w:val="1"/>
      <w:numFmt w:val="decimal"/>
      <w:lvlText w:val="%1.%2.%3.%4.%5"/>
      <w:lvlJc w:val="left"/>
      <w:pPr>
        <w:ind w:left="2520" w:hanging="1080"/>
      </w:pPr>
      <w:rPr>
        <w:rFonts w:hint="default"/>
        <w:color w:val="13322B"/>
      </w:rPr>
    </w:lvl>
    <w:lvl w:ilvl="5">
      <w:start w:val="1"/>
      <w:numFmt w:val="decimal"/>
      <w:lvlText w:val="%1.%2.%3.%4.%5.%6"/>
      <w:lvlJc w:val="left"/>
      <w:pPr>
        <w:ind w:left="2880" w:hanging="1080"/>
      </w:pPr>
      <w:rPr>
        <w:rFonts w:hint="default"/>
        <w:color w:val="13322B"/>
      </w:rPr>
    </w:lvl>
    <w:lvl w:ilvl="6">
      <w:start w:val="1"/>
      <w:numFmt w:val="decimal"/>
      <w:lvlText w:val="%1.%2.%3.%4.%5.%6.%7"/>
      <w:lvlJc w:val="left"/>
      <w:pPr>
        <w:ind w:left="3600" w:hanging="1440"/>
      </w:pPr>
      <w:rPr>
        <w:rFonts w:hint="default"/>
        <w:color w:val="13322B"/>
      </w:rPr>
    </w:lvl>
    <w:lvl w:ilvl="7">
      <w:start w:val="1"/>
      <w:numFmt w:val="decimal"/>
      <w:lvlText w:val="%1.%2.%3.%4.%5.%6.%7.%8"/>
      <w:lvlJc w:val="left"/>
      <w:pPr>
        <w:ind w:left="3960" w:hanging="1440"/>
      </w:pPr>
      <w:rPr>
        <w:rFonts w:hint="default"/>
        <w:color w:val="13322B"/>
      </w:rPr>
    </w:lvl>
    <w:lvl w:ilvl="8">
      <w:start w:val="1"/>
      <w:numFmt w:val="decimal"/>
      <w:lvlText w:val="%1.%2.%3.%4.%5.%6.%7.%8.%9"/>
      <w:lvlJc w:val="left"/>
      <w:pPr>
        <w:ind w:left="4680" w:hanging="1800"/>
      </w:pPr>
      <w:rPr>
        <w:rFonts w:hint="default"/>
        <w:color w:val="13322B"/>
      </w:rPr>
    </w:lvl>
  </w:abstractNum>
  <w:abstractNum w:abstractNumId="18" w15:restartNumberingAfterBreak="0">
    <w:nsid w:val="5546284D"/>
    <w:multiLevelType w:val="multilevel"/>
    <w:tmpl w:val="BDF86608"/>
    <w:lvl w:ilvl="0">
      <w:start w:val="10"/>
      <w:numFmt w:val="decimal"/>
      <w:lvlText w:val="%1"/>
      <w:lvlJc w:val="left"/>
      <w:pPr>
        <w:ind w:left="372" w:hanging="372"/>
      </w:pPr>
      <w:rPr>
        <w:rFonts w:hint="default"/>
        <w:color w:val="13322B"/>
      </w:rPr>
    </w:lvl>
    <w:lvl w:ilvl="1">
      <w:start w:val="1"/>
      <w:numFmt w:val="decimal"/>
      <w:lvlText w:val="%1.%2"/>
      <w:lvlJc w:val="left"/>
      <w:pPr>
        <w:ind w:left="1092" w:hanging="372"/>
      </w:pPr>
      <w:rPr>
        <w:rFonts w:hint="default"/>
        <w:color w:val="13322B"/>
      </w:rPr>
    </w:lvl>
    <w:lvl w:ilvl="2">
      <w:start w:val="1"/>
      <w:numFmt w:val="decimal"/>
      <w:lvlText w:val="%1.%2.%3"/>
      <w:lvlJc w:val="left"/>
      <w:pPr>
        <w:ind w:left="2160" w:hanging="720"/>
      </w:pPr>
      <w:rPr>
        <w:rFonts w:hint="default"/>
        <w:color w:val="13322B"/>
      </w:rPr>
    </w:lvl>
    <w:lvl w:ilvl="3">
      <w:start w:val="1"/>
      <w:numFmt w:val="decimal"/>
      <w:lvlText w:val="%1.%2.%3.%4"/>
      <w:lvlJc w:val="left"/>
      <w:pPr>
        <w:ind w:left="2880" w:hanging="720"/>
      </w:pPr>
      <w:rPr>
        <w:rFonts w:hint="default"/>
        <w:color w:val="13322B"/>
      </w:rPr>
    </w:lvl>
    <w:lvl w:ilvl="4">
      <w:start w:val="1"/>
      <w:numFmt w:val="decimal"/>
      <w:lvlText w:val="%1.%2.%3.%4.%5"/>
      <w:lvlJc w:val="left"/>
      <w:pPr>
        <w:ind w:left="3960" w:hanging="1080"/>
      </w:pPr>
      <w:rPr>
        <w:rFonts w:hint="default"/>
        <w:color w:val="13322B"/>
      </w:rPr>
    </w:lvl>
    <w:lvl w:ilvl="5">
      <w:start w:val="1"/>
      <w:numFmt w:val="decimal"/>
      <w:lvlText w:val="%1.%2.%3.%4.%5.%6"/>
      <w:lvlJc w:val="left"/>
      <w:pPr>
        <w:ind w:left="4680" w:hanging="1080"/>
      </w:pPr>
      <w:rPr>
        <w:rFonts w:hint="default"/>
        <w:color w:val="13322B"/>
      </w:rPr>
    </w:lvl>
    <w:lvl w:ilvl="6">
      <w:start w:val="1"/>
      <w:numFmt w:val="decimal"/>
      <w:lvlText w:val="%1.%2.%3.%4.%5.%6.%7"/>
      <w:lvlJc w:val="left"/>
      <w:pPr>
        <w:ind w:left="5760" w:hanging="1440"/>
      </w:pPr>
      <w:rPr>
        <w:rFonts w:hint="default"/>
        <w:color w:val="13322B"/>
      </w:rPr>
    </w:lvl>
    <w:lvl w:ilvl="7">
      <w:start w:val="1"/>
      <w:numFmt w:val="decimal"/>
      <w:lvlText w:val="%1.%2.%3.%4.%5.%6.%7.%8"/>
      <w:lvlJc w:val="left"/>
      <w:pPr>
        <w:ind w:left="6480" w:hanging="1440"/>
      </w:pPr>
      <w:rPr>
        <w:rFonts w:hint="default"/>
        <w:color w:val="13322B"/>
      </w:rPr>
    </w:lvl>
    <w:lvl w:ilvl="8">
      <w:start w:val="1"/>
      <w:numFmt w:val="decimal"/>
      <w:lvlText w:val="%1.%2.%3.%4.%5.%6.%7.%8.%9"/>
      <w:lvlJc w:val="left"/>
      <w:pPr>
        <w:ind w:left="7560" w:hanging="1800"/>
      </w:pPr>
      <w:rPr>
        <w:rFonts w:hint="default"/>
        <w:color w:val="13322B"/>
      </w:rPr>
    </w:lvl>
  </w:abstractNum>
  <w:abstractNum w:abstractNumId="19" w15:restartNumberingAfterBreak="0">
    <w:nsid w:val="5660596E"/>
    <w:multiLevelType w:val="hybridMultilevel"/>
    <w:tmpl w:val="303CD882"/>
    <w:lvl w:ilvl="0" w:tplc="6B263184">
      <w:start w:val="1"/>
      <w:numFmt w:val="bullet"/>
      <w:lvlText w:val="-"/>
      <w:lvlJc w:val="left"/>
      <w:pPr>
        <w:ind w:left="720" w:hanging="360"/>
      </w:pPr>
      <w:rPr>
        <w:rFonts w:ascii="Bahij TheSansArabic Light" w:eastAsiaTheme="minorEastAsia" w:hAnsi="Bahij TheSansArabic Light"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2F4868"/>
    <w:multiLevelType w:val="multilevel"/>
    <w:tmpl w:val="0C600416"/>
    <w:lvl w:ilvl="0">
      <w:start w:val="1"/>
      <w:numFmt w:val="decimal"/>
      <w:lvlText w:val="%1"/>
      <w:lvlJc w:val="left"/>
      <w:pPr>
        <w:ind w:left="360" w:hanging="360"/>
      </w:pPr>
      <w:rPr>
        <w:rFonts w:hint="default"/>
      </w:rPr>
    </w:lvl>
    <w:lvl w:ilvl="1">
      <w:start w:val="5"/>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112" w:hanging="1440"/>
      </w:pPr>
      <w:rPr>
        <w:rFonts w:hint="default"/>
      </w:rPr>
    </w:lvl>
  </w:abstractNum>
  <w:abstractNum w:abstractNumId="21" w15:restartNumberingAfterBreak="0">
    <w:nsid w:val="6FFE2621"/>
    <w:multiLevelType w:val="multilevel"/>
    <w:tmpl w:val="FC7E2B0E"/>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2" w15:restartNumberingAfterBreak="0">
    <w:nsid w:val="708E5232"/>
    <w:multiLevelType w:val="hybridMultilevel"/>
    <w:tmpl w:val="64048B48"/>
    <w:lvl w:ilvl="0" w:tplc="00261AFA">
      <w:start w:val="7"/>
      <w:numFmt w:val="decimal"/>
      <w:lvlText w:val="%1."/>
      <w:lvlJc w:val="left"/>
      <w:pPr>
        <w:ind w:left="1080" w:hanging="360"/>
      </w:pPr>
      <w:rPr>
        <w:rFonts w:hint="default"/>
        <w:color w:val="13322B"/>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737532F7"/>
    <w:multiLevelType w:val="multilevel"/>
    <w:tmpl w:val="15B08668"/>
    <w:lvl w:ilvl="0">
      <w:start w:val="6"/>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3856" w:hanging="1440"/>
      </w:pPr>
      <w:rPr>
        <w:rFonts w:hint="default"/>
      </w:rPr>
    </w:lvl>
  </w:abstractNum>
  <w:abstractNum w:abstractNumId="24" w15:restartNumberingAfterBreak="0">
    <w:nsid w:val="747755BD"/>
    <w:multiLevelType w:val="multilevel"/>
    <w:tmpl w:val="DD464CEC"/>
    <w:lvl w:ilvl="0">
      <w:start w:val="8"/>
      <w:numFmt w:val="decimal"/>
      <w:lvlText w:val="%1"/>
      <w:lvlJc w:val="left"/>
      <w:pPr>
        <w:ind w:left="360" w:hanging="360"/>
      </w:pPr>
      <w:rPr>
        <w:rFonts w:hint="default"/>
        <w:color w:val="13322B"/>
      </w:rPr>
    </w:lvl>
    <w:lvl w:ilvl="1">
      <w:start w:val="1"/>
      <w:numFmt w:val="decimal"/>
      <w:lvlText w:val="%1.%2"/>
      <w:lvlJc w:val="left"/>
      <w:pPr>
        <w:ind w:left="360" w:hanging="360"/>
      </w:pPr>
      <w:rPr>
        <w:rFonts w:hint="default"/>
        <w:color w:val="13322B"/>
      </w:rPr>
    </w:lvl>
    <w:lvl w:ilvl="2">
      <w:start w:val="1"/>
      <w:numFmt w:val="decimal"/>
      <w:lvlText w:val="%1.%2.%3"/>
      <w:lvlJc w:val="left"/>
      <w:pPr>
        <w:ind w:left="720" w:hanging="720"/>
      </w:pPr>
      <w:rPr>
        <w:rFonts w:hint="default"/>
        <w:color w:val="13322B"/>
      </w:rPr>
    </w:lvl>
    <w:lvl w:ilvl="3">
      <w:start w:val="1"/>
      <w:numFmt w:val="decimal"/>
      <w:lvlText w:val="%1.%2.%3.%4"/>
      <w:lvlJc w:val="left"/>
      <w:pPr>
        <w:ind w:left="720" w:hanging="720"/>
      </w:pPr>
      <w:rPr>
        <w:rFonts w:hint="default"/>
        <w:color w:val="13322B"/>
      </w:rPr>
    </w:lvl>
    <w:lvl w:ilvl="4">
      <w:start w:val="1"/>
      <w:numFmt w:val="decimal"/>
      <w:lvlText w:val="%1.%2.%3.%4.%5"/>
      <w:lvlJc w:val="left"/>
      <w:pPr>
        <w:ind w:left="1080" w:hanging="1080"/>
      </w:pPr>
      <w:rPr>
        <w:rFonts w:hint="default"/>
        <w:color w:val="13322B"/>
      </w:rPr>
    </w:lvl>
    <w:lvl w:ilvl="5">
      <w:start w:val="1"/>
      <w:numFmt w:val="decimal"/>
      <w:lvlText w:val="%1.%2.%3.%4.%5.%6"/>
      <w:lvlJc w:val="left"/>
      <w:pPr>
        <w:ind w:left="1080" w:hanging="1080"/>
      </w:pPr>
      <w:rPr>
        <w:rFonts w:hint="default"/>
        <w:color w:val="13322B"/>
      </w:rPr>
    </w:lvl>
    <w:lvl w:ilvl="6">
      <w:start w:val="1"/>
      <w:numFmt w:val="decimal"/>
      <w:lvlText w:val="%1.%2.%3.%4.%5.%6.%7"/>
      <w:lvlJc w:val="left"/>
      <w:pPr>
        <w:ind w:left="1440" w:hanging="1440"/>
      </w:pPr>
      <w:rPr>
        <w:rFonts w:hint="default"/>
        <w:color w:val="13322B"/>
      </w:rPr>
    </w:lvl>
    <w:lvl w:ilvl="7">
      <w:start w:val="1"/>
      <w:numFmt w:val="decimal"/>
      <w:lvlText w:val="%1.%2.%3.%4.%5.%6.%7.%8"/>
      <w:lvlJc w:val="left"/>
      <w:pPr>
        <w:ind w:left="1440" w:hanging="1440"/>
      </w:pPr>
      <w:rPr>
        <w:rFonts w:hint="default"/>
        <w:color w:val="13322B"/>
      </w:rPr>
    </w:lvl>
    <w:lvl w:ilvl="8">
      <w:start w:val="1"/>
      <w:numFmt w:val="decimal"/>
      <w:lvlText w:val="%1.%2.%3.%4.%5.%6.%7.%8.%9"/>
      <w:lvlJc w:val="left"/>
      <w:pPr>
        <w:ind w:left="1800" w:hanging="1800"/>
      </w:pPr>
      <w:rPr>
        <w:rFonts w:hint="default"/>
        <w:color w:val="13322B"/>
      </w:rPr>
    </w:lvl>
  </w:abstractNum>
  <w:num w:numId="1" w16cid:durableId="1214657173">
    <w:abstractNumId w:val="7"/>
  </w:num>
  <w:num w:numId="2" w16cid:durableId="935676022">
    <w:abstractNumId w:val="11"/>
  </w:num>
  <w:num w:numId="3" w16cid:durableId="1849903877">
    <w:abstractNumId w:val="0"/>
  </w:num>
  <w:num w:numId="4" w16cid:durableId="593898791">
    <w:abstractNumId w:val="13"/>
  </w:num>
  <w:num w:numId="5" w16cid:durableId="443039048">
    <w:abstractNumId w:val="1"/>
  </w:num>
  <w:num w:numId="6" w16cid:durableId="1262756580">
    <w:abstractNumId w:val="9"/>
  </w:num>
  <w:num w:numId="7" w16cid:durableId="379134335">
    <w:abstractNumId w:val="14"/>
  </w:num>
  <w:num w:numId="8" w16cid:durableId="1295061717">
    <w:abstractNumId w:val="4"/>
  </w:num>
  <w:num w:numId="9" w16cid:durableId="1812599932">
    <w:abstractNumId w:val="2"/>
  </w:num>
  <w:num w:numId="10" w16cid:durableId="107434423">
    <w:abstractNumId w:val="16"/>
  </w:num>
  <w:num w:numId="11" w16cid:durableId="313530158">
    <w:abstractNumId w:val="20"/>
  </w:num>
  <w:num w:numId="12" w16cid:durableId="1428963422">
    <w:abstractNumId w:val="5"/>
  </w:num>
  <w:num w:numId="13" w16cid:durableId="1574271982">
    <w:abstractNumId w:val="15"/>
  </w:num>
  <w:num w:numId="14" w16cid:durableId="28073597">
    <w:abstractNumId w:val="17"/>
  </w:num>
  <w:num w:numId="15" w16cid:durableId="900408997">
    <w:abstractNumId w:val="23"/>
  </w:num>
  <w:num w:numId="16" w16cid:durableId="910693767">
    <w:abstractNumId w:val="22"/>
  </w:num>
  <w:num w:numId="17" w16cid:durableId="285699704">
    <w:abstractNumId w:val="21"/>
  </w:num>
  <w:num w:numId="18" w16cid:durableId="880480926">
    <w:abstractNumId w:val="24"/>
  </w:num>
  <w:num w:numId="19" w16cid:durableId="1514497169">
    <w:abstractNumId w:val="6"/>
  </w:num>
  <w:num w:numId="20" w16cid:durableId="1509447701">
    <w:abstractNumId w:val="18"/>
  </w:num>
  <w:num w:numId="21" w16cid:durableId="589192927">
    <w:abstractNumId w:val="12"/>
  </w:num>
  <w:num w:numId="22" w16cid:durableId="1399745074">
    <w:abstractNumId w:val="8"/>
  </w:num>
  <w:num w:numId="23" w16cid:durableId="881136100">
    <w:abstractNumId w:val="3"/>
  </w:num>
  <w:num w:numId="24" w16cid:durableId="354884310">
    <w:abstractNumId w:val="10"/>
  </w:num>
  <w:num w:numId="25" w16cid:durableId="18367275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915399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15E"/>
    <w:rsid w:val="00010686"/>
    <w:rsid w:val="00052915"/>
    <w:rsid w:val="000C6E93"/>
    <w:rsid w:val="000E3BB3"/>
    <w:rsid w:val="000F5E56"/>
    <w:rsid w:val="001362EE"/>
    <w:rsid w:val="00152CEA"/>
    <w:rsid w:val="001832A6"/>
    <w:rsid w:val="001C56F9"/>
    <w:rsid w:val="00220365"/>
    <w:rsid w:val="002634C4"/>
    <w:rsid w:val="002C2E2F"/>
    <w:rsid w:val="002D23B5"/>
    <w:rsid w:val="002E0F47"/>
    <w:rsid w:val="002F4E68"/>
    <w:rsid w:val="00304349"/>
    <w:rsid w:val="00310826"/>
    <w:rsid w:val="00331A82"/>
    <w:rsid w:val="00332E56"/>
    <w:rsid w:val="00352636"/>
    <w:rsid w:val="00354647"/>
    <w:rsid w:val="00377273"/>
    <w:rsid w:val="0038255A"/>
    <w:rsid w:val="003845C1"/>
    <w:rsid w:val="00387287"/>
    <w:rsid w:val="003D7287"/>
    <w:rsid w:val="003E48F1"/>
    <w:rsid w:val="003F347A"/>
    <w:rsid w:val="00423E3E"/>
    <w:rsid w:val="00427AF4"/>
    <w:rsid w:val="0043585C"/>
    <w:rsid w:val="0045231F"/>
    <w:rsid w:val="004647DA"/>
    <w:rsid w:val="0046793F"/>
    <w:rsid w:val="00472A6E"/>
    <w:rsid w:val="00477808"/>
    <w:rsid w:val="00477D6B"/>
    <w:rsid w:val="004A6C37"/>
    <w:rsid w:val="004D6C19"/>
    <w:rsid w:val="004D6CB2"/>
    <w:rsid w:val="004E297D"/>
    <w:rsid w:val="004F24DD"/>
    <w:rsid w:val="0052652C"/>
    <w:rsid w:val="00531B02"/>
    <w:rsid w:val="005332F0"/>
    <w:rsid w:val="0055013B"/>
    <w:rsid w:val="005706CA"/>
    <w:rsid w:val="00571B99"/>
    <w:rsid w:val="005B2EAE"/>
    <w:rsid w:val="005B61B6"/>
    <w:rsid w:val="00605827"/>
    <w:rsid w:val="00611529"/>
    <w:rsid w:val="00675021"/>
    <w:rsid w:val="006A06C6"/>
    <w:rsid w:val="006C1E00"/>
    <w:rsid w:val="007224C8"/>
    <w:rsid w:val="00741D6B"/>
    <w:rsid w:val="00761D20"/>
    <w:rsid w:val="00794BE2"/>
    <w:rsid w:val="007A5581"/>
    <w:rsid w:val="007A663C"/>
    <w:rsid w:val="007B71FE"/>
    <w:rsid w:val="007D781E"/>
    <w:rsid w:val="007E663E"/>
    <w:rsid w:val="00806136"/>
    <w:rsid w:val="00807244"/>
    <w:rsid w:val="00815082"/>
    <w:rsid w:val="0088395E"/>
    <w:rsid w:val="008A75E6"/>
    <w:rsid w:val="008B2CC1"/>
    <w:rsid w:val="008E6BD6"/>
    <w:rsid w:val="009029DB"/>
    <w:rsid w:val="0090731E"/>
    <w:rsid w:val="00927287"/>
    <w:rsid w:val="00952424"/>
    <w:rsid w:val="00966A22"/>
    <w:rsid w:val="00972F03"/>
    <w:rsid w:val="0098367F"/>
    <w:rsid w:val="009A0C8B"/>
    <w:rsid w:val="009A20CD"/>
    <w:rsid w:val="009B6241"/>
    <w:rsid w:val="00A0065F"/>
    <w:rsid w:val="00A16FC0"/>
    <w:rsid w:val="00A32C9E"/>
    <w:rsid w:val="00A5115E"/>
    <w:rsid w:val="00A86B20"/>
    <w:rsid w:val="00AB613D"/>
    <w:rsid w:val="00AE7F20"/>
    <w:rsid w:val="00B534D5"/>
    <w:rsid w:val="00B65A0A"/>
    <w:rsid w:val="00B67CDC"/>
    <w:rsid w:val="00B72D36"/>
    <w:rsid w:val="00BC4164"/>
    <w:rsid w:val="00BD2DCC"/>
    <w:rsid w:val="00BE43AC"/>
    <w:rsid w:val="00BF5A8E"/>
    <w:rsid w:val="00C43D68"/>
    <w:rsid w:val="00C90559"/>
    <w:rsid w:val="00CA0500"/>
    <w:rsid w:val="00CA2251"/>
    <w:rsid w:val="00CB6D7D"/>
    <w:rsid w:val="00D56C7C"/>
    <w:rsid w:val="00D71B4D"/>
    <w:rsid w:val="00D90289"/>
    <w:rsid w:val="00D93D55"/>
    <w:rsid w:val="00DB7E59"/>
    <w:rsid w:val="00DC4C60"/>
    <w:rsid w:val="00DD6CF4"/>
    <w:rsid w:val="00E00185"/>
    <w:rsid w:val="00E0079A"/>
    <w:rsid w:val="00E444DA"/>
    <w:rsid w:val="00E45C84"/>
    <w:rsid w:val="00E504E5"/>
    <w:rsid w:val="00EB0D93"/>
    <w:rsid w:val="00EB7A3E"/>
    <w:rsid w:val="00EC1AA7"/>
    <w:rsid w:val="00EC401A"/>
    <w:rsid w:val="00EF3F2D"/>
    <w:rsid w:val="00EF530A"/>
    <w:rsid w:val="00EF6622"/>
    <w:rsid w:val="00EF78A9"/>
    <w:rsid w:val="00F16607"/>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B55F5"/>
  <w15:docId w15:val="{3719A962-69D3-4DD2-85C9-C43C69630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SectionHeadingChar">
    <w:name w:val="Section Heading Char"/>
    <w:link w:val="SectionHeading"/>
    <w:locked/>
    <w:rsid w:val="00331A82"/>
    <w:rPr>
      <w:rFonts w:ascii="Arial" w:hAnsi="Arial" w:cs="Arial"/>
      <w:b/>
      <w:bCs/>
      <w:caps/>
      <w:sz w:val="22"/>
      <w:szCs w:val="26"/>
      <w:lang w:eastAsia="zh-CN"/>
    </w:rPr>
  </w:style>
  <w:style w:type="paragraph" w:customStyle="1" w:styleId="SectionHeading">
    <w:name w:val="Section Heading"/>
    <w:basedOn w:val="Heading3"/>
    <w:next w:val="Normal"/>
    <w:link w:val="SectionHeadingChar"/>
    <w:rsid w:val="00331A82"/>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331A82"/>
    <w:pPr>
      <w:keepNext/>
      <w:keepLines/>
      <w:spacing w:after="240"/>
      <w:ind w:left="567" w:right="567"/>
    </w:pPr>
    <w:rPr>
      <w:bCs/>
      <w:i/>
      <w:iCs/>
    </w:rPr>
  </w:style>
  <w:style w:type="paragraph" w:customStyle="1" w:styleId="Question">
    <w:name w:val="Question"/>
    <w:basedOn w:val="BodyText"/>
    <w:next w:val="Answer"/>
    <w:qFormat/>
    <w:rsid w:val="00331A82"/>
    <w:pPr>
      <w:keepNext/>
      <w:keepLines/>
    </w:pPr>
    <w:rPr>
      <w:b/>
      <w:bCs/>
      <w:szCs w:val="22"/>
    </w:rPr>
  </w:style>
  <w:style w:type="paragraph" w:customStyle="1" w:styleId="Answer">
    <w:name w:val="Answer"/>
    <w:basedOn w:val="BodyText"/>
    <w:qFormat/>
    <w:rsid w:val="00331A82"/>
    <w:pPr>
      <w:ind w:left="567"/>
    </w:pPr>
  </w:style>
  <w:style w:type="paragraph" w:customStyle="1" w:styleId="Notestext">
    <w:name w:val="Notes text"/>
    <w:basedOn w:val="BodyText"/>
    <w:qFormat/>
    <w:rsid w:val="00331A82"/>
    <w:pPr>
      <w:keepLines/>
    </w:pPr>
    <w:rPr>
      <w:szCs w:val="22"/>
    </w:rPr>
  </w:style>
  <w:style w:type="paragraph" w:customStyle="1" w:styleId="NotesHeading">
    <w:name w:val="Notes Heading"/>
    <w:basedOn w:val="Normal"/>
    <w:qFormat/>
    <w:rsid w:val="00331A82"/>
    <w:pPr>
      <w:keepNext/>
      <w:keepLines/>
      <w:spacing w:after="220"/>
    </w:pPr>
    <w:rPr>
      <w:i/>
      <w:szCs w:val="22"/>
    </w:rPr>
  </w:style>
  <w:style w:type="paragraph" w:styleId="BalloonText">
    <w:name w:val="Balloon Text"/>
    <w:basedOn w:val="Normal"/>
    <w:link w:val="BalloonTextChar"/>
    <w:semiHidden/>
    <w:unhideWhenUsed/>
    <w:rsid w:val="00331A82"/>
    <w:rPr>
      <w:rFonts w:ascii="Segoe UI" w:hAnsi="Segoe UI" w:cs="Segoe UI"/>
      <w:sz w:val="18"/>
      <w:szCs w:val="18"/>
    </w:rPr>
  </w:style>
  <w:style w:type="character" w:customStyle="1" w:styleId="BalloonTextChar">
    <w:name w:val="Balloon Text Char"/>
    <w:basedOn w:val="DefaultParagraphFont"/>
    <w:link w:val="BalloonText"/>
    <w:semiHidden/>
    <w:rsid w:val="00331A82"/>
    <w:rPr>
      <w:rFonts w:ascii="Segoe UI" w:eastAsia="SimSun" w:hAnsi="Segoe UI" w:cs="Segoe UI"/>
      <w:sz w:val="18"/>
      <w:szCs w:val="18"/>
      <w:lang w:val="es-ES" w:eastAsia="zh-CN"/>
    </w:rPr>
  </w:style>
  <w:style w:type="paragraph" w:styleId="Revision">
    <w:name w:val="Revision"/>
    <w:hidden/>
    <w:uiPriority w:val="99"/>
    <w:semiHidden/>
    <w:rsid w:val="00331A82"/>
    <w:rPr>
      <w:rFonts w:ascii="Arial" w:eastAsia="SimSun" w:hAnsi="Arial" w:cs="Arial"/>
      <w:sz w:val="22"/>
      <w:lang w:val="es-ES" w:eastAsia="zh-CN"/>
    </w:rPr>
  </w:style>
  <w:style w:type="character" w:styleId="Hyperlink">
    <w:name w:val="Hyperlink"/>
    <w:basedOn w:val="DefaultParagraphFont"/>
    <w:unhideWhenUsed/>
    <w:rsid w:val="00331A82"/>
    <w:rPr>
      <w:color w:val="0000FF" w:themeColor="hyperlink"/>
      <w:u w:val="single"/>
    </w:rPr>
  </w:style>
  <w:style w:type="table" w:styleId="TableGrid">
    <w:name w:val="Table Grid"/>
    <w:basedOn w:val="TableNormal"/>
    <w:uiPriority w:val="39"/>
    <w:rsid w:val="00331A82"/>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31A82"/>
    <w:rPr>
      <w:color w:val="666666"/>
    </w:rPr>
  </w:style>
  <w:style w:type="character" w:customStyle="1" w:styleId="HeaderChar">
    <w:name w:val="Header Char"/>
    <w:basedOn w:val="DefaultParagraphFont"/>
    <w:link w:val="Header"/>
    <w:uiPriority w:val="99"/>
    <w:rsid w:val="00331A82"/>
    <w:rPr>
      <w:rFonts w:ascii="Arial" w:eastAsia="SimSun" w:hAnsi="Arial" w:cs="Arial"/>
      <w:sz w:val="22"/>
      <w:lang w:val="es-ES" w:eastAsia="zh-CN"/>
    </w:rPr>
  </w:style>
  <w:style w:type="character" w:styleId="CommentReference">
    <w:name w:val="annotation reference"/>
    <w:basedOn w:val="DefaultParagraphFont"/>
    <w:semiHidden/>
    <w:unhideWhenUsed/>
    <w:rsid w:val="00331A82"/>
    <w:rPr>
      <w:sz w:val="16"/>
      <w:szCs w:val="16"/>
    </w:rPr>
  </w:style>
  <w:style w:type="paragraph" w:styleId="CommentSubject">
    <w:name w:val="annotation subject"/>
    <w:basedOn w:val="CommentText"/>
    <w:next w:val="CommentText"/>
    <w:link w:val="CommentSubjectChar"/>
    <w:semiHidden/>
    <w:unhideWhenUsed/>
    <w:rsid w:val="00331A82"/>
    <w:rPr>
      <w:b/>
      <w:bCs/>
      <w:sz w:val="20"/>
    </w:rPr>
  </w:style>
  <w:style w:type="character" w:customStyle="1" w:styleId="CommentTextChar">
    <w:name w:val="Comment Text Char"/>
    <w:basedOn w:val="DefaultParagraphFont"/>
    <w:link w:val="CommentText"/>
    <w:semiHidden/>
    <w:rsid w:val="00331A82"/>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331A82"/>
    <w:rPr>
      <w:rFonts w:ascii="Arial" w:eastAsia="SimSun" w:hAnsi="Arial" w:cs="Arial"/>
      <w:b/>
      <w:bCs/>
      <w:sz w:val="18"/>
      <w:lang w:val="es-ES" w:eastAsia="zh-CN"/>
    </w:rPr>
  </w:style>
  <w:style w:type="paragraph" w:styleId="ListParagraph">
    <w:name w:val="List Paragraph"/>
    <w:aliases w:val="Dot pt,No Spacing1,List Paragraph Char Char Char,Indicator Text,List Paragraph1,Numbered Para 1,Colorful List - Accent 11,Bullet 1,F5 List Paragraph,Bullet Points,lp1,viñetas,4 Párrafo de lista,Figuras,DH1,Lista bullets"/>
    <w:basedOn w:val="Normal"/>
    <w:link w:val="ListParagraphChar"/>
    <w:uiPriority w:val="34"/>
    <w:qFormat/>
    <w:rsid w:val="00331A82"/>
    <w:pPr>
      <w:ind w:left="720"/>
      <w:contextualSpacing/>
    </w:pPr>
  </w:style>
  <w:style w:type="character" w:customStyle="1" w:styleId="ListParagraphChar">
    <w:name w:val="List Paragraph Char"/>
    <w:aliases w:val="Dot pt Char,No Spacing1 Char,List Paragraph Char Char Char Char,Indicator Text Char,List Paragraph1 Char,Numbered Para 1 Char,Colorful List - Accent 11 Char,Bullet 1 Char,F5 List Paragraph Char,Bullet Points Char,lp1 Char,DH1 Char"/>
    <w:link w:val="ListParagraph"/>
    <w:uiPriority w:val="34"/>
    <w:locked/>
    <w:rsid w:val="00331A82"/>
    <w:rPr>
      <w:rFonts w:ascii="Arial" w:eastAsia="SimSun" w:hAnsi="Arial" w:cs="Arial"/>
      <w:sz w:val="22"/>
      <w:lang w:val="es-ES" w:eastAsia="zh-CN"/>
    </w:rPr>
  </w:style>
  <w:style w:type="character" w:styleId="UnresolvedMention">
    <w:name w:val="Unresolved Mention"/>
    <w:basedOn w:val="DefaultParagraphFont"/>
    <w:uiPriority w:val="99"/>
    <w:semiHidden/>
    <w:unhideWhenUsed/>
    <w:rsid w:val="00331A82"/>
    <w:rPr>
      <w:color w:val="605E5C"/>
      <w:shd w:val="clear" w:color="auto" w:fill="E1DFDD"/>
    </w:rPr>
  </w:style>
  <w:style w:type="character" w:styleId="FollowedHyperlink">
    <w:name w:val="FollowedHyperlink"/>
    <w:basedOn w:val="DefaultParagraphFont"/>
    <w:semiHidden/>
    <w:unhideWhenUsed/>
    <w:rsid w:val="00331A82"/>
    <w:rPr>
      <w:color w:val="800080" w:themeColor="followedHyperlink"/>
      <w:u w:val="single"/>
    </w:rPr>
  </w:style>
  <w:style w:type="character" w:styleId="FootnoteReference">
    <w:name w:val="footnote reference"/>
    <w:basedOn w:val="DefaultParagraphFont"/>
    <w:semiHidden/>
    <w:unhideWhenUsed/>
    <w:rsid w:val="00331A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adopat.impi.gob.m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siga.impi.gob.mx/"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export/sites/www/pct/es/docs/circulars/2024/1672.pdf"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_CTC_33%20(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56F60B82F04424ADE4E67DF52C01EC"/>
        <w:category>
          <w:name w:val="General"/>
          <w:gallery w:val="placeholder"/>
        </w:category>
        <w:types>
          <w:type w:val="bbPlcHdr"/>
        </w:types>
        <w:behaviors>
          <w:behavior w:val="content"/>
        </w:behaviors>
        <w:guid w:val="{EF0DAF38-76AE-4601-9DBA-8A95546BBC69}"/>
      </w:docPartPr>
      <w:docPartBody>
        <w:p w:rsidR="003D04FF" w:rsidRDefault="003D04FF" w:rsidP="003D04FF">
          <w:pPr>
            <w:pStyle w:val="B456F60B82F04424ADE4E67DF52C01EC"/>
          </w:pPr>
          <w:r w:rsidRPr="00327ED2">
            <w:rPr>
              <w:rStyle w:val="PlaceholderText"/>
            </w:rPr>
            <w:t>Enter any content that you want to repeat, including other content controls. You can also insert this control around table rows in order to repeat parts of a table.</w:t>
          </w:r>
        </w:p>
      </w:docPartBody>
    </w:docPart>
    <w:docPart>
      <w:docPartPr>
        <w:name w:val="1E74773321294A2FAF69ECB1E7B90EEC"/>
        <w:category>
          <w:name w:val="General"/>
          <w:gallery w:val="placeholder"/>
        </w:category>
        <w:types>
          <w:type w:val="bbPlcHdr"/>
        </w:types>
        <w:behaviors>
          <w:behavior w:val="content"/>
        </w:behaviors>
        <w:guid w:val="{FD4D4A6A-6C5C-4B47-A2D5-276104FE65C5}"/>
      </w:docPartPr>
      <w:docPartBody>
        <w:p w:rsidR="003D04FF" w:rsidRDefault="003D04FF" w:rsidP="003D04FF">
          <w:pPr>
            <w:pStyle w:val="1E74773321294A2FAF69ECB1E7B90EEC"/>
          </w:pPr>
          <w:r w:rsidRPr="006A251B">
            <w:rPr>
              <w:rStyle w:val="PlaceholderText"/>
            </w:rPr>
            <w:t>Click or tap here to enter text.</w:t>
          </w:r>
        </w:p>
      </w:docPartBody>
    </w:docPart>
    <w:docPart>
      <w:docPartPr>
        <w:name w:val="EF5DA00DBB504A4BAEDCA9C4FC6AAAD0"/>
        <w:category>
          <w:name w:val="General"/>
          <w:gallery w:val="placeholder"/>
        </w:category>
        <w:types>
          <w:type w:val="bbPlcHdr"/>
        </w:types>
        <w:behaviors>
          <w:behavior w:val="content"/>
        </w:behaviors>
        <w:guid w:val="{1DEC87A7-6439-42BF-9FAB-5349D492F6B9}"/>
      </w:docPartPr>
      <w:docPartBody>
        <w:p w:rsidR="003D04FF" w:rsidRDefault="003D04FF" w:rsidP="003D04FF">
          <w:pPr>
            <w:pStyle w:val="EF5DA00DBB504A4BAEDCA9C4FC6AAAD0"/>
          </w:pPr>
          <w:r>
            <w:rPr>
              <w:rStyle w:val="PlaceholderText"/>
            </w:rPr>
            <w:t>Elija una opción</w:t>
          </w:r>
        </w:p>
      </w:docPartBody>
    </w:docPart>
    <w:docPart>
      <w:docPartPr>
        <w:name w:val="AE91D4D4FA2D40ACA9F9620C57366F0D"/>
        <w:category>
          <w:name w:val="General"/>
          <w:gallery w:val="placeholder"/>
        </w:category>
        <w:types>
          <w:type w:val="bbPlcHdr"/>
        </w:types>
        <w:behaviors>
          <w:behavior w:val="content"/>
        </w:behaviors>
        <w:guid w:val="{D7AE59D3-D9E8-471A-81F4-1193B8A33FC8}"/>
      </w:docPartPr>
      <w:docPartBody>
        <w:p w:rsidR="003D04FF" w:rsidRDefault="003D04FF" w:rsidP="003D04FF">
          <w:pPr>
            <w:pStyle w:val="AE91D4D4FA2D40ACA9F9620C57366F0D"/>
          </w:pPr>
          <w:r>
            <w:rPr>
              <w:rStyle w:val="PlaceholderText"/>
            </w:rPr>
            <w:t>Haga clic o toque para introducir una fecha</w:t>
          </w:r>
        </w:p>
      </w:docPartBody>
    </w:docPart>
    <w:docPart>
      <w:docPartPr>
        <w:name w:val="C92A37F3E4CE4A77BE0394C68F329759"/>
        <w:category>
          <w:name w:val="General"/>
          <w:gallery w:val="placeholder"/>
        </w:category>
        <w:types>
          <w:type w:val="bbPlcHdr"/>
        </w:types>
        <w:behaviors>
          <w:behavior w:val="content"/>
        </w:behaviors>
        <w:guid w:val="{3F36EB64-F989-41C6-A746-99DBF0AC06E0}"/>
      </w:docPartPr>
      <w:docPartBody>
        <w:p w:rsidR="003D04FF" w:rsidRDefault="003D04FF" w:rsidP="003D04FF">
          <w:pPr>
            <w:pStyle w:val="C92A37F3E4CE4A77BE0394C68F329759"/>
          </w:pPr>
          <w:r w:rsidRPr="00327ED2">
            <w:rPr>
              <w:rStyle w:val="PlaceholderText"/>
            </w:rPr>
            <w:t>Enter any content that you want to repeat, including other content controls. You can also insert this control around table rows in order to repeat parts of a table.</w:t>
          </w:r>
        </w:p>
      </w:docPartBody>
    </w:docPart>
    <w:docPart>
      <w:docPartPr>
        <w:name w:val="7DE86FF99FCF483A945637A08B27BCE2"/>
        <w:category>
          <w:name w:val="General"/>
          <w:gallery w:val="placeholder"/>
        </w:category>
        <w:types>
          <w:type w:val="bbPlcHdr"/>
        </w:types>
        <w:behaviors>
          <w:behavior w:val="content"/>
        </w:behaviors>
        <w:guid w:val="{4B7AD31B-B893-4F53-AE5A-CCAB973960BB}"/>
      </w:docPartPr>
      <w:docPartBody>
        <w:p w:rsidR="003D04FF" w:rsidRDefault="003D04FF" w:rsidP="003D04FF">
          <w:pPr>
            <w:pStyle w:val="7DE86FF99FCF483A945637A08B27BCE2"/>
          </w:pPr>
          <w:r w:rsidRPr="006A251B">
            <w:rPr>
              <w:rStyle w:val="PlaceholderText"/>
            </w:rPr>
            <w:t>Click or tap here to enter text.</w:t>
          </w:r>
        </w:p>
      </w:docPartBody>
    </w:docPart>
    <w:docPart>
      <w:docPartPr>
        <w:name w:val="7272251A6D1847678B82FCB3FB43424B"/>
        <w:category>
          <w:name w:val="General"/>
          <w:gallery w:val="placeholder"/>
        </w:category>
        <w:types>
          <w:type w:val="bbPlcHdr"/>
        </w:types>
        <w:behaviors>
          <w:behavior w:val="content"/>
        </w:behaviors>
        <w:guid w:val="{2C1CDBDF-6D7B-4498-B114-4F1B239EFF69}"/>
      </w:docPartPr>
      <w:docPartBody>
        <w:p w:rsidR="003D04FF" w:rsidRDefault="003D04FF" w:rsidP="003D04FF">
          <w:pPr>
            <w:pStyle w:val="7272251A6D1847678B82FCB3FB43424B"/>
          </w:pPr>
          <w:r>
            <w:rPr>
              <w:rStyle w:val="PlaceholderText"/>
            </w:rPr>
            <w:t>Elija una opción</w:t>
          </w:r>
        </w:p>
      </w:docPartBody>
    </w:docPart>
    <w:docPart>
      <w:docPartPr>
        <w:name w:val="5450F89F94484F8482630722A13F2DFB"/>
        <w:category>
          <w:name w:val="General"/>
          <w:gallery w:val="placeholder"/>
        </w:category>
        <w:types>
          <w:type w:val="bbPlcHdr"/>
        </w:types>
        <w:behaviors>
          <w:behavior w:val="content"/>
        </w:behaviors>
        <w:guid w:val="{D7526A2D-A679-4624-A2B2-244687AF7430}"/>
      </w:docPartPr>
      <w:docPartBody>
        <w:p w:rsidR="003D04FF" w:rsidRDefault="003D04FF" w:rsidP="003D04FF">
          <w:pPr>
            <w:pStyle w:val="5450F89F94484F8482630722A13F2DFB"/>
          </w:pPr>
          <w:r>
            <w:rPr>
              <w:rStyle w:val="PlaceholderText"/>
            </w:rPr>
            <w:t>Haga clic o toque para introducir una fecha</w:t>
          </w:r>
        </w:p>
      </w:docPartBody>
    </w:docPart>
    <w:docPart>
      <w:docPartPr>
        <w:name w:val="44A1006A60B9461CAE974983C28F7DD3"/>
        <w:category>
          <w:name w:val="General"/>
          <w:gallery w:val="placeholder"/>
        </w:category>
        <w:types>
          <w:type w:val="bbPlcHdr"/>
        </w:types>
        <w:behaviors>
          <w:behavior w:val="content"/>
        </w:behaviors>
        <w:guid w:val="{DF5E0FC0-6248-4057-AB96-77DB6E53E171}"/>
      </w:docPartPr>
      <w:docPartBody>
        <w:p w:rsidR="003D04FF" w:rsidRDefault="003D04FF" w:rsidP="003D04FF">
          <w:pPr>
            <w:pStyle w:val="44A1006A60B9461CAE974983C28F7DD3"/>
          </w:pPr>
          <w:r w:rsidRPr="00327ED2">
            <w:rPr>
              <w:rStyle w:val="PlaceholderText"/>
            </w:rPr>
            <w:t>Enter any content that you want to repeat, including other content controls. You can also insert this control around table rows in order to repeat parts of a table.</w:t>
          </w:r>
        </w:p>
      </w:docPartBody>
    </w:docPart>
    <w:docPart>
      <w:docPartPr>
        <w:name w:val="B01A72A664954FB1A72FD662DCF30BF7"/>
        <w:category>
          <w:name w:val="General"/>
          <w:gallery w:val="placeholder"/>
        </w:category>
        <w:types>
          <w:type w:val="bbPlcHdr"/>
        </w:types>
        <w:behaviors>
          <w:behavior w:val="content"/>
        </w:behaviors>
        <w:guid w:val="{50B63852-AC03-471B-9E7E-5FF65E09D57E}"/>
      </w:docPartPr>
      <w:docPartBody>
        <w:p w:rsidR="003D04FF" w:rsidRDefault="003D04FF" w:rsidP="003D04FF">
          <w:pPr>
            <w:pStyle w:val="B01A72A664954FB1A72FD662DCF30BF7"/>
          </w:pPr>
          <w:r w:rsidRPr="006A251B">
            <w:rPr>
              <w:rStyle w:val="PlaceholderText"/>
            </w:rPr>
            <w:t>Click or tap here to enter text.</w:t>
          </w:r>
        </w:p>
      </w:docPartBody>
    </w:docPart>
    <w:docPart>
      <w:docPartPr>
        <w:name w:val="8662ACF9C1134B049878A452B460B8D3"/>
        <w:category>
          <w:name w:val="General"/>
          <w:gallery w:val="placeholder"/>
        </w:category>
        <w:types>
          <w:type w:val="bbPlcHdr"/>
        </w:types>
        <w:behaviors>
          <w:behavior w:val="content"/>
        </w:behaviors>
        <w:guid w:val="{A46AB310-56C2-4111-AEDB-7C347A9EDE4D}"/>
      </w:docPartPr>
      <w:docPartBody>
        <w:p w:rsidR="003D04FF" w:rsidRDefault="003D04FF" w:rsidP="003D04FF">
          <w:pPr>
            <w:pStyle w:val="8662ACF9C1134B049878A452B460B8D3"/>
          </w:pPr>
          <w:r>
            <w:rPr>
              <w:rStyle w:val="PlaceholderText"/>
            </w:rPr>
            <w:t>Elija una opción</w:t>
          </w:r>
        </w:p>
      </w:docPartBody>
    </w:docPart>
    <w:docPart>
      <w:docPartPr>
        <w:name w:val="B1C0DC4CF9A344DB9D3DDFE5BA4446F2"/>
        <w:category>
          <w:name w:val="General"/>
          <w:gallery w:val="placeholder"/>
        </w:category>
        <w:types>
          <w:type w:val="bbPlcHdr"/>
        </w:types>
        <w:behaviors>
          <w:behavior w:val="content"/>
        </w:behaviors>
        <w:guid w:val="{D085AB25-7901-4336-BE1F-7C14123D81B7}"/>
      </w:docPartPr>
      <w:docPartBody>
        <w:p w:rsidR="003D04FF" w:rsidRDefault="003D04FF" w:rsidP="003D04FF">
          <w:pPr>
            <w:pStyle w:val="B1C0DC4CF9A344DB9D3DDFE5BA4446F2"/>
          </w:pPr>
          <w:r>
            <w:rPr>
              <w:rStyle w:val="PlaceholderText"/>
            </w:rPr>
            <w:t>Haga clic o toque para introducir una fecha</w:t>
          </w:r>
        </w:p>
      </w:docPartBody>
    </w:docPart>
    <w:docPart>
      <w:docPartPr>
        <w:name w:val="C1D17F454A69495F8D6CD450F287394B"/>
        <w:category>
          <w:name w:val="General"/>
          <w:gallery w:val="placeholder"/>
        </w:category>
        <w:types>
          <w:type w:val="bbPlcHdr"/>
        </w:types>
        <w:behaviors>
          <w:behavior w:val="content"/>
        </w:behaviors>
        <w:guid w:val="{C9CD5EF9-3ACB-4EE5-BBE5-B2978161CD9F}"/>
      </w:docPartPr>
      <w:docPartBody>
        <w:p w:rsidR="003D04FF" w:rsidRDefault="003D04FF" w:rsidP="003D04FF">
          <w:pPr>
            <w:pStyle w:val="C1D17F454A69495F8D6CD450F287394B"/>
          </w:pPr>
          <w:r w:rsidRPr="00327ED2">
            <w:rPr>
              <w:rStyle w:val="PlaceholderText"/>
            </w:rPr>
            <w:t>Enter any content that you want to repeat, including other content controls. You can also insert this control around table rows in order to repeat parts of a table.</w:t>
          </w:r>
        </w:p>
      </w:docPartBody>
    </w:docPart>
    <w:docPart>
      <w:docPartPr>
        <w:name w:val="8FFA2A092EBB47DEA3FFD14377169242"/>
        <w:category>
          <w:name w:val="General"/>
          <w:gallery w:val="placeholder"/>
        </w:category>
        <w:types>
          <w:type w:val="bbPlcHdr"/>
        </w:types>
        <w:behaviors>
          <w:behavior w:val="content"/>
        </w:behaviors>
        <w:guid w:val="{0A7750F2-D966-4DB6-A40D-667CB7E9405B}"/>
      </w:docPartPr>
      <w:docPartBody>
        <w:p w:rsidR="003D04FF" w:rsidRDefault="003D04FF" w:rsidP="003D04FF">
          <w:pPr>
            <w:pStyle w:val="8FFA2A092EBB47DEA3FFD14377169242"/>
          </w:pPr>
          <w:r w:rsidRPr="006A251B">
            <w:rPr>
              <w:rStyle w:val="PlaceholderText"/>
            </w:rPr>
            <w:t>Click or tap here to enter text.</w:t>
          </w:r>
        </w:p>
      </w:docPartBody>
    </w:docPart>
    <w:docPart>
      <w:docPartPr>
        <w:name w:val="4F24FF4BE77346BA91CDF4C2EA1BF05D"/>
        <w:category>
          <w:name w:val="General"/>
          <w:gallery w:val="placeholder"/>
        </w:category>
        <w:types>
          <w:type w:val="bbPlcHdr"/>
        </w:types>
        <w:behaviors>
          <w:behavior w:val="content"/>
        </w:behaviors>
        <w:guid w:val="{48B3A2FF-0540-4B02-85F8-DF68F4B546EA}"/>
      </w:docPartPr>
      <w:docPartBody>
        <w:p w:rsidR="003D04FF" w:rsidRDefault="003D04FF" w:rsidP="003D04FF">
          <w:pPr>
            <w:pStyle w:val="4F24FF4BE77346BA91CDF4C2EA1BF05D"/>
          </w:pPr>
          <w:r>
            <w:rPr>
              <w:rStyle w:val="PlaceholderText"/>
            </w:rPr>
            <w:t>Elija una opción</w:t>
          </w:r>
        </w:p>
      </w:docPartBody>
    </w:docPart>
    <w:docPart>
      <w:docPartPr>
        <w:name w:val="CBE7B256E8F9493F803A485058312EB8"/>
        <w:category>
          <w:name w:val="General"/>
          <w:gallery w:val="placeholder"/>
        </w:category>
        <w:types>
          <w:type w:val="bbPlcHdr"/>
        </w:types>
        <w:behaviors>
          <w:behavior w:val="content"/>
        </w:behaviors>
        <w:guid w:val="{5137ECC9-75ED-4E2F-A3BB-CA43664F8F81}"/>
      </w:docPartPr>
      <w:docPartBody>
        <w:p w:rsidR="003D04FF" w:rsidRDefault="003D04FF" w:rsidP="003D04FF">
          <w:pPr>
            <w:pStyle w:val="CBE7B256E8F9493F803A485058312EB8"/>
          </w:pPr>
          <w:r>
            <w:rPr>
              <w:rStyle w:val="PlaceholderText"/>
            </w:rPr>
            <w:t>Haga clic o toque para introducir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TheSansArabic Light">
    <w:altName w:val="Times New Roman"/>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Noto Sans">
    <w:charset w:val="00"/>
    <w:family w:val="swiss"/>
    <w:pitch w:val="variable"/>
    <w:sig w:usb0="E00082FF" w:usb1="400078FF" w:usb2="00000021" w:usb3="00000000" w:csb0="0000019F" w:csb1="00000000"/>
  </w:font>
  <w:font w:name="Montserrat Ligh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4FF"/>
    <w:rsid w:val="001C56F9"/>
    <w:rsid w:val="00304349"/>
    <w:rsid w:val="003D04FF"/>
    <w:rsid w:val="0043585C"/>
    <w:rsid w:val="0052652C"/>
    <w:rsid w:val="00741D6B"/>
    <w:rsid w:val="008A7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04FF"/>
    <w:rPr>
      <w:color w:val="666666"/>
    </w:rPr>
  </w:style>
  <w:style w:type="paragraph" w:customStyle="1" w:styleId="B456F60B82F04424ADE4E67DF52C01EC">
    <w:name w:val="B456F60B82F04424ADE4E67DF52C01EC"/>
    <w:rsid w:val="003D04FF"/>
  </w:style>
  <w:style w:type="paragraph" w:customStyle="1" w:styleId="1E74773321294A2FAF69ECB1E7B90EEC">
    <w:name w:val="1E74773321294A2FAF69ECB1E7B90EEC"/>
    <w:rsid w:val="003D04FF"/>
  </w:style>
  <w:style w:type="paragraph" w:customStyle="1" w:styleId="EF5DA00DBB504A4BAEDCA9C4FC6AAAD0">
    <w:name w:val="EF5DA00DBB504A4BAEDCA9C4FC6AAAD0"/>
    <w:rsid w:val="003D04FF"/>
  </w:style>
  <w:style w:type="paragraph" w:customStyle="1" w:styleId="AE91D4D4FA2D40ACA9F9620C57366F0D">
    <w:name w:val="AE91D4D4FA2D40ACA9F9620C57366F0D"/>
    <w:rsid w:val="003D04FF"/>
  </w:style>
  <w:style w:type="paragraph" w:customStyle="1" w:styleId="C92A37F3E4CE4A77BE0394C68F329759">
    <w:name w:val="C92A37F3E4CE4A77BE0394C68F329759"/>
    <w:rsid w:val="003D04FF"/>
  </w:style>
  <w:style w:type="paragraph" w:customStyle="1" w:styleId="7DE86FF99FCF483A945637A08B27BCE2">
    <w:name w:val="7DE86FF99FCF483A945637A08B27BCE2"/>
    <w:rsid w:val="003D04FF"/>
  </w:style>
  <w:style w:type="paragraph" w:customStyle="1" w:styleId="7272251A6D1847678B82FCB3FB43424B">
    <w:name w:val="7272251A6D1847678B82FCB3FB43424B"/>
    <w:rsid w:val="003D04FF"/>
  </w:style>
  <w:style w:type="paragraph" w:customStyle="1" w:styleId="9BD835E01AE04DC9B30A759F74701B89">
    <w:name w:val="9BD835E01AE04DC9B30A759F74701B89"/>
    <w:rsid w:val="003D04FF"/>
  </w:style>
  <w:style w:type="paragraph" w:customStyle="1" w:styleId="AF85DC52774D478AABAAAB0564F2B330">
    <w:name w:val="AF85DC52774D478AABAAAB0564F2B330"/>
    <w:rsid w:val="003D04FF"/>
  </w:style>
  <w:style w:type="paragraph" w:customStyle="1" w:styleId="08A902CECA3B429E8E630BF1D9483112">
    <w:name w:val="08A902CECA3B429E8E630BF1D9483112"/>
    <w:rsid w:val="003D04FF"/>
  </w:style>
  <w:style w:type="paragraph" w:customStyle="1" w:styleId="5450F89F94484F8482630722A13F2DFB">
    <w:name w:val="5450F89F94484F8482630722A13F2DFB"/>
    <w:rsid w:val="003D04FF"/>
  </w:style>
  <w:style w:type="paragraph" w:customStyle="1" w:styleId="44A1006A60B9461CAE974983C28F7DD3">
    <w:name w:val="44A1006A60B9461CAE974983C28F7DD3"/>
    <w:rsid w:val="003D04FF"/>
  </w:style>
  <w:style w:type="paragraph" w:customStyle="1" w:styleId="B01A72A664954FB1A72FD662DCF30BF7">
    <w:name w:val="B01A72A664954FB1A72FD662DCF30BF7"/>
    <w:rsid w:val="003D04FF"/>
  </w:style>
  <w:style w:type="paragraph" w:customStyle="1" w:styleId="8662ACF9C1134B049878A452B460B8D3">
    <w:name w:val="8662ACF9C1134B049878A452B460B8D3"/>
    <w:rsid w:val="003D04FF"/>
  </w:style>
  <w:style w:type="paragraph" w:customStyle="1" w:styleId="B1C0DC4CF9A344DB9D3DDFE5BA4446F2">
    <w:name w:val="B1C0DC4CF9A344DB9D3DDFE5BA4446F2"/>
    <w:rsid w:val="003D04FF"/>
  </w:style>
  <w:style w:type="paragraph" w:customStyle="1" w:styleId="C1D17F454A69495F8D6CD450F287394B">
    <w:name w:val="C1D17F454A69495F8D6CD450F287394B"/>
    <w:rsid w:val="003D04FF"/>
  </w:style>
  <w:style w:type="paragraph" w:customStyle="1" w:styleId="8FFA2A092EBB47DEA3FFD14377169242">
    <w:name w:val="8FFA2A092EBB47DEA3FFD14377169242"/>
    <w:rsid w:val="003D04FF"/>
  </w:style>
  <w:style w:type="paragraph" w:customStyle="1" w:styleId="4F24FF4BE77346BA91CDF4C2EA1BF05D">
    <w:name w:val="4F24FF4BE77346BA91CDF4C2EA1BF05D"/>
    <w:rsid w:val="003D04FF"/>
  </w:style>
  <w:style w:type="paragraph" w:customStyle="1" w:styleId="CBE7B256E8F9493F803A485058312EB8">
    <w:name w:val="CBE7B256E8F9493F803A485058312EB8"/>
    <w:rsid w:val="003D04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E8E77-0C01-49CA-8591-CCBD3B22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(S)</Template>
  <TotalTime>0</TotalTime>
  <Pages>22</Pages>
  <Words>7645</Words>
  <Characters>43582</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PCT/CTC/33/27</vt:lpstr>
    </vt:vector>
  </TitlesOfParts>
  <Company>WIPO</Company>
  <LinksUpToDate>false</LinksUpToDate>
  <CharactersWithSpaces>51125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PCT/CTC/33/27</dc:title>
  <dc:subject>Designación del Instituto Mexicano de la Propiedad Industrial como Administración encargada de la búsqueda y del examen preliminar internacionales en virtud del PCT</dc:subject>
  <dc:creator>CEVALLOS DUQUE Nilo</dc:creator>
  <cp:keywords>FOR OFFICIAL USE ONLY</cp:keywords>
  <cp:lastModifiedBy>MARLOW Thomas</cp:lastModifiedBy>
  <cp:revision>2</cp:revision>
  <cp:lastPrinted>2025-12-18T12:48:00Z</cp:lastPrinted>
  <dcterms:created xsi:type="dcterms:W3CDTF">2026-01-06T16:29:00Z</dcterms:created>
  <dcterms:modified xsi:type="dcterms:W3CDTF">2026-01-06T16:29:00Z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2025-12-17T14:46:54Z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a0651590-9fb1-40eb-8059-58559d325e67</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