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5D9E" w14:textId="77777777" w:rsidR="008B2CC1" w:rsidRPr="00F65CC0" w:rsidRDefault="00472A6E" w:rsidP="00761D20">
      <w:pPr>
        <w:pBdr>
          <w:bottom w:val="single" w:sz="4" w:space="11" w:color="auto"/>
        </w:pBdr>
        <w:spacing w:after="120"/>
        <w:ind w:right="-57"/>
        <w:jc w:val="right"/>
        <w:rPr>
          <w:lang w:val="es-419"/>
        </w:rPr>
      </w:pPr>
      <w:r w:rsidRPr="00F65CC0">
        <w:rPr>
          <w:noProof/>
          <w:lang w:val="es-419" w:eastAsia="en-US"/>
        </w:rPr>
        <w:drawing>
          <wp:inline distT="0" distB="0" distL="0" distR="0" wp14:anchorId="0E9806D5" wp14:editId="794AD1C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1AA41C8" w14:textId="176D566E" w:rsidR="00472A6E" w:rsidRPr="00F65CC0" w:rsidRDefault="00927287" w:rsidP="00472A6E">
      <w:pPr>
        <w:jc w:val="right"/>
        <w:rPr>
          <w:rFonts w:ascii="Arial Black" w:hAnsi="Arial Black"/>
          <w:caps/>
          <w:sz w:val="15"/>
          <w:lang w:val="es-419"/>
        </w:rPr>
      </w:pPr>
      <w:r w:rsidRPr="00F65CC0">
        <w:rPr>
          <w:rFonts w:ascii="Arial Black" w:hAnsi="Arial Black"/>
          <w:caps/>
          <w:sz w:val="15"/>
          <w:lang w:val="es-419"/>
        </w:rPr>
        <w:t>PCT/CTC/3</w:t>
      </w:r>
      <w:r w:rsidR="00611529" w:rsidRPr="00F65CC0">
        <w:rPr>
          <w:rFonts w:ascii="Arial Black" w:hAnsi="Arial Black"/>
          <w:caps/>
          <w:sz w:val="15"/>
          <w:lang w:val="es-419"/>
        </w:rPr>
        <w:t>3</w:t>
      </w:r>
      <w:r w:rsidRPr="00F65CC0">
        <w:rPr>
          <w:rFonts w:ascii="Arial Black" w:hAnsi="Arial Black"/>
          <w:caps/>
          <w:sz w:val="15"/>
          <w:lang w:val="es-419"/>
        </w:rPr>
        <w:t>/</w:t>
      </w:r>
      <w:bookmarkStart w:id="0" w:name="Code"/>
      <w:bookmarkEnd w:id="0"/>
      <w:r w:rsidR="00456917" w:rsidRPr="00F65CC0">
        <w:rPr>
          <w:rFonts w:ascii="Arial Black" w:hAnsi="Arial Black"/>
          <w:caps/>
          <w:sz w:val="15"/>
          <w:lang w:val="es-419"/>
        </w:rPr>
        <w:t>21</w:t>
      </w:r>
    </w:p>
    <w:p w14:paraId="7BAA3ECA" w14:textId="5899747B" w:rsidR="008B2CC1" w:rsidRPr="00F65CC0" w:rsidRDefault="00472A6E" w:rsidP="00472A6E">
      <w:pPr>
        <w:jc w:val="right"/>
        <w:rPr>
          <w:lang w:val="es-419"/>
        </w:rPr>
      </w:pPr>
      <w:r w:rsidRPr="00F65CC0">
        <w:rPr>
          <w:rFonts w:ascii="Arial Black" w:hAnsi="Arial Black"/>
          <w:caps/>
          <w:sz w:val="15"/>
          <w:lang w:val="es-419"/>
        </w:rPr>
        <w:t xml:space="preserve">ORIGINAL: </w:t>
      </w:r>
      <w:bookmarkStart w:id="1" w:name="Original"/>
      <w:r w:rsidR="00456917" w:rsidRPr="00F65CC0">
        <w:rPr>
          <w:rFonts w:ascii="Arial Black" w:hAnsi="Arial Black"/>
          <w:caps/>
          <w:sz w:val="15"/>
          <w:lang w:val="es-419"/>
        </w:rPr>
        <w:t>Inglés</w:t>
      </w:r>
    </w:p>
    <w:bookmarkEnd w:id="1"/>
    <w:p w14:paraId="4D37C0DF" w14:textId="12166735" w:rsidR="008B2CC1" w:rsidRPr="00F65CC0" w:rsidRDefault="00472A6E" w:rsidP="00472A6E">
      <w:pPr>
        <w:spacing w:after="1200"/>
        <w:jc w:val="right"/>
        <w:rPr>
          <w:lang w:val="es-419"/>
        </w:rPr>
      </w:pPr>
      <w:r w:rsidRPr="00F65CC0">
        <w:rPr>
          <w:rFonts w:ascii="Arial Black" w:hAnsi="Arial Black"/>
          <w:caps/>
          <w:sz w:val="15"/>
          <w:lang w:val="es-419"/>
        </w:rPr>
        <w:t xml:space="preserve">fecha: </w:t>
      </w:r>
      <w:bookmarkStart w:id="2" w:name="Date"/>
      <w:r w:rsidR="00456917" w:rsidRPr="00F65CC0">
        <w:rPr>
          <w:rFonts w:ascii="Arial Black" w:hAnsi="Arial Black"/>
          <w:caps/>
          <w:sz w:val="15"/>
          <w:lang w:val="es-419"/>
        </w:rPr>
        <w:t>19 de diciembre de 2025</w:t>
      </w:r>
    </w:p>
    <w:bookmarkEnd w:id="2"/>
    <w:p w14:paraId="6EEF0932" w14:textId="77777777" w:rsidR="00927287" w:rsidRPr="00F65CC0" w:rsidRDefault="00927287" w:rsidP="00927287">
      <w:pPr>
        <w:rPr>
          <w:b/>
          <w:sz w:val="28"/>
          <w:szCs w:val="28"/>
          <w:lang w:val="es-419"/>
        </w:rPr>
      </w:pPr>
      <w:r w:rsidRPr="00F65CC0">
        <w:rPr>
          <w:b/>
          <w:sz w:val="28"/>
          <w:szCs w:val="28"/>
          <w:lang w:val="es-419"/>
        </w:rPr>
        <w:t>Tratado de Cooperación en materia de Patentes (PCT)</w:t>
      </w:r>
    </w:p>
    <w:p w14:paraId="37A371A8" w14:textId="77777777" w:rsidR="00456917" w:rsidRPr="00F65CC0" w:rsidRDefault="00927287" w:rsidP="00927287">
      <w:pPr>
        <w:pStyle w:val="Heading1"/>
        <w:spacing w:before="0" w:after="480"/>
        <w:rPr>
          <w:caps w:val="0"/>
          <w:sz w:val="28"/>
          <w:lang w:val="es-419"/>
        </w:rPr>
      </w:pPr>
      <w:r w:rsidRPr="00F65CC0">
        <w:rPr>
          <w:caps w:val="0"/>
          <w:sz w:val="28"/>
          <w:szCs w:val="28"/>
          <w:lang w:val="es-419"/>
        </w:rPr>
        <w:t>Comité de Cooperación Técnica</w:t>
      </w:r>
    </w:p>
    <w:p w14:paraId="42AE4BB2" w14:textId="227D2FE7" w:rsidR="005B2EAE" w:rsidRPr="00F65CC0" w:rsidRDefault="00927287" w:rsidP="005B2EAE">
      <w:pPr>
        <w:outlineLvl w:val="1"/>
        <w:rPr>
          <w:b/>
          <w:sz w:val="24"/>
          <w:szCs w:val="24"/>
          <w:lang w:val="es-419"/>
        </w:rPr>
      </w:pPr>
      <w:r w:rsidRPr="00F65CC0">
        <w:rPr>
          <w:b/>
          <w:sz w:val="24"/>
          <w:szCs w:val="24"/>
          <w:lang w:val="es-419"/>
        </w:rPr>
        <w:t xml:space="preserve">Trigésima </w:t>
      </w:r>
      <w:r w:rsidR="00220365" w:rsidRPr="00F65CC0">
        <w:rPr>
          <w:b/>
          <w:sz w:val="24"/>
          <w:szCs w:val="24"/>
          <w:lang w:val="es-419"/>
        </w:rPr>
        <w:t>tercer</w:t>
      </w:r>
      <w:r w:rsidRPr="00F65CC0">
        <w:rPr>
          <w:b/>
          <w:sz w:val="24"/>
          <w:szCs w:val="24"/>
          <w:lang w:val="es-419"/>
        </w:rPr>
        <w:t>a sesión</w:t>
      </w:r>
    </w:p>
    <w:p w14:paraId="339ACF9F" w14:textId="77777777" w:rsidR="00B67CDC" w:rsidRPr="00F65CC0" w:rsidRDefault="00927287" w:rsidP="00472A6E">
      <w:pPr>
        <w:spacing w:after="720"/>
        <w:outlineLvl w:val="1"/>
        <w:rPr>
          <w:b/>
          <w:sz w:val="24"/>
          <w:szCs w:val="24"/>
          <w:lang w:val="es-419"/>
        </w:rPr>
      </w:pPr>
      <w:r w:rsidRPr="00F65CC0">
        <w:rPr>
          <w:b/>
          <w:sz w:val="24"/>
          <w:szCs w:val="24"/>
          <w:lang w:val="es-419"/>
        </w:rPr>
        <w:t xml:space="preserve">Ginebra, </w:t>
      </w:r>
      <w:r w:rsidR="00220365" w:rsidRPr="00F65CC0">
        <w:rPr>
          <w:b/>
          <w:sz w:val="24"/>
          <w:szCs w:val="24"/>
          <w:lang w:val="es-419"/>
        </w:rPr>
        <w:t>2 a 6 de febrero</w:t>
      </w:r>
      <w:r w:rsidRPr="00F65CC0">
        <w:rPr>
          <w:b/>
          <w:sz w:val="24"/>
          <w:szCs w:val="24"/>
          <w:lang w:val="es-419"/>
        </w:rPr>
        <w:t xml:space="preserve"> de 202</w:t>
      </w:r>
      <w:r w:rsidR="00DB7E59" w:rsidRPr="00F65CC0">
        <w:rPr>
          <w:b/>
          <w:sz w:val="24"/>
          <w:szCs w:val="24"/>
          <w:lang w:val="es-419"/>
        </w:rPr>
        <w:t>6</w:t>
      </w:r>
    </w:p>
    <w:p w14:paraId="551BC613" w14:textId="00820B8A" w:rsidR="008B2CC1" w:rsidRPr="00F65CC0" w:rsidRDefault="00456917" w:rsidP="00472A6E">
      <w:pPr>
        <w:spacing w:after="360"/>
        <w:rPr>
          <w:caps/>
          <w:sz w:val="24"/>
          <w:lang w:val="es-419"/>
        </w:rPr>
      </w:pPr>
      <w:bookmarkStart w:id="3" w:name="TitleOfDoc"/>
      <w:r w:rsidRPr="00F65CC0">
        <w:rPr>
          <w:caps/>
          <w:sz w:val="24"/>
          <w:lang w:val="es-419"/>
        </w:rPr>
        <w:t>PRÓRROGA DE LA DESIGNACIÓN DE LA OFICINA DE PROPIEDAD INTELECTUAL DE SINGAPUR EN CALIDAD DE ADMINISTRACIÓN ENCARGADA DE LA BÚSQUEDA INTERNACIONAL Y DEL EXAMEN PRELIMINAR INTERNACIONAL EN VIRTUD DEL PCT</w:t>
      </w:r>
    </w:p>
    <w:p w14:paraId="258AB367" w14:textId="180151DA" w:rsidR="008B2CC1" w:rsidRPr="00F65CC0" w:rsidRDefault="00456917" w:rsidP="00472A6E">
      <w:pPr>
        <w:spacing w:after="1040"/>
        <w:rPr>
          <w:i/>
          <w:lang w:val="es-419"/>
        </w:rPr>
      </w:pPr>
      <w:bookmarkStart w:id="4" w:name="Prepared"/>
      <w:bookmarkEnd w:id="3"/>
      <w:bookmarkEnd w:id="4"/>
      <w:r w:rsidRPr="00F65CC0">
        <w:rPr>
          <w:i/>
          <w:lang w:val="es-419"/>
        </w:rPr>
        <w:t>Documento preparado por la Oficina Internacional</w:t>
      </w:r>
    </w:p>
    <w:p w14:paraId="449A3CE8" w14:textId="585E2570" w:rsidR="00456917" w:rsidRPr="00F65CC0" w:rsidRDefault="00456917" w:rsidP="00456917">
      <w:pPr>
        <w:spacing w:after="220"/>
        <w:rPr>
          <w:lang w:val="es-419"/>
        </w:rPr>
      </w:pPr>
      <w:r w:rsidRPr="00F65CC0">
        <w:rPr>
          <w:lang w:val="es-419"/>
        </w:rPr>
        <w:t>1.</w:t>
      </w:r>
      <w:r w:rsidRPr="00F65CC0">
        <w:rPr>
          <w:lang w:val="es-419"/>
        </w:rPr>
        <w:tab/>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PCT/CTC/33/INF/1 contiene más información sobre este proceso y sobre la función del Comité en el marco del mismo.</w:t>
      </w:r>
    </w:p>
    <w:p w14:paraId="6C1F5750" w14:textId="77777777" w:rsidR="00456917" w:rsidRPr="00F65CC0" w:rsidRDefault="00456917" w:rsidP="00456917">
      <w:pPr>
        <w:spacing w:after="220"/>
        <w:rPr>
          <w:lang w:val="es-419"/>
        </w:rPr>
      </w:pPr>
      <w:r w:rsidRPr="00F65CC0">
        <w:rPr>
          <w:lang w:val="es-419"/>
        </w:rPr>
        <w:t>2.</w:t>
      </w:r>
      <w:r w:rsidRPr="00F65CC0">
        <w:rPr>
          <w:lang w:val="es-419"/>
        </w:rPr>
        <w:tab/>
        <w:t>El 26 de noviembre de 2025, la Oficina de Propiedad Intelectual de Singapur presentó su solicitud de prórroga de la designación, que se reproduce en el Anexo del presente documento.</w:t>
      </w:r>
    </w:p>
    <w:p w14:paraId="09657966" w14:textId="77777777" w:rsidR="00456917" w:rsidRPr="00F65CC0" w:rsidRDefault="00456917" w:rsidP="00F65CC0">
      <w:pPr>
        <w:tabs>
          <w:tab w:val="left" w:pos="6096"/>
        </w:tabs>
        <w:spacing w:after="220"/>
        <w:ind w:left="5533"/>
        <w:rPr>
          <w:i/>
          <w:lang w:val="es-419"/>
        </w:rPr>
      </w:pPr>
      <w:r w:rsidRPr="00F65CC0">
        <w:rPr>
          <w:i/>
          <w:lang w:val="es-419"/>
        </w:rPr>
        <w:t>3.</w:t>
      </w:r>
      <w:r w:rsidRPr="00F65CC0">
        <w:rPr>
          <w:i/>
          <w:lang w:val="es-419"/>
        </w:rPr>
        <w:tab/>
        <w:t>Se invita al Comité a dar su opinión sobre este asunto.</w:t>
      </w:r>
    </w:p>
    <w:p w14:paraId="2D6FC32F" w14:textId="77777777" w:rsidR="00456917" w:rsidRPr="00F65CC0" w:rsidRDefault="00456917" w:rsidP="00F65CC0">
      <w:pPr>
        <w:pStyle w:val="Endofdocument-Annex"/>
        <w:spacing w:before="720"/>
        <w:rPr>
          <w:lang w:val="es-419"/>
        </w:rPr>
        <w:sectPr w:rsidR="00456917" w:rsidRPr="00F65CC0" w:rsidSect="00456917">
          <w:headerReference w:type="default" r:id="rId9"/>
          <w:endnotePr>
            <w:numFmt w:val="decimal"/>
          </w:endnotePr>
          <w:pgSz w:w="11907" w:h="16840" w:code="9"/>
          <w:pgMar w:top="567" w:right="1134" w:bottom="1418" w:left="1418" w:header="510" w:footer="1021" w:gutter="0"/>
          <w:cols w:space="720"/>
          <w:titlePg/>
          <w:docGrid w:linePitch="299"/>
        </w:sectPr>
      </w:pPr>
      <w:r w:rsidRPr="00F65CC0">
        <w:rPr>
          <w:lang w:val="es-419"/>
        </w:rPr>
        <w:t>[Sigue el Anexo]</w:t>
      </w:r>
    </w:p>
    <w:p w14:paraId="0F7AAE65" w14:textId="7F6C261B" w:rsidR="00456917" w:rsidRPr="00F65CC0" w:rsidRDefault="00456917" w:rsidP="00456917">
      <w:pPr>
        <w:pStyle w:val="Heading2"/>
        <w:jc w:val="center"/>
        <w:rPr>
          <w:lang w:val="es-419"/>
        </w:rPr>
      </w:pPr>
      <w:r w:rsidRPr="00F65CC0">
        <w:rPr>
          <w:lang w:val="es-419"/>
        </w:rPr>
        <w:lastRenderedPageBreak/>
        <w:t>Solicitud de prórroga de la designación como Administración encargada de la búsqueda y del examen preliminar internacionales en virtud del</w:t>
      </w:r>
      <w:r w:rsidR="00D651EC" w:rsidRPr="00F65CC0">
        <w:rPr>
          <w:lang w:val="es-419"/>
        </w:rPr>
        <w:t> </w:t>
      </w:r>
      <w:r w:rsidRPr="00F65CC0">
        <w:rPr>
          <w:lang w:val="es-419"/>
        </w:rPr>
        <w:t>PCT</w:t>
      </w:r>
    </w:p>
    <w:p w14:paraId="708105DF" w14:textId="409FFC91" w:rsidR="00456917" w:rsidRPr="00F65CC0" w:rsidRDefault="00456917" w:rsidP="00456917">
      <w:pPr>
        <w:pStyle w:val="SectionHeading"/>
        <w:rPr>
          <w:lang w:val="es-419"/>
        </w:rPr>
      </w:pPr>
      <w:r w:rsidRPr="00F65CC0">
        <w:rPr>
          <w:lang w:val="es-419"/>
        </w:rPr>
        <w:t xml:space="preserve">1. </w:t>
      </w:r>
      <w:r w:rsidR="005C3363">
        <w:rPr>
          <w:lang w:val="es-419"/>
        </w:rPr>
        <w:t xml:space="preserve">INFORMACIÓN </w:t>
      </w:r>
      <w:r w:rsidRPr="00F65CC0">
        <w:rPr>
          <w:lang w:val="es-419"/>
        </w:rPr>
        <w:t>General</w:t>
      </w:r>
    </w:p>
    <w:p w14:paraId="20CB2A29" w14:textId="77777777" w:rsidR="00456917" w:rsidRPr="00F65CC0" w:rsidRDefault="00456917" w:rsidP="00456917">
      <w:pPr>
        <w:pStyle w:val="Question"/>
        <w:spacing w:after="240"/>
        <w:rPr>
          <w:lang w:val="es-419"/>
        </w:rPr>
      </w:pPr>
      <w:r w:rsidRPr="00F65CC0">
        <w:rPr>
          <w:lang w:val="es-419"/>
        </w:rPr>
        <w:t>a)</w:t>
      </w:r>
      <w:r w:rsidRPr="00F65CC0">
        <w:rPr>
          <w:lang w:val="es-419"/>
        </w:rPr>
        <w:tab/>
        <w:t>Nombre de la Oficina u organización intergubernamental:</w:t>
      </w:r>
    </w:p>
    <w:p w14:paraId="2D1D1AF9" w14:textId="77777777" w:rsidR="00456917" w:rsidRPr="00F65CC0" w:rsidRDefault="00456917" w:rsidP="00456917">
      <w:pPr>
        <w:pStyle w:val="Answer"/>
        <w:spacing w:after="0" w:line="360" w:lineRule="auto"/>
        <w:ind w:left="0"/>
        <w:jc w:val="both"/>
        <w:rPr>
          <w:lang w:val="es-419"/>
        </w:rPr>
      </w:pPr>
      <w:r w:rsidRPr="00F65CC0">
        <w:rPr>
          <w:lang w:val="es-419"/>
        </w:rPr>
        <w:t>Oficina de Propiedad Intelectual de Singapur (IPOS)</w:t>
      </w:r>
    </w:p>
    <w:p w14:paraId="50A07F26" w14:textId="77777777" w:rsidR="00456917" w:rsidRPr="00F65CC0" w:rsidRDefault="00456917" w:rsidP="00456917">
      <w:pPr>
        <w:pStyle w:val="Answer"/>
        <w:spacing w:after="0" w:line="360" w:lineRule="auto"/>
        <w:jc w:val="both"/>
        <w:rPr>
          <w:lang w:val="es-419"/>
        </w:rPr>
      </w:pPr>
    </w:p>
    <w:p w14:paraId="383AB397" w14:textId="77777777" w:rsidR="00456917" w:rsidRPr="00F65CC0" w:rsidRDefault="00456917" w:rsidP="00456917">
      <w:pPr>
        <w:pStyle w:val="Question"/>
        <w:spacing w:after="0" w:line="360" w:lineRule="auto"/>
        <w:jc w:val="both"/>
        <w:rPr>
          <w:lang w:val="es-419"/>
        </w:rPr>
      </w:pPr>
      <w:r w:rsidRPr="00F65CC0">
        <w:rPr>
          <w:lang w:val="es-419"/>
        </w:rPr>
        <w:t>b)</w:t>
      </w:r>
      <w:r w:rsidRPr="00F65CC0">
        <w:rPr>
          <w:lang w:val="es-419"/>
        </w:rPr>
        <w:tab/>
        <w:t>Nombre y datos de contacto para consultas sobre esta solicitud:</w:t>
      </w:r>
    </w:p>
    <w:p w14:paraId="3F087914" w14:textId="1C694CAD" w:rsidR="00456917" w:rsidRPr="00F65CC0" w:rsidRDefault="00456917" w:rsidP="00456917">
      <w:pPr>
        <w:pStyle w:val="Answer"/>
        <w:spacing w:after="0"/>
        <w:ind w:left="0"/>
        <w:jc w:val="both"/>
        <w:rPr>
          <w:szCs w:val="22"/>
          <w:lang w:val="es-419"/>
        </w:rPr>
      </w:pPr>
      <w:r w:rsidRPr="00F65CC0">
        <w:rPr>
          <w:lang w:val="es-419"/>
        </w:rPr>
        <w:t>Sharmaine Wu (</w:t>
      </w:r>
      <w:hyperlink r:id="rId10" w:history="1">
        <w:r w:rsidRPr="00F65CC0">
          <w:rPr>
            <w:rStyle w:val="Hyperlink"/>
            <w:lang w:val="es-419"/>
          </w:rPr>
          <w:t>Sharmaine_WU@ipos.gov.sg</w:t>
        </w:r>
      </w:hyperlink>
      <w:r w:rsidRPr="00F65CC0">
        <w:rPr>
          <w:lang w:val="es-419"/>
        </w:rPr>
        <w:t>)</w:t>
      </w:r>
    </w:p>
    <w:p w14:paraId="1672D078" w14:textId="77777777" w:rsidR="00456917" w:rsidRPr="00F65CC0" w:rsidRDefault="00456917" w:rsidP="00456917">
      <w:pPr>
        <w:pStyle w:val="Answer"/>
        <w:spacing w:after="0"/>
        <w:ind w:left="0"/>
        <w:jc w:val="both"/>
        <w:rPr>
          <w:lang w:val="es-419"/>
        </w:rPr>
      </w:pPr>
      <w:r w:rsidRPr="00F65CC0">
        <w:rPr>
          <w:lang w:val="es-419"/>
        </w:rPr>
        <w:t>Directora de los Registros de Patentes, Dibujos y Modelos y Protección de las Obtenciones Vegetales</w:t>
      </w:r>
    </w:p>
    <w:p w14:paraId="4F6F3A34" w14:textId="36E833AE" w:rsidR="00456917" w:rsidRPr="00F65CC0" w:rsidRDefault="00456917" w:rsidP="00456917">
      <w:pPr>
        <w:pStyle w:val="Answer"/>
        <w:ind w:left="0"/>
        <w:rPr>
          <w:color w:val="000000" w:themeColor="text1"/>
          <w:lang w:val="es-419"/>
        </w:rPr>
      </w:pPr>
    </w:p>
    <w:p w14:paraId="7918CCC1" w14:textId="77777777" w:rsidR="00456917" w:rsidRPr="00F65CC0" w:rsidRDefault="00456917" w:rsidP="00456917">
      <w:pPr>
        <w:pStyle w:val="Question"/>
        <w:rPr>
          <w:lang w:val="es-419"/>
        </w:rPr>
      </w:pPr>
      <w:r w:rsidRPr="00F65CC0">
        <w:rPr>
          <w:lang w:val="es-419"/>
        </w:rPr>
        <w:t>c)</w:t>
      </w:r>
      <w:r w:rsidRPr="00F65CC0">
        <w:rPr>
          <w:lang w:val="es-419"/>
        </w:rPr>
        <w:tab/>
        <w:t>Fecha en que el director general recibió la solicitud de prórroga de la designación:</w:t>
      </w:r>
    </w:p>
    <w:p w14:paraId="47740F95" w14:textId="77777777" w:rsidR="00456917" w:rsidRPr="00F65CC0" w:rsidRDefault="00456917" w:rsidP="00456917">
      <w:pPr>
        <w:pStyle w:val="Answer"/>
        <w:rPr>
          <w:lang w:val="es-419"/>
        </w:rPr>
      </w:pPr>
      <w:r w:rsidRPr="00F65CC0">
        <w:rPr>
          <w:lang w:val="es-419"/>
        </w:rPr>
        <w:t>26 de noviembre de 2025</w:t>
      </w:r>
    </w:p>
    <w:p w14:paraId="4A86B08D" w14:textId="77777777" w:rsidR="00456917" w:rsidRPr="00F65CC0" w:rsidRDefault="00456917" w:rsidP="00456917">
      <w:pPr>
        <w:pStyle w:val="SectionHeading"/>
        <w:rPr>
          <w:lang w:val="es-419"/>
        </w:rPr>
      </w:pPr>
      <w:r w:rsidRPr="00F65CC0">
        <w:rPr>
          <w:lang w:val="es-419"/>
        </w:rPr>
        <w:t>2. Requisitos mínimos para la designación</w:t>
      </w:r>
    </w:p>
    <w:p w14:paraId="2C3000DE" w14:textId="761F9180" w:rsidR="00456917" w:rsidRPr="00F65CC0" w:rsidRDefault="00456917" w:rsidP="00456917">
      <w:pPr>
        <w:rPr>
          <w:lang w:val="es-419"/>
        </w:rPr>
      </w:pPr>
      <w:r w:rsidRPr="00F65CC0">
        <w:rPr>
          <w:lang w:val="es-419"/>
        </w:rPr>
        <w:t xml:space="preserve">Además del informe anual sobre el sistema de gestión de la calidad de la Oficina u organización para 2025 (el “informe SGC” </w:t>
      </w:r>
      <w:hyperlink r:id="rId11" w:anchor="SG" w:history="1">
        <w:r w:rsidRPr="00F65CC0">
          <w:rPr>
            <w:rStyle w:val="Hyperlink"/>
            <w:lang w:val="es-419"/>
          </w:rPr>
          <w:t>https://www.wipo.int/en/web/pct-system/quality/authorities#SG</w:t>
        </w:r>
      </w:hyperlink>
      <w:r w:rsidRPr="00F65CC0">
        <w:rPr>
          <w:lang w:val="es-419"/>
        </w:rPr>
        <w:t>) elaborado de conformidad con los párrafos 21.31 y 21.32 de las Directrices de búsqueda y examen preliminar internacionales, la Administración presenta la siguiente información.</w:t>
      </w:r>
    </w:p>
    <w:p w14:paraId="489E10DA" w14:textId="77777777" w:rsidR="00456917" w:rsidRPr="00F65CC0" w:rsidRDefault="00456917" w:rsidP="00F65CC0">
      <w:pPr>
        <w:pStyle w:val="SectionHeading"/>
        <w:keepNext w:val="0"/>
        <w:keepLines w:val="0"/>
        <w:rPr>
          <w:lang w:val="es-419"/>
        </w:rPr>
      </w:pPr>
      <w:r w:rsidRPr="00F65CC0">
        <w:rPr>
          <w:lang w:val="es-419"/>
        </w:rPr>
        <w:t>2.1. Capacidad de búsqueda y examen</w:t>
      </w:r>
    </w:p>
    <w:p w14:paraId="72F94A9E" w14:textId="77777777" w:rsidR="00456917" w:rsidRPr="00F65CC0" w:rsidRDefault="00456917" w:rsidP="00F65CC0">
      <w:pPr>
        <w:pStyle w:val="RuleQuote"/>
        <w:keepNext w:val="0"/>
        <w:keepLines w:val="0"/>
        <w:rPr>
          <w:lang w:val="es-419"/>
        </w:rPr>
      </w:pPr>
      <w:r w:rsidRPr="00F65CC0">
        <w:rPr>
          <w:lang w:val="es-419"/>
        </w:rPr>
        <w:t>Reglas 36.1.i) y 63.1.i): La Oficina nacional o la organización intergubernamental deberá tener, por lo menos, 100 empleados con plena dedicación, con cualificaciones técnicas suficientes para efectuar las búsquedas y los exámenes.</w:t>
      </w:r>
    </w:p>
    <w:p w14:paraId="1A2BC173" w14:textId="221CE586" w:rsidR="00456917" w:rsidRPr="00F65CC0" w:rsidRDefault="00456917" w:rsidP="00F65CC0">
      <w:pPr>
        <w:pStyle w:val="RuleQuote"/>
        <w:keepNext w:val="0"/>
        <w:keepLines w:val="0"/>
        <w:ind w:left="0" w:right="53"/>
        <w:rPr>
          <w:i w:val="0"/>
          <w:lang w:val="es-419"/>
        </w:rPr>
      </w:pPr>
      <w:r w:rsidRPr="00F65CC0">
        <w:rPr>
          <w:i w:val="0"/>
          <w:lang w:val="es-419"/>
        </w:rPr>
        <w:t>El informe SGC proporciona información de la Administración sobre la infraestructura existente para garantizar un número suficiente de personal técnicamente cualificado, según el párrafo</w:t>
      </w:r>
      <w:r w:rsidR="00F65CC0" w:rsidRPr="00F65CC0">
        <w:rPr>
          <w:i w:val="0"/>
          <w:lang w:val="es-419"/>
        </w:rPr>
        <w:t> </w:t>
      </w:r>
      <w:r w:rsidRPr="00F65CC0">
        <w:rPr>
          <w:i w:val="0"/>
          <w:lang w:val="es-419"/>
        </w:rPr>
        <w:t>21.15.i) de las Directrices, y sobre los programas de formación y desarrollo del personal implicado en el proceso de búsqueda y examen, según el párrafo 21.15.vi). La Administración también incluye la siguiente información sobre el número de empleados cualificados para llevar a cabo búsquedas y exámenes.</w:t>
      </w:r>
    </w:p>
    <w:p w14:paraId="63D9FBCE" w14:textId="77777777" w:rsidR="00456917" w:rsidRPr="00F65CC0" w:rsidRDefault="00456917" w:rsidP="00F65CC0">
      <w:pPr>
        <w:pStyle w:val="Question"/>
        <w:spacing w:after="480"/>
        <w:rPr>
          <w:lang w:val="es-419"/>
        </w:rPr>
      </w:pPr>
      <w:r w:rsidRPr="00F65CC0">
        <w:rPr>
          <w:lang w:val="es-419"/>
        </w:rPr>
        <w:lastRenderedPageBreak/>
        <w:t>Empleados cualificados para realizar búsquedas y exámenes: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4248"/>
        <w:gridCol w:w="2693"/>
        <w:gridCol w:w="2268"/>
      </w:tblGrid>
      <w:tr w:rsidR="00456917" w:rsidRPr="00F65CC0" w14:paraId="629BC8C7" w14:textId="77777777" w:rsidTr="00F65CC0">
        <w:trPr>
          <w:cantSplit/>
          <w:tblHeader/>
        </w:trPr>
        <w:tc>
          <w:tcPr>
            <w:tcW w:w="4248" w:type="dxa"/>
            <w:tcBorders>
              <w:top w:val="single" w:sz="4" w:space="0" w:color="auto"/>
              <w:left w:val="single" w:sz="4" w:space="0" w:color="auto"/>
              <w:bottom w:val="single" w:sz="4" w:space="0" w:color="auto"/>
              <w:right w:val="single" w:sz="4" w:space="0" w:color="auto"/>
            </w:tcBorders>
            <w:vAlign w:val="center"/>
            <w:hideMark/>
          </w:tcPr>
          <w:p w14:paraId="3C9DED25" w14:textId="77777777" w:rsidR="00456917" w:rsidRPr="00F65CC0" w:rsidRDefault="00456917" w:rsidP="00F65CC0">
            <w:pPr>
              <w:keepNext/>
              <w:keepLines/>
              <w:rPr>
                <w:lang w:val="es-419"/>
              </w:rPr>
            </w:pPr>
            <w:r w:rsidRPr="00F65CC0">
              <w:rPr>
                <w:lang w:val="es-419"/>
              </w:rPr>
              <w:t>Sector técnico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9F8015" w14:textId="77777777" w:rsidR="00456917" w:rsidRPr="00F65CC0" w:rsidRDefault="00456917" w:rsidP="00F65CC0">
            <w:pPr>
              <w:keepNext/>
              <w:keepLines/>
              <w:rPr>
                <w:lang w:val="es-419"/>
              </w:rPr>
            </w:pPr>
            <w:r w:rsidRPr="00F65CC0">
              <w:rPr>
                <w:lang w:val="es-419"/>
              </w:rPr>
              <w:t>Número (en equivalente a tiempo completo)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015EBA" w14:textId="77777777" w:rsidR="00456917" w:rsidRPr="00F65CC0" w:rsidRDefault="00456917" w:rsidP="00F65CC0">
            <w:pPr>
              <w:keepNext/>
              <w:keepLines/>
              <w:rPr>
                <w:lang w:val="es-419"/>
              </w:rPr>
            </w:pPr>
            <w:r w:rsidRPr="00F65CC0">
              <w:rPr>
                <w:lang w:val="es-419"/>
              </w:rPr>
              <w:t>Experiencia media como examinadores (años)</w:t>
            </w:r>
          </w:p>
        </w:tc>
      </w:tr>
      <w:tr w:rsidR="00456917" w:rsidRPr="00F65CC0" w14:paraId="397BB735" w14:textId="77777777" w:rsidTr="00F65CC0">
        <w:trPr>
          <w:cantSplit/>
        </w:trPr>
        <w:tc>
          <w:tcPr>
            <w:tcW w:w="4248" w:type="dxa"/>
            <w:tcBorders>
              <w:top w:val="single" w:sz="4" w:space="0" w:color="auto"/>
              <w:left w:val="single" w:sz="4" w:space="0" w:color="auto"/>
              <w:bottom w:val="single" w:sz="4" w:space="0" w:color="auto"/>
              <w:right w:val="single" w:sz="4" w:space="0" w:color="auto"/>
            </w:tcBorders>
            <w:hideMark/>
          </w:tcPr>
          <w:p w14:paraId="0D7277E0" w14:textId="77777777" w:rsidR="00456917" w:rsidRPr="00F65CC0" w:rsidRDefault="00456917" w:rsidP="00F65CC0">
            <w:pPr>
              <w:keepNext/>
              <w:keepLines/>
              <w:rPr>
                <w:lang w:val="es-419"/>
              </w:rPr>
            </w:pPr>
            <w:r w:rsidRPr="00F65CC0">
              <w:rPr>
                <w:lang w:val="es-419"/>
              </w:rPr>
              <w:t>Ingeniería y física</w:t>
            </w:r>
          </w:p>
          <w:p w14:paraId="7B6D9055" w14:textId="77777777" w:rsidR="00456917" w:rsidRPr="00F65CC0" w:rsidRDefault="00456917" w:rsidP="00F65CC0">
            <w:pPr>
              <w:keepNext/>
              <w:keepLines/>
              <w:rPr>
                <w:lang w:val="es-419"/>
              </w:rPr>
            </w:pPr>
          </w:p>
        </w:tc>
        <w:tc>
          <w:tcPr>
            <w:tcW w:w="2693" w:type="dxa"/>
            <w:tcBorders>
              <w:top w:val="single" w:sz="4" w:space="0" w:color="auto"/>
              <w:left w:val="single" w:sz="4" w:space="0" w:color="auto"/>
              <w:bottom w:val="single" w:sz="4" w:space="0" w:color="auto"/>
              <w:right w:val="single" w:sz="4" w:space="0" w:color="auto"/>
            </w:tcBorders>
          </w:tcPr>
          <w:p w14:paraId="3547036B" w14:textId="77777777" w:rsidR="00456917" w:rsidRPr="00F65CC0" w:rsidRDefault="00456917" w:rsidP="00F65CC0">
            <w:pPr>
              <w:keepNext/>
              <w:keepLines/>
              <w:rPr>
                <w:lang w:val="es-419"/>
              </w:rPr>
            </w:pPr>
            <w:r w:rsidRPr="00F65CC0">
              <w:rPr>
                <w:lang w:val="es-419"/>
              </w:rPr>
              <w:t>33</w:t>
            </w:r>
          </w:p>
        </w:tc>
        <w:tc>
          <w:tcPr>
            <w:tcW w:w="2268" w:type="dxa"/>
            <w:tcBorders>
              <w:top w:val="single" w:sz="4" w:space="0" w:color="auto"/>
              <w:left w:val="single" w:sz="4" w:space="0" w:color="auto"/>
              <w:bottom w:val="single" w:sz="4" w:space="0" w:color="auto"/>
              <w:right w:val="single" w:sz="4" w:space="0" w:color="auto"/>
            </w:tcBorders>
          </w:tcPr>
          <w:p w14:paraId="005AE123" w14:textId="77777777" w:rsidR="00456917" w:rsidRPr="00F65CC0" w:rsidRDefault="00456917" w:rsidP="00F65CC0">
            <w:pPr>
              <w:keepNext/>
              <w:keepLines/>
              <w:rPr>
                <w:lang w:val="es-419"/>
              </w:rPr>
            </w:pPr>
            <w:r w:rsidRPr="00F65CC0">
              <w:rPr>
                <w:lang w:val="es-419"/>
              </w:rPr>
              <w:t>8</w:t>
            </w:r>
          </w:p>
        </w:tc>
      </w:tr>
      <w:tr w:rsidR="00456917" w:rsidRPr="00F65CC0" w14:paraId="29CD3F4A" w14:textId="77777777" w:rsidTr="00F65CC0">
        <w:trPr>
          <w:cantSplit/>
        </w:trPr>
        <w:tc>
          <w:tcPr>
            <w:tcW w:w="4248" w:type="dxa"/>
            <w:tcBorders>
              <w:top w:val="single" w:sz="4" w:space="0" w:color="auto"/>
              <w:left w:val="single" w:sz="4" w:space="0" w:color="auto"/>
              <w:bottom w:val="single" w:sz="4" w:space="0" w:color="auto"/>
              <w:right w:val="single" w:sz="4" w:space="0" w:color="auto"/>
            </w:tcBorders>
            <w:hideMark/>
          </w:tcPr>
          <w:p w14:paraId="5A304EA3" w14:textId="77777777" w:rsidR="00456917" w:rsidRPr="00F65CC0" w:rsidRDefault="00456917" w:rsidP="00F65CC0">
            <w:pPr>
              <w:keepNext/>
              <w:keepLines/>
              <w:rPr>
                <w:lang w:val="es-419"/>
              </w:rPr>
            </w:pPr>
            <w:r w:rsidRPr="00F65CC0">
              <w:rPr>
                <w:lang w:val="es-419"/>
              </w:rPr>
              <w:t>Tecnologías de la información y la comunicación</w:t>
            </w:r>
          </w:p>
          <w:p w14:paraId="0A45980A" w14:textId="77777777" w:rsidR="00456917" w:rsidRPr="00F65CC0" w:rsidRDefault="00456917" w:rsidP="00F65CC0">
            <w:pPr>
              <w:keepNext/>
              <w:keepLines/>
              <w:rPr>
                <w:lang w:val="es-419"/>
              </w:rPr>
            </w:pPr>
          </w:p>
        </w:tc>
        <w:tc>
          <w:tcPr>
            <w:tcW w:w="2693" w:type="dxa"/>
            <w:tcBorders>
              <w:top w:val="single" w:sz="4" w:space="0" w:color="auto"/>
              <w:left w:val="single" w:sz="4" w:space="0" w:color="auto"/>
              <w:bottom w:val="single" w:sz="4" w:space="0" w:color="auto"/>
              <w:right w:val="single" w:sz="4" w:space="0" w:color="auto"/>
            </w:tcBorders>
          </w:tcPr>
          <w:p w14:paraId="2AE65C6D" w14:textId="77777777" w:rsidR="00456917" w:rsidRPr="00F65CC0" w:rsidRDefault="00456917" w:rsidP="00F65CC0">
            <w:pPr>
              <w:keepNext/>
              <w:keepLines/>
              <w:rPr>
                <w:lang w:val="es-419"/>
              </w:rPr>
            </w:pPr>
            <w:r w:rsidRPr="00F65CC0">
              <w:rPr>
                <w:lang w:val="es-419"/>
              </w:rPr>
              <w:t>34</w:t>
            </w:r>
          </w:p>
        </w:tc>
        <w:tc>
          <w:tcPr>
            <w:tcW w:w="2268" w:type="dxa"/>
            <w:tcBorders>
              <w:top w:val="single" w:sz="4" w:space="0" w:color="auto"/>
              <w:left w:val="single" w:sz="4" w:space="0" w:color="auto"/>
              <w:bottom w:val="single" w:sz="4" w:space="0" w:color="auto"/>
              <w:right w:val="single" w:sz="4" w:space="0" w:color="auto"/>
            </w:tcBorders>
          </w:tcPr>
          <w:p w14:paraId="62747C31" w14:textId="77777777" w:rsidR="00456917" w:rsidRPr="00F65CC0" w:rsidRDefault="00456917" w:rsidP="00F65CC0">
            <w:pPr>
              <w:keepNext/>
              <w:keepLines/>
              <w:rPr>
                <w:lang w:val="es-419"/>
              </w:rPr>
            </w:pPr>
            <w:r w:rsidRPr="00F65CC0">
              <w:rPr>
                <w:lang w:val="es-419"/>
              </w:rPr>
              <w:t>6</w:t>
            </w:r>
          </w:p>
        </w:tc>
      </w:tr>
      <w:tr w:rsidR="00456917" w:rsidRPr="00F65CC0" w14:paraId="0BE435C7" w14:textId="77777777" w:rsidTr="00F65CC0">
        <w:trPr>
          <w:cantSplit/>
        </w:trPr>
        <w:tc>
          <w:tcPr>
            <w:tcW w:w="4248" w:type="dxa"/>
            <w:tcBorders>
              <w:top w:val="single" w:sz="4" w:space="0" w:color="auto"/>
              <w:left w:val="single" w:sz="4" w:space="0" w:color="auto"/>
              <w:bottom w:val="single" w:sz="4" w:space="0" w:color="auto"/>
              <w:right w:val="single" w:sz="4" w:space="0" w:color="auto"/>
            </w:tcBorders>
            <w:hideMark/>
          </w:tcPr>
          <w:p w14:paraId="4201CB68" w14:textId="77777777" w:rsidR="00456917" w:rsidRPr="00F65CC0" w:rsidRDefault="00456917" w:rsidP="00177665">
            <w:pPr>
              <w:rPr>
                <w:lang w:val="es-419"/>
              </w:rPr>
            </w:pPr>
            <w:r w:rsidRPr="00F65CC0">
              <w:rPr>
                <w:lang w:val="es-419"/>
              </w:rPr>
              <w:t>Química y materiales</w:t>
            </w:r>
          </w:p>
          <w:p w14:paraId="59E5203C" w14:textId="77777777" w:rsidR="00456917" w:rsidRPr="00F65CC0" w:rsidRDefault="00456917" w:rsidP="00177665">
            <w:pPr>
              <w:rPr>
                <w:lang w:val="es-419"/>
              </w:rPr>
            </w:pPr>
          </w:p>
        </w:tc>
        <w:tc>
          <w:tcPr>
            <w:tcW w:w="2693" w:type="dxa"/>
            <w:tcBorders>
              <w:top w:val="single" w:sz="4" w:space="0" w:color="auto"/>
              <w:left w:val="single" w:sz="4" w:space="0" w:color="auto"/>
              <w:bottom w:val="single" w:sz="4" w:space="0" w:color="auto"/>
              <w:right w:val="single" w:sz="4" w:space="0" w:color="auto"/>
            </w:tcBorders>
          </w:tcPr>
          <w:p w14:paraId="46127444" w14:textId="77777777" w:rsidR="00456917" w:rsidRPr="00F65CC0" w:rsidRDefault="00456917" w:rsidP="00177665">
            <w:pPr>
              <w:rPr>
                <w:lang w:val="es-419"/>
              </w:rPr>
            </w:pPr>
            <w:r w:rsidRPr="00F65CC0">
              <w:rPr>
                <w:lang w:val="es-419"/>
              </w:rPr>
              <w:t>35</w:t>
            </w:r>
          </w:p>
        </w:tc>
        <w:tc>
          <w:tcPr>
            <w:tcW w:w="2268" w:type="dxa"/>
            <w:tcBorders>
              <w:top w:val="single" w:sz="4" w:space="0" w:color="auto"/>
              <w:left w:val="single" w:sz="4" w:space="0" w:color="auto"/>
              <w:bottom w:val="single" w:sz="4" w:space="0" w:color="auto"/>
              <w:right w:val="single" w:sz="4" w:space="0" w:color="auto"/>
            </w:tcBorders>
          </w:tcPr>
          <w:p w14:paraId="4D031FB5" w14:textId="77777777" w:rsidR="00456917" w:rsidRPr="00F65CC0" w:rsidRDefault="00456917" w:rsidP="00177665">
            <w:pPr>
              <w:rPr>
                <w:lang w:val="es-419"/>
              </w:rPr>
            </w:pPr>
            <w:r w:rsidRPr="00F65CC0">
              <w:rPr>
                <w:lang w:val="es-419"/>
              </w:rPr>
              <w:t>8</w:t>
            </w:r>
          </w:p>
        </w:tc>
      </w:tr>
      <w:tr w:rsidR="00456917" w:rsidRPr="00F65CC0" w14:paraId="6DDE6036" w14:textId="77777777" w:rsidTr="00F65CC0">
        <w:trPr>
          <w:cantSplit/>
        </w:trPr>
        <w:tc>
          <w:tcPr>
            <w:tcW w:w="4248" w:type="dxa"/>
            <w:tcBorders>
              <w:top w:val="single" w:sz="4" w:space="0" w:color="auto"/>
              <w:left w:val="single" w:sz="4" w:space="0" w:color="auto"/>
              <w:bottom w:val="single" w:sz="4" w:space="0" w:color="auto"/>
              <w:right w:val="single" w:sz="4" w:space="0" w:color="auto"/>
            </w:tcBorders>
            <w:hideMark/>
          </w:tcPr>
          <w:p w14:paraId="4CEFD0A9" w14:textId="77777777" w:rsidR="00456917" w:rsidRPr="00F65CC0" w:rsidRDefault="00456917" w:rsidP="00177665">
            <w:pPr>
              <w:rPr>
                <w:lang w:val="es-419"/>
              </w:rPr>
            </w:pPr>
            <w:r w:rsidRPr="00F65CC0">
              <w:rPr>
                <w:lang w:val="es-419"/>
              </w:rPr>
              <w:t>Biotecnología y ciencias biomédicas</w:t>
            </w:r>
          </w:p>
        </w:tc>
        <w:tc>
          <w:tcPr>
            <w:tcW w:w="2693" w:type="dxa"/>
            <w:tcBorders>
              <w:top w:val="single" w:sz="4" w:space="0" w:color="auto"/>
              <w:left w:val="single" w:sz="4" w:space="0" w:color="auto"/>
              <w:bottom w:val="single" w:sz="4" w:space="0" w:color="auto"/>
              <w:right w:val="single" w:sz="4" w:space="0" w:color="auto"/>
            </w:tcBorders>
          </w:tcPr>
          <w:p w14:paraId="2724B42B" w14:textId="77777777" w:rsidR="00456917" w:rsidRPr="00F65CC0" w:rsidRDefault="00456917" w:rsidP="00177665">
            <w:pPr>
              <w:rPr>
                <w:lang w:val="es-419"/>
              </w:rPr>
            </w:pPr>
            <w:r w:rsidRPr="00F65CC0">
              <w:rPr>
                <w:lang w:val="es-419"/>
              </w:rPr>
              <w:t>40</w:t>
            </w:r>
          </w:p>
        </w:tc>
        <w:tc>
          <w:tcPr>
            <w:tcW w:w="2268" w:type="dxa"/>
            <w:tcBorders>
              <w:top w:val="single" w:sz="4" w:space="0" w:color="auto"/>
              <w:left w:val="single" w:sz="4" w:space="0" w:color="auto"/>
              <w:bottom w:val="single" w:sz="4" w:space="0" w:color="auto"/>
              <w:right w:val="single" w:sz="4" w:space="0" w:color="auto"/>
            </w:tcBorders>
          </w:tcPr>
          <w:p w14:paraId="4620A81E" w14:textId="77777777" w:rsidR="00456917" w:rsidRPr="00F65CC0" w:rsidRDefault="00456917" w:rsidP="00177665">
            <w:pPr>
              <w:rPr>
                <w:lang w:val="es-419"/>
              </w:rPr>
            </w:pPr>
            <w:r w:rsidRPr="00F65CC0">
              <w:rPr>
                <w:lang w:val="es-419"/>
              </w:rPr>
              <w:t>6</w:t>
            </w:r>
          </w:p>
        </w:tc>
      </w:tr>
      <w:tr w:rsidR="00456917" w:rsidRPr="00F65CC0" w14:paraId="39CDDA4F" w14:textId="77777777" w:rsidTr="00F65CC0">
        <w:trPr>
          <w:cantSplit/>
        </w:trPr>
        <w:tc>
          <w:tcPr>
            <w:tcW w:w="4248" w:type="dxa"/>
            <w:tcBorders>
              <w:top w:val="single" w:sz="4" w:space="0" w:color="auto"/>
              <w:left w:val="single" w:sz="4" w:space="0" w:color="auto"/>
              <w:bottom w:val="single" w:sz="4" w:space="0" w:color="auto"/>
              <w:right w:val="single" w:sz="4" w:space="0" w:color="auto"/>
            </w:tcBorders>
            <w:hideMark/>
          </w:tcPr>
          <w:p w14:paraId="071DE53E" w14:textId="77777777" w:rsidR="00456917" w:rsidRPr="00F65CC0" w:rsidRDefault="00456917" w:rsidP="00177665">
            <w:pPr>
              <w:rPr>
                <w:lang w:val="es-419"/>
              </w:rPr>
            </w:pPr>
            <w:r w:rsidRPr="00F65CC0">
              <w:rPr>
                <w:lang w:val="es-419"/>
              </w:rPr>
              <w:t>Total</w:t>
            </w:r>
          </w:p>
        </w:tc>
        <w:tc>
          <w:tcPr>
            <w:tcW w:w="2693" w:type="dxa"/>
            <w:tcBorders>
              <w:top w:val="single" w:sz="4" w:space="0" w:color="auto"/>
              <w:left w:val="single" w:sz="4" w:space="0" w:color="auto"/>
              <w:bottom w:val="single" w:sz="4" w:space="0" w:color="auto"/>
              <w:right w:val="single" w:sz="4" w:space="0" w:color="auto"/>
            </w:tcBorders>
          </w:tcPr>
          <w:p w14:paraId="20F0251C" w14:textId="77777777" w:rsidR="00456917" w:rsidRPr="00F65CC0" w:rsidRDefault="00456917" w:rsidP="00177665">
            <w:pPr>
              <w:rPr>
                <w:lang w:val="es-419"/>
              </w:rPr>
            </w:pPr>
            <w:r w:rsidRPr="00F65CC0">
              <w:rPr>
                <w:lang w:val="es-419"/>
              </w:rPr>
              <w:t>142</w:t>
            </w:r>
          </w:p>
        </w:tc>
        <w:tc>
          <w:tcPr>
            <w:tcW w:w="2268" w:type="dxa"/>
            <w:tcBorders>
              <w:top w:val="single" w:sz="4" w:space="0" w:color="auto"/>
              <w:left w:val="single" w:sz="4" w:space="0" w:color="auto"/>
              <w:bottom w:val="single" w:sz="4" w:space="0" w:color="auto"/>
              <w:right w:val="single" w:sz="4" w:space="0" w:color="auto"/>
            </w:tcBorders>
          </w:tcPr>
          <w:p w14:paraId="37CC75BE" w14:textId="77777777" w:rsidR="00456917" w:rsidRPr="00F65CC0" w:rsidRDefault="00456917" w:rsidP="00177665">
            <w:pPr>
              <w:rPr>
                <w:lang w:val="es-419"/>
              </w:rPr>
            </w:pPr>
          </w:p>
        </w:tc>
      </w:tr>
    </w:tbl>
    <w:p w14:paraId="293CCBD6" w14:textId="77777777" w:rsidR="00456917" w:rsidRPr="00F65CC0" w:rsidRDefault="00456917" w:rsidP="00456917">
      <w:pPr>
        <w:rPr>
          <w:lang w:val="es-419"/>
        </w:rPr>
      </w:pPr>
    </w:p>
    <w:p w14:paraId="42DA0229" w14:textId="77777777" w:rsidR="00456917" w:rsidRPr="00F65CC0" w:rsidRDefault="00456917" w:rsidP="00456917">
      <w:pPr>
        <w:pStyle w:val="RuleQuote"/>
        <w:ind w:left="0"/>
        <w:rPr>
          <w:i w:val="0"/>
          <w:lang w:val="es-419"/>
        </w:rPr>
      </w:pPr>
      <w:r w:rsidRPr="00F65CC0">
        <w:rPr>
          <w:i w:val="0"/>
          <w:lang w:val="es-419"/>
        </w:rPr>
        <w:t>Otra información además de la que figura en el informe SGC y en el cuadro anterior (opcional):</w:t>
      </w:r>
    </w:p>
    <w:p w14:paraId="5B80F85A" w14:textId="1BA92415" w:rsidR="00456917" w:rsidRPr="00F65CC0" w:rsidRDefault="00456917" w:rsidP="00456917">
      <w:pPr>
        <w:jc w:val="both"/>
        <w:rPr>
          <w:lang w:val="es-419"/>
        </w:rPr>
      </w:pPr>
      <w:r w:rsidRPr="00F65CC0">
        <w:rPr>
          <w:lang w:val="es-419"/>
        </w:rPr>
        <w:t>La mayoría de los examinadores de solicitudes de patente de la IPOS posee un doctorado y cuenta con experiencia laboral pertinente en investigación y profesiones técnicas.</w:t>
      </w:r>
    </w:p>
    <w:p w14:paraId="780FDE8E" w14:textId="77777777" w:rsidR="00456917" w:rsidRPr="00F65CC0" w:rsidRDefault="00456917" w:rsidP="00456917">
      <w:pPr>
        <w:pStyle w:val="SectionHeading"/>
        <w:rPr>
          <w:lang w:val="es-419"/>
        </w:rPr>
      </w:pPr>
      <w:r w:rsidRPr="00F65CC0">
        <w:rPr>
          <w:lang w:val="es-419"/>
        </w:rPr>
        <w:t>2.2. Documentación mínima puesta a disposición para consulta</w:t>
      </w:r>
    </w:p>
    <w:p w14:paraId="13D9D61D" w14:textId="77777777" w:rsidR="00456917" w:rsidRPr="00F65CC0" w:rsidRDefault="00456917" w:rsidP="00456917">
      <w:pPr>
        <w:pStyle w:val="RuleQuote"/>
        <w:rPr>
          <w:lang w:val="es-419"/>
        </w:rPr>
      </w:pPr>
      <w:r w:rsidRPr="00F65CC0">
        <w:rPr>
          <w:lang w:val="es-419"/>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26F7D900" w14:textId="756BDDA0" w:rsidR="00456917" w:rsidRPr="00F65CC0" w:rsidRDefault="00456917" w:rsidP="00456917">
      <w:pPr>
        <w:pStyle w:val="RuleQuote"/>
        <w:rPr>
          <w:szCs w:val="24"/>
          <w:lang w:val="es-419"/>
        </w:rPr>
      </w:pPr>
      <w:r w:rsidRPr="00F65CC0">
        <w:rPr>
          <w:lang w:val="es-419"/>
        </w:rPr>
        <w:t xml:space="preserve">Los requisitos especificados en las Instrucciones Administrativas figuran en la circular </w:t>
      </w:r>
      <w:hyperlink r:id="rId12" w:history="1">
        <w:r w:rsidRPr="00F65CC0">
          <w:rPr>
            <w:rStyle w:val="Hyperlink"/>
            <w:lang w:val="es-419"/>
          </w:rPr>
          <w:t>C. PCT 1672</w:t>
        </w:r>
      </w:hyperlink>
      <w:r w:rsidRPr="00F65CC0">
        <w:rPr>
          <w:lang w:val="es-419"/>
        </w:rPr>
        <w:t>, de 19 de junio de 2024.</w:t>
      </w:r>
    </w:p>
    <w:p w14:paraId="0D4C8CE6" w14:textId="28C8FE82" w:rsidR="00456917" w:rsidRPr="00F65CC0" w:rsidRDefault="00456917" w:rsidP="00456917">
      <w:pPr>
        <w:pStyle w:val="Question"/>
        <w:spacing w:after="0"/>
        <w:rPr>
          <w:b w:val="0"/>
          <w:bCs w:val="0"/>
          <w:lang w:val="es-419"/>
        </w:rPr>
      </w:pPr>
      <w:r w:rsidRPr="00F65CC0">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F65CC0">
        <w:rPr>
          <w:b w:val="0"/>
          <w:lang w:val="es-419"/>
        </w:rPr>
        <w:br/>
      </w:r>
      <w:r w:rsidRPr="00F65CC0">
        <w:rPr>
          <w:b w:val="0"/>
          <w:lang w:val="es-419"/>
        </w:rPr>
        <w:br/>
        <w:t>O bien:</w:t>
      </w:r>
      <w:r w:rsidRPr="00F65CC0">
        <w:rPr>
          <w:b w:val="0"/>
          <w:lang w:val="es-419"/>
        </w:rPr>
        <w:br/>
      </w:r>
      <w:r w:rsidRPr="00F65CC0">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F65CC0">
            <w:rPr>
              <w:rFonts w:ascii="MS Gothic" w:eastAsia="MS Gothic" w:hAnsi="MS Gothic"/>
              <w:b w:val="0"/>
              <w:bCs w:val="0"/>
              <w:lang w:val="es-419"/>
            </w:rPr>
            <w:t>☒</w:t>
          </w:r>
        </w:sdtContent>
      </w:sdt>
      <w:r w:rsidRPr="00F65CC0">
        <w:rPr>
          <w:b w:val="0"/>
          <w:lang w:val="es-419"/>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haya puesto a disposición para su consulta han sido publicados en la Gaceta del PCT el 23 de octubre de 2025 en: </w:t>
      </w:r>
      <w:hyperlink r:id="rId13" w:history="1">
        <w:r w:rsidRPr="00F65CC0">
          <w:rPr>
            <w:rStyle w:val="Hyperlink"/>
            <w:b w:val="0"/>
            <w:lang w:val="es-419"/>
          </w:rPr>
          <w:t>https://www.wipo.int/documents/d/pct-system/docs-en-official-notices-officialnotices.pdf#page=207</w:t>
        </w:r>
      </w:hyperlink>
      <w:r w:rsidRPr="00F65CC0">
        <w:rPr>
          <w:b w:val="0"/>
          <w:lang w:val="es-419"/>
        </w:rPr>
        <w:t>.</w:t>
      </w:r>
    </w:p>
    <w:p w14:paraId="4CC61A5D" w14:textId="77777777" w:rsidR="00456917" w:rsidRPr="00F65CC0" w:rsidRDefault="00456917" w:rsidP="00456917">
      <w:pPr>
        <w:pStyle w:val="Answer"/>
        <w:ind w:left="0"/>
        <w:rPr>
          <w:lang w:val="es-419"/>
        </w:rPr>
      </w:pPr>
    </w:p>
    <w:p w14:paraId="66EE2E36" w14:textId="77777777" w:rsidR="00456917" w:rsidRPr="00F65CC0" w:rsidRDefault="00456917" w:rsidP="00456917">
      <w:pPr>
        <w:pStyle w:val="Answer"/>
        <w:ind w:left="0"/>
        <w:rPr>
          <w:lang w:val="es-419"/>
        </w:rPr>
      </w:pPr>
      <w:r w:rsidRPr="00F65CC0">
        <w:rPr>
          <w:lang w:val="es-419"/>
        </w:rPr>
        <w:t>O bien:</w:t>
      </w:r>
    </w:p>
    <w:p w14:paraId="0A0A7313" w14:textId="18C52A03" w:rsidR="00456917" w:rsidRPr="00F65CC0" w:rsidRDefault="007807E0" w:rsidP="00F65CC0">
      <w:pPr>
        <w:pStyle w:val="Answer"/>
        <w:keepNext/>
        <w:keepLines/>
        <w:ind w:left="0"/>
        <w:rPr>
          <w:lang w:val="es-419"/>
        </w:rPr>
      </w:pPr>
      <w:sdt>
        <w:sdtPr>
          <w:rPr>
            <w:lang w:val="es-419"/>
          </w:rPr>
          <w:id w:val="229279132"/>
          <w14:checkbox>
            <w14:checked w14:val="0"/>
            <w14:checkedState w14:val="2612" w14:font="MS Gothic"/>
            <w14:uncheckedState w14:val="2610" w14:font="MS Gothic"/>
          </w14:checkbox>
        </w:sdtPr>
        <w:sdtEndPr/>
        <w:sdtContent>
          <w:r w:rsidR="00456917" w:rsidRPr="00F65CC0">
            <w:rPr>
              <w:rFonts w:ascii="MS Gothic" w:eastAsia="MS Gothic" w:hAnsi="MS Gothic"/>
              <w:lang w:val="es-419"/>
            </w:rPr>
            <w:t>☐</w:t>
          </w:r>
        </w:sdtContent>
      </w:sdt>
      <w:r w:rsidR="00456917" w:rsidRPr="00F65CC0">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4DED516E" w14:textId="77777777" w:rsidR="00456917" w:rsidRPr="00F65CC0" w:rsidRDefault="00456917" w:rsidP="00456917">
      <w:pPr>
        <w:pStyle w:val="SectionHeading"/>
        <w:rPr>
          <w:lang w:val="es-419"/>
        </w:rPr>
      </w:pPr>
      <w:r w:rsidRPr="00F65CC0">
        <w:rPr>
          <w:lang w:val="es-419"/>
        </w:rPr>
        <w:t>2.3. Acceso a la documentación mínima</w:t>
      </w:r>
    </w:p>
    <w:p w14:paraId="2459C546" w14:textId="77777777" w:rsidR="00456917" w:rsidRPr="00F65CC0" w:rsidRDefault="00456917" w:rsidP="00456917">
      <w:pPr>
        <w:pStyle w:val="RuleQuote"/>
        <w:rPr>
          <w:i w:val="0"/>
          <w:iCs w:val="0"/>
          <w:lang w:val="es-419"/>
        </w:rPr>
      </w:pPr>
      <w:r w:rsidRPr="00F65CC0">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108F0B4A" w14:textId="77777777" w:rsidR="00456917" w:rsidRPr="00F65CC0" w:rsidRDefault="00456917" w:rsidP="00456917">
      <w:pPr>
        <w:pStyle w:val="RuleQuote"/>
        <w:ind w:left="0"/>
        <w:rPr>
          <w:i w:val="0"/>
          <w:lang w:val="es-419"/>
        </w:rPr>
      </w:pPr>
      <w:r w:rsidRPr="00F65CC0">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4A82E798" w14:textId="77777777" w:rsidR="00456917" w:rsidRPr="00F65CC0" w:rsidRDefault="00456917" w:rsidP="00456917">
      <w:pPr>
        <w:pStyle w:val="RuleQuote"/>
        <w:ind w:left="0"/>
        <w:rPr>
          <w:i w:val="0"/>
          <w:lang w:val="es-419"/>
        </w:rPr>
      </w:pPr>
      <w:r w:rsidRPr="00F65CC0">
        <w:rPr>
          <w:i w:val="0"/>
          <w:lang w:val="es-419"/>
        </w:rPr>
        <w:t>Otra información además del informe SGC (opcional):</w:t>
      </w:r>
    </w:p>
    <w:p w14:paraId="3DD8963D" w14:textId="77777777" w:rsidR="00456917" w:rsidRPr="00F65CC0" w:rsidRDefault="00456917" w:rsidP="00456917">
      <w:pPr>
        <w:pStyle w:val="SectionHeading"/>
        <w:rPr>
          <w:lang w:val="es-419"/>
        </w:rPr>
      </w:pPr>
      <w:r w:rsidRPr="00F65CC0">
        <w:rPr>
          <w:lang w:val="es-419"/>
        </w:rPr>
        <w:t>2.4. Gestión de la calidad</w:t>
      </w:r>
    </w:p>
    <w:p w14:paraId="390878B4" w14:textId="77777777" w:rsidR="00456917" w:rsidRPr="00F65CC0" w:rsidRDefault="00456917" w:rsidP="00456917">
      <w:pPr>
        <w:pStyle w:val="RuleQuote"/>
        <w:rPr>
          <w:lang w:val="es-419"/>
        </w:rPr>
      </w:pPr>
      <w:r w:rsidRPr="00F65CC0">
        <w:rPr>
          <w:lang w:val="es-419"/>
        </w:rPr>
        <w:t>Reglas 36.1.iv) y 63.1.iv): Esa Oficina u organización deberá disponer de un sistema de gestión de calidad y un sistema de revisión interna, conforme a las reglas comunes de la búsqueda internacional.</w:t>
      </w:r>
    </w:p>
    <w:p w14:paraId="150B635D" w14:textId="77777777" w:rsidR="00456917" w:rsidRPr="00F65CC0" w:rsidRDefault="00456917" w:rsidP="00456917">
      <w:pPr>
        <w:pStyle w:val="RuleQuote"/>
        <w:ind w:left="0"/>
        <w:rPr>
          <w:i w:val="0"/>
          <w:iCs w:val="0"/>
          <w:lang w:val="es-419"/>
        </w:rPr>
      </w:pPr>
      <w:r w:rsidRPr="00F65CC0">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407ADEA3" w14:textId="77777777" w:rsidR="00456917" w:rsidRPr="00F65CC0" w:rsidRDefault="00456917" w:rsidP="00456917">
      <w:pPr>
        <w:pStyle w:val="RuleQuote"/>
        <w:ind w:left="0"/>
        <w:rPr>
          <w:i w:val="0"/>
          <w:lang w:val="es-419"/>
        </w:rPr>
      </w:pPr>
      <w:r w:rsidRPr="00F65CC0">
        <w:rPr>
          <w:i w:val="0"/>
          <w:lang w:val="es-419"/>
        </w:rPr>
        <w:t>Otra información además del informe SGC (opcional):</w:t>
      </w:r>
    </w:p>
    <w:p w14:paraId="76808676" w14:textId="77777777" w:rsidR="00456917" w:rsidRPr="00F65CC0" w:rsidRDefault="00456917" w:rsidP="00456917">
      <w:pPr>
        <w:pStyle w:val="SectionHeading"/>
        <w:rPr>
          <w:lang w:val="es-419"/>
        </w:rPr>
      </w:pPr>
      <w:r w:rsidRPr="00F65CC0">
        <w:rPr>
          <w:lang w:val="es-419"/>
        </w:rPr>
        <w:t>3. Ámbito de actuación</w:t>
      </w:r>
    </w:p>
    <w:p w14:paraId="3BB3411F" w14:textId="4468884A" w:rsidR="00456917" w:rsidRPr="00F65CC0" w:rsidRDefault="00456917" w:rsidP="00456917">
      <w:pPr>
        <w:pStyle w:val="Question"/>
        <w:numPr>
          <w:ilvl w:val="0"/>
          <w:numId w:val="7"/>
        </w:numPr>
        <w:spacing w:after="240"/>
        <w:ind w:left="0" w:firstLine="0"/>
        <w:rPr>
          <w:i/>
          <w:iCs/>
          <w:lang w:val="es-419"/>
        </w:rPr>
      </w:pPr>
      <w:r w:rsidRPr="00F65CC0">
        <w:rPr>
          <w:lang w:val="es-419"/>
        </w:rPr>
        <w:t>Ámbito de actuación actual</w:t>
      </w:r>
    </w:p>
    <w:p w14:paraId="66D61D99" w14:textId="43FF6DFC" w:rsidR="00456917" w:rsidRPr="00F65CC0" w:rsidRDefault="00456917" w:rsidP="00456917">
      <w:pPr>
        <w:pStyle w:val="Question"/>
        <w:keepNext w:val="0"/>
        <w:spacing w:after="480"/>
        <w:rPr>
          <w:lang w:val="es-419"/>
        </w:rPr>
      </w:pPr>
      <w:r w:rsidRPr="00F65CC0">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F65CC0">
        <w:rPr>
          <w:b w:val="0"/>
          <w:i/>
          <w:iCs/>
          <w:lang w:val="es-419"/>
        </w:rPr>
        <w:t>Guía del Solicitante del PCT</w:t>
      </w:r>
      <w:r w:rsidRPr="00F65CC0">
        <w:rPr>
          <w:b w:val="0"/>
          <w:lang w:val="es-419"/>
        </w:rPr>
        <w:t>, en el siguiente enlace</w:t>
      </w:r>
      <w:bookmarkStart w:id="5" w:name="_Hlk214637647"/>
      <w:r w:rsidRPr="00F65CC0">
        <w:rPr>
          <w:b w:val="0"/>
          <w:lang w:val="es-419"/>
        </w:rPr>
        <w:t xml:space="preserve">: </w:t>
      </w:r>
      <w:hyperlink r:id="rId14" w:history="1">
        <w:r w:rsidRPr="00F65CC0">
          <w:rPr>
            <w:rStyle w:val="Hyperlink"/>
            <w:b w:val="0"/>
            <w:lang w:val="es-419"/>
          </w:rPr>
          <w:t>https://pctlegal.wipo.int/eGuide/view-doc.xhtml?doc-code=SG&amp;doc-lang=en#ISA</w:t>
        </w:r>
      </w:hyperlink>
      <w:r w:rsidRPr="00F65CC0">
        <w:rPr>
          <w:b w:val="0"/>
          <w:lang w:val="es-419"/>
        </w:rPr>
        <w:t xml:space="preserve"> and</w:t>
      </w:r>
      <w:bookmarkEnd w:id="5"/>
      <w:r w:rsidRPr="00F65CC0">
        <w:rPr>
          <w:b w:val="0"/>
          <w:lang w:val="es-419"/>
        </w:rPr>
        <w:t xml:space="preserve"> </w:t>
      </w:r>
      <w:hyperlink r:id="rId15" w:history="1">
        <w:r w:rsidRPr="00F65CC0">
          <w:rPr>
            <w:rStyle w:val="Hyperlink"/>
            <w:b w:val="0"/>
            <w:lang w:val="es-419"/>
          </w:rPr>
          <w:t>https://pctlegal.wipo.int/eGuide/view-doc.xhtml?doc-code=SG&amp;doc-lang=en#IPEA</w:t>
        </w:r>
      </w:hyperlink>
      <w:r w:rsidRPr="00F65CC0">
        <w:rPr>
          <w:b w:val="0"/>
          <w:i/>
          <w:lang w:val="es-419"/>
        </w:rPr>
        <w:t>.</w:t>
      </w:r>
    </w:p>
    <w:p w14:paraId="7842C69A" w14:textId="0FBED868" w:rsidR="00456917" w:rsidRPr="00F65CC0" w:rsidRDefault="00456917" w:rsidP="00F65CC0">
      <w:pPr>
        <w:pStyle w:val="Question"/>
        <w:keepNext w:val="0"/>
        <w:keepLines w:val="0"/>
        <w:numPr>
          <w:ilvl w:val="0"/>
          <w:numId w:val="7"/>
        </w:numPr>
        <w:spacing w:after="240"/>
        <w:ind w:left="0" w:firstLine="0"/>
        <w:rPr>
          <w:lang w:val="es-419"/>
        </w:rPr>
      </w:pPr>
      <w:r w:rsidRPr="00F65CC0">
        <w:rPr>
          <w:lang w:val="es-419"/>
        </w:rPr>
        <w:t>Cambios previstos en el ámbito de actuación como Administración, tales como las Oficinas receptoras para las que la Administración es competente y las lenguas ofrecidas (si procede):</w:t>
      </w:r>
    </w:p>
    <w:p w14:paraId="41B45C2A" w14:textId="77777777" w:rsidR="00456917" w:rsidRPr="00F65CC0" w:rsidRDefault="00456917" w:rsidP="00456917">
      <w:pPr>
        <w:pStyle w:val="SectionHeading"/>
        <w:rPr>
          <w:lang w:val="es-419"/>
        </w:rPr>
      </w:pPr>
      <w:r w:rsidRPr="00F65CC0">
        <w:rPr>
          <w:lang w:val="es-419"/>
        </w:rPr>
        <w:lastRenderedPageBreak/>
        <w:t>4. Otra información</w:t>
      </w:r>
    </w:p>
    <w:p w14:paraId="4106E87D" w14:textId="77777777" w:rsidR="00456917" w:rsidRPr="00F65CC0" w:rsidRDefault="00456917" w:rsidP="00456917">
      <w:pPr>
        <w:rPr>
          <w:lang w:val="es-419"/>
        </w:rPr>
      </w:pPr>
      <w:r w:rsidRPr="00F65CC0">
        <w:rPr>
          <w:lang w:val="es-419"/>
        </w:rPr>
        <w:t>Demás información pertinente para la prórroga de la designación como Administración encargada de la búsqueda y del examen preliminar internacionales:</w:t>
      </w:r>
    </w:p>
    <w:p w14:paraId="29E04B35" w14:textId="34C9E946" w:rsidR="00456917" w:rsidRPr="00F65CC0" w:rsidRDefault="00456917" w:rsidP="00456917">
      <w:pPr>
        <w:rPr>
          <w:lang w:val="es-419"/>
        </w:rPr>
      </w:pPr>
    </w:p>
    <w:p w14:paraId="1CB1E9E0" w14:textId="77777777" w:rsidR="00456917" w:rsidRPr="00F65CC0" w:rsidRDefault="00456917" w:rsidP="001D6496">
      <w:pPr>
        <w:keepNext/>
        <w:rPr>
          <w:b/>
          <w:bCs/>
          <w:lang w:val="es-419"/>
        </w:rPr>
      </w:pPr>
      <w:bookmarkStart w:id="6" w:name="_Hlk213751400"/>
      <w:r w:rsidRPr="00F65CC0">
        <w:rPr>
          <w:b/>
          <w:lang w:val="es-419"/>
        </w:rPr>
        <w:t>Excelencia probada de la IPOS como ISA/IPEA</w:t>
      </w:r>
    </w:p>
    <w:p w14:paraId="70660400" w14:textId="77777777" w:rsidR="00456917" w:rsidRPr="00F65CC0" w:rsidRDefault="00456917" w:rsidP="001D6496">
      <w:pPr>
        <w:keepNext/>
        <w:rPr>
          <w:b/>
          <w:bCs/>
          <w:lang w:val="es-419"/>
        </w:rPr>
      </w:pPr>
    </w:p>
    <w:p w14:paraId="14B454BC" w14:textId="77777777" w:rsidR="00456917" w:rsidRPr="00F65CC0" w:rsidRDefault="00456917" w:rsidP="001D6496">
      <w:pPr>
        <w:keepNext/>
        <w:rPr>
          <w:lang w:val="es-419"/>
        </w:rPr>
      </w:pPr>
      <w:r w:rsidRPr="00F65CC0">
        <w:rPr>
          <w:lang w:val="es-419"/>
        </w:rPr>
        <w:t>Desde el inicio de su actividad en calidad de Administración encargada de la búsqueda internacional (ISA) y de Administración encargada del examen preliminar internacional (IPEA) en 2015, la IPOS ha demostrado sistemáticamente un excelente rendimiento en los parámetros clave, realizando asimismo contribuciones significativas y proactivas al régimen del Tratado de Cooperación en materia de Patentes (PCT) para prestar a los solicitantes un mejor servicio.</w:t>
      </w:r>
    </w:p>
    <w:p w14:paraId="652376F4" w14:textId="77777777" w:rsidR="00456917" w:rsidRPr="00F65CC0" w:rsidRDefault="00456917" w:rsidP="00456917">
      <w:pPr>
        <w:rPr>
          <w:lang w:val="es-419"/>
        </w:rPr>
      </w:pPr>
    </w:p>
    <w:p w14:paraId="646D5CEA" w14:textId="4D1D0F09" w:rsidR="00456917" w:rsidRPr="00F65CC0" w:rsidRDefault="00456917" w:rsidP="00456917">
      <w:pPr>
        <w:rPr>
          <w:b/>
          <w:lang w:val="es-419"/>
        </w:rPr>
      </w:pPr>
      <w:r w:rsidRPr="00F65CC0">
        <w:rPr>
          <w:b/>
          <w:lang w:val="es-419"/>
        </w:rPr>
        <w:t xml:space="preserve">Parámetros clave: </w:t>
      </w:r>
      <w:r w:rsidR="002D2BEC" w:rsidRPr="00F65CC0">
        <w:rPr>
          <w:b/>
          <w:lang w:val="es-419"/>
        </w:rPr>
        <w:t>p</w:t>
      </w:r>
      <w:r w:rsidRPr="00F65CC0">
        <w:rPr>
          <w:b/>
          <w:lang w:val="es-419"/>
        </w:rPr>
        <w:t>untualidad y calidad</w:t>
      </w:r>
    </w:p>
    <w:p w14:paraId="746AF557" w14:textId="4111D6E1" w:rsidR="00456917" w:rsidRPr="00F65CC0" w:rsidRDefault="00456917" w:rsidP="00456917">
      <w:pPr>
        <w:rPr>
          <w:lang w:val="es-419"/>
        </w:rPr>
      </w:pPr>
    </w:p>
    <w:p w14:paraId="46531260" w14:textId="080DD8F6" w:rsidR="00456917" w:rsidRPr="00F65CC0" w:rsidRDefault="002D2BEC" w:rsidP="00456917">
      <w:pPr>
        <w:rPr>
          <w:lang w:val="es-419"/>
        </w:rPr>
      </w:pPr>
      <w:r w:rsidRPr="00F65CC0">
        <w:rPr>
          <w:lang w:val="es-419"/>
        </w:rPr>
        <w:t xml:space="preserve">La </w:t>
      </w:r>
      <w:r w:rsidR="00456917" w:rsidRPr="00F65CC0">
        <w:rPr>
          <w:lang w:val="es-419"/>
        </w:rPr>
        <w:t>IPOS ha mantenido un historial constante de puntualidad desde 2015, cualidad muy valorada por los solicitantes que piden opiniones preliminares sobre la patentabilidad de sus invenciones. Logramos sistemáticamente más del 98 % de puntualidad en la elaboración del informe de búsqueda internacional y la opinión escrita</w:t>
      </w:r>
      <w:r w:rsidR="00BD4FED" w:rsidRPr="00F65CC0">
        <w:rPr>
          <w:lang w:val="es-419"/>
        </w:rPr>
        <w:t>,</w:t>
      </w:r>
      <w:r w:rsidR="00456917" w:rsidRPr="00F65CC0">
        <w:rPr>
          <w:lang w:val="es-419"/>
        </w:rPr>
        <w:t xml:space="preserve"> dentro del plazo de tres meses a partir de la fecha de recepción del ejemplar original, y un 100 % de puntualidad en la elaboración del informe de examen preliminar internacional dentro de los 28 meses contados a partir de la fecha de prioridad de la solicitud internacional.</w:t>
      </w:r>
    </w:p>
    <w:p w14:paraId="7BF4CBCE" w14:textId="77777777" w:rsidR="00456917" w:rsidRPr="00F65CC0" w:rsidRDefault="00456917" w:rsidP="00456917">
      <w:pPr>
        <w:rPr>
          <w:lang w:val="es-419"/>
        </w:rPr>
      </w:pPr>
    </w:p>
    <w:p w14:paraId="793BA35B" w14:textId="5E016182" w:rsidR="00456917" w:rsidRPr="00F65CC0" w:rsidRDefault="00456917" w:rsidP="00456917">
      <w:pPr>
        <w:rPr>
          <w:lang w:val="es-419"/>
        </w:rPr>
      </w:pPr>
      <w:r w:rsidRPr="00F65CC0">
        <w:rPr>
          <w:lang w:val="es-419"/>
        </w:rPr>
        <w:t>Nuestro compromiso de ofrecer resultados de alta calidad se valida rigurosamente mediante encuestas entre los usuarios en las que se recogen sus opiniones sobre los productos de búsqueda y examen y se reconocen las áreas susceptibles de mejora. Hemos alcanzado niveles de satisfacción superiores al 80 % en lo que atañe a los productos y servicios del PCT. Los usuarios elogian especialmente la facilidad de comunicación con el examinador de la IPOS durante la fase de la IPEA que lleva a la emisión del informe preliminar internacional sobre la patentabilidad.</w:t>
      </w:r>
    </w:p>
    <w:bookmarkEnd w:id="6"/>
    <w:p w14:paraId="7FF6CE45" w14:textId="77777777" w:rsidR="00456917" w:rsidRPr="00F65CC0" w:rsidRDefault="00456917" w:rsidP="00456917">
      <w:pPr>
        <w:rPr>
          <w:lang w:val="es-419"/>
        </w:rPr>
      </w:pPr>
    </w:p>
    <w:p w14:paraId="3A5422C8" w14:textId="77777777" w:rsidR="00456917" w:rsidRPr="00F65CC0" w:rsidRDefault="00456917" w:rsidP="00456917">
      <w:pPr>
        <w:rPr>
          <w:b/>
          <w:bCs/>
          <w:lang w:val="es-419"/>
        </w:rPr>
      </w:pPr>
      <w:r w:rsidRPr="00F65CC0">
        <w:rPr>
          <w:b/>
          <w:lang w:val="es-419"/>
        </w:rPr>
        <w:t>Contribuciones al régimen del PCT</w:t>
      </w:r>
    </w:p>
    <w:p w14:paraId="48C713EB" w14:textId="77777777" w:rsidR="00456917" w:rsidRPr="00F65CC0" w:rsidRDefault="00456917" w:rsidP="00456917">
      <w:pPr>
        <w:rPr>
          <w:b/>
          <w:bCs/>
          <w:lang w:val="es-419"/>
        </w:rPr>
      </w:pPr>
    </w:p>
    <w:p w14:paraId="1854003B" w14:textId="77777777" w:rsidR="00456917" w:rsidRPr="00F65CC0" w:rsidRDefault="00456917" w:rsidP="00456917">
      <w:pPr>
        <w:rPr>
          <w:lang w:val="es-419"/>
        </w:rPr>
      </w:pPr>
      <w:r w:rsidRPr="00F65CC0">
        <w:rPr>
          <w:lang w:val="es-419"/>
        </w:rPr>
        <w:t>La IPOS apoya activamente la expansión mundial y el valor del Sistema del PCT mediante un servicio multilingüe y contribuyendo a la evolución del marco del PCT.</w:t>
      </w:r>
    </w:p>
    <w:p w14:paraId="69999373" w14:textId="77777777" w:rsidR="00456917" w:rsidRPr="00F65CC0" w:rsidRDefault="00456917" w:rsidP="00456917">
      <w:pPr>
        <w:rPr>
          <w:lang w:val="es-419"/>
        </w:rPr>
      </w:pPr>
    </w:p>
    <w:p w14:paraId="43BA8F93" w14:textId="77777777" w:rsidR="00456917" w:rsidRPr="00F65CC0" w:rsidRDefault="00456917" w:rsidP="00456917">
      <w:pPr>
        <w:pStyle w:val="ListParagraph"/>
        <w:numPr>
          <w:ilvl w:val="0"/>
          <w:numId w:val="9"/>
        </w:numPr>
        <w:rPr>
          <w:b/>
          <w:bCs/>
          <w:lang w:val="es-419"/>
        </w:rPr>
      </w:pPr>
      <w:r w:rsidRPr="00F65CC0">
        <w:rPr>
          <w:b/>
          <w:lang w:val="es-419"/>
        </w:rPr>
        <w:t>Conocimientos especializados multilingües</w:t>
      </w:r>
    </w:p>
    <w:p w14:paraId="6722CA59" w14:textId="77777777" w:rsidR="00456917" w:rsidRPr="00F65CC0" w:rsidRDefault="00456917" w:rsidP="00456917">
      <w:pPr>
        <w:ind w:left="360"/>
        <w:rPr>
          <w:b/>
          <w:bCs/>
          <w:lang w:val="es-419"/>
        </w:rPr>
      </w:pPr>
    </w:p>
    <w:p w14:paraId="3CB9B144" w14:textId="3BE90CD0" w:rsidR="00456917" w:rsidRPr="00F65CC0" w:rsidRDefault="00456917" w:rsidP="00456917">
      <w:pPr>
        <w:ind w:left="360"/>
        <w:rPr>
          <w:lang w:val="es-419"/>
        </w:rPr>
      </w:pPr>
      <w:r w:rsidRPr="00F65CC0">
        <w:rPr>
          <w:lang w:val="es-419"/>
        </w:rPr>
        <w:t>Mantenemos una firme capacidad para trabajar con solicitudes PCT tanto en inglés como en chino. Además, como Administración designada para la búsqueda internacional suplementaria, prestamos servicios de búsqueda y examen en chino. Esta capacidad singular ofrece un valor significativo al sistema del PCT porque proporciona a los solicitantes de todo el mundo diferentes opciones lingüísticas, para que los servicios de búsqueda y examen se ajust</w:t>
      </w:r>
      <w:r w:rsidR="00B46D81" w:rsidRPr="00F65CC0">
        <w:rPr>
          <w:lang w:val="es-419"/>
        </w:rPr>
        <w:t>e</w:t>
      </w:r>
      <w:r w:rsidRPr="00F65CC0">
        <w:rPr>
          <w:lang w:val="es-419"/>
        </w:rPr>
        <w:t>n a sus necesidades.</w:t>
      </w:r>
    </w:p>
    <w:p w14:paraId="3AD25DFD" w14:textId="77777777" w:rsidR="00456917" w:rsidRPr="00F65CC0" w:rsidRDefault="00456917" w:rsidP="00456917">
      <w:pPr>
        <w:rPr>
          <w:lang w:val="es-419"/>
        </w:rPr>
      </w:pPr>
    </w:p>
    <w:p w14:paraId="336C760C" w14:textId="77777777" w:rsidR="00456917" w:rsidRPr="00F65CC0" w:rsidRDefault="00456917" w:rsidP="00456917">
      <w:pPr>
        <w:pStyle w:val="ListParagraph"/>
        <w:numPr>
          <w:ilvl w:val="0"/>
          <w:numId w:val="9"/>
        </w:numPr>
        <w:rPr>
          <w:b/>
          <w:bCs/>
          <w:lang w:val="es-419"/>
        </w:rPr>
      </w:pPr>
      <w:r w:rsidRPr="00F65CC0">
        <w:rPr>
          <w:b/>
          <w:lang w:val="es-419"/>
        </w:rPr>
        <w:t>Plasmar el marco del PCT</w:t>
      </w:r>
    </w:p>
    <w:p w14:paraId="62F97A9B" w14:textId="77777777" w:rsidR="00456917" w:rsidRPr="00F65CC0" w:rsidRDefault="00456917" w:rsidP="00456917">
      <w:pPr>
        <w:ind w:left="360"/>
        <w:rPr>
          <w:b/>
          <w:bCs/>
          <w:lang w:val="es-419"/>
        </w:rPr>
      </w:pPr>
    </w:p>
    <w:p w14:paraId="17E17AC1" w14:textId="547BF9EC" w:rsidR="00456917" w:rsidRPr="00F65CC0" w:rsidRDefault="00456917" w:rsidP="00456917">
      <w:pPr>
        <w:ind w:left="360"/>
        <w:rPr>
          <w:lang w:val="es-419"/>
        </w:rPr>
      </w:pPr>
      <w:r w:rsidRPr="00F65CC0">
        <w:rPr>
          <w:lang w:val="es-419"/>
        </w:rPr>
        <w:t xml:space="preserve">Con actitud proactiva, hemos sugerido mejoras de la eficacia operativa del sistema del PCT en distintas propuestas y mediante nuestra participación activa en los debates. Nuestras propuestas formales, en los documentos PCT/WG/12/12 y PCT/MIA/27/4 al Grupo de Trabajo del PCT y a la Reunión de las Administraciones internacionales (MIA), se centraron </w:t>
      </w:r>
      <w:r w:rsidR="00AC6440" w:rsidRPr="00F65CC0">
        <w:rPr>
          <w:lang w:val="es-419"/>
        </w:rPr>
        <w:t xml:space="preserve">respectivamente </w:t>
      </w:r>
      <w:r w:rsidRPr="00F65CC0">
        <w:rPr>
          <w:lang w:val="es-419"/>
        </w:rPr>
        <w:t>en la modificación del Reglamento del PCT y de los procesos pertinentes para facilitar la accesibilidad y la transmisión oportuna de los documentos correspondientes al Capítulo</w:t>
      </w:r>
      <w:r w:rsidR="00AC6440" w:rsidRPr="00F65CC0">
        <w:rPr>
          <w:lang w:val="es-419"/>
        </w:rPr>
        <w:t> </w:t>
      </w:r>
      <w:r w:rsidRPr="00F65CC0">
        <w:rPr>
          <w:lang w:val="es-419"/>
        </w:rPr>
        <w:t xml:space="preserve">II por las Administraciones internacionales competentes, mejorando así de </w:t>
      </w:r>
      <w:r w:rsidRPr="00F65CC0">
        <w:rPr>
          <w:lang w:val="es-419"/>
        </w:rPr>
        <w:lastRenderedPageBreak/>
        <w:t>forma significativa la transparencia del procedimiento de examen. Además, participamos activamente en debates en reuniones internacionales como el Grupo de Trabajo del PCT, la Reunión de Administraciones internacionales (MIA) del PCT y el Grupo de Trabajo sobre documentación mínima del PCT, contribuyendo al desarrollo y la mejora del marco del PCT.</w:t>
      </w:r>
    </w:p>
    <w:p w14:paraId="402F0DEA" w14:textId="77777777" w:rsidR="00456917" w:rsidRPr="00F65CC0" w:rsidRDefault="00456917" w:rsidP="00F65CC0">
      <w:pPr>
        <w:ind w:left="360"/>
        <w:rPr>
          <w:lang w:val="es-419"/>
        </w:rPr>
      </w:pPr>
      <w:r w:rsidRPr="00F65CC0">
        <w:rPr>
          <w:lang w:val="es-419"/>
        </w:rPr>
        <w:t>Estamos firmemente decididos a mejorar continuamente la calidad y participamos activamente en la labor colaborativa del Subgrupo encargado de la calidad:</w:t>
      </w:r>
    </w:p>
    <w:p w14:paraId="68358EA4" w14:textId="77777777" w:rsidR="00456917" w:rsidRPr="00F65CC0" w:rsidRDefault="00456917" w:rsidP="00456917">
      <w:pPr>
        <w:rPr>
          <w:lang w:val="es-419"/>
        </w:rPr>
      </w:pPr>
    </w:p>
    <w:p w14:paraId="69AE121A" w14:textId="36E1B3A8" w:rsidR="00456917" w:rsidRPr="00F65CC0" w:rsidRDefault="00456917" w:rsidP="00456917">
      <w:pPr>
        <w:numPr>
          <w:ilvl w:val="0"/>
          <w:numId w:val="8"/>
        </w:numPr>
        <w:ind w:left="927"/>
        <w:rPr>
          <w:lang w:val="es-419"/>
        </w:rPr>
      </w:pPr>
      <w:r w:rsidRPr="00F65CC0">
        <w:rPr>
          <w:lang w:val="es-419"/>
        </w:rPr>
        <w:t>Revisión por homólogos: Participamos en una revisión por homólogos con la Oficina Japonesa de Patentes (JPO), centrada en mejorar nuestro Sistema de Gestión de Calidad.</w:t>
      </w:r>
    </w:p>
    <w:p w14:paraId="55F95832" w14:textId="77777777" w:rsidR="00456917" w:rsidRPr="00F65CC0" w:rsidRDefault="00456917" w:rsidP="00456917">
      <w:pPr>
        <w:rPr>
          <w:lang w:val="es-419"/>
        </w:rPr>
      </w:pPr>
    </w:p>
    <w:p w14:paraId="59B94D74" w14:textId="61D77A56" w:rsidR="00456917" w:rsidRPr="00F65CC0" w:rsidRDefault="00456917" w:rsidP="00456917">
      <w:pPr>
        <w:numPr>
          <w:ilvl w:val="0"/>
          <w:numId w:val="8"/>
        </w:numPr>
        <w:ind w:left="927"/>
        <w:rPr>
          <w:lang w:val="es-419"/>
        </w:rPr>
      </w:pPr>
      <w:r w:rsidRPr="00F65CC0">
        <w:rPr>
          <w:lang w:val="es-419"/>
        </w:rPr>
        <w:t>Debates en pequeños grupos: Contribuimos a los debates estratégicos con otras Administraciones internacionales para dar forma a las mejores prácticas, incluida la participación específica en la formación de examinadores de solicitudes de patentes (2024) y la aplicación estratégica de la inteligencia artificial (IA) en los procedimientos de búsqueda y examen de patentes (2025).</w:t>
      </w:r>
    </w:p>
    <w:p w14:paraId="34DD4C6F" w14:textId="77777777" w:rsidR="00456917" w:rsidRPr="00F65CC0" w:rsidRDefault="00456917" w:rsidP="00456917">
      <w:pPr>
        <w:rPr>
          <w:lang w:val="es-419"/>
        </w:rPr>
      </w:pPr>
    </w:p>
    <w:p w14:paraId="28CA0A61" w14:textId="77777777" w:rsidR="00456917" w:rsidRPr="00F65CC0" w:rsidRDefault="00456917" w:rsidP="00456917">
      <w:pPr>
        <w:ind w:firstLine="567"/>
        <w:rPr>
          <w:b/>
          <w:bCs/>
          <w:lang w:val="es-419"/>
        </w:rPr>
      </w:pPr>
      <w:r w:rsidRPr="00F65CC0">
        <w:rPr>
          <w:b/>
          <w:lang w:val="es-419"/>
        </w:rPr>
        <w:t>Conclusión</w:t>
      </w:r>
    </w:p>
    <w:p w14:paraId="69FCECB9" w14:textId="77777777" w:rsidR="00456917" w:rsidRPr="00F65CC0" w:rsidRDefault="00456917" w:rsidP="00456917">
      <w:pPr>
        <w:rPr>
          <w:lang w:val="es-419"/>
        </w:rPr>
      </w:pPr>
    </w:p>
    <w:p w14:paraId="27126BF8" w14:textId="644A95BD" w:rsidR="00456917" w:rsidRPr="00F65CC0" w:rsidRDefault="00456917" w:rsidP="00377C8F">
      <w:pPr>
        <w:spacing w:after="600"/>
        <w:ind w:left="562"/>
        <w:rPr>
          <w:lang w:val="es-419"/>
        </w:rPr>
      </w:pPr>
      <w:r w:rsidRPr="00F65CC0">
        <w:rPr>
          <w:lang w:val="es-419"/>
        </w:rPr>
        <w:t>Nuestro historial constante de puntualidad, calidad en la entrega, capacidad multilingüe e importantes contribuciones al desarrollo del PCT hacen de la IPOS una Administración internacional sumamente fiable y estratégicamente valiosa para el sistema mundial del</w:t>
      </w:r>
      <w:r w:rsidR="00AE3666" w:rsidRPr="00F65CC0">
        <w:rPr>
          <w:lang w:val="es-419"/>
        </w:rPr>
        <w:t> </w:t>
      </w:r>
      <w:r w:rsidRPr="00F65CC0">
        <w:rPr>
          <w:lang w:val="es-419"/>
        </w:rPr>
        <w:t>PCT.</w:t>
      </w:r>
    </w:p>
    <w:p w14:paraId="3268BD9D" w14:textId="77777777" w:rsidR="00F65CC0" w:rsidRPr="00F65CC0" w:rsidRDefault="00F65CC0" w:rsidP="00F65CC0">
      <w:pPr>
        <w:pBdr>
          <w:top w:val="single" w:sz="4" w:space="1" w:color="auto"/>
        </w:pBdr>
        <w:spacing w:after="600"/>
        <w:rPr>
          <w:lang w:val="es-419"/>
        </w:rPr>
      </w:pPr>
    </w:p>
    <w:p w14:paraId="55112A7E" w14:textId="173F151B" w:rsidR="00152CEA" w:rsidRPr="00F65CC0" w:rsidRDefault="00456917" w:rsidP="00F65CC0">
      <w:pPr>
        <w:pStyle w:val="Endofdocument-Annex"/>
        <w:spacing w:before="720"/>
        <w:rPr>
          <w:lang w:val="es-419"/>
        </w:rPr>
      </w:pPr>
      <w:r w:rsidRPr="00F65CC0">
        <w:rPr>
          <w:lang w:val="es-419"/>
        </w:rPr>
        <w:t>[Fin del anexo y del documento]</w:t>
      </w:r>
    </w:p>
    <w:sectPr w:rsidR="00152CEA" w:rsidRPr="00F65CC0" w:rsidSect="00456917">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DABA" w14:textId="77777777" w:rsidR="00456917" w:rsidRDefault="00456917">
      <w:r>
        <w:separator/>
      </w:r>
    </w:p>
  </w:endnote>
  <w:endnote w:type="continuationSeparator" w:id="0">
    <w:p w14:paraId="11AF175A" w14:textId="77777777" w:rsidR="00456917" w:rsidRPr="009D30E6" w:rsidRDefault="00456917" w:rsidP="007E663E">
      <w:pPr>
        <w:rPr>
          <w:sz w:val="17"/>
          <w:szCs w:val="17"/>
        </w:rPr>
      </w:pPr>
      <w:r w:rsidRPr="009D30E6">
        <w:rPr>
          <w:sz w:val="17"/>
          <w:szCs w:val="17"/>
        </w:rPr>
        <w:separator/>
      </w:r>
    </w:p>
    <w:p w14:paraId="051F912B" w14:textId="77777777" w:rsidR="00456917" w:rsidRPr="007E663E" w:rsidRDefault="00456917" w:rsidP="007E663E">
      <w:pPr>
        <w:spacing w:after="60"/>
        <w:rPr>
          <w:sz w:val="17"/>
          <w:szCs w:val="17"/>
        </w:rPr>
      </w:pPr>
      <w:r>
        <w:rPr>
          <w:sz w:val="17"/>
        </w:rPr>
        <w:t>[Continuación de la nota de la página anterior]</w:t>
      </w:r>
    </w:p>
  </w:endnote>
  <w:endnote w:type="continuationNotice" w:id="1">
    <w:p w14:paraId="4D2D65AC" w14:textId="77777777" w:rsidR="00456917" w:rsidRPr="007E663E" w:rsidRDefault="0045691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E17" w14:textId="566397BE"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9D76" w14:textId="6D7FAED8"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4794" w14:textId="011DC0F2"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609B" w14:textId="77777777" w:rsidR="00456917" w:rsidRDefault="00456917">
      <w:r>
        <w:separator/>
      </w:r>
    </w:p>
  </w:footnote>
  <w:footnote w:type="continuationSeparator" w:id="0">
    <w:p w14:paraId="052930D9" w14:textId="77777777" w:rsidR="00456917" w:rsidRPr="009D30E6" w:rsidRDefault="00456917" w:rsidP="007E663E">
      <w:pPr>
        <w:rPr>
          <w:sz w:val="17"/>
          <w:szCs w:val="17"/>
        </w:rPr>
      </w:pPr>
      <w:r w:rsidRPr="009D30E6">
        <w:rPr>
          <w:sz w:val="17"/>
          <w:szCs w:val="17"/>
        </w:rPr>
        <w:separator/>
      </w:r>
    </w:p>
    <w:p w14:paraId="1843AF94" w14:textId="77777777" w:rsidR="00456917" w:rsidRPr="007E663E" w:rsidRDefault="00456917" w:rsidP="007E663E">
      <w:pPr>
        <w:spacing w:after="60"/>
        <w:rPr>
          <w:sz w:val="17"/>
          <w:szCs w:val="17"/>
        </w:rPr>
      </w:pPr>
      <w:r>
        <w:rPr>
          <w:sz w:val="17"/>
        </w:rPr>
        <w:t>[Continuación de la nota de la página anterior]</w:t>
      </w:r>
    </w:p>
  </w:footnote>
  <w:footnote w:type="continuationNotice" w:id="1">
    <w:p w14:paraId="3CD5254C" w14:textId="77777777" w:rsidR="00456917" w:rsidRPr="007E663E" w:rsidRDefault="0045691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6A1967ED" w14:textId="77777777" w:rsidR="00456917" w:rsidRDefault="00456917">
        <w:pPr>
          <w:pStyle w:val="Header"/>
          <w:jc w:val="right"/>
        </w:pPr>
        <w:r>
          <w:fldChar w:fldCharType="begin"/>
        </w:r>
        <w:r>
          <w:instrText xml:space="preserve"> PAGE   \* MERGEFORMAT </w:instrText>
        </w:r>
        <w:r>
          <w:fldChar w:fldCharType="separate"/>
        </w:r>
        <w:r>
          <w:t>2</w:t>
        </w:r>
        <w:r>
          <w:fldChar w:fldCharType="end"/>
        </w:r>
      </w:p>
    </w:sdtContent>
  </w:sdt>
  <w:p w14:paraId="6BB4D4FF" w14:textId="77777777" w:rsidR="00456917" w:rsidRDefault="0045691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6BE7" w14:textId="77712265" w:rsidR="00AE7F20" w:rsidRPr="00EB0D93" w:rsidRDefault="00456917" w:rsidP="00477D6B">
    <w:pPr>
      <w:jc w:val="right"/>
      <w:rPr>
        <w:caps/>
      </w:rPr>
    </w:pPr>
    <w:bookmarkStart w:id="7" w:name="Code2"/>
    <w:bookmarkEnd w:id="7"/>
    <w:r>
      <w:rPr>
        <w:caps/>
      </w:rPr>
      <w:t>PCT/CTC/33/21</w:t>
    </w:r>
  </w:p>
  <w:p w14:paraId="45BB4F31" w14:textId="0FA71E4A" w:rsidR="00EC1AA7" w:rsidRDefault="00456917" w:rsidP="00D651EC">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A8AC" w14:textId="77777777" w:rsidR="00456917" w:rsidRDefault="00456917" w:rsidP="00456917">
    <w:pPr>
      <w:pStyle w:val="Header"/>
      <w:jc w:val="right"/>
    </w:pPr>
    <w:r>
      <w:t>PCT/CTC/33/21</w:t>
    </w:r>
  </w:p>
  <w:p w14:paraId="103CD027" w14:textId="1CB12977" w:rsidR="00456917" w:rsidRDefault="00456917" w:rsidP="00D651EC">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F02832"/>
    <w:multiLevelType w:val="hybridMultilevel"/>
    <w:tmpl w:val="33C205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BD25CE5"/>
    <w:multiLevelType w:val="hybridMultilevel"/>
    <w:tmpl w:val="ADCA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 w:numId="8" w16cid:durableId="1129205133">
    <w:abstractNumId w:val="7"/>
  </w:num>
  <w:num w:numId="9" w16cid:durableId="609971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17"/>
    <w:rsid w:val="00010686"/>
    <w:rsid w:val="00052915"/>
    <w:rsid w:val="000E3BB3"/>
    <w:rsid w:val="000F5E56"/>
    <w:rsid w:val="001362EE"/>
    <w:rsid w:val="001413A1"/>
    <w:rsid w:val="00152CEA"/>
    <w:rsid w:val="001832A6"/>
    <w:rsid w:val="001D6496"/>
    <w:rsid w:val="00220073"/>
    <w:rsid w:val="00220365"/>
    <w:rsid w:val="002634C4"/>
    <w:rsid w:val="002C2E2F"/>
    <w:rsid w:val="002D23B5"/>
    <w:rsid w:val="002D2BEC"/>
    <w:rsid w:val="002E0F47"/>
    <w:rsid w:val="002F4E68"/>
    <w:rsid w:val="00310826"/>
    <w:rsid w:val="00354647"/>
    <w:rsid w:val="00377273"/>
    <w:rsid w:val="00377C8F"/>
    <w:rsid w:val="003845C1"/>
    <w:rsid w:val="00387287"/>
    <w:rsid w:val="003E48F1"/>
    <w:rsid w:val="003F347A"/>
    <w:rsid w:val="00423E3E"/>
    <w:rsid w:val="00427AF4"/>
    <w:rsid w:val="0045231F"/>
    <w:rsid w:val="00456917"/>
    <w:rsid w:val="004647DA"/>
    <w:rsid w:val="0046793F"/>
    <w:rsid w:val="00472A6E"/>
    <w:rsid w:val="00477808"/>
    <w:rsid w:val="00477D6B"/>
    <w:rsid w:val="004A6C37"/>
    <w:rsid w:val="004E297D"/>
    <w:rsid w:val="004E4003"/>
    <w:rsid w:val="00531B02"/>
    <w:rsid w:val="005332F0"/>
    <w:rsid w:val="0055013B"/>
    <w:rsid w:val="00571B99"/>
    <w:rsid w:val="005B2EAE"/>
    <w:rsid w:val="005C3363"/>
    <w:rsid w:val="00605827"/>
    <w:rsid w:val="00611529"/>
    <w:rsid w:val="00675021"/>
    <w:rsid w:val="006879FF"/>
    <w:rsid w:val="006A06C6"/>
    <w:rsid w:val="007224C8"/>
    <w:rsid w:val="00761D20"/>
    <w:rsid w:val="00794BE2"/>
    <w:rsid w:val="007A5581"/>
    <w:rsid w:val="007A663C"/>
    <w:rsid w:val="007B71FE"/>
    <w:rsid w:val="007D781E"/>
    <w:rsid w:val="007E663E"/>
    <w:rsid w:val="00807244"/>
    <w:rsid w:val="00815082"/>
    <w:rsid w:val="00842680"/>
    <w:rsid w:val="0088395E"/>
    <w:rsid w:val="008B2CC1"/>
    <w:rsid w:val="008E6BD6"/>
    <w:rsid w:val="0090731E"/>
    <w:rsid w:val="00922132"/>
    <w:rsid w:val="00927287"/>
    <w:rsid w:val="00966A22"/>
    <w:rsid w:val="00972F03"/>
    <w:rsid w:val="0098367F"/>
    <w:rsid w:val="009A0C8B"/>
    <w:rsid w:val="009A20CD"/>
    <w:rsid w:val="009B6241"/>
    <w:rsid w:val="00A16FC0"/>
    <w:rsid w:val="00A32C9E"/>
    <w:rsid w:val="00AB613D"/>
    <w:rsid w:val="00AC6440"/>
    <w:rsid w:val="00AE3666"/>
    <w:rsid w:val="00AE7F20"/>
    <w:rsid w:val="00B46D81"/>
    <w:rsid w:val="00B534D5"/>
    <w:rsid w:val="00B65A0A"/>
    <w:rsid w:val="00B67CDC"/>
    <w:rsid w:val="00B72D36"/>
    <w:rsid w:val="00BC4164"/>
    <w:rsid w:val="00BD2DCC"/>
    <w:rsid w:val="00BD4FED"/>
    <w:rsid w:val="00BF5A8E"/>
    <w:rsid w:val="00C90559"/>
    <w:rsid w:val="00CA0500"/>
    <w:rsid w:val="00CA2251"/>
    <w:rsid w:val="00D56C7C"/>
    <w:rsid w:val="00D651E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5CC0"/>
    <w:rsid w:val="00F66152"/>
    <w:rsid w:val="00F80845"/>
    <w:rsid w:val="00F84474"/>
    <w:rsid w:val="00FA0F0D"/>
    <w:rsid w:val="00FD59D1"/>
    <w:rsid w:val="00FD7A6C"/>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BEC1B"/>
  <w15:docId w15:val="{F0C4424D-48F6-4AE5-AFC6-5265F6EA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456917"/>
    <w:pPr>
      <w:ind w:left="720"/>
      <w:contextualSpacing/>
    </w:pPr>
  </w:style>
  <w:style w:type="character" w:customStyle="1" w:styleId="HeaderChar">
    <w:name w:val="Header Char"/>
    <w:basedOn w:val="DefaultParagraphFont"/>
    <w:link w:val="Header"/>
    <w:uiPriority w:val="99"/>
    <w:rsid w:val="00456917"/>
    <w:rPr>
      <w:rFonts w:ascii="Arial" w:eastAsia="SimSun" w:hAnsi="Arial" w:cs="Arial"/>
      <w:sz w:val="22"/>
      <w:lang w:val="es-ES" w:eastAsia="zh-CN"/>
    </w:rPr>
  </w:style>
  <w:style w:type="character" w:customStyle="1" w:styleId="SectionHeadingChar">
    <w:name w:val="Section Heading Char"/>
    <w:link w:val="SectionHeading"/>
    <w:qFormat/>
    <w:locked/>
    <w:rsid w:val="00456917"/>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456917"/>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456917"/>
    <w:pPr>
      <w:keepNext/>
      <w:keepLines/>
      <w:spacing w:after="240"/>
      <w:ind w:left="567" w:right="567"/>
    </w:pPr>
    <w:rPr>
      <w:bCs/>
      <w:i/>
      <w:iCs/>
    </w:rPr>
  </w:style>
  <w:style w:type="paragraph" w:customStyle="1" w:styleId="Question">
    <w:name w:val="Question"/>
    <w:basedOn w:val="BodyText"/>
    <w:next w:val="Answer"/>
    <w:qFormat/>
    <w:rsid w:val="00456917"/>
    <w:pPr>
      <w:keepNext/>
      <w:keepLines/>
    </w:pPr>
    <w:rPr>
      <w:b/>
      <w:bCs/>
      <w:szCs w:val="22"/>
    </w:rPr>
  </w:style>
  <w:style w:type="paragraph" w:customStyle="1" w:styleId="Answer">
    <w:name w:val="Answer"/>
    <w:basedOn w:val="BodyText"/>
    <w:qFormat/>
    <w:rsid w:val="00456917"/>
    <w:pPr>
      <w:ind w:left="567"/>
    </w:pPr>
  </w:style>
  <w:style w:type="character" w:styleId="Hyperlink">
    <w:name w:val="Hyperlink"/>
    <w:basedOn w:val="DefaultParagraphFont"/>
    <w:unhideWhenUsed/>
    <w:rsid w:val="00456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adi.wipo.int\wipodata\DAT1\OrgPctLdev\Shared\WIPO%20meetings%20-%20PCT\PCT-CTC-33\Applications%20for%20extension%20of%20appointment\SG\pct_ctc_33_20%20draft%20SG.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SG\pct_ctc_33_20%20draft%20SG.docx" TargetMode="External"/><Relationship Id="rId10" Type="http://schemas.openxmlformats.org/officeDocument/2006/relationships/hyperlink" Target="mailto:Sharmaine_WU@ipos.gov.s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SG\pct_ctc_33_20%20draft%20SG.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6</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PCT/CTC/33/21</vt:lpstr>
    </vt:vector>
  </TitlesOfParts>
  <Company>WIPO</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PCT/CTC/33/21</dc:title>
  <dc:creator>MIGLIORE Liliana</dc:creator>
  <cp:keywords>FOR OFFICIAL USE ONLY</cp:keywords>
  <cp:lastModifiedBy>SAKR Sally</cp:lastModifiedBy>
  <cp:revision>2</cp:revision>
  <dcterms:created xsi:type="dcterms:W3CDTF">2026-01-09T13:27:00Z</dcterms:created>
  <dcterms:modified xsi:type="dcterms:W3CDTF">2026-01-09T13:27:00Z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2025-12-30T13:39:50Z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57bd4cb4-9899-4651-932b-7e33c9fde235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