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A3A20" w14:textId="77777777" w:rsidR="008B2CC1" w:rsidRPr="006F00A3" w:rsidRDefault="00472A6E" w:rsidP="00761D20">
      <w:pPr>
        <w:pBdr>
          <w:bottom w:val="single" w:sz="4" w:space="11" w:color="auto"/>
        </w:pBdr>
        <w:spacing w:after="120"/>
        <w:ind w:right="-57"/>
        <w:jc w:val="right"/>
        <w:rPr>
          <w:lang w:val="es-419"/>
        </w:rPr>
      </w:pPr>
      <w:r w:rsidRPr="006F00A3">
        <w:rPr>
          <w:noProof/>
          <w:lang w:val="es-419" w:eastAsia="en-US"/>
        </w:rPr>
        <w:drawing>
          <wp:inline distT="0" distB="0" distL="0" distR="0" wp14:anchorId="5C14E31A" wp14:editId="2859347D">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4CF48C3B" w14:textId="53C963EC" w:rsidR="00472A6E" w:rsidRPr="006F00A3" w:rsidRDefault="00927287" w:rsidP="00472A6E">
      <w:pPr>
        <w:jc w:val="right"/>
        <w:rPr>
          <w:rFonts w:ascii="Arial Black" w:hAnsi="Arial Black"/>
          <w:caps/>
          <w:sz w:val="15"/>
          <w:lang w:val="es-419"/>
        </w:rPr>
      </w:pPr>
      <w:r w:rsidRPr="006F00A3">
        <w:rPr>
          <w:rFonts w:ascii="Arial Black" w:hAnsi="Arial Black"/>
          <w:caps/>
          <w:sz w:val="15"/>
          <w:lang w:val="es-419"/>
        </w:rPr>
        <w:t>PCT/CTC/3</w:t>
      </w:r>
      <w:r w:rsidR="00611529" w:rsidRPr="006F00A3">
        <w:rPr>
          <w:rFonts w:ascii="Arial Black" w:hAnsi="Arial Black"/>
          <w:caps/>
          <w:sz w:val="15"/>
          <w:lang w:val="es-419"/>
        </w:rPr>
        <w:t>3</w:t>
      </w:r>
      <w:r w:rsidRPr="006F00A3">
        <w:rPr>
          <w:rFonts w:ascii="Arial Black" w:hAnsi="Arial Black"/>
          <w:caps/>
          <w:sz w:val="15"/>
          <w:lang w:val="es-419"/>
        </w:rPr>
        <w:t>/</w:t>
      </w:r>
      <w:bookmarkStart w:id="0" w:name="Code"/>
      <w:bookmarkEnd w:id="0"/>
      <w:r w:rsidR="00492F87" w:rsidRPr="006F00A3">
        <w:rPr>
          <w:rFonts w:ascii="Arial Black" w:hAnsi="Arial Black"/>
          <w:caps/>
          <w:sz w:val="15"/>
          <w:lang w:val="es-419"/>
        </w:rPr>
        <w:t>20</w:t>
      </w:r>
    </w:p>
    <w:p w14:paraId="5CB48C86" w14:textId="700B3F21" w:rsidR="008B2CC1" w:rsidRPr="006F00A3" w:rsidRDefault="00472A6E" w:rsidP="00472A6E">
      <w:pPr>
        <w:jc w:val="right"/>
        <w:rPr>
          <w:lang w:val="es-419"/>
        </w:rPr>
      </w:pPr>
      <w:r w:rsidRPr="006F00A3">
        <w:rPr>
          <w:rFonts w:ascii="Arial Black" w:hAnsi="Arial Black"/>
          <w:caps/>
          <w:sz w:val="15"/>
          <w:lang w:val="es-419"/>
        </w:rPr>
        <w:t xml:space="preserve">ORIGINAL: </w:t>
      </w:r>
      <w:bookmarkStart w:id="1" w:name="Original"/>
      <w:r w:rsidR="00492F87" w:rsidRPr="006F00A3">
        <w:rPr>
          <w:rFonts w:ascii="Arial Black" w:hAnsi="Arial Black"/>
          <w:caps/>
          <w:sz w:val="15"/>
          <w:lang w:val="es-419"/>
        </w:rPr>
        <w:t>Inglés</w:t>
      </w:r>
    </w:p>
    <w:bookmarkEnd w:id="1"/>
    <w:p w14:paraId="157FC966" w14:textId="7A81D27D" w:rsidR="008B2CC1" w:rsidRPr="006F00A3" w:rsidRDefault="00472A6E" w:rsidP="00472A6E">
      <w:pPr>
        <w:spacing w:after="1200"/>
        <w:jc w:val="right"/>
        <w:rPr>
          <w:lang w:val="es-419"/>
        </w:rPr>
      </w:pPr>
      <w:r w:rsidRPr="006F00A3">
        <w:rPr>
          <w:rFonts w:ascii="Arial Black" w:hAnsi="Arial Black"/>
          <w:caps/>
          <w:sz w:val="15"/>
          <w:lang w:val="es-419"/>
        </w:rPr>
        <w:t xml:space="preserve">fecha: </w:t>
      </w:r>
      <w:bookmarkStart w:id="2" w:name="Date"/>
      <w:r w:rsidR="00492F87" w:rsidRPr="006F00A3">
        <w:rPr>
          <w:rFonts w:ascii="Arial Black" w:hAnsi="Arial Black"/>
          <w:caps/>
          <w:sz w:val="15"/>
          <w:lang w:val="es-419"/>
        </w:rPr>
        <w:t>19 de diciembre de 2025</w:t>
      </w:r>
    </w:p>
    <w:bookmarkEnd w:id="2"/>
    <w:p w14:paraId="625E03ED" w14:textId="77777777" w:rsidR="00927287" w:rsidRPr="006F00A3" w:rsidRDefault="00927287" w:rsidP="00927287">
      <w:pPr>
        <w:rPr>
          <w:b/>
          <w:sz w:val="28"/>
          <w:szCs w:val="28"/>
          <w:lang w:val="es-419"/>
        </w:rPr>
      </w:pPr>
      <w:r w:rsidRPr="006F00A3">
        <w:rPr>
          <w:b/>
          <w:sz w:val="28"/>
          <w:szCs w:val="28"/>
          <w:lang w:val="es-419"/>
        </w:rPr>
        <w:t>Tratado de Cooperación en materia de Patentes (PCT)</w:t>
      </w:r>
    </w:p>
    <w:p w14:paraId="2332448B" w14:textId="77777777" w:rsidR="0030178D" w:rsidRPr="006F00A3" w:rsidRDefault="00927287" w:rsidP="00927287">
      <w:pPr>
        <w:pStyle w:val="Heading1"/>
        <w:spacing w:before="0" w:after="480"/>
        <w:rPr>
          <w:caps w:val="0"/>
          <w:sz w:val="28"/>
          <w:lang w:val="es-419"/>
        </w:rPr>
      </w:pPr>
      <w:r w:rsidRPr="006F00A3">
        <w:rPr>
          <w:caps w:val="0"/>
          <w:sz w:val="28"/>
          <w:szCs w:val="28"/>
          <w:lang w:val="es-419"/>
        </w:rPr>
        <w:t>Comité de Cooperación Técnica</w:t>
      </w:r>
    </w:p>
    <w:p w14:paraId="0E0A6529" w14:textId="6A0D819D" w:rsidR="005B2EAE" w:rsidRPr="006F00A3" w:rsidRDefault="00927287" w:rsidP="005B2EAE">
      <w:pPr>
        <w:outlineLvl w:val="1"/>
        <w:rPr>
          <w:b/>
          <w:sz w:val="24"/>
          <w:szCs w:val="24"/>
          <w:lang w:val="es-419"/>
        </w:rPr>
      </w:pPr>
      <w:r w:rsidRPr="006F00A3">
        <w:rPr>
          <w:b/>
          <w:sz w:val="24"/>
          <w:szCs w:val="24"/>
          <w:lang w:val="es-419"/>
        </w:rPr>
        <w:t xml:space="preserve">Trigésima </w:t>
      </w:r>
      <w:r w:rsidR="00220365" w:rsidRPr="006F00A3">
        <w:rPr>
          <w:b/>
          <w:sz w:val="24"/>
          <w:szCs w:val="24"/>
          <w:lang w:val="es-419"/>
        </w:rPr>
        <w:t>tercer</w:t>
      </w:r>
      <w:r w:rsidRPr="006F00A3">
        <w:rPr>
          <w:b/>
          <w:sz w:val="24"/>
          <w:szCs w:val="24"/>
          <w:lang w:val="es-419"/>
        </w:rPr>
        <w:t>a sesión</w:t>
      </w:r>
    </w:p>
    <w:p w14:paraId="3FD789BF" w14:textId="77777777" w:rsidR="00B67CDC" w:rsidRPr="006F00A3" w:rsidRDefault="00927287" w:rsidP="00472A6E">
      <w:pPr>
        <w:spacing w:after="720"/>
        <w:outlineLvl w:val="1"/>
        <w:rPr>
          <w:b/>
          <w:sz w:val="24"/>
          <w:szCs w:val="24"/>
          <w:lang w:val="es-419"/>
        </w:rPr>
      </w:pPr>
      <w:r w:rsidRPr="006F00A3">
        <w:rPr>
          <w:b/>
          <w:sz w:val="24"/>
          <w:szCs w:val="24"/>
          <w:lang w:val="es-419"/>
        </w:rPr>
        <w:t xml:space="preserve">Ginebra, </w:t>
      </w:r>
      <w:r w:rsidR="00220365" w:rsidRPr="006F00A3">
        <w:rPr>
          <w:b/>
          <w:sz w:val="24"/>
          <w:szCs w:val="24"/>
          <w:lang w:val="es-419"/>
        </w:rPr>
        <w:t>2 a 6 de febrero</w:t>
      </w:r>
      <w:r w:rsidRPr="006F00A3">
        <w:rPr>
          <w:b/>
          <w:sz w:val="24"/>
          <w:szCs w:val="24"/>
          <w:lang w:val="es-419"/>
        </w:rPr>
        <w:t xml:space="preserve"> de 202</w:t>
      </w:r>
      <w:r w:rsidR="00DB7E59" w:rsidRPr="006F00A3">
        <w:rPr>
          <w:b/>
          <w:sz w:val="24"/>
          <w:szCs w:val="24"/>
          <w:lang w:val="es-419"/>
        </w:rPr>
        <w:t>6</w:t>
      </w:r>
    </w:p>
    <w:p w14:paraId="4ACC3289" w14:textId="4BE3FD51" w:rsidR="008B2CC1" w:rsidRPr="006F00A3" w:rsidRDefault="00492F87" w:rsidP="00472A6E">
      <w:pPr>
        <w:spacing w:after="360"/>
        <w:rPr>
          <w:caps/>
          <w:sz w:val="24"/>
          <w:lang w:val="es-419"/>
        </w:rPr>
      </w:pPr>
      <w:bookmarkStart w:id="3" w:name="TitleOfDoc"/>
      <w:r w:rsidRPr="006F00A3">
        <w:rPr>
          <w:caps/>
          <w:sz w:val="24"/>
          <w:lang w:val="es-419"/>
        </w:rPr>
        <w:t>PRÓRROGA DE LA DESIGNACIÓN DE LA OFICINA SUECA DE PROPIEDAD INTELECTUAL</w:t>
      </w:r>
      <w:r w:rsidR="0030178D" w:rsidRPr="006F00A3">
        <w:rPr>
          <w:caps/>
          <w:sz w:val="24"/>
          <w:lang w:val="es-419"/>
        </w:rPr>
        <w:t xml:space="preserve"> </w:t>
      </w:r>
      <w:r w:rsidRPr="006F00A3">
        <w:rPr>
          <w:caps/>
          <w:sz w:val="24"/>
          <w:lang w:val="es-419"/>
        </w:rPr>
        <w:t>EN CALIDAD DE ADMINISTRACIÓN ENCARGADA DE LA BÚSQUEDA INTERNACIONAL Y DEL EXAMEN PRELIMINAR INTERNACIONAL EN VIRTUD DEL PCT</w:t>
      </w:r>
    </w:p>
    <w:p w14:paraId="16BB9CEB" w14:textId="62D5193A" w:rsidR="008B2CC1" w:rsidRPr="006F00A3" w:rsidRDefault="00492F87" w:rsidP="00472A6E">
      <w:pPr>
        <w:spacing w:after="1040"/>
        <w:rPr>
          <w:i/>
          <w:lang w:val="es-419"/>
        </w:rPr>
      </w:pPr>
      <w:bookmarkStart w:id="4" w:name="Prepared"/>
      <w:bookmarkEnd w:id="3"/>
      <w:bookmarkEnd w:id="4"/>
      <w:r w:rsidRPr="006F00A3">
        <w:rPr>
          <w:i/>
          <w:lang w:val="es-419"/>
        </w:rPr>
        <w:t>Documento preparado por la Oficina Internacional</w:t>
      </w:r>
    </w:p>
    <w:p w14:paraId="09007B09" w14:textId="56A4A643" w:rsidR="00492F87" w:rsidRPr="006F00A3" w:rsidRDefault="00492F87" w:rsidP="00492F87">
      <w:pPr>
        <w:spacing w:after="220"/>
        <w:rPr>
          <w:lang w:val="es-419"/>
        </w:rPr>
      </w:pPr>
      <w:r w:rsidRPr="006F00A3">
        <w:rPr>
          <w:lang w:val="es-419"/>
        </w:rPr>
        <w:t>1.</w:t>
      </w:r>
      <w:r w:rsidRPr="006F00A3">
        <w:rPr>
          <w:lang w:val="es-419"/>
        </w:rPr>
        <w:tab/>
        <w:t>Todas las Administraciones internacionales existentes fueron designadas por la Asamblea de la Unión del PCT por un plazo que expirará el 31 de diciembre de 2027.</w:t>
      </w:r>
      <w:r w:rsidR="0030178D" w:rsidRPr="006F00A3">
        <w:rPr>
          <w:lang w:val="es-419"/>
        </w:rPr>
        <w:t xml:space="preserve"> </w:t>
      </w:r>
      <w:r w:rsidRPr="006F00A3">
        <w:rPr>
          <w:lang w:val="es-419"/>
        </w:rPr>
        <w:t>Antes del vencimiento de ese plazo, la Asamblea tendrá que adoptar una decisión con respecto a la prórroga de la designación de cada una de las Administraciones internacionales existentes que aspiren a una prórroga de su designación, teniendo en cuenta la recomendación previamente solicitada a este Comité (véanse los Artículos 16.3)e) y 32.3) del PCT).</w:t>
      </w:r>
      <w:r w:rsidR="0030178D" w:rsidRPr="006F00A3">
        <w:rPr>
          <w:lang w:val="es-419"/>
        </w:rPr>
        <w:t xml:space="preserve"> </w:t>
      </w:r>
      <w:r w:rsidRPr="006F00A3">
        <w:rPr>
          <w:lang w:val="es-419"/>
        </w:rPr>
        <w:t>El documento PCT/CTC/33/INF/1 contiene más información sobre este proceso y sobre la función del Comité en el marco del mismo.</w:t>
      </w:r>
    </w:p>
    <w:p w14:paraId="727CD106" w14:textId="58998629" w:rsidR="00492F87" w:rsidRPr="006F00A3" w:rsidRDefault="00492F87" w:rsidP="00492F87">
      <w:pPr>
        <w:spacing w:after="220"/>
        <w:rPr>
          <w:lang w:val="es-419"/>
        </w:rPr>
      </w:pPr>
      <w:r w:rsidRPr="006F00A3">
        <w:rPr>
          <w:lang w:val="es-419"/>
        </w:rPr>
        <w:t>2.</w:t>
      </w:r>
      <w:r w:rsidRPr="006F00A3">
        <w:rPr>
          <w:lang w:val="es-419"/>
        </w:rPr>
        <w:tab/>
        <w:t xml:space="preserve">El 1 de diciembre de 2025, la Oficina </w:t>
      </w:r>
      <w:r w:rsidR="00C119DB" w:rsidRPr="006F00A3">
        <w:rPr>
          <w:lang w:val="es-419"/>
        </w:rPr>
        <w:t>Sueca de Propiedad Intelectual</w:t>
      </w:r>
      <w:r w:rsidRPr="006F00A3">
        <w:rPr>
          <w:lang w:val="es-419"/>
        </w:rPr>
        <w:t xml:space="preserve"> (PRV) presentó su solicitud de prórroga de la designación, que se reproduce en el Anexo del presente documento.</w:t>
      </w:r>
    </w:p>
    <w:p w14:paraId="396BBB55" w14:textId="77777777" w:rsidR="00492F87" w:rsidRPr="006F00A3" w:rsidRDefault="00492F87" w:rsidP="006F00A3">
      <w:pPr>
        <w:tabs>
          <w:tab w:val="left" w:pos="6096"/>
        </w:tabs>
        <w:spacing w:after="220"/>
        <w:ind w:left="5533"/>
        <w:rPr>
          <w:i/>
          <w:lang w:val="es-419"/>
        </w:rPr>
      </w:pPr>
      <w:r w:rsidRPr="006F00A3">
        <w:rPr>
          <w:i/>
          <w:lang w:val="es-419"/>
        </w:rPr>
        <w:t>3.</w:t>
      </w:r>
      <w:r w:rsidRPr="006F00A3">
        <w:rPr>
          <w:i/>
          <w:lang w:val="es-419"/>
        </w:rPr>
        <w:tab/>
        <w:t>Se invita al Comité a dar su opinión sobre este asunto.</w:t>
      </w:r>
    </w:p>
    <w:p w14:paraId="6065D7A8" w14:textId="77777777" w:rsidR="00492F87" w:rsidRPr="006F00A3" w:rsidRDefault="00492F87" w:rsidP="006F00A3">
      <w:pPr>
        <w:pStyle w:val="Endofdocument-Annex"/>
        <w:spacing w:before="720"/>
        <w:rPr>
          <w:lang w:val="es-419"/>
        </w:rPr>
        <w:sectPr w:rsidR="00492F87" w:rsidRPr="006F00A3" w:rsidSect="00492F87">
          <w:headerReference w:type="default" r:id="rId9"/>
          <w:endnotePr>
            <w:numFmt w:val="decimal"/>
          </w:endnotePr>
          <w:pgSz w:w="11907" w:h="16840" w:code="9"/>
          <w:pgMar w:top="567" w:right="1134" w:bottom="1418" w:left="1418" w:header="510" w:footer="1021" w:gutter="0"/>
          <w:cols w:space="720"/>
          <w:titlePg/>
          <w:docGrid w:linePitch="299"/>
        </w:sectPr>
      </w:pPr>
      <w:r w:rsidRPr="006F00A3">
        <w:rPr>
          <w:lang w:val="es-419"/>
        </w:rPr>
        <w:t>[Sigue el Anexo]</w:t>
      </w:r>
    </w:p>
    <w:p w14:paraId="6798A267" w14:textId="28C4F13C" w:rsidR="00492F87" w:rsidRPr="006F00A3" w:rsidRDefault="00492F87" w:rsidP="00492F87">
      <w:pPr>
        <w:pStyle w:val="Heading2"/>
        <w:jc w:val="center"/>
        <w:rPr>
          <w:lang w:val="es-419"/>
        </w:rPr>
      </w:pPr>
      <w:r w:rsidRPr="006F00A3">
        <w:rPr>
          <w:lang w:val="es-419"/>
        </w:rPr>
        <w:lastRenderedPageBreak/>
        <w:t>Solicitud de prórroga de la designación como Administración encargada de la búsqueda y del examen preliminar internacionales en virtud del</w:t>
      </w:r>
      <w:r w:rsidR="00C119DB" w:rsidRPr="006F00A3">
        <w:rPr>
          <w:lang w:val="es-419"/>
        </w:rPr>
        <w:t> </w:t>
      </w:r>
      <w:r w:rsidRPr="006F00A3">
        <w:rPr>
          <w:lang w:val="es-419"/>
        </w:rPr>
        <w:t>PCT</w:t>
      </w:r>
    </w:p>
    <w:p w14:paraId="659B3C48" w14:textId="77777777" w:rsidR="00492F87" w:rsidRPr="006F00A3" w:rsidRDefault="00492F87" w:rsidP="00492F87">
      <w:pPr>
        <w:pStyle w:val="SectionHeading"/>
        <w:rPr>
          <w:lang w:val="es-419"/>
        </w:rPr>
      </w:pPr>
      <w:r w:rsidRPr="006F00A3">
        <w:rPr>
          <w:lang w:val="es-419"/>
        </w:rPr>
        <w:t>1. Información general</w:t>
      </w:r>
    </w:p>
    <w:p w14:paraId="0F648175" w14:textId="77777777" w:rsidR="00492F87" w:rsidRPr="006F00A3" w:rsidRDefault="00492F87" w:rsidP="00492F87">
      <w:pPr>
        <w:pStyle w:val="Question"/>
        <w:spacing w:after="480"/>
        <w:rPr>
          <w:b w:val="0"/>
          <w:bCs w:val="0"/>
          <w:lang w:val="es-419"/>
        </w:rPr>
      </w:pPr>
      <w:r w:rsidRPr="006F00A3">
        <w:rPr>
          <w:lang w:val="es-419"/>
        </w:rPr>
        <w:t>a)</w:t>
      </w:r>
      <w:r w:rsidRPr="006F00A3">
        <w:rPr>
          <w:lang w:val="es-419"/>
        </w:rPr>
        <w:tab/>
        <w:t xml:space="preserve">Nombre de la Oficina u organización intergubernamental: </w:t>
      </w:r>
      <w:r w:rsidRPr="006F00A3">
        <w:rPr>
          <w:lang w:val="es-419"/>
        </w:rPr>
        <w:br/>
      </w:r>
      <w:r w:rsidRPr="006F00A3">
        <w:rPr>
          <w:lang w:val="es-419"/>
        </w:rPr>
        <w:br/>
      </w:r>
      <w:r w:rsidRPr="006F00A3">
        <w:rPr>
          <w:b w:val="0"/>
          <w:lang w:val="es-419"/>
        </w:rPr>
        <w:t>Oficina Sueca de Propiedad Intelectual (PRV)</w:t>
      </w:r>
    </w:p>
    <w:p w14:paraId="1DC71D2E" w14:textId="77777777" w:rsidR="00492F87" w:rsidRPr="006F00A3" w:rsidRDefault="00492F87" w:rsidP="00492F87">
      <w:pPr>
        <w:pStyle w:val="Question"/>
        <w:spacing w:after="480"/>
        <w:rPr>
          <w:lang w:val="es-419"/>
        </w:rPr>
      </w:pPr>
      <w:r w:rsidRPr="006F00A3">
        <w:rPr>
          <w:lang w:val="es-419"/>
        </w:rPr>
        <w:t>b)</w:t>
      </w:r>
      <w:r w:rsidRPr="006F00A3">
        <w:rPr>
          <w:lang w:val="es-419"/>
        </w:rPr>
        <w:tab/>
        <w:t>Nombre y datos de contacto para consultas sobre esta solicitud:</w:t>
      </w:r>
    </w:p>
    <w:p w14:paraId="7AB71F9C" w14:textId="2F406369" w:rsidR="00492F87" w:rsidRPr="006F00A3" w:rsidRDefault="00492F87" w:rsidP="00492F87">
      <w:pPr>
        <w:pStyle w:val="Question"/>
        <w:spacing w:after="480"/>
        <w:rPr>
          <w:b w:val="0"/>
          <w:bCs w:val="0"/>
          <w:lang w:val="es-419"/>
        </w:rPr>
      </w:pPr>
      <w:r w:rsidRPr="006F00A3">
        <w:rPr>
          <w:b w:val="0"/>
          <w:lang w:val="es-419"/>
        </w:rPr>
        <w:t>Åsa Viken,</w:t>
      </w:r>
      <w:r w:rsidRPr="006F00A3">
        <w:rPr>
          <w:lang w:val="es-419"/>
        </w:rPr>
        <w:t xml:space="preserve"> </w:t>
      </w:r>
      <w:hyperlink r:id="rId10" w:history="1">
        <w:r w:rsidRPr="006F00A3">
          <w:rPr>
            <w:rStyle w:val="Hyperlink"/>
            <w:b w:val="0"/>
            <w:lang w:val="es-419"/>
          </w:rPr>
          <w:t>asa.viken@prv.se</w:t>
        </w:r>
      </w:hyperlink>
      <w:r w:rsidRPr="006F00A3">
        <w:rPr>
          <w:b w:val="0"/>
          <w:lang w:val="es-419"/>
        </w:rPr>
        <w:t xml:space="preserve">, +46-8-782 27 45, jefe de Tramitación de Patentes, </w:t>
      </w:r>
      <w:r w:rsidR="004E7E02" w:rsidRPr="006F00A3">
        <w:rPr>
          <w:b w:val="0"/>
          <w:lang w:val="es-419"/>
        </w:rPr>
        <w:t>Departamento</w:t>
      </w:r>
      <w:r w:rsidRPr="006F00A3">
        <w:rPr>
          <w:b w:val="0"/>
          <w:lang w:val="es-419"/>
        </w:rPr>
        <w:t xml:space="preserve"> de Patentes</w:t>
      </w:r>
      <w:r w:rsidRPr="006F00A3">
        <w:rPr>
          <w:lang w:val="es-419"/>
        </w:rPr>
        <w:br/>
      </w:r>
      <w:r w:rsidRPr="006F00A3">
        <w:rPr>
          <w:lang w:val="es-419"/>
        </w:rPr>
        <w:br/>
      </w:r>
      <w:r w:rsidRPr="006F00A3">
        <w:rPr>
          <w:b w:val="0"/>
          <w:lang w:val="es-419"/>
        </w:rPr>
        <w:t xml:space="preserve">Marie Eriksson, </w:t>
      </w:r>
      <w:hyperlink r:id="rId11" w:history="1">
        <w:r w:rsidRPr="006F00A3">
          <w:rPr>
            <w:rStyle w:val="Hyperlink"/>
            <w:b w:val="0"/>
            <w:lang w:val="es-419"/>
          </w:rPr>
          <w:t>marie.eriksson@prv.se</w:t>
        </w:r>
      </w:hyperlink>
      <w:r w:rsidRPr="006F00A3">
        <w:rPr>
          <w:b w:val="0"/>
          <w:lang w:val="es-419"/>
        </w:rPr>
        <w:t>, +46-8-782 25 84, jefa de la Unidad de Asuntos Jurídicos, Departamento de Patentes</w:t>
      </w:r>
    </w:p>
    <w:p w14:paraId="5E44A2D3" w14:textId="77777777" w:rsidR="00492F87" w:rsidRPr="006F00A3" w:rsidRDefault="00492F87" w:rsidP="00492F87">
      <w:pPr>
        <w:pStyle w:val="Question"/>
        <w:rPr>
          <w:lang w:val="es-419"/>
        </w:rPr>
      </w:pPr>
      <w:r w:rsidRPr="006F00A3">
        <w:rPr>
          <w:lang w:val="es-419"/>
        </w:rPr>
        <w:t>c)</w:t>
      </w:r>
      <w:r w:rsidRPr="006F00A3">
        <w:rPr>
          <w:lang w:val="es-419"/>
        </w:rPr>
        <w:tab/>
        <w:t>Fecha en que el director general recibió la solicitud de prórroga de la designación:</w:t>
      </w:r>
    </w:p>
    <w:p w14:paraId="0A275BF0" w14:textId="77777777" w:rsidR="00492F87" w:rsidRPr="006F00A3" w:rsidRDefault="00492F87" w:rsidP="00492F87">
      <w:pPr>
        <w:pStyle w:val="Answer"/>
        <w:rPr>
          <w:lang w:val="es-419"/>
        </w:rPr>
      </w:pPr>
      <w:r w:rsidRPr="006F00A3">
        <w:rPr>
          <w:lang w:val="es-419"/>
        </w:rPr>
        <w:t>1 de diciembre de 2025</w:t>
      </w:r>
    </w:p>
    <w:p w14:paraId="22FEAD27" w14:textId="77777777" w:rsidR="00492F87" w:rsidRPr="006F00A3" w:rsidRDefault="00492F87" w:rsidP="00492F87">
      <w:pPr>
        <w:pStyle w:val="SectionHeading"/>
        <w:rPr>
          <w:lang w:val="es-419"/>
        </w:rPr>
      </w:pPr>
      <w:r w:rsidRPr="006F00A3">
        <w:rPr>
          <w:lang w:val="es-419"/>
        </w:rPr>
        <w:t>2. Requisitos mínimos para la designación</w:t>
      </w:r>
    </w:p>
    <w:p w14:paraId="1F457608" w14:textId="305AA81C" w:rsidR="00492F87" w:rsidRPr="006F00A3" w:rsidRDefault="00492F87" w:rsidP="00492F87">
      <w:pPr>
        <w:rPr>
          <w:lang w:val="es-419"/>
        </w:rPr>
      </w:pPr>
      <w:r w:rsidRPr="006F00A3">
        <w:rPr>
          <w:lang w:val="es-419"/>
        </w:rPr>
        <w:t xml:space="preserve">Además del informe anual sobre el sistema de gestión de la calidad de la Oficina u organización para 2025 (el “informe SGC” </w:t>
      </w:r>
      <w:hyperlink r:id="rId12" w:anchor="SE" w:history="1">
        <w:r w:rsidRPr="006F00A3">
          <w:rPr>
            <w:rStyle w:val="Hyperlink"/>
            <w:lang w:val="es-419"/>
          </w:rPr>
          <w:t>https://www.wipo.int/en/web/pct-system/quality/authorities#SE</w:t>
        </w:r>
      </w:hyperlink>
      <w:r w:rsidRPr="006F00A3">
        <w:rPr>
          <w:lang w:val="es-419"/>
        </w:rPr>
        <w:t>) elaborado de conformidad con los párrafos 21.31 y 21.32 de las Directrices de búsqueda y examen preliminar internacionales, la Administración presenta la siguiente información.</w:t>
      </w:r>
    </w:p>
    <w:p w14:paraId="46CDC19C" w14:textId="77777777" w:rsidR="00492F87" w:rsidRPr="006F00A3" w:rsidRDefault="00492F87" w:rsidP="006F00A3">
      <w:pPr>
        <w:pStyle w:val="SectionHeading"/>
        <w:keepNext w:val="0"/>
        <w:keepLines w:val="0"/>
        <w:rPr>
          <w:lang w:val="es-419"/>
        </w:rPr>
      </w:pPr>
      <w:r w:rsidRPr="006F00A3">
        <w:rPr>
          <w:lang w:val="es-419"/>
        </w:rPr>
        <w:t>2.1. Capacidad de búsqueda y examen</w:t>
      </w:r>
    </w:p>
    <w:p w14:paraId="5E895A0F" w14:textId="77777777" w:rsidR="00492F87" w:rsidRPr="006F00A3" w:rsidRDefault="00492F87" w:rsidP="006F00A3">
      <w:pPr>
        <w:pStyle w:val="RuleQuote"/>
        <w:keepNext w:val="0"/>
        <w:keepLines w:val="0"/>
        <w:rPr>
          <w:lang w:val="es-419"/>
        </w:rPr>
      </w:pPr>
      <w:r w:rsidRPr="006F00A3">
        <w:rPr>
          <w:lang w:val="es-419"/>
        </w:rPr>
        <w:t>Reglas 36.1.i) y 63.1.i): La Oficina nacional o la organización intergubernamental deberá tener, por lo menos, 100 empleados con plena dedicación, con cualificaciones técnicas suficientes para efectuar las búsquedas y los exámenes.</w:t>
      </w:r>
    </w:p>
    <w:p w14:paraId="1D9683C1" w14:textId="6BBEB92A" w:rsidR="0030178D" w:rsidRPr="006F00A3" w:rsidRDefault="00492F87" w:rsidP="006F00A3">
      <w:pPr>
        <w:pStyle w:val="RuleQuote"/>
        <w:keepNext w:val="0"/>
        <w:keepLines w:val="0"/>
        <w:ind w:left="0" w:right="53"/>
        <w:rPr>
          <w:i w:val="0"/>
          <w:lang w:val="es-419"/>
        </w:rPr>
      </w:pPr>
      <w:r w:rsidRPr="006F00A3">
        <w:rPr>
          <w:i w:val="0"/>
          <w:lang w:val="es-419"/>
        </w:rPr>
        <w:t>El informe SGC proporciona información de la Administración sobre la infraestructura existente para garantizar un número suficiente de personal técnicamente cualificado, según el párrafo</w:t>
      </w:r>
      <w:r w:rsidR="0033702A" w:rsidRPr="006F00A3">
        <w:rPr>
          <w:i w:val="0"/>
          <w:lang w:val="es-419"/>
        </w:rPr>
        <w:t> </w:t>
      </w:r>
      <w:r w:rsidRPr="006F00A3">
        <w:rPr>
          <w:i w:val="0"/>
          <w:lang w:val="es-419"/>
        </w:rPr>
        <w:t>21.15.i) de las Directrices, y sobre los programas de formación y desarrollo del personal implicado en el proceso de búsqueda y examen, según el párrafo 21.15.vi).</w:t>
      </w:r>
      <w:r w:rsidR="0030178D" w:rsidRPr="006F00A3">
        <w:rPr>
          <w:i w:val="0"/>
          <w:lang w:val="es-419"/>
        </w:rPr>
        <w:t xml:space="preserve"> </w:t>
      </w:r>
      <w:r w:rsidRPr="006F00A3">
        <w:rPr>
          <w:i w:val="0"/>
          <w:lang w:val="es-419"/>
        </w:rPr>
        <w:t>La Administración también incluye la siguiente información sobre el número de empleados cualificados para llevar a cabo búsquedas y exámenes.</w:t>
      </w:r>
    </w:p>
    <w:p w14:paraId="6BE71057" w14:textId="77777777" w:rsidR="00492F87" w:rsidRPr="006F00A3" w:rsidRDefault="00492F87" w:rsidP="00492F87">
      <w:pPr>
        <w:pStyle w:val="Question"/>
        <w:spacing w:after="480"/>
        <w:rPr>
          <w:lang w:val="es-419"/>
        </w:rPr>
      </w:pPr>
      <w:r w:rsidRPr="006F00A3">
        <w:rPr>
          <w:lang w:val="es-419"/>
        </w:rPr>
        <w:lastRenderedPageBreak/>
        <w:t>Empleados cualificados para realizar búsquedas y exámenes:</w:t>
      </w:r>
    </w:p>
    <w:tbl>
      <w:tblPr>
        <w:tblW w:w="8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2480"/>
        <w:gridCol w:w="1957"/>
        <w:gridCol w:w="2360"/>
        <w:gridCol w:w="2018"/>
      </w:tblGrid>
      <w:tr w:rsidR="00492F87" w:rsidRPr="006F00A3" w14:paraId="4D9B2606" w14:textId="77777777" w:rsidTr="006F00A3">
        <w:trPr>
          <w:cantSplit/>
          <w:tblHeader/>
        </w:trPr>
        <w:tc>
          <w:tcPr>
            <w:tcW w:w="2405" w:type="dxa"/>
            <w:tcBorders>
              <w:top w:val="single" w:sz="4" w:space="0" w:color="auto"/>
              <w:left w:val="single" w:sz="4" w:space="0" w:color="auto"/>
              <w:bottom w:val="single" w:sz="4" w:space="0" w:color="auto"/>
              <w:right w:val="single" w:sz="4" w:space="0" w:color="auto"/>
            </w:tcBorders>
            <w:hideMark/>
          </w:tcPr>
          <w:p w14:paraId="1A6ACFD8" w14:textId="77777777" w:rsidR="00492F87" w:rsidRPr="006F00A3" w:rsidRDefault="00492F87" w:rsidP="00177665">
            <w:pPr>
              <w:keepNext/>
              <w:keepLines/>
              <w:suppressAutoHyphens/>
              <w:rPr>
                <w:rFonts w:eastAsia="Times New Roman"/>
                <w:b/>
                <w:bCs/>
                <w:szCs w:val="22"/>
                <w:lang w:val="es-419"/>
              </w:rPr>
            </w:pPr>
            <w:r w:rsidRPr="006F00A3">
              <w:rPr>
                <w:b/>
                <w:lang w:val="es-419"/>
              </w:rPr>
              <w:t>Sector técnico</w:t>
            </w:r>
          </w:p>
        </w:tc>
        <w:tc>
          <w:tcPr>
            <w:tcW w:w="1985" w:type="dxa"/>
            <w:tcBorders>
              <w:top w:val="single" w:sz="4" w:space="0" w:color="auto"/>
              <w:left w:val="single" w:sz="4" w:space="0" w:color="auto"/>
              <w:bottom w:val="single" w:sz="4" w:space="0" w:color="auto"/>
              <w:right w:val="single" w:sz="4" w:space="0" w:color="auto"/>
            </w:tcBorders>
            <w:hideMark/>
          </w:tcPr>
          <w:p w14:paraId="0EB45D39" w14:textId="77777777" w:rsidR="00492F87" w:rsidRPr="006F00A3" w:rsidRDefault="00492F87" w:rsidP="00177665">
            <w:pPr>
              <w:keepNext/>
              <w:keepLines/>
              <w:suppressAutoHyphens/>
              <w:rPr>
                <w:rFonts w:eastAsia="Times New Roman"/>
                <w:b/>
                <w:bCs/>
                <w:szCs w:val="22"/>
                <w:lang w:val="es-419"/>
              </w:rPr>
            </w:pPr>
            <w:r w:rsidRPr="006F00A3">
              <w:rPr>
                <w:b/>
                <w:lang w:val="es-419"/>
              </w:rPr>
              <w:t>Número (en equivalente a tiempo completo)</w:t>
            </w:r>
          </w:p>
        </w:tc>
        <w:tc>
          <w:tcPr>
            <w:tcW w:w="2395" w:type="dxa"/>
            <w:tcBorders>
              <w:top w:val="single" w:sz="4" w:space="0" w:color="auto"/>
              <w:left w:val="single" w:sz="4" w:space="0" w:color="auto"/>
              <w:bottom w:val="single" w:sz="4" w:space="0" w:color="auto"/>
              <w:right w:val="single" w:sz="4" w:space="0" w:color="auto"/>
            </w:tcBorders>
            <w:hideMark/>
          </w:tcPr>
          <w:p w14:paraId="38691FAF" w14:textId="77777777" w:rsidR="00492F87" w:rsidRPr="006F00A3" w:rsidRDefault="00492F87" w:rsidP="00177665">
            <w:pPr>
              <w:suppressAutoHyphens/>
              <w:rPr>
                <w:rFonts w:eastAsia="Times New Roman"/>
                <w:b/>
                <w:bCs/>
                <w:szCs w:val="24"/>
                <w:lang w:val="es-419"/>
              </w:rPr>
            </w:pPr>
            <w:r w:rsidRPr="006F00A3">
              <w:rPr>
                <w:b/>
                <w:lang w:val="es-419"/>
              </w:rPr>
              <w:t>Experiencia media como examinadores (años)</w:t>
            </w:r>
          </w:p>
        </w:tc>
        <w:tc>
          <w:tcPr>
            <w:tcW w:w="2030" w:type="dxa"/>
            <w:tcBorders>
              <w:top w:val="single" w:sz="4" w:space="0" w:color="auto"/>
              <w:left w:val="single" w:sz="4" w:space="0" w:color="auto"/>
              <w:bottom w:val="single" w:sz="4" w:space="0" w:color="auto"/>
              <w:right w:val="single" w:sz="4" w:space="0" w:color="auto"/>
            </w:tcBorders>
            <w:hideMark/>
          </w:tcPr>
          <w:p w14:paraId="33F15D75" w14:textId="77777777" w:rsidR="00492F87" w:rsidRPr="006F00A3" w:rsidRDefault="00492F87" w:rsidP="00177665">
            <w:pPr>
              <w:suppressAutoHyphens/>
              <w:rPr>
                <w:rFonts w:eastAsia="Times New Roman"/>
                <w:b/>
                <w:bCs/>
                <w:szCs w:val="24"/>
                <w:lang w:val="es-419"/>
              </w:rPr>
            </w:pPr>
            <w:r w:rsidRPr="006F00A3">
              <w:rPr>
                <w:b/>
                <w:lang w:val="es-419"/>
              </w:rPr>
              <w:t>Desglose de las cualificaciones</w:t>
            </w:r>
          </w:p>
        </w:tc>
      </w:tr>
      <w:tr w:rsidR="00492F87" w:rsidRPr="006F00A3" w14:paraId="634B271D" w14:textId="77777777" w:rsidTr="006F00A3">
        <w:trPr>
          <w:cantSplit/>
        </w:trPr>
        <w:tc>
          <w:tcPr>
            <w:tcW w:w="2405" w:type="dxa"/>
            <w:tcBorders>
              <w:top w:val="single" w:sz="4" w:space="0" w:color="auto"/>
              <w:left w:val="single" w:sz="4" w:space="0" w:color="auto"/>
              <w:bottom w:val="single" w:sz="4" w:space="0" w:color="auto"/>
              <w:right w:val="single" w:sz="4" w:space="0" w:color="auto"/>
            </w:tcBorders>
            <w:hideMark/>
          </w:tcPr>
          <w:p w14:paraId="540E89D2" w14:textId="77777777" w:rsidR="00492F87" w:rsidRPr="006F00A3" w:rsidRDefault="00492F87" w:rsidP="00177665">
            <w:pPr>
              <w:keepNext/>
              <w:keepLines/>
              <w:suppressAutoHyphens/>
              <w:rPr>
                <w:rFonts w:eastAsia="Times New Roman"/>
                <w:szCs w:val="22"/>
                <w:lang w:val="es-419"/>
              </w:rPr>
            </w:pPr>
            <w:r w:rsidRPr="006F00A3">
              <w:rPr>
                <w:lang w:val="es-419"/>
              </w:rPr>
              <w:t>Mecánica</w:t>
            </w:r>
          </w:p>
        </w:tc>
        <w:tc>
          <w:tcPr>
            <w:tcW w:w="1985" w:type="dxa"/>
            <w:tcBorders>
              <w:top w:val="single" w:sz="4" w:space="0" w:color="auto"/>
              <w:left w:val="single" w:sz="4" w:space="0" w:color="auto"/>
              <w:bottom w:val="single" w:sz="4" w:space="0" w:color="auto"/>
              <w:right w:val="single" w:sz="4" w:space="0" w:color="auto"/>
            </w:tcBorders>
          </w:tcPr>
          <w:p w14:paraId="4CCA2EBB" w14:textId="77777777" w:rsidR="00492F87" w:rsidRPr="006F00A3" w:rsidRDefault="00492F87" w:rsidP="00177665">
            <w:pPr>
              <w:keepNext/>
              <w:keepLines/>
              <w:suppressAutoHyphens/>
              <w:rPr>
                <w:rFonts w:eastAsia="Times New Roman"/>
                <w:szCs w:val="22"/>
                <w:lang w:val="es-419"/>
              </w:rPr>
            </w:pPr>
            <w:r w:rsidRPr="006F00A3">
              <w:rPr>
                <w:lang w:val="es-419"/>
              </w:rPr>
              <w:t>33</w:t>
            </w:r>
          </w:p>
        </w:tc>
        <w:tc>
          <w:tcPr>
            <w:tcW w:w="2395" w:type="dxa"/>
            <w:tcBorders>
              <w:top w:val="single" w:sz="4" w:space="0" w:color="auto"/>
              <w:left w:val="single" w:sz="4" w:space="0" w:color="auto"/>
              <w:bottom w:val="single" w:sz="4" w:space="0" w:color="auto"/>
              <w:right w:val="single" w:sz="4" w:space="0" w:color="auto"/>
            </w:tcBorders>
          </w:tcPr>
          <w:p w14:paraId="036F95ED" w14:textId="77777777" w:rsidR="00492F87" w:rsidRPr="006F00A3" w:rsidRDefault="00492F87" w:rsidP="00177665">
            <w:pPr>
              <w:keepNext/>
              <w:keepLines/>
              <w:suppressAutoHyphens/>
              <w:rPr>
                <w:rFonts w:eastAsia="Times New Roman"/>
                <w:szCs w:val="22"/>
                <w:lang w:val="es-419"/>
              </w:rPr>
            </w:pPr>
            <w:r w:rsidRPr="006F00A3">
              <w:rPr>
                <w:lang w:val="es-419"/>
              </w:rPr>
              <w:t>14,4</w:t>
            </w:r>
          </w:p>
        </w:tc>
        <w:tc>
          <w:tcPr>
            <w:tcW w:w="2030" w:type="dxa"/>
            <w:tcBorders>
              <w:top w:val="single" w:sz="4" w:space="0" w:color="auto"/>
              <w:left w:val="single" w:sz="4" w:space="0" w:color="auto"/>
              <w:bottom w:val="nil"/>
              <w:right w:val="single" w:sz="4" w:space="0" w:color="auto"/>
            </w:tcBorders>
          </w:tcPr>
          <w:p w14:paraId="6AD75E57" w14:textId="77777777" w:rsidR="00492F87" w:rsidRPr="006F00A3" w:rsidRDefault="00492F87" w:rsidP="00177665">
            <w:pPr>
              <w:keepNext/>
              <w:keepLines/>
              <w:suppressAutoHyphens/>
              <w:rPr>
                <w:rFonts w:eastAsia="Times New Roman"/>
                <w:szCs w:val="22"/>
                <w:lang w:val="es-419" w:eastAsia="en-US" w:bidi="he-IL"/>
              </w:rPr>
            </w:pPr>
          </w:p>
        </w:tc>
      </w:tr>
      <w:tr w:rsidR="00492F87" w:rsidRPr="006F00A3" w14:paraId="470FC1DD" w14:textId="77777777" w:rsidTr="006F00A3">
        <w:trPr>
          <w:cantSplit/>
        </w:trPr>
        <w:tc>
          <w:tcPr>
            <w:tcW w:w="2405" w:type="dxa"/>
            <w:tcBorders>
              <w:top w:val="single" w:sz="4" w:space="0" w:color="auto"/>
              <w:left w:val="single" w:sz="4" w:space="0" w:color="auto"/>
              <w:bottom w:val="single" w:sz="4" w:space="0" w:color="auto"/>
              <w:right w:val="single" w:sz="4" w:space="0" w:color="auto"/>
            </w:tcBorders>
            <w:hideMark/>
          </w:tcPr>
          <w:p w14:paraId="552878F2" w14:textId="77777777" w:rsidR="00492F87" w:rsidRPr="006F00A3" w:rsidRDefault="00492F87" w:rsidP="00177665">
            <w:pPr>
              <w:keepNext/>
              <w:keepLines/>
              <w:suppressAutoHyphens/>
              <w:rPr>
                <w:rFonts w:eastAsia="Times New Roman"/>
                <w:szCs w:val="22"/>
                <w:lang w:val="es-419"/>
              </w:rPr>
            </w:pPr>
            <w:r w:rsidRPr="006F00A3">
              <w:rPr>
                <w:lang w:val="es-419"/>
              </w:rPr>
              <w:t>Electricidad/electrónica</w:t>
            </w:r>
          </w:p>
        </w:tc>
        <w:tc>
          <w:tcPr>
            <w:tcW w:w="1985" w:type="dxa"/>
            <w:tcBorders>
              <w:top w:val="single" w:sz="4" w:space="0" w:color="auto"/>
              <w:left w:val="single" w:sz="4" w:space="0" w:color="auto"/>
              <w:bottom w:val="single" w:sz="4" w:space="0" w:color="auto"/>
              <w:right w:val="single" w:sz="4" w:space="0" w:color="auto"/>
            </w:tcBorders>
          </w:tcPr>
          <w:p w14:paraId="0CB4CDF5" w14:textId="77777777" w:rsidR="00492F87" w:rsidRPr="006F00A3" w:rsidRDefault="00492F87" w:rsidP="00177665">
            <w:pPr>
              <w:keepNext/>
              <w:keepLines/>
              <w:suppressAutoHyphens/>
              <w:rPr>
                <w:rFonts w:eastAsia="Times New Roman"/>
                <w:szCs w:val="22"/>
                <w:lang w:val="es-419"/>
              </w:rPr>
            </w:pPr>
            <w:r w:rsidRPr="006F00A3">
              <w:rPr>
                <w:lang w:val="es-419"/>
              </w:rPr>
              <w:t>39</w:t>
            </w:r>
          </w:p>
        </w:tc>
        <w:tc>
          <w:tcPr>
            <w:tcW w:w="2395" w:type="dxa"/>
            <w:tcBorders>
              <w:top w:val="single" w:sz="4" w:space="0" w:color="auto"/>
              <w:left w:val="single" w:sz="4" w:space="0" w:color="auto"/>
              <w:bottom w:val="single" w:sz="4" w:space="0" w:color="auto"/>
              <w:right w:val="single" w:sz="4" w:space="0" w:color="auto"/>
            </w:tcBorders>
          </w:tcPr>
          <w:p w14:paraId="0F4DF504" w14:textId="77777777" w:rsidR="00492F87" w:rsidRPr="006F00A3" w:rsidRDefault="00492F87" w:rsidP="00177665">
            <w:pPr>
              <w:keepNext/>
              <w:keepLines/>
              <w:suppressAutoHyphens/>
              <w:rPr>
                <w:rFonts w:eastAsia="Times New Roman"/>
                <w:szCs w:val="22"/>
                <w:lang w:val="es-419"/>
              </w:rPr>
            </w:pPr>
            <w:r w:rsidRPr="006F00A3">
              <w:rPr>
                <w:lang w:val="es-419"/>
              </w:rPr>
              <w:t>12,1</w:t>
            </w:r>
          </w:p>
        </w:tc>
        <w:tc>
          <w:tcPr>
            <w:tcW w:w="2030" w:type="dxa"/>
            <w:tcBorders>
              <w:top w:val="nil"/>
              <w:left w:val="single" w:sz="4" w:space="0" w:color="auto"/>
              <w:bottom w:val="nil"/>
              <w:right w:val="single" w:sz="4" w:space="0" w:color="auto"/>
            </w:tcBorders>
          </w:tcPr>
          <w:p w14:paraId="3CBD5918" w14:textId="77777777" w:rsidR="00492F87" w:rsidRPr="006F00A3" w:rsidRDefault="00492F87" w:rsidP="00177665">
            <w:pPr>
              <w:keepNext/>
              <w:keepLines/>
              <w:suppressAutoHyphens/>
              <w:rPr>
                <w:rFonts w:eastAsia="Times New Roman"/>
                <w:szCs w:val="22"/>
                <w:lang w:val="es-419" w:eastAsia="en-US" w:bidi="he-IL"/>
              </w:rPr>
            </w:pPr>
          </w:p>
        </w:tc>
      </w:tr>
      <w:tr w:rsidR="00492F87" w:rsidRPr="006F00A3" w14:paraId="315ADB81" w14:textId="77777777" w:rsidTr="006F00A3">
        <w:trPr>
          <w:cantSplit/>
        </w:trPr>
        <w:tc>
          <w:tcPr>
            <w:tcW w:w="2405" w:type="dxa"/>
            <w:tcBorders>
              <w:top w:val="single" w:sz="4" w:space="0" w:color="auto"/>
              <w:left w:val="single" w:sz="4" w:space="0" w:color="auto"/>
              <w:bottom w:val="single" w:sz="4" w:space="0" w:color="auto"/>
              <w:right w:val="single" w:sz="4" w:space="0" w:color="auto"/>
            </w:tcBorders>
            <w:hideMark/>
          </w:tcPr>
          <w:p w14:paraId="428D1473" w14:textId="77777777" w:rsidR="00492F87" w:rsidRPr="006F00A3" w:rsidRDefault="00492F87" w:rsidP="00177665">
            <w:pPr>
              <w:keepNext/>
              <w:keepLines/>
              <w:suppressAutoHyphens/>
              <w:rPr>
                <w:rFonts w:eastAsia="Times New Roman"/>
                <w:szCs w:val="22"/>
                <w:lang w:val="es-419"/>
              </w:rPr>
            </w:pPr>
            <w:r w:rsidRPr="006F00A3">
              <w:rPr>
                <w:lang w:val="es-419"/>
              </w:rPr>
              <w:t>Química</w:t>
            </w:r>
          </w:p>
        </w:tc>
        <w:tc>
          <w:tcPr>
            <w:tcW w:w="1985" w:type="dxa"/>
            <w:tcBorders>
              <w:top w:val="single" w:sz="4" w:space="0" w:color="auto"/>
              <w:left w:val="single" w:sz="4" w:space="0" w:color="auto"/>
              <w:bottom w:val="single" w:sz="4" w:space="0" w:color="auto"/>
              <w:right w:val="single" w:sz="4" w:space="0" w:color="auto"/>
            </w:tcBorders>
          </w:tcPr>
          <w:p w14:paraId="39565F76" w14:textId="77777777" w:rsidR="00492F87" w:rsidRPr="006F00A3" w:rsidRDefault="00492F87" w:rsidP="00177665">
            <w:pPr>
              <w:keepNext/>
              <w:keepLines/>
              <w:suppressAutoHyphens/>
              <w:rPr>
                <w:rFonts w:eastAsia="Times New Roman"/>
                <w:szCs w:val="22"/>
                <w:lang w:val="es-419"/>
              </w:rPr>
            </w:pPr>
            <w:r w:rsidRPr="006F00A3">
              <w:rPr>
                <w:lang w:val="es-419"/>
              </w:rPr>
              <w:t>27</w:t>
            </w:r>
          </w:p>
        </w:tc>
        <w:tc>
          <w:tcPr>
            <w:tcW w:w="2395" w:type="dxa"/>
            <w:tcBorders>
              <w:top w:val="single" w:sz="4" w:space="0" w:color="auto"/>
              <w:left w:val="single" w:sz="4" w:space="0" w:color="auto"/>
              <w:bottom w:val="single" w:sz="4" w:space="0" w:color="auto"/>
              <w:right w:val="single" w:sz="4" w:space="0" w:color="auto"/>
            </w:tcBorders>
          </w:tcPr>
          <w:p w14:paraId="419909FC" w14:textId="77777777" w:rsidR="00492F87" w:rsidRPr="006F00A3" w:rsidRDefault="00492F87" w:rsidP="00177665">
            <w:pPr>
              <w:keepNext/>
              <w:keepLines/>
              <w:suppressAutoHyphens/>
              <w:rPr>
                <w:rFonts w:eastAsia="Times New Roman"/>
                <w:szCs w:val="22"/>
                <w:lang w:val="es-419"/>
              </w:rPr>
            </w:pPr>
            <w:r w:rsidRPr="006F00A3">
              <w:rPr>
                <w:lang w:val="es-419"/>
              </w:rPr>
              <w:t>14,4</w:t>
            </w:r>
          </w:p>
        </w:tc>
        <w:tc>
          <w:tcPr>
            <w:tcW w:w="2030" w:type="dxa"/>
            <w:tcBorders>
              <w:top w:val="nil"/>
              <w:left w:val="single" w:sz="4" w:space="0" w:color="auto"/>
              <w:bottom w:val="nil"/>
              <w:right w:val="single" w:sz="4" w:space="0" w:color="auto"/>
            </w:tcBorders>
          </w:tcPr>
          <w:p w14:paraId="2720D367" w14:textId="77777777" w:rsidR="00492F87" w:rsidRPr="006F00A3" w:rsidRDefault="00492F87" w:rsidP="00177665">
            <w:pPr>
              <w:keepNext/>
              <w:keepLines/>
              <w:suppressAutoHyphens/>
              <w:rPr>
                <w:rFonts w:eastAsia="Times New Roman"/>
                <w:szCs w:val="22"/>
                <w:lang w:val="es-419" w:eastAsia="en-US" w:bidi="he-IL"/>
              </w:rPr>
            </w:pPr>
          </w:p>
        </w:tc>
      </w:tr>
      <w:tr w:rsidR="00492F87" w:rsidRPr="006F00A3" w14:paraId="0F3554E5" w14:textId="77777777" w:rsidTr="006F00A3">
        <w:trPr>
          <w:cantSplit/>
        </w:trPr>
        <w:tc>
          <w:tcPr>
            <w:tcW w:w="2405" w:type="dxa"/>
            <w:tcBorders>
              <w:top w:val="single" w:sz="4" w:space="0" w:color="auto"/>
              <w:left w:val="single" w:sz="4" w:space="0" w:color="auto"/>
              <w:bottom w:val="single" w:sz="4" w:space="0" w:color="auto"/>
              <w:right w:val="single" w:sz="4" w:space="0" w:color="auto"/>
            </w:tcBorders>
            <w:hideMark/>
          </w:tcPr>
          <w:p w14:paraId="05A3A97A" w14:textId="77777777" w:rsidR="00492F87" w:rsidRPr="006F00A3" w:rsidRDefault="00492F87" w:rsidP="00177665">
            <w:pPr>
              <w:keepNext/>
              <w:keepLines/>
              <w:suppressAutoHyphens/>
              <w:rPr>
                <w:rFonts w:eastAsia="Times New Roman"/>
                <w:szCs w:val="22"/>
                <w:lang w:val="es-419"/>
              </w:rPr>
            </w:pPr>
            <w:r w:rsidRPr="006F00A3">
              <w:rPr>
                <w:lang w:val="es-419"/>
              </w:rPr>
              <w:t>Biotecnología</w:t>
            </w:r>
          </w:p>
        </w:tc>
        <w:tc>
          <w:tcPr>
            <w:tcW w:w="1985" w:type="dxa"/>
            <w:tcBorders>
              <w:top w:val="single" w:sz="4" w:space="0" w:color="auto"/>
              <w:left w:val="single" w:sz="4" w:space="0" w:color="auto"/>
              <w:bottom w:val="single" w:sz="4" w:space="0" w:color="auto"/>
              <w:right w:val="single" w:sz="4" w:space="0" w:color="auto"/>
            </w:tcBorders>
          </w:tcPr>
          <w:p w14:paraId="72A956FA" w14:textId="77777777" w:rsidR="00492F87" w:rsidRPr="006F00A3" w:rsidRDefault="00492F87" w:rsidP="00177665">
            <w:pPr>
              <w:keepNext/>
              <w:keepLines/>
              <w:suppressAutoHyphens/>
              <w:rPr>
                <w:rFonts w:eastAsia="Times New Roman"/>
                <w:szCs w:val="22"/>
                <w:lang w:val="es-419"/>
              </w:rPr>
            </w:pPr>
            <w:r w:rsidRPr="006F00A3">
              <w:rPr>
                <w:lang w:val="es-419"/>
              </w:rPr>
              <w:t>5</w:t>
            </w:r>
          </w:p>
        </w:tc>
        <w:tc>
          <w:tcPr>
            <w:tcW w:w="2395" w:type="dxa"/>
            <w:tcBorders>
              <w:top w:val="single" w:sz="4" w:space="0" w:color="auto"/>
              <w:left w:val="single" w:sz="4" w:space="0" w:color="auto"/>
              <w:bottom w:val="single" w:sz="4" w:space="0" w:color="auto"/>
              <w:right w:val="single" w:sz="4" w:space="0" w:color="auto"/>
            </w:tcBorders>
          </w:tcPr>
          <w:p w14:paraId="657AB4B9" w14:textId="77777777" w:rsidR="00492F87" w:rsidRPr="006F00A3" w:rsidRDefault="00492F87" w:rsidP="00177665">
            <w:pPr>
              <w:keepNext/>
              <w:keepLines/>
              <w:suppressAutoHyphens/>
              <w:rPr>
                <w:rFonts w:eastAsia="Times New Roman"/>
                <w:szCs w:val="22"/>
                <w:lang w:val="es-419"/>
              </w:rPr>
            </w:pPr>
            <w:r w:rsidRPr="006F00A3">
              <w:rPr>
                <w:lang w:val="es-419"/>
              </w:rPr>
              <w:t>21,4</w:t>
            </w:r>
          </w:p>
        </w:tc>
        <w:tc>
          <w:tcPr>
            <w:tcW w:w="2030" w:type="dxa"/>
            <w:tcBorders>
              <w:top w:val="nil"/>
              <w:left w:val="single" w:sz="4" w:space="0" w:color="auto"/>
              <w:bottom w:val="single" w:sz="4" w:space="0" w:color="auto"/>
              <w:right w:val="single" w:sz="4" w:space="0" w:color="auto"/>
            </w:tcBorders>
          </w:tcPr>
          <w:p w14:paraId="2F73F972" w14:textId="77777777" w:rsidR="00492F87" w:rsidRPr="006F00A3" w:rsidRDefault="00492F87" w:rsidP="00177665">
            <w:pPr>
              <w:keepNext/>
              <w:keepLines/>
              <w:suppressAutoHyphens/>
              <w:rPr>
                <w:rFonts w:eastAsia="Times New Roman"/>
                <w:szCs w:val="22"/>
                <w:lang w:val="es-419" w:eastAsia="en-US" w:bidi="he-IL"/>
              </w:rPr>
            </w:pPr>
          </w:p>
        </w:tc>
      </w:tr>
      <w:tr w:rsidR="00492F87" w:rsidRPr="006F00A3" w14:paraId="52B6CD3B" w14:textId="77777777" w:rsidTr="006F00A3">
        <w:trPr>
          <w:cantSplit/>
        </w:trPr>
        <w:tc>
          <w:tcPr>
            <w:tcW w:w="2405" w:type="dxa"/>
            <w:tcBorders>
              <w:top w:val="single" w:sz="4" w:space="0" w:color="auto"/>
              <w:left w:val="single" w:sz="4" w:space="0" w:color="auto"/>
              <w:bottom w:val="single" w:sz="4" w:space="0" w:color="auto"/>
              <w:right w:val="single" w:sz="4" w:space="0" w:color="auto"/>
            </w:tcBorders>
            <w:hideMark/>
          </w:tcPr>
          <w:p w14:paraId="0C069DCD" w14:textId="77777777" w:rsidR="00492F87" w:rsidRPr="006F00A3" w:rsidRDefault="00492F87" w:rsidP="00177665">
            <w:pPr>
              <w:suppressAutoHyphens/>
              <w:rPr>
                <w:rFonts w:eastAsia="Times New Roman"/>
                <w:i/>
                <w:iCs/>
                <w:szCs w:val="22"/>
                <w:lang w:val="es-419"/>
              </w:rPr>
            </w:pPr>
            <w:r w:rsidRPr="006F00A3">
              <w:rPr>
                <w:i/>
                <w:lang w:val="es-419"/>
              </w:rPr>
              <w:t>Total</w:t>
            </w:r>
          </w:p>
        </w:tc>
        <w:tc>
          <w:tcPr>
            <w:tcW w:w="1985" w:type="dxa"/>
            <w:tcBorders>
              <w:top w:val="single" w:sz="4" w:space="0" w:color="auto"/>
              <w:left w:val="single" w:sz="4" w:space="0" w:color="auto"/>
              <w:bottom w:val="single" w:sz="4" w:space="0" w:color="auto"/>
              <w:right w:val="single" w:sz="4" w:space="0" w:color="auto"/>
            </w:tcBorders>
          </w:tcPr>
          <w:p w14:paraId="74E07552" w14:textId="77777777" w:rsidR="00492F87" w:rsidRPr="006F00A3" w:rsidRDefault="00492F87" w:rsidP="00177665">
            <w:pPr>
              <w:suppressAutoHyphens/>
              <w:rPr>
                <w:rFonts w:eastAsia="Times New Roman"/>
                <w:i/>
                <w:iCs/>
                <w:szCs w:val="22"/>
                <w:lang w:val="es-419"/>
              </w:rPr>
            </w:pPr>
            <w:r w:rsidRPr="006F00A3">
              <w:rPr>
                <w:i/>
                <w:lang w:val="es-419"/>
              </w:rPr>
              <w:t>104</w:t>
            </w:r>
          </w:p>
        </w:tc>
        <w:tc>
          <w:tcPr>
            <w:tcW w:w="2395" w:type="dxa"/>
            <w:tcBorders>
              <w:top w:val="single" w:sz="4" w:space="0" w:color="auto"/>
              <w:left w:val="single" w:sz="4" w:space="0" w:color="auto"/>
              <w:bottom w:val="single" w:sz="4" w:space="0" w:color="auto"/>
              <w:right w:val="single" w:sz="4" w:space="0" w:color="auto"/>
            </w:tcBorders>
          </w:tcPr>
          <w:p w14:paraId="6201BF4D" w14:textId="77777777" w:rsidR="00492F87" w:rsidRPr="006F00A3" w:rsidRDefault="00492F87" w:rsidP="00177665">
            <w:pPr>
              <w:suppressAutoHyphens/>
              <w:rPr>
                <w:rFonts w:eastAsia="Times New Roman"/>
                <w:i/>
                <w:iCs/>
                <w:szCs w:val="22"/>
                <w:lang w:val="es-419"/>
              </w:rPr>
            </w:pPr>
            <w:r w:rsidRPr="006F00A3">
              <w:rPr>
                <w:i/>
                <w:lang w:val="es-419"/>
              </w:rPr>
              <w:t>13,9</w:t>
            </w:r>
          </w:p>
        </w:tc>
        <w:tc>
          <w:tcPr>
            <w:tcW w:w="2030" w:type="dxa"/>
            <w:tcBorders>
              <w:top w:val="single" w:sz="4" w:space="0" w:color="auto"/>
              <w:left w:val="single" w:sz="4" w:space="0" w:color="auto"/>
              <w:bottom w:val="single" w:sz="4" w:space="0" w:color="auto"/>
              <w:right w:val="single" w:sz="4" w:space="0" w:color="auto"/>
            </w:tcBorders>
          </w:tcPr>
          <w:p w14:paraId="7814D831" w14:textId="0EE2FD5D" w:rsidR="00492F87" w:rsidRPr="006F00A3" w:rsidRDefault="00492F87" w:rsidP="00177665">
            <w:pPr>
              <w:suppressAutoHyphens/>
              <w:rPr>
                <w:rFonts w:eastAsia="Times New Roman"/>
                <w:i/>
                <w:iCs/>
                <w:szCs w:val="22"/>
                <w:lang w:val="es-419"/>
              </w:rPr>
            </w:pPr>
            <w:r w:rsidRPr="006F00A3">
              <w:rPr>
                <w:i/>
                <w:lang w:val="es-419"/>
              </w:rPr>
              <w:t>19</w:t>
            </w:r>
            <w:r w:rsidR="006F00A3" w:rsidRPr="006F00A3">
              <w:rPr>
                <w:i/>
                <w:lang w:val="es-419"/>
              </w:rPr>
              <w:t>,</w:t>
            </w:r>
            <w:r w:rsidRPr="006F00A3">
              <w:rPr>
                <w:i/>
                <w:lang w:val="es-419"/>
              </w:rPr>
              <w:t>2</w:t>
            </w:r>
            <w:r w:rsidR="006F00A3" w:rsidRPr="006F00A3">
              <w:rPr>
                <w:i/>
                <w:lang w:val="es-419"/>
              </w:rPr>
              <w:t xml:space="preserve"> </w:t>
            </w:r>
            <w:r w:rsidRPr="006F00A3">
              <w:rPr>
                <w:i/>
                <w:lang w:val="es-419"/>
              </w:rPr>
              <w:t>% doctorado, 80</w:t>
            </w:r>
            <w:r w:rsidR="006F00A3" w:rsidRPr="006F00A3">
              <w:rPr>
                <w:i/>
                <w:lang w:val="es-419"/>
              </w:rPr>
              <w:t>,</w:t>
            </w:r>
            <w:r w:rsidRPr="006F00A3">
              <w:rPr>
                <w:i/>
                <w:lang w:val="es-419"/>
              </w:rPr>
              <w:t>8</w:t>
            </w:r>
            <w:r w:rsidR="006F00A3" w:rsidRPr="006F00A3">
              <w:rPr>
                <w:i/>
                <w:lang w:val="es-419"/>
              </w:rPr>
              <w:t xml:space="preserve"> </w:t>
            </w:r>
            <w:r w:rsidRPr="006F00A3">
              <w:rPr>
                <w:i/>
                <w:lang w:val="es-419"/>
              </w:rPr>
              <w:t>% maestría</w:t>
            </w:r>
          </w:p>
        </w:tc>
      </w:tr>
    </w:tbl>
    <w:p w14:paraId="49EC2CF8" w14:textId="77777777" w:rsidR="00492F87" w:rsidRPr="006F00A3" w:rsidRDefault="00492F87" w:rsidP="00492F87">
      <w:pPr>
        <w:rPr>
          <w:lang w:val="es-419"/>
        </w:rPr>
      </w:pPr>
    </w:p>
    <w:p w14:paraId="6E2BD8E1" w14:textId="77777777" w:rsidR="0030178D" w:rsidRPr="006F00A3" w:rsidRDefault="00492F87" w:rsidP="00492F87">
      <w:pPr>
        <w:pStyle w:val="RuleQuote"/>
        <w:ind w:left="0"/>
        <w:rPr>
          <w:i w:val="0"/>
          <w:lang w:val="es-419"/>
        </w:rPr>
      </w:pPr>
      <w:r w:rsidRPr="006F00A3">
        <w:rPr>
          <w:i w:val="0"/>
          <w:lang w:val="es-419"/>
        </w:rPr>
        <w:t>Otra información además de la que figura en el informe SGC y en el cuadro anterior (opcional):</w:t>
      </w:r>
    </w:p>
    <w:p w14:paraId="25984FE7" w14:textId="54909C43" w:rsidR="00492F87" w:rsidRPr="006F00A3" w:rsidRDefault="00492F87" w:rsidP="00492F87">
      <w:pPr>
        <w:pStyle w:val="Question"/>
        <w:spacing w:before="240" w:after="480"/>
        <w:rPr>
          <w:rFonts w:eastAsia="Times New Roman"/>
          <w:b w:val="0"/>
          <w:bCs w:val="0"/>
          <w:kern w:val="32"/>
          <w:szCs w:val="32"/>
          <w:lang w:val="es-419"/>
        </w:rPr>
      </w:pPr>
      <w:r w:rsidRPr="006F00A3">
        <w:rPr>
          <w:b w:val="0"/>
          <w:lang w:val="es-419"/>
        </w:rPr>
        <w:t>La PRV está procediendo a la contratación de unos 4 nuevos examinadores de solicitudes de patente.</w:t>
      </w:r>
      <w:r w:rsidR="0030178D" w:rsidRPr="006F00A3">
        <w:rPr>
          <w:b w:val="0"/>
          <w:lang w:val="es-419"/>
        </w:rPr>
        <w:t xml:space="preserve"> </w:t>
      </w:r>
      <w:r w:rsidRPr="006F00A3">
        <w:rPr>
          <w:b w:val="0"/>
          <w:lang w:val="es-419"/>
        </w:rPr>
        <w:t>El desglose de las cualificaciones de todo el grupo de examinadores es el siguiente: el</w:t>
      </w:r>
      <w:r w:rsidR="00CF7D6A" w:rsidRPr="006F00A3">
        <w:rPr>
          <w:b w:val="0"/>
          <w:lang w:val="es-419"/>
        </w:rPr>
        <w:t> </w:t>
      </w:r>
      <w:r w:rsidRPr="006F00A3">
        <w:rPr>
          <w:b w:val="0"/>
          <w:lang w:val="es-419"/>
        </w:rPr>
        <w:t>19,2</w:t>
      </w:r>
      <w:r w:rsidR="006F00A3" w:rsidRPr="006F00A3">
        <w:rPr>
          <w:b w:val="0"/>
          <w:lang w:val="es-419"/>
        </w:rPr>
        <w:t> </w:t>
      </w:r>
      <w:r w:rsidRPr="006F00A3">
        <w:rPr>
          <w:b w:val="0"/>
          <w:lang w:val="es-419"/>
        </w:rPr>
        <w:t>% tiene un título de doctorado y el resto del grupo de examinadores (80,8</w:t>
      </w:r>
      <w:r w:rsidR="006F00A3" w:rsidRPr="006F00A3">
        <w:rPr>
          <w:b w:val="0"/>
          <w:lang w:val="es-419"/>
        </w:rPr>
        <w:t> </w:t>
      </w:r>
      <w:r w:rsidRPr="006F00A3">
        <w:rPr>
          <w:b w:val="0"/>
          <w:lang w:val="es-419"/>
        </w:rPr>
        <w:t>%) tiene un título de maestría.</w:t>
      </w:r>
      <w:r w:rsidR="0030178D" w:rsidRPr="006F00A3">
        <w:rPr>
          <w:b w:val="0"/>
          <w:lang w:val="es-419"/>
        </w:rPr>
        <w:t xml:space="preserve"> </w:t>
      </w:r>
      <w:r w:rsidRPr="006F00A3">
        <w:rPr>
          <w:b w:val="0"/>
          <w:lang w:val="es-419"/>
        </w:rPr>
        <w:t>La cualificación mínima exigida para contratar examinadores de solicitudes de patente en la PRV es la de maestría.</w:t>
      </w:r>
    </w:p>
    <w:p w14:paraId="69834521" w14:textId="77777777" w:rsidR="00492F87" w:rsidRPr="006F00A3" w:rsidRDefault="00492F87" w:rsidP="00492F87">
      <w:pPr>
        <w:pStyle w:val="SectionHeading"/>
        <w:rPr>
          <w:lang w:val="es-419"/>
        </w:rPr>
      </w:pPr>
      <w:r w:rsidRPr="006F00A3">
        <w:rPr>
          <w:lang w:val="es-419"/>
        </w:rPr>
        <w:t>2.2. Documentación mínima puesta a disposición para consulta</w:t>
      </w:r>
    </w:p>
    <w:p w14:paraId="6BFFE870" w14:textId="77777777" w:rsidR="00492F87" w:rsidRPr="006F00A3" w:rsidRDefault="00492F87" w:rsidP="00492F87">
      <w:pPr>
        <w:pStyle w:val="RuleQuote"/>
        <w:rPr>
          <w:lang w:val="es-419"/>
        </w:rPr>
      </w:pPr>
      <w:r w:rsidRPr="006F00A3">
        <w:rPr>
          <w:lang w:val="es-419"/>
        </w:rPr>
        <w:t>Reglas 36.1.ii) y 63.1.ii): Esa Oficina u organización deberá poner a disposición para su consulta, como parte de la documentación mínima mencionada en la Regla 34, de conformidad con los requisitos especificados en las Instrucciones Administrativas, toda patente concedida y toda solicitud de patente publicada por ella y, en su caso, por su antecesor jurídico.</w:t>
      </w:r>
    </w:p>
    <w:p w14:paraId="53850EA4" w14:textId="353F68A2" w:rsidR="00492F87" w:rsidRPr="006F00A3" w:rsidRDefault="00492F87" w:rsidP="00492F87">
      <w:pPr>
        <w:pStyle w:val="RuleQuote"/>
        <w:rPr>
          <w:szCs w:val="24"/>
          <w:lang w:val="es-419"/>
        </w:rPr>
      </w:pPr>
      <w:r w:rsidRPr="006F00A3">
        <w:rPr>
          <w:lang w:val="es-419"/>
        </w:rPr>
        <w:t xml:space="preserve">Los requisitos especificados en las Instrucciones Administrativas figuran en la circular </w:t>
      </w:r>
      <w:hyperlink r:id="rId13" w:history="1">
        <w:r w:rsidRPr="006F00A3">
          <w:rPr>
            <w:rStyle w:val="Hyperlink"/>
            <w:lang w:val="es-419"/>
          </w:rPr>
          <w:t>C. PCT 1672</w:t>
        </w:r>
      </w:hyperlink>
      <w:r w:rsidRPr="006F00A3">
        <w:rPr>
          <w:lang w:val="es-419"/>
        </w:rPr>
        <w:t>, de 19 de junio de 2024.</w:t>
      </w:r>
    </w:p>
    <w:p w14:paraId="328F9075" w14:textId="304547DD" w:rsidR="00492F87" w:rsidRPr="006F00A3" w:rsidRDefault="00492F87" w:rsidP="00492F87">
      <w:pPr>
        <w:pStyle w:val="Question"/>
        <w:spacing w:after="0"/>
        <w:rPr>
          <w:b w:val="0"/>
          <w:bCs w:val="0"/>
          <w:lang w:val="es-419"/>
        </w:rPr>
      </w:pPr>
      <w:r w:rsidRPr="006F00A3">
        <w:rPr>
          <w:b w:val="0"/>
          <w:lang w:val="es-419"/>
        </w:rPr>
        <w:t>La puesta a disposición para consulta, como parte de la documentación mínima mencionada en la Regla 34, de las patentes concedidas y las solicitudes de patente publicadas por la Oficina o, en su caso, por las Oficinas que formen parte de la organización intergubernamental, de conformidad con el acuerdo adoptado por la Asamblea del PCT en el párrafo 8 del documento PCT/A/55/2, se informa de la siguiente manera:</w:t>
      </w:r>
      <w:r w:rsidRPr="006F00A3">
        <w:rPr>
          <w:b w:val="0"/>
          <w:lang w:val="es-419"/>
        </w:rPr>
        <w:br/>
      </w:r>
      <w:r w:rsidRPr="006F00A3">
        <w:rPr>
          <w:b w:val="0"/>
          <w:lang w:val="es-419"/>
        </w:rPr>
        <w:br/>
        <w:t>O bien:</w:t>
      </w:r>
      <w:r w:rsidRPr="006F00A3">
        <w:rPr>
          <w:b w:val="0"/>
          <w:lang w:val="es-419"/>
        </w:rPr>
        <w:br/>
      </w:r>
      <w:r w:rsidRPr="006F00A3">
        <w:rPr>
          <w:b w:val="0"/>
          <w:lang w:val="es-419"/>
        </w:rPr>
        <w:br/>
      </w:r>
      <w:sdt>
        <w:sdtPr>
          <w:rPr>
            <w:b w:val="0"/>
            <w:bCs w:val="0"/>
            <w:lang w:val="es-419"/>
          </w:rPr>
          <w:id w:val="-178122316"/>
          <w14:checkbox>
            <w14:checked w14:val="1"/>
            <w14:checkedState w14:val="2612" w14:font="MS Gothic"/>
            <w14:uncheckedState w14:val="2610" w14:font="MS Gothic"/>
          </w14:checkbox>
        </w:sdtPr>
        <w:sdtEndPr/>
        <w:sdtContent>
          <w:r w:rsidRPr="006F00A3">
            <w:rPr>
              <w:rFonts w:ascii="MS Gothic" w:eastAsia="MS Gothic" w:hAnsi="MS Gothic"/>
              <w:b w:val="0"/>
              <w:bCs w:val="0"/>
              <w:lang w:val="es-419"/>
            </w:rPr>
            <w:t>☒</w:t>
          </w:r>
        </w:sdtContent>
      </w:sdt>
      <w:r w:rsidRPr="006F00A3">
        <w:rPr>
          <w:b w:val="0"/>
          <w:lang w:val="es-419"/>
        </w:rPr>
        <w:t xml:space="preserve"> El Equipo Técnico sobre Documentación Mínima del PCT ha comprobado la disponibilidad de las colecciones de documentación sobre patentes antes del 1 de noviembre de 2025 y certifica que se han cumplido los requisitos.</w:t>
      </w:r>
      <w:r w:rsidR="0030178D" w:rsidRPr="006F00A3">
        <w:rPr>
          <w:b w:val="0"/>
          <w:lang w:val="es-419"/>
        </w:rPr>
        <w:t xml:space="preserve"> </w:t>
      </w:r>
      <w:r w:rsidRPr="006F00A3">
        <w:rPr>
          <w:b w:val="0"/>
          <w:lang w:val="es-419"/>
        </w:rPr>
        <w:t>El alcance y el formato de los documentos que la Administración haya puesto a disposición para su consulta han sido publicados en la Gaceta del PCT el 23 de octubre de 2025 en:</w:t>
      </w:r>
      <w:r w:rsidR="0030178D" w:rsidRPr="006F00A3">
        <w:rPr>
          <w:b w:val="0"/>
          <w:lang w:val="es-419"/>
        </w:rPr>
        <w:t xml:space="preserve"> </w:t>
      </w:r>
      <w:hyperlink r:id="rId14" w:history="1">
        <w:r w:rsidRPr="006F00A3">
          <w:rPr>
            <w:rStyle w:val="Hyperlink"/>
            <w:b w:val="0"/>
            <w:lang w:val="es-419"/>
          </w:rPr>
          <w:t>https://www.wipo.int/documents/d/pct-system/docs-en-official-notices-officialnotices.pdf#page=204</w:t>
        </w:r>
      </w:hyperlink>
      <w:r w:rsidRPr="006F00A3">
        <w:rPr>
          <w:b w:val="0"/>
          <w:lang w:val="es-419"/>
        </w:rPr>
        <w:t>.</w:t>
      </w:r>
    </w:p>
    <w:p w14:paraId="48A59B0A" w14:textId="77777777" w:rsidR="00492F87" w:rsidRPr="006F00A3" w:rsidRDefault="00492F87" w:rsidP="00492F87">
      <w:pPr>
        <w:pStyle w:val="Answer"/>
        <w:rPr>
          <w:lang w:val="es-419"/>
        </w:rPr>
      </w:pPr>
    </w:p>
    <w:p w14:paraId="1439B3DD" w14:textId="77777777" w:rsidR="00492F87" w:rsidRPr="006F00A3" w:rsidRDefault="00492F87" w:rsidP="00492F87">
      <w:pPr>
        <w:pStyle w:val="Answer"/>
        <w:ind w:left="0"/>
        <w:rPr>
          <w:lang w:val="es-419"/>
        </w:rPr>
      </w:pPr>
      <w:r w:rsidRPr="006F00A3">
        <w:rPr>
          <w:lang w:val="es-419"/>
        </w:rPr>
        <w:t>O bien:</w:t>
      </w:r>
    </w:p>
    <w:p w14:paraId="04B5E7FA" w14:textId="77777777" w:rsidR="00492F87" w:rsidRPr="006F00A3" w:rsidRDefault="00492F87" w:rsidP="00492F87">
      <w:pPr>
        <w:pStyle w:val="Answer"/>
        <w:ind w:left="0"/>
        <w:rPr>
          <w:lang w:val="es-419"/>
        </w:rPr>
      </w:pPr>
    </w:p>
    <w:p w14:paraId="51910842" w14:textId="6655ABA8" w:rsidR="00492F87" w:rsidRPr="006F00A3" w:rsidRDefault="00844AD3" w:rsidP="00492F87">
      <w:pPr>
        <w:pStyle w:val="Answer"/>
        <w:ind w:left="0"/>
        <w:rPr>
          <w:lang w:val="es-419"/>
        </w:rPr>
      </w:pPr>
      <w:sdt>
        <w:sdtPr>
          <w:rPr>
            <w:lang w:val="es-419"/>
          </w:rPr>
          <w:id w:val="229279132"/>
          <w14:checkbox>
            <w14:checked w14:val="0"/>
            <w14:checkedState w14:val="2612" w14:font="MS Gothic"/>
            <w14:uncheckedState w14:val="2610" w14:font="MS Gothic"/>
          </w14:checkbox>
        </w:sdtPr>
        <w:sdtEndPr/>
        <w:sdtContent>
          <w:r w:rsidR="00492F87" w:rsidRPr="006F00A3">
            <w:rPr>
              <w:rFonts w:ascii="MS Gothic" w:eastAsia="MS Gothic" w:hAnsi="MS Gothic"/>
              <w:lang w:val="es-419"/>
            </w:rPr>
            <w:t>☐</w:t>
          </w:r>
        </w:sdtContent>
      </w:sdt>
      <w:r w:rsidR="00492F87" w:rsidRPr="006F00A3">
        <w:rPr>
          <w:lang w:val="es-419"/>
        </w:rPr>
        <w:t xml:space="preserve"> La Administración informa sobre la disponibilidad de su colección de documentación sobre patentes como se indica a continuación, con inclusión de un calendario para las pruebas y la certificación de la plena disponibilidad por el Equipo Técnico sobre Documentación Mínima del PCT.</w:t>
      </w:r>
      <w:r w:rsidR="0030178D" w:rsidRPr="006F00A3">
        <w:rPr>
          <w:lang w:val="es-419"/>
        </w:rPr>
        <w:t xml:space="preserve"> </w:t>
      </w:r>
      <w:r w:rsidR="00492F87" w:rsidRPr="006F00A3">
        <w:rPr>
          <w:lang w:val="es-419"/>
        </w:rPr>
        <w:t>Introduzca asimismo información detallada de su fichero de referencia junto con los enlaces, según proceda.</w:t>
      </w:r>
    </w:p>
    <w:p w14:paraId="43F6ACC9" w14:textId="77777777" w:rsidR="00492F87" w:rsidRPr="006F00A3" w:rsidRDefault="00492F87" w:rsidP="00492F87">
      <w:pPr>
        <w:pStyle w:val="SectionHeading"/>
        <w:rPr>
          <w:lang w:val="es-419"/>
        </w:rPr>
      </w:pPr>
      <w:r w:rsidRPr="006F00A3">
        <w:rPr>
          <w:lang w:val="es-419"/>
        </w:rPr>
        <w:t>2.3. Acceso a la documentación mínima</w:t>
      </w:r>
    </w:p>
    <w:p w14:paraId="694F6891" w14:textId="77777777" w:rsidR="00492F87" w:rsidRPr="006F00A3" w:rsidRDefault="00492F87" w:rsidP="00492F87">
      <w:pPr>
        <w:pStyle w:val="RuleQuote"/>
        <w:rPr>
          <w:i w:val="0"/>
          <w:iCs w:val="0"/>
          <w:lang w:val="es-419"/>
        </w:rPr>
      </w:pPr>
      <w:r w:rsidRPr="006F00A3">
        <w:rPr>
          <w:lang w:val="es-419"/>
        </w:rPr>
        <w:t>Reglas 36.1.iii) y 63.1.iii): Esa Oficina u organización deberá poseer, por lo menos, la documentación mínima mencionada en la Regla 34, o mantener acceso a esa documentación mínima, con fines de búsqueda de conformidad con las Instrucciones Administrativas.</w:t>
      </w:r>
    </w:p>
    <w:p w14:paraId="0B9F76D6" w14:textId="77777777" w:rsidR="0030178D" w:rsidRPr="006F00A3" w:rsidRDefault="00492F87" w:rsidP="00492F87">
      <w:pPr>
        <w:pStyle w:val="RuleQuote"/>
        <w:ind w:left="0"/>
        <w:rPr>
          <w:i w:val="0"/>
          <w:lang w:val="es-419"/>
        </w:rPr>
      </w:pPr>
      <w:r w:rsidRPr="006F00A3">
        <w:rPr>
          <w:i w:val="0"/>
          <w:lang w:val="es-419"/>
        </w:rPr>
        <w:t>El informe SGC proporciona información de la Administración sobre la infraestructura existente para garantizar que al menos la documentación mínima mencionada en la Regla 34 esté disponible, accesible, debidamente ordenada y conservada a efectos de búsqueda y examen con arreglo al párrafo 21.15.iv) de las Directrices.</w:t>
      </w:r>
    </w:p>
    <w:p w14:paraId="6EE4738B" w14:textId="77777777" w:rsidR="0030178D" w:rsidRPr="006F00A3" w:rsidRDefault="00492F87" w:rsidP="00492F87">
      <w:pPr>
        <w:pStyle w:val="RuleQuote"/>
        <w:ind w:left="0"/>
        <w:rPr>
          <w:i w:val="0"/>
          <w:lang w:val="es-419"/>
        </w:rPr>
      </w:pPr>
      <w:r w:rsidRPr="006F00A3">
        <w:rPr>
          <w:i w:val="0"/>
          <w:lang w:val="es-419"/>
        </w:rPr>
        <w:t>Otra información además del informe SGC (opcional):</w:t>
      </w:r>
    </w:p>
    <w:p w14:paraId="7C7702A4" w14:textId="41AB979F" w:rsidR="00492F87" w:rsidRPr="006F00A3" w:rsidRDefault="00492F87" w:rsidP="00492F87">
      <w:pPr>
        <w:pStyle w:val="RuleQuote"/>
        <w:keepNext w:val="0"/>
        <w:ind w:left="0"/>
        <w:rPr>
          <w:i w:val="0"/>
          <w:iCs w:val="0"/>
          <w:lang w:val="es-419"/>
        </w:rPr>
      </w:pPr>
      <w:r w:rsidRPr="006F00A3">
        <w:rPr>
          <w:i w:val="0"/>
          <w:lang w:val="es-419"/>
        </w:rPr>
        <w:t>La administración tiene acceso a exhaustivas bases de datos, la denominada documentación mínima para las solicitudes PCT, y cuenta con capacidad para realizar con eficiencia y exactitud búsquedas y exámenes que garanticen que durante la búsqueda se encuentran documentos pertinentes a la patentabilidad.</w:t>
      </w:r>
    </w:p>
    <w:p w14:paraId="1DC1D819" w14:textId="77777777" w:rsidR="00492F87" w:rsidRPr="006F00A3" w:rsidRDefault="00492F87" w:rsidP="00492F87">
      <w:pPr>
        <w:pStyle w:val="SectionHeading"/>
        <w:rPr>
          <w:lang w:val="es-419"/>
        </w:rPr>
      </w:pPr>
      <w:r w:rsidRPr="006F00A3">
        <w:rPr>
          <w:lang w:val="es-419"/>
        </w:rPr>
        <w:t>2.4. Gestión de la calidad</w:t>
      </w:r>
    </w:p>
    <w:p w14:paraId="308BF859" w14:textId="77777777" w:rsidR="00492F87" w:rsidRPr="006F00A3" w:rsidRDefault="00492F87" w:rsidP="00492F87">
      <w:pPr>
        <w:pStyle w:val="RuleQuote"/>
        <w:rPr>
          <w:lang w:val="es-419"/>
        </w:rPr>
      </w:pPr>
      <w:r w:rsidRPr="006F00A3">
        <w:rPr>
          <w:lang w:val="es-419"/>
        </w:rPr>
        <w:t>Reglas 36.1.iv) y 63.1.iv): Esa Oficina u organización deberá disponer de un sistema de gestión de calidad y un sistema de revisión interna, conforme a las reglas comunes de la búsqueda internacional.</w:t>
      </w:r>
    </w:p>
    <w:p w14:paraId="04C329D4" w14:textId="77777777" w:rsidR="00492F87" w:rsidRPr="006F00A3" w:rsidRDefault="00492F87" w:rsidP="00492F87">
      <w:pPr>
        <w:pStyle w:val="RuleQuote"/>
        <w:ind w:left="0"/>
        <w:rPr>
          <w:i w:val="0"/>
          <w:iCs w:val="0"/>
          <w:lang w:val="es-419"/>
        </w:rPr>
      </w:pPr>
      <w:r w:rsidRPr="006F00A3">
        <w:rPr>
          <w:i w:val="0"/>
          <w:lang w:val="es-419"/>
        </w:rPr>
        <w:t>El informe SGC proporciona información de la Administración sobre el sistema de gestión de la calidad implantado conforme al Capítulo 21 de las Directrices e incluye un informe conforme al párrafo 21.09 de las disposiciones de revisión interna que se describen con más detalle en los párrafos 21.27 a 21.30 de las Directrices.</w:t>
      </w:r>
    </w:p>
    <w:p w14:paraId="13D7CDA2" w14:textId="77777777" w:rsidR="0030178D" w:rsidRPr="006F00A3" w:rsidRDefault="00492F87" w:rsidP="00492F87">
      <w:pPr>
        <w:pStyle w:val="RuleQuote"/>
        <w:ind w:left="0"/>
        <w:rPr>
          <w:i w:val="0"/>
          <w:lang w:val="es-419"/>
        </w:rPr>
      </w:pPr>
      <w:r w:rsidRPr="006F00A3">
        <w:rPr>
          <w:i w:val="0"/>
          <w:lang w:val="es-419"/>
        </w:rPr>
        <w:t>Otra información además del informe SGC (opcional):</w:t>
      </w:r>
    </w:p>
    <w:p w14:paraId="7EDF2DB3" w14:textId="3B890D80" w:rsidR="00492F87" w:rsidRPr="006F00A3" w:rsidRDefault="00492F87" w:rsidP="00492F87">
      <w:pPr>
        <w:pStyle w:val="Notestext"/>
        <w:rPr>
          <w:lang w:val="es-419"/>
        </w:rPr>
      </w:pPr>
      <w:r w:rsidRPr="006F00A3">
        <w:rPr>
          <w:lang w:val="es-419"/>
        </w:rPr>
        <w:t>La administración dispone de un sistema de gestión de la calidad con auditorías periódicas y fue recertificada en 2025 conforme a la norma ISO9001:2015.</w:t>
      </w:r>
    </w:p>
    <w:p w14:paraId="54D73640" w14:textId="77777777" w:rsidR="00492F87" w:rsidRPr="006F00A3" w:rsidRDefault="00492F87" w:rsidP="00492F87">
      <w:pPr>
        <w:pStyle w:val="SectionHeading"/>
        <w:rPr>
          <w:lang w:val="es-419"/>
        </w:rPr>
      </w:pPr>
      <w:r w:rsidRPr="006F00A3">
        <w:rPr>
          <w:lang w:val="es-419"/>
        </w:rPr>
        <w:t>3. Ámbito de actuación</w:t>
      </w:r>
    </w:p>
    <w:p w14:paraId="5F491C80" w14:textId="261527B1" w:rsidR="00492F87" w:rsidRPr="006F00A3" w:rsidRDefault="00492F87" w:rsidP="006F00A3">
      <w:pPr>
        <w:pStyle w:val="Question"/>
        <w:numPr>
          <w:ilvl w:val="0"/>
          <w:numId w:val="7"/>
        </w:numPr>
        <w:spacing w:after="240"/>
        <w:ind w:left="567" w:hanging="567"/>
        <w:rPr>
          <w:i/>
          <w:iCs/>
          <w:lang w:val="es-419"/>
        </w:rPr>
      </w:pPr>
      <w:r w:rsidRPr="006F00A3">
        <w:rPr>
          <w:lang w:val="es-419"/>
        </w:rPr>
        <w:t>Ámbito de actuación actual</w:t>
      </w:r>
    </w:p>
    <w:p w14:paraId="12D73FE2" w14:textId="3E014BBE" w:rsidR="00492F87" w:rsidRPr="006F00A3" w:rsidRDefault="00492F87" w:rsidP="00492F87">
      <w:pPr>
        <w:pStyle w:val="Question"/>
        <w:keepNext w:val="0"/>
        <w:spacing w:after="480"/>
        <w:rPr>
          <w:lang w:val="es-419"/>
        </w:rPr>
      </w:pPr>
      <w:r w:rsidRPr="006F00A3">
        <w:rPr>
          <w:b w:val="0"/>
          <w:lang w:val="es-419"/>
        </w:rPr>
        <w:t xml:space="preserve">Las Oficinas receptoras para las que la Oficina u organización intergubernamental es competente como Administración encargada de la búsqueda internacional y del examen preliminar internacional, los idiomas en los que se ofrecen los servicios y demás información sobre el alcance de las operaciones figuran en la </w:t>
      </w:r>
      <w:r w:rsidRPr="006F00A3">
        <w:rPr>
          <w:b w:val="0"/>
          <w:i/>
          <w:iCs/>
          <w:lang w:val="es-419"/>
        </w:rPr>
        <w:t>Guía del Solicitante del PCT</w:t>
      </w:r>
      <w:r w:rsidRPr="006F00A3">
        <w:rPr>
          <w:b w:val="0"/>
          <w:lang w:val="es-419"/>
        </w:rPr>
        <w:t>, en el siguiente enlace</w:t>
      </w:r>
      <w:bookmarkStart w:id="5" w:name="_Hlk214637647"/>
      <w:r w:rsidRPr="006F00A3">
        <w:rPr>
          <w:b w:val="0"/>
          <w:lang w:val="es-419"/>
        </w:rPr>
        <w:t>:</w:t>
      </w:r>
      <w:r w:rsidR="0030178D" w:rsidRPr="006F00A3">
        <w:rPr>
          <w:b w:val="0"/>
          <w:lang w:val="es-419"/>
        </w:rPr>
        <w:t xml:space="preserve"> </w:t>
      </w:r>
      <w:hyperlink r:id="rId15" w:anchor="ISA" w:history="1">
        <w:r w:rsidRPr="006F00A3">
          <w:rPr>
            <w:rStyle w:val="Hyperlink"/>
            <w:b w:val="0"/>
            <w:lang w:val="es-419"/>
          </w:rPr>
          <w:t>https://pctlegal.wipo.int/eGuide/view-doc.xhtml?doc-code=SE&amp;doc-lang=en#ISA</w:t>
        </w:r>
      </w:hyperlink>
      <w:r w:rsidRPr="006F00A3">
        <w:rPr>
          <w:b w:val="0"/>
          <w:lang w:val="es-419"/>
        </w:rPr>
        <w:t xml:space="preserve"> y</w:t>
      </w:r>
      <w:bookmarkEnd w:id="5"/>
      <w:r w:rsidRPr="006F00A3">
        <w:rPr>
          <w:b w:val="0"/>
          <w:lang w:val="es-419"/>
        </w:rPr>
        <w:t xml:space="preserve"> </w:t>
      </w:r>
      <w:hyperlink r:id="rId16" w:history="1">
        <w:r w:rsidRPr="006F00A3">
          <w:rPr>
            <w:rStyle w:val="Hyperlink"/>
            <w:b w:val="0"/>
            <w:lang w:val="es-419"/>
          </w:rPr>
          <w:t>https://pctlegal.wipo.int/eGuide/view-doc.xhtml?doc-code=SE&amp;doc-lang=en#IPEA</w:t>
        </w:r>
      </w:hyperlink>
      <w:r w:rsidRPr="006F00A3">
        <w:rPr>
          <w:b w:val="0"/>
          <w:lang w:val="es-419"/>
        </w:rPr>
        <w:t>.</w:t>
      </w:r>
    </w:p>
    <w:p w14:paraId="54314E7D" w14:textId="151F840A" w:rsidR="0030178D" w:rsidRPr="006F00A3" w:rsidRDefault="00492F87" w:rsidP="006F00A3">
      <w:pPr>
        <w:pStyle w:val="Question"/>
        <w:numPr>
          <w:ilvl w:val="0"/>
          <w:numId w:val="7"/>
        </w:numPr>
        <w:spacing w:after="240"/>
        <w:ind w:left="0" w:firstLine="0"/>
        <w:rPr>
          <w:lang w:val="es-419"/>
        </w:rPr>
      </w:pPr>
      <w:r w:rsidRPr="006F00A3">
        <w:rPr>
          <w:lang w:val="es-419"/>
        </w:rPr>
        <w:lastRenderedPageBreak/>
        <w:t>Cambios previstos en el ámbito de actuación como Administración, tales como las Oficinas receptoras para las que la Administración es competente y las lenguas ofrecidas (si procede):</w:t>
      </w:r>
    </w:p>
    <w:p w14:paraId="08E27887" w14:textId="77777777" w:rsidR="00492F87" w:rsidRPr="006F00A3" w:rsidRDefault="00492F87" w:rsidP="00492F87">
      <w:pPr>
        <w:pStyle w:val="SectionHeading"/>
        <w:rPr>
          <w:lang w:val="es-419"/>
        </w:rPr>
      </w:pPr>
      <w:r w:rsidRPr="006F00A3">
        <w:rPr>
          <w:lang w:val="es-419"/>
        </w:rPr>
        <w:t>4. Otra información</w:t>
      </w:r>
    </w:p>
    <w:p w14:paraId="536B7161" w14:textId="77777777" w:rsidR="0030178D" w:rsidRPr="006F00A3" w:rsidRDefault="00492F87" w:rsidP="00492F87">
      <w:pPr>
        <w:rPr>
          <w:lang w:val="es-419"/>
        </w:rPr>
      </w:pPr>
      <w:r w:rsidRPr="006F00A3">
        <w:rPr>
          <w:lang w:val="es-419"/>
        </w:rPr>
        <w:t>Demás información pertinente para la prórroga de la designación como Administración encargada de la búsqueda y del examen preliminar internacionales:</w:t>
      </w:r>
    </w:p>
    <w:p w14:paraId="10AD8D25" w14:textId="59BA195A" w:rsidR="00492F87" w:rsidRPr="006F00A3" w:rsidRDefault="00492F87" w:rsidP="00492F87">
      <w:pPr>
        <w:rPr>
          <w:lang w:val="es-419"/>
        </w:rPr>
      </w:pPr>
    </w:p>
    <w:p w14:paraId="6D0C6C87" w14:textId="7CC285FE" w:rsidR="00492F87" w:rsidRPr="006F00A3" w:rsidRDefault="00492F87" w:rsidP="00836A55">
      <w:pPr>
        <w:pStyle w:val="Notestext"/>
        <w:spacing w:after="600"/>
        <w:rPr>
          <w:lang w:val="es-419"/>
        </w:rPr>
      </w:pPr>
      <w:r w:rsidRPr="006F00A3">
        <w:rPr>
          <w:lang w:val="es-419"/>
        </w:rPr>
        <w:t>La PRV es una Administración del PCT autorizada desde finales de la década de 1970, por lo que cuenta con una nutrida experiencia en el examen de solicitudes PCT,</w:t>
      </w:r>
      <w:r w:rsidR="0030178D" w:rsidRPr="006F00A3">
        <w:rPr>
          <w:lang w:val="es-419"/>
        </w:rPr>
        <w:t xml:space="preserve"> </w:t>
      </w:r>
      <w:r w:rsidRPr="006F00A3">
        <w:rPr>
          <w:lang w:val="es-419"/>
        </w:rPr>
        <w:t>lo que significa que garantiza una alta calidad en la búsqueda de la novedad y el examen preliminar de patentabilidad de las solicitudes, y cumple elevados estándares internacionales de calidad en todos los campos técnicos.</w:t>
      </w:r>
      <w:r w:rsidR="0030178D" w:rsidRPr="006F00A3">
        <w:rPr>
          <w:lang w:val="es-419"/>
        </w:rPr>
        <w:t xml:space="preserve"> </w:t>
      </w:r>
      <w:r w:rsidRPr="006F00A3">
        <w:rPr>
          <w:lang w:val="es-419"/>
        </w:rPr>
        <w:t>La administración cuenta con más de 100 ingenieros de patentes empleados a tiempo completo y tiene competencias en todos los sectores técnicos.</w:t>
      </w:r>
      <w:r w:rsidR="0030178D" w:rsidRPr="006F00A3">
        <w:rPr>
          <w:lang w:val="es-419"/>
        </w:rPr>
        <w:t xml:space="preserve"> </w:t>
      </w:r>
      <w:r w:rsidRPr="006F00A3">
        <w:rPr>
          <w:lang w:val="es-419"/>
        </w:rPr>
        <w:t>La administración tiene acceso a exhaustivas bases de datos, la denominada documentación mínima para las solicitudes PCT, y cuenta con capacidad para realizar con eficiencia y exactitud búsquedas y exámenes que garanticen que durante la búsqueda se encuentran documentos pertinentes a la patentabilidad.</w:t>
      </w:r>
      <w:r w:rsidR="0030178D" w:rsidRPr="006F00A3">
        <w:rPr>
          <w:lang w:val="es-419"/>
        </w:rPr>
        <w:t xml:space="preserve"> </w:t>
      </w:r>
      <w:r w:rsidRPr="006F00A3">
        <w:rPr>
          <w:lang w:val="es-419"/>
        </w:rPr>
        <w:t>La administración dispone de un sistema de gestión de la calidad con auditorías periódicas y fue recertificada en 2025 conforme a la norma ISO9001:2015.</w:t>
      </w:r>
    </w:p>
    <w:p w14:paraId="7DC9B1B2" w14:textId="77777777" w:rsidR="006F00A3" w:rsidRPr="006F00A3" w:rsidRDefault="006F00A3" w:rsidP="006F00A3">
      <w:pPr>
        <w:pStyle w:val="Notestext"/>
        <w:pBdr>
          <w:top w:val="single" w:sz="4" w:space="1" w:color="auto"/>
        </w:pBdr>
        <w:spacing w:after="600"/>
        <w:rPr>
          <w:lang w:val="es-419"/>
        </w:rPr>
      </w:pPr>
    </w:p>
    <w:p w14:paraId="367FB378" w14:textId="1A824C1D" w:rsidR="00152CEA" w:rsidRPr="006F00A3" w:rsidRDefault="00492F87" w:rsidP="006F00A3">
      <w:pPr>
        <w:pStyle w:val="Endofdocument-Annex"/>
        <w:spacing w:before="720"/>
        <w:rPr>
          <w:lang w:val="es-419"/>
        </w:rPr>
      </w:pPr>
      <w:r w:rsidRPr="006F00A3">
        <w:rPr>
          <w:lang w:val="es-419"/>
        </w:rPr>
        <w:t>[Fin del anexo y del documento]</w:t>
      </w:r>
    </w:p>
    <w:sectPr w:rsidR="00152CEA" w:rsidRPr="006F00A3" w:rsidSect="006F00A3">
      <w:headerReference w:type="default" r:id="rId17"/>
      <w:footerReference w:type="even" r:id="rId18"/>
      <w:footerReference w:type="default" r:id="rId19"/>
      <w:headerReference w:type="first" r:id="rId20"/>
      <w:footerReference w:type="first" r:id="rId21"/>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4294" w14:textId="77777777" w:rsidR="00492F87" w:rsidRDefault="00492F87">
      <w:r>
        <w:separator/>
      </w:r>
    </w:p>
  </w:endnote>
  <w:endnote w:type="continuationSeparator" w:id="0">
    <w:p w14:paraId="15B63736" w14:textId="77777777" w:rsidR="00492F87" w:rsidRPr="009D30E6" w:rsidRDefault="00492F87" w:rsidP="007E663E">
      <w:pPr>
        <w:rPr>
          <w:sz w:val="17"/>
          <w:szCs w:val="17"/>
        </w:rPr>
      </w:pPr>
      <w:r w:rsidRPr="009D30E6">
        <w:rPr>
          <w:sz w:val="17"/>
          <w:szCs w:val="17"/>
        </w:rPr>
        <w:separator/>
      </w:r>
    </w:p>
    <w:p w14:paraId="0A70BE9B" w14:textId="77777777" w:rsidR="00492F87" w:rsidRPr="007E663E" w:rsidRDefault="00492F87" w:rsidP="007E663E">
      <w:pPr>
        <w:spacing w:after="60"/>
        <w:rPr>
          <w:sz w:val="17"/>
          <w:szCs w:val="17"/>
        </w:rPr>
      </w:pPr>
      <w:r>
        <w:rPr>
          <w:sz w:val="17"/>
        </w:rPr>
        <w:t>[Continuación de la nota de la página anterior]</w:t>
      </w:r>
    </w:p>
  </w:endnote>
  <w:endnote w:type="continuationNotice" w:id="1">
    <w:p w14:paraId="7B0670A6" w14:textId="77777777" w:rsidR="00492F87" w:rsidRPr="007E663E" w:rsidRDefault="00492F8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97EE7" w14:textId="29779893" w:rsidR="00761D20" w:rsidRDefault="00761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69834" w14:textId="6883F5BF" w:rsidR="00761D20" w:rsidRDefault="00761D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98C5" w14:textId="4F32BCDB" w:rsidR="00761D20" w:rsidRDefault="00761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23D0" w14:textId="77777777" w:rsidR="00492F87" w:rsidRDefault="00492F87">
      <w:r>
        <w:separator/>
      </w:r>
    </w:p>
  </w:footnote>
  <w:footnote w:type="continuationSeparator" w:id="0">
    <w:p w14:paraId="1C8CD9FB" w14:textId="77777777" w:rsidR="00492F87" w:rsidRPr="009D30E6" w:rsidRDefault="00492F87" w:rsidP="007E663E">
      <w:pPr>
        <w:rPr>
          <w:sz w:val="17"/>
          <w:szCs w:val="17"/>
        </w:rPr>
      </w:pPr>
      <w:r w:rsidRPr="009D30E6">
        <w:rPr>
          <w:sz w:val="17"/>
          <w:szCs w:val="17"/>
        </w:rPr>
        <w:separator/>
      </w:r>
    </w:p>
    <w:p w14:paraId="629338EA" w14:textId="77777777" w:rsidR="00492F87" w:rsidRPr="007E663E" w:rsidRDefault="00492F87" w:rsidP="007E663E">
      <w:pPr>
        <w:spacing w:after="60"/>
        <w:rPr>
          <w:sz w:val="17"/>
          <w:szCs w:val="17"/>
        </w:rPr>
      </w:pPr>
      <w:r>
        <w:rPr>
          <w:sz w:val="17"/>
        </w:rPr>
        <w:t>[Continuación de la nota de la página anterior]</w:t>
      </w:r>
    </w:p>
  </w:footnote>
  <w:footnote w:type="continuationNotice" w:id="1">
    <w:p w14:paraId="78F23176" w14:textId="77777777" w:rsidR="00492F87" w:rsidRPr="007E663E" w:rsidRDefault="00492F87"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13AEB640" w14:textId="77777777" w:rsidR="00492F87" w:rsidRDefault="00492F87">
        <w:pPr>
          <w:pStyle w:val="Header"/>
          <w:jc w:val="right"/>
        </w:pPr>
        <w:r>
          <w:fldChar w:fldCharType="begin"/>
        </w:r>
        <w:r>
          <w:instrText xml:space="preserve"> PAGE   \* MERGEFORMAT </w:instrText>
        </w:r>
        <w:r>
          <w:fldChar w:fldCharType="separate"/>
        </w:r>
        <w:r>
          <w:t>2</w:t>
        </w:r>
        <w:r>
          <w:fldChar w:fldCharType="end"/>
        </w:r>
      </w:p>
    </w:sdtContent>
  </w:sdt>
  <w:p w14:paraId="30927431" w14:textId="77777777" w:rsidR="00492F87" w:rsidRDefault="00492F8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6D14B" w14:textId="3AAE8383" w:rsidR="00AE7F20" w:rsidRPr="00EB0D93" w:rsidRDefault="00492F87" w:rsidP="00477D6B">
    <w:pPr>
      <w:jc w:val="right"/>
      <w:rPr>
        <w:caps/>
      </w:rPr>
    </w:pPr>
    <w:bookmarkStart w:id="6" w:name="Code2"/>
    <w:bookmarkEnd w:id="6"/>
    <w:r>
      <w:rPr>
        <w:caps/>
      </w:rPr>
      <w:t>PCT/CTC/33/20</w:t>
    </w:r>
  </w:p>
  <w:p w14:paraId="2E920F43" w14:textId="7BFB6EE8" w:rsidR="00EC1AA7" w:rsidRDefault="006F00A3" w:rsidP="006F00A3">
    <w:pPr>
      <w:spacing w:after="480"/>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C892" w14:textId="3E24EBD4" w:rsidR="006F00A3" w:rsidRDefault="006F00A3" w:rsidP="006F00A3">
    <w:pPr>
      <w:pStyle w:val="Header"/>
      <w:tabs>
        <w:tab w:val="clear" w:pos="4536"/>
        <w:tab w:val="clear" w:pos="9072"/>
      </w:tabs>
      <w:jc w:val="right"/>
    </w:pPr>
    <w:r>
      <w:t>PCT/CTC/33/20</w:t>
    </w:r>
  </w:p>
  <w:p w14:paraId="7AC8926F" w14:textId="7B42754F" w:rsidR="006F00A3" w:rsidRPr="006F00A3" w:rsidRDefault="006F00A3" w:rsidP="006F00A3">
    <w:pPr>
      <w:pStyle w:val="Header"/>
      <w:tabs>
        <w:tab w:val="clear" w:pos="4536"/>
        <w:tab w:val="clear" w:pos="9072"/>
      </w:tabs>
      <w:spacing w:after="480"/>
      <w:jc w:val="right"/>
    </w:pPr>
    <w:r>
      <w:t>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04090017"/>
    <w:lvl w:ilvl="0">
      <w:start w:val="1"/>
      <w:numFmt w:val="lowerLetter"/>
      <w:lvlText w:val="%1)"/>
      <w:lvlJc w:val="left"/>
      <w:pPr>
        <w:ind w:left="360" w:hanging="360"/>
      </w:pPr>
      <w:rPr>
        <w:i w:val="0"/>
        <w:iCs w:val="0"/>
      </w:rPr>
    </w:lvl>
  </w:abstractNum>
  <w:abstractNum w:abstractNumId="1"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4657173">
    <w:abstractNumId w:val="3"/>
  </w:num>
  <w:num w:numId="2" w16cid:durableId="935676022">
    <w:abstractNumId w:val="5"/>
  </w:num>
  <w:num w:numId="3" w16cid:durableId="1849903877">
    <w:abstractNumId w:val="1"/>
  </w:num>
  <w:num w:numId="4" w16cid:durableId="593898791">
    <w:abstractNumId w:val="6"/>
  </w:num>
  <w:num w:numId="5" w16cid:durableId="443039048">
    <w:abstractNumId w:val="2"/>
  </w:num>
  <w:num w:numId="6" w16cid:durableId="1262756580">
    <w:abstractNumId w:val="4"/>
  </w:num>
  <w:num w:numId="7" w16cid:durableId="168678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87"/>
    <w:rsid w:val="00010686"/>
    <w:rsid w:val="00052915"/>
    <w:rsid w:val="000E3BB3"/>
    <w:rsid w:val="000F5E56"/>
    <w:rsid w:val="001362EE"/>
    <w:rsid w:val="00152CEA"/>
    <w:rsid w:val="001832A6"/>
    <w:rsid w:val="00220073"/>
    <w:rsid w:val="00220365"/>
    <w:rsid w:val="002634C4"/>
    <w:rsid w:val="00295268"/>
    <w:rsid w:val="002C2E2F"/>
    <w:rsid w:val="002D23B5"/>
    <w:rsid w:val="002E0F47"/>
    <w:rsid w:val="002F4E68"/>
    <w:rsid w:val="0030178D"/>
    <w:rsid w:val="00310826"/>
    <w:rsid w:val="0033702A"/>
    <w:rsid w:val="00354647"/>
    <w:rsid w:val="00377273"/>
    <w:rsid w:val="003845C1"/>
    <w:rsid w:val="00387287"/>
    <w:rsid w:val="003E48F1"/>
    <w:rsid w:val="003F347A"/>
    <w:rsid w:val="00423E3E"/>
    <w:rsid w:val="00427AF4"/>
    <w:rsid w:val="0045231F"/>
    <w:rsid w:val="004647DA"/>
    <w:rsid w:val="0046793F"/>
    <w:rsid w:val="00472A6E"/>
    <w:rsid w:val="00477808"/>
    <w:rsid w:val="00477D6B"/>
    <w:rsid w:val="00492F87"/>
    <w:rsid w:val="004A6C37"/>
    <w:rsid w:val="004E297D"/>
    <w:rsid w:val="004E7E02"/>
    <w:rsid w:val="00531B02"/>
    <w:rsid w:val="005332F0"/>
    <w:rsid w:val="0055013B"/>
    <w:rsid w:val="00571B99"/>
    <w:rsid w:val="0059316F"/>
    <w:rsid w:val="005B2EAE"/>
    <w:rsid w:val="00605827"/>
    <w:rsid w:val="00610328"/>
    <w:rsid w:val="00611529"/>
    <w:rsid w:val="00675021"/>
    <w:rsid w:val="006879FF"/>
    <w:rsid w:val="006A06C6"/>
    <w:rsid w:val="006F00A3"/>
    <w:rsid w:val="007224C8"/>
    <w:rsid w:val="00761D20"/>
    <w:rsid w:val="00794BE2"/>
    <w:rsid w:val="007A5581"/>
    <w:rsid w:val="007A663C"/>
    <w:rsid w:val="007B71FE"/>
    <w:rsid w:val="007D781E"/>
    <w:rsid w:val="007E663E"/>
    <w:rsid w:val="00807244"/>
    <w:rsid w:val="00815082"/>
    <w:rsid w:val="00836A55"/>
    <w:rsid w:val="00863081"/>
    <w:rsid w:val="0088395E"/>
    <w:rsid w:val="008B2CC1"/>
    <w:rsid w:val="008E6BD6"/>
    <w:rsid w:val="0090731E"/>
    <w:rsid w:val="00927287"/>
    <w:rsid w:val="00966A22"/>
    <w:rsid w:val="00972F03"/>
    <w:rsid w:val="0098367F"/>
    <w:rsid w:val="009A0C8B"/>
    <w:rsid w:val="009A20CD"/>
    <w:rsid w:val="009A6E76"/>
    <w:rsid w:val="009B2138"/>
    <w:rsid w:val="009B6241"/>
    <w:rsid w:val="00A16FC0"/>
    <w:rsid w:val="00A32C9E"/>
    <w:rsid w:val="00AB613D"/>
    <w:rsid w:val="00AE7F20"/>
    <w:rsid w:val="00B534D5"/>
    <w:rsid w:val="00B65A0A"/>
    <w:rsid w:val="00B67CDC"/>
    <w:rsid w:val="00B72D36"/>
    <w:rsid w:val="00BC4164"/>
    <w:rsid w:val="00BD2DCC"/>
    <w:rsid w:val="00BF5A8E"/>
    <w:rsid w:val="00C119DB"/>
    <w:rsid w:val="00C90559"/>
    <w:rsid w:val="00CA0500"/>
    <w:rsid w:val="00CA2251"/>
    <w:rsid w:val="00CF7D6A"/>
    <w:rsid w:val="00D01C72"/>
    <w:rsid w:val="00D56C7C"/>
    <w:rsid w:val="00D71B4D"/>
    <w:rsid w:val="00D90289"/>
    <w:rsid w:val="00D93D55"/>
    <w:rsid w:val="00DB7E59"/>
    <w:rsid w:val="00DC4C60"/>
    <w:rsid w:val="00DD6CF4"/>
    <w:rsid w:val="00E0079A"/>
    <w:rsid w:val="00E444DA"/>
    <w:rsid w:val="00E45C84"/>
    <w:rsid w:val="00E504E5"/>
    <w:rsid w:val="00EB0D93"/>
    <w:rsid w:val="00EB7A3E"/>
    <w:rsid w:val="00EC1AA7"/>
    <w:rsid w:val="00EC401A"/>
    <w:rsid w:val="00EF3F2D"/>
    <w:rsid w:val="00EF530A"/>
    <w:rsid w:val="00EF6622"/>
    <w:rsid w:val="00EF78A9"/>
    <w:rsid w:val="00F55408"/>
    <w:rsid w:val="00F66152"/>
    <w:rsid w:val="00F80845"/>
    <w:rsid w:val="00F84474"/>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480EB2"/>
  <w15:docId w15:val="{498CA0AA-1D86-4F6A-894B-E5DC0EA3F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erChar">
    <w:name w:val="Header Char"/>
    <w:basedOn w:val="DefaultParagraphFont"/>
    <w:link w:val="Header"/>
    <w:uiPriority w:val="99"/>
    <w:rsid w:val="00492F87"/>
    <w:rPr>
      <w:rFonts w:ascii="Arial" w:eastAsia="SimSun" w:hAnsi="Arial" w:cs="Arial"/>
      <w:sz w:val="22"/>
      <w:lang w:val="es-ES" w:eastAsia="zh-CN"/>
    </w:rPr>
  </w:style>
  <w:style w:type="character" w:customStyle="1" w:styleId="SectionHeadingChar">
    <w:name w:val="Section Heading Char"/>
    <w:link w:val="SectionHeading"/>
    <w:qFormat/>
    <w:locked/>
    <w:rsid w:val="00492F87"/>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492F87"/>
    <w:pPr>
      <w:keepLines/>
      <w:pBdr>
        <w:top w:val="single" w:sz="4" w:space="1" w:color="auto"/>
      </w:pBdr>
      <w:spacing w:before="360" w:after="200" w:line="480" w:lineRule="auto"/>
    </w:pPr>
    <w:rPr>
      <w:rFonts w:eastAsia="Times New Roman"/>
      <w:b/>
      <w:caps/>
      <w:u w:val="none"/>
      <w:lang w:val="fr-CH"/>
    </w:rPr>
  </w:style>
  <w:style w:type="paragraph" w:customStyle="1" w:styleId="RuleQuote">
    <w:name w:val="Rule Quote"/>
    <w:basedOn w:val="Normal"/>
    <w:qFormat/>
    <w:rsid w:val="00492F87"/>
    <w:pPr>
      <w:keepNext/>
      <w:keepLines/>
      <w:spacing w:after="240"/>
      <w:ind w:left="567" w:right="567"/>
    </w:pPr>
    <w:rPr>
      <w:bCs/>
      <w:i/>
      <w:iCs/>
    </w:rPr>
  </w:style>
  <w:style w:type="paragraph" w:customStyle="1" w:styleId="Question">
    <w:name w:val="Question"/>
    <w:basedOn w:val="BodyText"/>
    <w:next w:val="Answer"/>
    <w:qFormat/>
    <w:rsid w:val="00492F87"/>
    <w:pPr>
      <w:keepNext/>
      <w:keepLines/>
    </w:pPr>
    <w:rPr>
      <w:b/>
      <w:bCs/>
      <w:szCs w:val="22"/>
    </w:rPr>
  </w:style>
  <w:style w:type="paragraph" w:customStyle="1" w:styleId="Answer">
    <w:name w:val="Answer"/>
    <w:basedOn w:val="BodyText"/>
    <w:qFormat/>
    <w:rsid w:val="00492F87"/>
    <w:pPr>
      <w:ind w:left="567"/>
    </w:pPr>
  </w:style>
  <w:style w:type="character" w:styleId="Hyperlink">
    <w:name w:val="Hyperlink"/>
    <w:basedOn w:val="DefaultParagraphFont"/>
    <w:unhideWhenUsed/>
    <w:rsid w:val="00492F87"/>
    <w:rPr>
      <w:color w:val="0000FF" w:themeColor="hyperlink"/>
      <w:u w:val="single"/>
    </w:rPr>
  </w:style>
  <w:style w:type="paragraph" w:customStyle="1" w:styleId="Notestext">
    <w:name w:val="Notes text"/>
    <w:basedOn w:val="BodyText"/>
    <w:qFormat/>
    <w:rsid w:val="00492F87"/>
    <w:pPr>
      <w:keepLines/>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xport/sites/www/pct/es/docs/circulars/2024/1672.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wipo.int/en/web/pct-system/quality/authorit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file:///C:\Users\cevallos\Downloads\pct_ctc_33_21%20draft%20SE.docx"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e.eriksson@prv.se" TargetMode="External"/><Relationship Id="rId5" Type="http://schemas.openxmlformats.org/officeDocument/2006/relationships/webSettings" Target="webSettings.xml"/><Relationship Id="rId15" Type="http://schemas.openxmlformats.org/officeDocument/2006/relationships/hyperlink" Target="https://pctlegal.wipo.int/eGuide/view-doc.xhtml?doc-code=SE&amp;doc-lang=en" TargetMode="External"/><Relationship Id="rId23" Type="http://schemas.openxmlformats.org/officeDocument/2006/relationships/theme" Target="theme/theme1.xml"/><Relationship Id="rId10" Type="http://schemas.openxmlformats.org/officeDocument/2006/relationships/hyperlink" Target="mailto:asa.viken@prv.s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cevallos\Downloads\pct_ctc_33_21%20draft%20SE.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CTC_3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E8E77-0C01-49CA-8591-CCBD3B22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PCT_CTC_33 (S)</Template>
  <TotalTime>0</TotalTime>
  <Pages>5</Pages>
  <Words>1511</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PCT/CTC/33/20</vt:lpstr>
    </vt:vector>
  </TitlesOfParts>
  <Company>WIPO</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PCT/CTC/33/20</dc:title>
  <dc:creator>MIGLIORE Liliana</dc:creator>
  <cp:keywords>FOR OFFICIAL USE ONLY</cp:keywords>
  <cp:lastModifiedBy>SAKR Sally</cp:lastModifiedBy>
  <cp:revision>2</cp:revision>
  <dcterms:created xsi:type="dcterms:W3CDTF">2026-01-09T13:16:00Z</dcterms:created>
  <dcterms:modified xsi:type="dcterms:W3CDTF">2026-01-09T13:16:00Z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2025-12-30T13:22:54Z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512cf7b3-b40a-4ccf-bfc9-8eb304c7fb31</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