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D17D" w14:textId="77777777" w:rsidR="008B2CC1" w:rsidRPr="00780161" w:rsidRDefault="00472A6E" w:rsidP="00761D20">
      <w:pPr>
        <w:pBdr>
          <w:bottom w:val="single" w:sz="4" w:space="11" w:color="auto"/>
        </w:pBdr>
        <w:spacing w:after="120"/>
        <w:ind w:right="-57"/>
        <w:jc w:val="right"/>
        <w:rPr>
          <w:lang w:val="es-ES_tradnl"/>
        </w:rPr>
      </w:pPr>
      <w:r w:rsidRPr="00780161">
        <w:rPr>
          <w:noProof/>
          <w:lang w:val="es-ES_tradnl" w:eastAsia="en-US"/>
        </w:rPr>
        <w:drawing>
          <wp:inline distT="0" distB="0" distL="0" distR="0" wp14:anchorId="4B0C1712" wp14:editId="29DDDE9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01D7EA8" w14:textId="7CD6A1E1" w:rsidR="00472A6E" w:rsidRPr="00780161" w:rsidRDefault="00927287" w:rsidP="00472A6E">
      <w:pPr>
        <w:jc w:val="right"/>
        <w:rPr>
          <w:rFonts w:ascii="Arial Black" w:hAnsi="Arial Black"/>
          <w:caps/>
          <w:sz w:val="15"/>
          <w:lang w:val="es-ES_tradnl"/>
        </w:rPr>
      </w:pPr>
      <w:r w:rsidRPr="00780161">
        <w:rPr>
          <w:rFonts w:ascii="Arial Black" w:hAnsi="Arial Black"/>
          <w:caps/>
          <w:sz w:val="15"/>
          <w:lang w:val="es-ES_tradnl"/>
        </w:rPr>
        <w:t>PCT/CTC/3</w:t>
      </w:r>
      <w:r w:rsidR="00611529" w:rsidRPr="00780161">
        <w:rPr>
          <w:rFonts w:ascii="Arial Black" w:hAnsi="Arial Black"/>
          <w:caps/>
          <w:sz w:val="15"/>
          <w:lang w:val="es-ES_tradnl"/>
        </w:rPr>
        <w:t>3</w:t>
      </w:r>
      <w:r w:rsidRPr="00780161">
        <w:rPr>
          <w:rFonts w:ascii="Arial Black" w:hAnsi="Arial Black"/>
          <w:caps/>
          <w:sz w:val="15"/>
          <w:lang w:val="es-ES_tradnl"/>
        </w:rPr>
        <w:t>/</w:t>
      </w:r>
      <w:bookmarkStart w:id="0" w:name="Code"/>
      <w:bookmarkEnd w:id="0"/>
      <w:r w:rsidR="00780161" w:rsidRPr="00780161">
        <w:rPr>
          <w:rFonts w:ascii="Arial Black" w:hAnsi="Arial Black"/>
          <w:caps/>
          <w:sz w:val="15"/>
          <w:lang w:val="es-ES_tradnl"/>
        </w:rPr>
        <w:t>18</w:t>
      </w:r>
    </w:p>
    <w:p w14:paraId="2690A922" w14:textId="5EA1A275" w:rsidR="008B2CC1" w:rsidRPr="00780161" w:rsidRDefault="00472A6E" w:rsidP="00472A6E">
      <w:pPr>
        <w:jc w:val="right"/>
        <w:rPr>
          <w:lang w:val="es-ES_tradnl"/>
        </w:rPr>
      </w:pPr>
      <w:r w:rsidRPr="00780161">
        <w:rPr>
          <w:rFonts w:ascii="Arial Black" w:hAnsi="Arial Black"/>
          <w:caps/>
          <w:sz w:val="15"/>
          <w:lang w:val="es-ES_tradnl"/>
        </w:rPr>
        <w:t xml:space="preserve">ORIGINAL: </w:t>
      </w:r>
      <w:bookmarkStart w:id="1" w:name="Original"/>
      <w:r w:rsidR="00780161" w:rsidRPr="00780161">
        <w:rPr>
          <w:rFonts w:ascii="Arial Black" w:hAnsi="Arial Black"/>
          <w:caps/>
          <w:sz w:val="15"/>
          <w:lang w:val="es-ES_tradnl"/>
        </w:rPr>
        <w:t>INGLÉS</w:t>
      </w:r>
      <w:r w:rsidR="00554450">
        <w:rPr>
          <w:rFonts w:ascii="Arial Black" w:hAnsi="Arial Black"/>
          <w:caps/>
          <w:sz w:val="15"/>
          <w:lang w:val="es-ES_tradnl"/>
        </w:rPr>
        <w:t xml:space="preserve"> / ruso</w:t>
      </w:r>
    </w:p>
    <w:bookmarkEnd w:id="1"/>
    <w:p w14:paraId="16B53660" w14:textId="00DD6883" w:rsidR="008B2CC1" w:rsidRPr="00780161" w:rsidRDefault="00472A6E" w:rsidP="00472A6E">
      <w:pPr>
        <w:spacing w:after="1200"/>
        <w:jc w:val="right"/>
        <w:rPr>
          <w:lang w:val="es-ES_tradnl"/>
        </w:rPr>
      </w:pPr>
      <w:r w:rsidRPr="00780161">
        <w:rPr>
          <w:rFonts w:ascii="Arial Black" w:hAnsi="Arial Black"/>
          <w:caps/>
          <w:sz w:val="15"/>
          <w:lang w:val="es-ES_tradnl"/>
        </w:rPr>
        <w:t xml:space="preserve">fecha: </w:t>
      </w:r>
      <w:bookmarkStart w:id="2" w:name="Date"/>
      <w:r w:rsidR="00780161" w:rsidRPr="00780161">
        <w:rPr>
          <w:rFonts w:ascii="Arial Black" w:hAnsi="Arial Black"/>
          <w:caps/>
          <w:sz w:val="15"/>
          <w:lang w:val="es-ES_tradnl"/>
        </w:rPr>
        <w:t>19 DE DICIEMBRE DE 2025</w:t>
      </w:r>
    </w:p>
    <w:bookmarkEnd w:id="2"/>
    <w:p w14:paraId="40F3BD1E" w14:textId="77777777" w:rsidR="00927287" w:rsidRPr="00780161" w:rsidRDefault="00927287" w:rsidP="00927287">
      <w:pPr>
        <w:rPr>
          <w:b/>
          <w:sz w:val="28"/>
          <w:szCs w:val="28"/>
          <w:lang w:val="es-ES_tradnl"/>
        </w:rPr>
      </w:pPr>
      <w:r w:rsidRPr="00780161">
        <w:rPr>
          <w:b/>
          <w:sz w:val="28"/>
          <w:szCs w:val="28"/>
          <w:lang w:val="es-ES_tradnl"/>
        </w:rPr>
        <w:t>Tratado de Cooperación en materia de Patentes (PCT)</w:t>
      </w:r>
    </w:p>
    <w:p w14:paraId="61AB033C" w14:textId="77777777" w:rsidR="00B67CDC" w:rsidRPr="00780161" w:rsidRDefault="00927287" w:rsidP="00927287">
      <w:pPr>
        <w:pStyle w:val="Heading1"/>
        <w:spacing w:before="0" w:after="480"/>
        <w:rPr>
          <w:sz w:val="28"/>
          <w:lang w:val="es-ES_tradnl"/>
        </w:rPr>
      </w:pPr>
      <w:r w:rsidRPr="00780161">
        <w:rPr>
          <w:caps w:val="0"/>
          <w:sz w:val="28"/>
          <w:szCs w:val="28"/>
          <w:lang w:val="es-ES_tradnl"/>
        </w:rPr>
        <w:t>Comité de Cooperación Técnica</w:t>
      </w:r>
      <w:r w:rsidRPr="00780161">
        <w:rPr>
          <w:caps w:val="0"/>
          <w:sz w:val="28"/>
          <w:lang w:val="es-ES_tradnl"/>
        </w:rPr>
        <w:t xml:space="preserve"> </w:t>
      </w:r>
    </w:p>
    <w:p w14:paraId="78A7FEBE" w14:textId="77777777" w:rsidR="005B2EAE" w:rsidRPr="00780161" w:rsidRDefault="00927287" w:rsidP="005B2EAE">
      <w:pPr>
        <w:outlineLvl w:val="1"/>
        <w:rPr>
          <w:b/>
          <w:sz w:val="24"/>
          <w:szCs w:val="24"/>
          <w:lang w:val="es-ES_tradnl"/>
        </w:rPr>
      </w:pPr>
      <w:r w:rsidRPr="00780161">
        <w:rPr>
          <w:b/>
          <w:sz w:val="24"/>
          <w:szCs w:val="24"/>
          <w:lang w:val="es-ES_tradnl"/>
        </w:rPr>
        <w:t xml:space="preserve">Trigésima </w:t>
      </w:r>
      <w:r w:rsidR="00220365" w:rsidRPr="00780161">
        <w:rPr>
          <w:b/>
          <w:sz w:val="24"/>
          <w:szCs w:val="24"/>
          <w:lang w:val="es-ES_tradnl"/>
        </w:rPr>
        <w:t>tercer</w:t>
      </w:r>
      <w:r w:rsidRPr="00780161">
        <w:rPr>
          <w:b/>
          <w:sz w:val="24"/>
          <w:szCs w:val="24"/>
          <w:lang w:val="es-ES_tradnl"/>
        </w:rPr>
        <w:t>a sesión</w:t>
      </w:r>
    </w:p>
    <w:p w14:paraId="5FE4B914" w14:textId="77777777" w:rsidR="00B67CDC" w:rsidRPr="00780161" w:rsidRDefault="00927287" w:rsidP="00472A6E">
      <w:pPr>
        <w:spacing w:after="720"/>
        <w:outlineLvl w:val="1"/>
        <w:rPr>
          <w:b/>
          <w:sz w:val="24"/>
          <w:szCs w:val="24"/>
          <w:lang w:val="es-ES_tradnl"/>
        </w:rPr>
      </w:pPr>
      <w:r w:rsidRPr="00780161">
        <w:rPr>
          <w:b/>
          <w:sz w:val="24"/>
          <w:szCs w:val="24"/>
          <w:lang w:val="es-ES_tradnl"/>
        </w:rPr>
        <w:t xml:space="preserve">Ginebra, </w:t>
      </w:r>
      <w:r w:rsidR="00220365" w:rsidRPr="00780161">
        <w:rPr>
          <w:b/>
          <w:sz w:val="24"/>
          <w:szCs w:val="24"/>
          <w:lang w:val="es-ES_tradnl"/>
        </w:rPr>
        <w:t>2 a 6 de febrero</w:t>
      </w:r>
      <w:r w:rsidRPr="00780161">
        <w:rPr>
          <w:b/>
          <w:sz w:val="24"/>
          <w:szCs w:val="24"/>
          <w:lang w:val="es-ES_tradnl"/>
        </w:rPr>
        <w:t xml:space="preserve"> de 202</w:t>
      </w:r>
      <w:r w:rsidR="00DB7E59" w:rsidRPr="00780161">
        <w:rPr>
          <w:b/>
          <w:sz w:val="24"/>
          <w:szCs w:val="24"/>
          <w:lang w:val="es-ES_tradnl"/>
        </w:rPr>
        <w:t>6</w:t>
      </w:r>
    </w:p>
    <w:p w14:paraId="649D306B" w14:textId="29A8A047" w:rsidR="008B2CC1" w:rsidRPr="00780161" w:rsidRDefault="00780161" w:rsidP="00472A6E">
      <w:pPr>
        <w:spacing w:after="360"/>
        <w:rPr>
          <w:caps/>
          <w:sz w:val="24"/>
          <w:lang w:val="es-ES_tradnl"/>
        </w:rPr>
      </w:pPr>
      <w:bookmarkStart w:id="3" w:name="TitleOfDoc"/>
      <w:r w:rsidRPr="00780161">
        <w:rPr>
          <w:caps/>
          <w:sz w:val="24"/>
          <w:lang w:val="es-ES_tradnl"/>
        </w:rPr>
        <w:t xml:space="preserve">PRÓRROGA DE LA DESIGNACIÓN DEL SERVICIO FEDERAL DE LA PROPIEDAD INTELECTUAL DE LA FEDERACIÓN DE RUSIA </w:t>
      </w:r>
      <w:r w:rsidR="00242BA3" w:rsidRPr="0013109E">
        <w:rPr>
          <w:caps/>
          <w:sz w:val="24"/>
          <w:lang w:val="es-419"/>
        </w:rPr>
        <w:t>EN CALIDAD DE ADMINISTRACIÓN ENCARGADA DE LA BÚSQUEDA INTERNACIONAL Y DEL EXAMEN PRELIMINAR INTERNACIONAL EN VIRTUD DEL</w:t>
      </w:r>
      <w:r w:rsidR="00242BA3">
        <w:rPr>
          <w:caps/>
          <w:sz w:val="24"/>
          <w:lang w:val="es-419"/>
        </w:rPr>
        <w:t> </w:t>
      </w:r>
      <w:r w:rsidR="00242BA3" w:rsidRPr="0013109E">
        <w:rPr>
          <w:caps/>
          <w:sz w:val="24"/>
          <w:lang w:val="es-419"/>
        </w:rPr>
        <w:t>PCT</w:t>
      </w:r>
    </w:p>
    <w:p w14:paraId="7D57783F" w14:textId="71517DCC" w:rsidR="008B2CC1" w:rsidRPr="00780161" w:rsidRDefault="00780161" w:rsidP="00472A6E">
      <w:pPr>
        <w:spacing w:after="1040"/>
        <w:rPr>
          <w:i/>
          <w:lang w:val="es-ES_tradnl"/>
        </w:rPr>
      </w:pPr>
      <w:bookmarkStart w:id="4" w:name="Prepared"/>
      <w:bookmarkEnd w:id="3"/>
      <w:bookmarkEnd w:id="4"/>
      <w:r w:rsidRPr="00780161">
        <w:rPr>
          <w:i/>
          <w:lang w:val="es-ES_tradnl"/>
        </w:rPr>
        <w:t>Documento preparado por la Oficina Internacional</w:t>
      </w:r>
    </w:p>
    <w:p w14:paraId="364C994F" w14:textId="77777777" w:rsidR="00780161" w:rsidRPr="00780161" w:rsidRDefault="00780161" w:rsidP="00780161">
      <w:pPr>
        <w:pStyle w:val="ONUMFS"/>
        <w:rPr>
          <w:lang w:val="es-ES_tradnl"/>
        </w:rPr>
      </w:pPr>
      <w:r w:rsidRPr="00780161">
        <w:rPr>
          <w:lang w:val="es-ES_tradnl"/>
        </w:rPr>
        <w:t xml:space="preserve">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 El documento PCT/CTC/33/INF/1 contiene más información sobre este proceso y sobre la función del Comité en el marco </w:t>
      </w:r>
      <w:proofErr w:type="gramStart"/>
      <w:r w:rsidRPr="00780161">
        <w:rPr>
          <w:lang w:val="es-ES_tradnl"/>
        </w:rPr>
        <w:t>del mismo</w:t>
      </w:r>
      <w:proofErr w:type="gramEnd"/>
      <w:r w:rsidRPr="00780161">
        <w:rPr>
          <w:lang w:val="es-ES_tradnl"/>
        </w:rPr>
        <w:t>.</w:t>
      </w:r>
    </w:p>
    <w:p w14:paraId="33A24670" w14:textId="77777777" w:rsidR="00780161" w:rsidRPr="00780161" w:rsidRDefault="00780161" w:rsidP="00780161">
      <w:pPr>
        <w:pStyle w:val="ONUMFS"/>
        <w:rPr>
          <w:lang w:val="es-ES_tradnl"/>
        </w:rPr>
      </w:pPr>
      <w:r w:rsidRPr="00780161">
        <w:rPr>
          <w:lang w:val="es-ES_tradnl"/>
        </w:rPr>
        <w:t>El 28 de noviembre de 2025, el Servicio Federal de la Propiedad Intelectual de la Federación de Rusia (</w:t>
      </w:r>
      <w:proofErr w:type="spellStart"/>
      <w:r w:rsidRPr="00780161">
        <w:rPr>
          <w:lang w:val="es-ES_tradnl"/>
        </w:rPr>
        <w:t>Rospatent</w:t>
      </w:r>
      <w:proofErr w:type="spellEnd"/>
      <w:r w:rsidRPr="00780161">
        <w:rPr>
          <w:lang w:val="es-ES_tradnl"/>
        </w:rPr>
        <w:t>) presentó su solicitud de prórroga de la designación, que se reproduce en el Anexo del presente documento.</w:t>
      </w:r>
    </w:p>
    <w:p w14:paraId="73750F40" w14:textId="77777777" w:rsidR="00780161" w:rsidRPr="00780161" w:rsidRDefault="00780161" w:rsidP="00780161">
      <w:pPr>
        <w:pStyle w:val="ONUMFS"/>
        <w:tabs>
          <w:tab w:val="clear" w:pos="567"/>
        </w:tabs>
        <w:spacing w:after="600"/>
        <w:ind w:left="5528"/>
        <w:rPr>
          <w:i/>
          <w:lang w:val="es-ES_tradnl"/>
        </w:rPr>
      </w:pPr>
      <w:r w:rsidRPr="00780161">
        <w:rPr>
          <w:i/>
          <w:lang w:val="es-ES_tradnl"/>
        </w:rPr>
        <w:t>Se invita al Comité a dar su opinión sobre este asunto.</w:t>
      </w:r>
    </w:p>
    <w:p w14:paraId="1CE05EF7" w14:textId="77777777" w:rsidR="00780161" w:rsidRPr="00780161" w:rsidRDefault="00780161" w:rsidP="00780161">
      <w:pPr>
        <w:pStyle w:val="Endofdocument-Annex"/>
        <w:rPr>
          <w:lang w:val="es-ES_tradnl"/>
        </w:rPr>
        <w:sectPr w:rsidR="00780161" w:rsidRPr="00780161" w:rsidSect="00780161">
          <w:headerReference w:type="default" r:id="rId9"/>
          <w:pgSz w:w="11907" w:h="16840" w:code="9"/>
          <w:pgMar w:top="567" w:right="1134" w:bottom="1418" w:left="1418" w:header="510" w:footer="1021" w:gutter="0"/>
          <w:cols w:space="720"/>
          <w:titlePg/>
          <w:docGrid w:linePitch="299"/>
        </w:sectPr>
      </w:pPr>
      <w:r w:rsidRPr="00780161">
        <w:rPr>
          <w:lang w:val="es-ES_tradnl"/>
        </w:rPr>
        <w:t>[Sigue el Anexo]</w:t>
      </w:r>
    </w:p>
    <w:p w14:paraId="0EDEED08" w14:textId="77777777" w:rsidR="00780161" w:rsidRPr="00780161" w:rsidRDefault="00780161" w:rsidP="00780161">
      <w:pPr>
        <w:spacing w:after="100" w:afterAutospacing="1"/>
        <w:jc w:val="center"/>
        <w:outlineLvl w:val="0"/>
        <w:rPr>
          <w:caps/>
          <w:szCs w:val="22"/>
          <w:lang w:val="es-ES_tradnl"/>
        </w:rPr>
      </w:pPr>
      <w:r w:rsidRPr="00780161">
        <w:rPr>
          <w:caps/>
          <w:lang w:val="es-ES_tradnl"/>
        </w:rPr>
        <w:lastRenderedPageBreak/>
        <w:t>SOLICITUD DE PRÓRROGA DE LA DESIGNACIÓN COMO ADMINISTRACIÓN ENCARGADA DE LA BÚSQUEDA Y DEL EXAMEN PRELIMINAR INTERNACIONALES EN VIRTUD DEL PCT</w:t>
      </w:r>
    </w:p>
    <w:p w14:paraId="19380095" w14:textId="77777777" w:rsidR="00780161" w:rsidRPr="00780161" w:rsidRDefault="00780161" w:rsidP="00780161">
      <w:pPr>
        <w:pStyle w:val="SectionHeading"/>
        <w:rPr>
          <w:lang w:val="es-ES_tradnl"/>
        </w:rPr>
      </w:pPr>
      <w:r w:rsidRPr="00780161">
        <w:rPr>
          <w:lang w:val="es-ES_tradnl"/>
        </w:rPr>
        <w:t>1- Información general</w:t>
      </w:r>
    </w:p>
    <w:p w14:paraId="147B2235" w14:textId="77777777" w:rsidR="00780161" w:rsidRPr="00780161" w:rsidRDefault="00780161" w:rsidP="00780161">
      <w:pPr>
        <w:pStyle w:val="Question"/>
        <w:spacing w:after="240"/>
        <w:rPr>
          <w:lang w:val="es-ES_tradnl"/>
        </w:rPr>
      </w:pPr>
      <w:r w:rsidRPr="00780161">
        <w:rPr>
          <w:lang w:val="es-ES_tradnl"/>
        </w:rPr>
        <w:t>a)</w:t>
      </w:r>
      <w:r w:rsidRPr="00780161">
        <w:rPr>
          <w:lang w:val="es-ES_tradnl"/>
        </w:rPr>
        <w:tab/>
        <w:t>Nombre de la Oficina u organización intergubernamental:</w:t>
      </w:r>
    </w:p>
    <w:p w14:paraId="5E54CBC2" w14:textId="77777777" w:rsidR="00780161" w:rsidRPr="00780161" w:rsidRDefault="00780161" w:rsidP="00780161">
      <w:pPr>
        <w:pStyle w:val="Answer"/>
        <w:spacing w:after="240"/>
        <w:ind w:left="0"/>
        <w:rPr>
          <w:lang w:val="es-ES_tradnl"/>
        </w:rPr>
      </w:pPr>
      <w:r w:rsidRPr="00780161">
        <w:rPr>
          <w:lang w:val="es-ES_tradnl"/>
        </w:rPr>
        <w:t>Servicio Federal de la Propiedad Intelectual de la Federación de Rusia (</w:t>
      </w:r>
      <w:proofErr w:type="spellStart"/>
      <w:r w:rsidRPr="00780161">
        <w:rPr>
          <w:lang w:val="es-ES_tradnl"/>
        </w:rPr>
        <w:t>Rospatent</w:t>
      </w:r>
      <w:proofErr w:type="spellEnd"/>
      <w:r w:rsidRPr="00780161">
        <w:rPr>
          <w:lang w:val="es-ES_tradnl"/>
        </w:rPr>
        <w:t xml:space="preserve">) </w:t>
      </w:r>
    </w:p>
    <w:p w14:paraId="52BF893C" w14:textId="77777777" w:rsidR="00780161" w:rsidRPr="00780161" w:rsidRDefault="00780161" w:rsidP="00780161">
      <w:pPr>
        <w:pStyle w:val="Question"/>
        <w:spacing w:after="240"/>
        <w:rPr>
          <w:lang w:val="es-ES_tradnl"/>
        </w:rPr>
      </w:pPr>
      <w:r w:rsidRPr="00780161">
        <w:rPr>
          <w:lang w:val="es-ES_tradnl"/>
        </w:rPr>
        <w:t>b)</w:t>
      </w:r>
      <w:r w:rsidRPr="00780161">
        <w:rPr>
          <w:lang w:val="es-ES_tradnl"/>
        </w:rPr>
        <w:tab/>
        <w:t>Nombre y datos de contacto para consultas sobre esta solicitud:</w:t>
      </w:r>
    </w:p>
    <w:p w14:paraId="4757ECF5" w14:textId="77777777" w:rsidR="00780161" w:rsidRPr="00780161" w:rsidRDefault="00780161" w:rsidP="00780161">
      <w:pPr>
        <w:pStyle w:val="Answer"/>
        <w:spacing w:after="240"/>
        <w:ind w:left="0"/>
        <w:rPr>
          <w:lang w:val="es-ES_tradnl"/>
        </w:rPr>
      </w:pPr>
      <w:proofErr w:type="spellStart"/>
      <w:r w:rsidRPr="00780161">
        <w:rPr>
          <w:lang w:val="es-ES_tradnl"/>
        </w:rPr>
        <w:t>Evgenia</w:t>
      </w:r>
      <w:proofErr w:type="spellEnd"/>
      <w:r w:rsidRPr="00780161">
        <w:rPr>
          <w:lang w:val="es-ES_tradnl"/>
        </w:rPr>
        <w:t xml:space="preserve"> </w:t>
      </w:r>
      <w:proofErr w:type="spellStart"/>
      <w:r w:rsidRPr="00780161">
        <w:rPr>
          <w:lang w:val="es-ES_tradnl"/>
        </w:rPr>
        <w:t>Korobenkova</w:t>
      </w:r>
      <w:proofErr w:type="spellEnd"/>
      <w:r w:rsidRPr="00780161">
        <w:rPr>
          <w:lang w:val="es-ES_tradnl"/>
        </w:rPr>
        <w:t xml:space="preserve">, asesora de la División de Cooperación Multilateral, Departamento de Cooperación Internacional, </w:t>
      </w:r>
      <w:proofErr w:type="spellStart"/>
      <w:r w:rsidRPr="00780161">
        <w:rPr>
          <w:lang w:val="es-ES_tradnl"/>
        </w:rPr>
        <w:t>Rospatent</w:t>
      </w:r>
      <w:proofErr w:type="spellEnd"/>
    </w:p>
    <w:p w14:paraId="132A419B" w14:textId="77777777" w:rsidR="00780161" w:rsidRPr="00780161" w:rsidRDefault="00780161" w:rsidP="00780161">
      <w:pPr>
        <w:pStyle w:val="Answer"/>
        <w:spacing w:after="120"/>
        <w:ind w:left="0"/>
        <w:rPr>
          <w:lang w:val="es-ES_tradnl"/>
        </w:rPr>
      </w:pPr>
      <w:r w:rsidRPr="00780161">
        <w:rPr>
          <w:lang w:val="es-ES_tradnl"/>
        </w:rPr>
        <w:t xml:space="preserve">Correo-e: </w:t>
      </w:r>
      <w:r w:rsidRPr="00780161">
        <w:rPr>
          <w:rStyle w:val="Hyperlink"/>
          <w:lang w:val="es-ES_tradnl"/>
        </w:rPr>
        <w:t>ekorobenkova@rospatent.gov.ru</w:t>
      </w:r>
    </w:p>
    <w:p w14:paraId="57239F8A" w14:textId="77777777" w:rsidR="00780161" w:rsidRPr="00780161" w:rsidRDefault="00780161" w:rsidP="00780161">
      <w:pPr>
        <w:pStyle w:val="Answer"/>
        <w:spacing w:after="240"/>
        <w:ind w:left="0"/>
        <w:rPr>
          <w:lang w:val="es-ES_tradnl"/>
        </w:rPr>
      </w:pPr>
      <w:r w:rsidRPr="00780161">
        <w:rPr>
          <w:lang w:val="es-ES_tradnl"/>
        </w:rPr>
        <w:t>Teléfono: +7 495 531 66 52</w:t>
      </w:r>
    </w:p>
    <w:p w14:paraId="2F89C1B2" w14:textId="77777777" w:rsidR="00780161" w:rsidRPr="00780161" w:rsidRDefault="00780161" w:rsidP="00780161">
      <w:pPr>
        <w:pStyle w:val="Question"/>
        <w:spacing w:after="120"/>
        <w:rPr>
          <w:lang w:val="es-ES_tradnl"/>
        </w:rPr>
      </w:pPr>
      <w:r w:rsidRPr="00780161">
        <w:rPr>
          <w:lang w:val="es-ES_tradnl"/>
        </w:rPr>
        <w:t>c)</w:t>
      </w:r>
      <w:r w:rsidRPr="00780161">
        <w:rPr>
          <w:lang w:val="es-ES_tradnl"/>
        </w:rPr>
        <w:tab/>
        <w:t>Fecha en que el director general recibió la solicitud de prórroga de la designación:</w:t>
      </w:r>
    </w:p>
    <w:p w14:paraId="52D88502" w14:textId="77777777" w:rsidR="00780161" w:rsidRPr="00780161" w:rsidRDefault="00780161" w:rsidP="00780161">
      <w:pPr>
        <w:pStyle w:val="Answer"/>
        <w:spacing w:after="240"/>
        <w:rPr>
          <w:i/>
          <w:lang w:val="es-ES_tradnl"/>
        </w:rPr>
      </w:pPr>
      <w:r w:rsidRPr="00780161">
        <w:rPr>
          <w:lang w:val="es-ES_tradnl"/>
        </w:rPr>
        <w:t>28 de noviembre de 2025</w:t>
      </w:r>
    </w:p>
    <w:p w14:paraId="5773722B" w14:textId="77777777" w:rsidR="00780161" w:rsidRPr="00780161" w:rsidRDefault="00780161" w:rsidP="00780161">
      <w:pPr>
        <w:pStyle w:val="SectionHeading"/>
        <w:spacing w:before="240" w:after="240" w:line="240" w:lineRule="auto"/>
        <w:rPr>
          <w:lang w:val="es-ES_tradnl"/>
        </w:rPr>
      </w:pPr>
      <w:r w:rsidRPr="00780161">
        <w:rPr>
          <w:lang w:val="es-ES_tradnl"/>
        </w:rPr>
        <w:t>2. Requisitos mínimos para la designación</w:t>
      </w:r>
    </w:p>
    <w:p w14:paraId="4524B298" w14:textId="77777777" w:rsidR="00780161" w:rsidRPr="00780161" w:rsidRDefault="00780161" w:rsidP="00780161">
      <w:pPr>
        <w:spacing w:after="240"/>
        <w:rPr>
          <w:lang w:val="es-ES_tradnl"/>
        </w:rPr>
      </w:pPr>
      <w:r w:rsidRPr="00780161">
        <w:rPr>
          <w:lang w:val="es-ES_tradnl"/>
        </w:rPr>
        <w:t xml:space="preserve">Además del informe anual sobre el sistema de gestión de la calidad (SGC) de la Oficina u organización para 2025 (“el informe SGC” </w:t>
      </w:r>
      <w:r w:rsidRPr="00780161">
        <w:rPr>
          <w:rStyle w:val="Hyperlink"/>
          <w:lang w:val="es-ES_tradnl"/>
        </w:rPr>
        <w:t>https://www.wipo.int/en/web/pct-system/quality/authorities#RU</w:t>
      </w:r>
      <w:r w:rsidRPr="00780161">
        <w:rPr>
          <w:lang w:val="es-ES_tradnl"/>
        </w:rPr>
        <w:t>) elaborado de conformidad con los párrafos 21.31 y 21.32 de las Directrices de búsqueda y examen preliminar internacionales, la Administración presenta la siguiente información.</w:t>
      </w:r>
    </w:p>
    <w:p w14:paraId="2BE44AD6" w14:textId="77777777" w:rsidR="00780161" w:rsidRPr="00780161" w:rsidRDefault="00780161" w:rsidP="00780161">
      <w:pPr>
        <w:pStyle w:val="SectionHeading"/>
        <w:spacing w:before="0" w:after="240" w:line="240" w:lineRule="auto"/>
        <w:rPr>
          <w:lang w:val="es-ES_tradnl"/>
        </w:rPr>
      </w:pPr>
      <w:r w:rsidRPr="00780161">
        <w:rPr>
          <w:lang w:val="es-ES_tradnl"/>
        </w:rPr>
        <w:lastRenderedPageBreak/>
        <w:t>2.1- Capacidad de búsqueda y examen</w:t>
      </w:r>
    </w:p>
    <w:p w14:paraId="7017C782" w14:textId="77777777" w:rsidR="00780161" w:rsidRPr="00780161" w:rsidRDefault="00780161" w:rsidP="00780161">
      <w:pPr>
        <w:pStyle w:val="RuleQuote"/>
        <w:rPr>
          <w:lang w:val="es-ES_tradnl"/>
        </w:rPr>
      </w:pPr>
      <w:r w:rsidRPr="00780161">
        <w:rPr>
          <w:lang w:val="es-ES_tradnl"/>
        </w:rPr>
        <w:t>Reglas 36.1.i) y 63.1.i): La Oficina nacional o la organización intergubernamental deberá tener, por lo menos, 100 empleados con plena dedicación, con cualificaciones técnicas suficientes para efectuar las búsquedas y los exámenes.</w:t>
      </w:r>
    </w:p>
    <w:p w14:paraId="5B4DC946" w14:textId="24BD11D5" w:rsidR="00780161" w:rsidRPr="00780161" w:rsidRDefault="00780161" w:rsidP="00780161">
      <w:pPr>
        <w:pStyle w:val="RuleQuote"/>
        <w:ind w:left="0"/>
        <w:rPr>
          <w:i w:val="0"/>
          <w:iCs w:val="0"/>
          <w:lang w:val="es-ES_tradnl"/>
        </w:rPr>
      </w:pPr>
      <w:r w:rsidRPr="00780161">
        <w:rPr>
          <w:i w:val="0"/>
          <w:lang w:val="es-ES_tradnl"/>
        </w:rPr>
        <w:t>El informe SGC proporciona información de la Administración sobre la infraestructura existente para garantizar un número suficiente de personal técnicamente cualificado, según el párrafo 21.15.i) de las Directrices, y sobre los programas de formación y desarrollo del personal implicado en el proceso de búsqueda y examen, según el párrafo 21.15.vi). La Administración también incluye la siguiente información sobre el número de empleados cualificados para llevar a cabo búsquedas y exámenes.</w:t>
      </w:r>
    </w:p>
    <w:p w14:paraId="522F76CB" w14:textId="77777777" w:rsidR="00780161" w:rsidRPr="00780161" w:rsidRDefault="00780161" w:rsidP="00780161">
      <w:pPr>
        <w:pStyle w:val="Question"/>
        <w:spacing w:after="120"/>
        <w:rPr>
          <w:lang w:val="es-ES_tradnl"/>
        </w:rPr>
      </w:pPr>
      <w:r w:rsidRPr="00780161">
        <w:rPr>
          <w:lang w:val="es-ES_tradnl"/>
        </w:rPr>
        <w:t>Empleados cualificados para realizar búsquedas y exámenes: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680"/>
        <w:gridCol w:w="1985"/>
        <w:gridCol w:w="1701"/>
        <w:gridCol w:w="1843"/>
      </w:tblGrid>
      <w:tr w:rsidR="00780161" w:rsidRPr="00780161" w14:paraId="281B5E3A" w14:textId="77777777" w:rsidTr="00F01381">
        <w:trPr>
          <w:cantSplit/>
          <w:trHeight w:val="2005"/>
          <w:tblHeader/>
        </w:trPr>
        <w:tc>
          <w:tcPr>
            <w:tcW w:w="3680" w:type="dxa"/>
            <w:tcBorders>
              <w:top w:val="single" w:sz="4" w:space="0" w:color="auto"/>
              <w:left w:val="single" w:sz="4" w:space="0" w:color="auto"/>
              <w:bottom w:val="single" w:sz="4" w:space="0" w:color="auto"/>
              <w:right w:val="single" w:sz="4" w:space="0" w:color="auto"/>
            </w:tcBorders>
            <w:vAlign w:val="center"/>
            <w:hideMark/>
          </w:tcPr>
          <w:p w14:paraId="01ED26F6" w14:textId="77777777" w:rsidR="00780161" w:rsidRPr="00780161" w:rsidRDefault="00780161" w:rsidP="00F01381">
            <w:pPr>
              <w:keepNext/>
              <w:keepLines/>
              <w:suppressAutoHyphens/>
              <w:rPr>
                <w:rFonts w:eastAsia="Times New Roman"/>
                <w:b/>
                <w:bCs/>
                <w:szCs w:val="22"/>
                <w:lang w:val="es-ES_tradnl"/>
              </w:rPr>
            </w:pPr>
            <w:r w:rsidRPr="00780161">
              <w:rPr>
                <w:b/>
                <w:lang w:val="es-ES_tradnl"/>
              </w:rPr>
              <w:t>Campo técnico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FC5D59" w14:textId="77777777" w:rsidR="00780161" w:rsidRPr="00780161" w:rsidRDefault="00780161" w:rsidP="00F01381">
            <w:pPr>
              <w:keepNext/>
              <w:keepLines/>
              <w:suppressAutoHyphens/>
              <w:rPr>
                <w:rFonts w:eastAsia="Times New Roman"/>
                <w:b/>
                <w:bCs/>
                <w:szCs w:val="22"/>
                <w:lang w:val="es-ES_tradnl"/>
              </w:rPr>
            </w:pPr>
            <w:r w:rsidRPr="00780161">
              <w:rPr>
                <w:b/>
                <w:lang w:val="es-ES_tradnl"/>
              </w:rPr>
              <w:t>Número (en equivalente a tiempo completo)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95D8BB" w14:textId="77777777" w:rsidR="00780161" w:rsidRPr="00780161" w:rsidRDefault="00780161" w:rsidP="00F01381">
            <w:pPr>
              <w:suppressAutoHyphens/>
              <w:rPr>
                <w:b/>
                <w:szCs w:val="22"/>
                <w:lang w:val="es-ES_tradnl"/>
              </w:rPr>
            </w:pPr>
            <w:r w:rsidRPr="00780161">
              <w:rPr>
                <w:b/>
                <w:lang w:val="es-ES_tradnl"/>
              </w:rPr>
              <w:t xml:space="preserve">Experiencia media como examinadores (años) </w:t>
            </w:r>
          </w:p>
          <w:p w14:paraId="14A84DA8" w14:textId="77777777" w:rsidR="00780161" w:rsidRPr="00780161" w:rsidRDefault="00780161" w:rsidP="00F01381">
            <w:pPr>
              <w:suppressAutoHyphens/>
              <w:rPr>
                <w:rFonts w:eastAsia="Times New Roman"/>
                <w:b/>
                <w:bCs/>
                <w:szCs w:val="22"/>
                <w:lang w:val="es-ES_tradn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7B7DC0F" w14:textId="77777777" w:rsidR="00780161" w:rsidRPr="00780161" w:rsidRDefault="00780161" w:rsidP="00F01381">
            <w:pPr>
              <w:suppressAutoHyphens/>
              <w:rPr>
                <w:rFonts w:eastAsia="Times New Roman"/>
                <w:b/>
                <w:bCs/>
                <w:szCs w:val="22"/>
                <w:lang w:val="es-ES_tradnl"/>
              </w:rPr>
            </w:pPr>
            <w:r w:rsidRPr="00780161">
              <w:rPr>
                <w:b/>
                <w:lang w:val="es-ES_tradnl"/>
              </w:rPr>
              <w:t>Número de expertos con menos de dos años de experiencia</w:t>
            </w:r>
          </w:p>
          <w:p w14:paraId="0381DD81" w14:textId="77777777" w:rsidR="00780161" w:rsidRPr="00780161" w:rsidRDefault="00780161" w:rsidP="00F01381">
            <w:pPr>
              <w:suppressAutoHyphens/>
              <w:rPr>
                <w:rFonts w:eastAsia="Times New Roman"/>
                <w:b/>
                <w:bCs/>
                <w:szCs w:val="22"/>
                <w:lang w:val="es-ES_tradnl"/>
              </w:rPr>
            </w:pPr>
          </w:p>
        </w:tc>
      </w:tr>
      <w:tr w:rsidR="00780161" w:rsidRPr="00780161" w14:paraId="13391A75" w14:textId="77777777" w:rsidTr="00F01381">
        <w:trPr>
          <w:cantSplit/>
          <w:trHeight w:val="701"/>
        </w:trPr>
        <w:tc>
          <w:tcPr>
            <w:tcW w:w="3680" w:type="dxa"/>
            <w:tcBorders>
              <w:top w:val="single" w:sz="4" w:space="0" w:color="auto"/>
              <w:left w:val="single" w:sz="4" w:space="0" w:color="auto"/>
              <w:bottom w:val="single" w:sz="4" w:space="0" w:color="auto"/>
              <w:right w:val="single" w:sz="4" w:space="0" w:color="auto"/>
            </w:tcBorders>
            <w:vAlign w:val="center"/>
          </w:tcPr>
          <w:p w14:paraId="3CFAB209" w14:textId="77777777" w:rsidR="00780161" w:rsidRPr="00780161" w:rsidRDefault="00780161" w:rsidP="00F01381">
            <w:pPr>
              <w:keepNext/>
              <w:keepLines/>
              <w:suppressAutoHyphens/>
              <w:rPr>
                <w:szCs w:val="22"/>
                <w:lang w:val="es-ES_tradnl"/>
              </w:rPr>
            </w:pPr>
            <w:r w:rsidRPr="00780161">
              <w:rPr>
                <w:lang w:val="es-ES_tradnl"/>
              </w:rPr>
              <w:t>Minería, construcción e industria ligera</w:t>
            </w:r>
          </w:p>
        </w:tc>
        <w:tc>
          <w:tcPr>
            <w:tcW w:w="1985" w:type="dxa"/>
            <w:tcBorders>
              <w:top w:val="single" w:sz="4" w:space="0" w:color="auto"/>
              <w:left w:val="single" w:sz="4" w:space="0" w:color="auto"/>
              <w:bottom w:val="single" w:sz="4" w:space="0" w:color="auto"/>
              <w:right w:val="single" w:sz="4" w:space="0" w:color="auto"/>
            </w:tcBorders>
            <w:vAlign w:val="center"/>
          </w:tcPr>
          <w:p w14:paraId="788CCA60" w14:textId="77777777" w:rsidR="00780161" w:rsidRPr="00780161" w:rsidRDefault="00780161" w:rsidP="00F01381">
            <w:pPr>
              <w:keepNext/>
              <w:keepLines/>
              <w:suppressAutoHyphens/>
              <w:rPr>
                <w:rFonts w:eastAsia="Times New Roman"/>
                <w:szCs w:val="22"/>
                <w:lang w:val="es-ES_tradnl"/>
              </w:rPr>
            </w:pPr>
            <w:r w:rsidRPr="00780161">
              <w:rPr>
                <w:lang w:val="es-ES_tradnl"/>
              </w:rPr>
              <w:t>45</w:t>
            </w:r>
          </w:p>
        </w:tc>
        <w:tc>
          <w:tcPr>
            <w:tcW w:w="1701" w:type="dxa"/>
            <w:tcBorders>
              <w:top w:val="single" w:sz="4" w:space="0" w:color="auto"/>
              <w:left w:val="single" w:sz="4" w:space="0" w:color="auto"/>
              <w:bottom w:val="single" w:sz="4" w:space="0" w:color="auto"/>
              <w:right w:val="single" w:sz="4" w:space="0" w:color="auto"/>
            </w:tcBorders>
            <w:vAlign w:val="center"/>
          </w:tcPr>
          <w:p w14:paraId="4C3CAD2D" w14:textId="77777777" w:rsidR="00780161" w:rsidRPr="00780161" w:rsidRDefault="00780161" w:rsidP="00F01381">
            <w:pPr>
              <w:keepNext/>
              <w:keepLines/>
              <w:suppressAutoHyphens/>
              <w:rPr>
                <w:rFonts w:eastAsia="Times New Roman"/>
                <w:szCs w:val="22"/>
                <w:lang w:val="es-ES_tradnl"/>
              </w:rPr>
            </w:pPr>
            <w:r w:rsidRPr="00780161">
              <w:rPr>
                <w:lang w:val="es-ES_tradnl"/>
              </w:rPr>
              <w:t>19</w:t>
            </w:r>
          </w:p>
        </w:tc>
        <w:tc>
          <w:tcPr>
            <w:tcW w:w="1843" w:type="dxa"/>
            <w:tcBorders>
              <w:top w:val="single" w:sz="4" w:space="0" w:color="auto"/>
              <w:left w:val="single" w:sz="4" w:space="0" w:color="auto"/>
              <w:bottom w:val="single" w:sz="4" w:space="0" w:color="auto"/>
              <w:right w:val="single" w:sz="4" w:space="0" w:color="auto"/>
            </w:tcBorders>
            <w:vAlign w:val="center"/>
          </w:tcPr>
          <w:p w14:paraId="4ECC6B31" w14:textId="77777777" w:rsidR="00780161" w:rsidRPr="00780161" w:rsidRDefault="00780161" w:rsidP="00F01381">
            <w:pPr>
              <w:keepNext/>
              <w:keepLines/>
              <w:suppressAutoHyphens/>
              <w:rPr>
                <w:rFonts w:eastAsia="Times New Roman"/>
                <w:szCs w:val="22"/>
                <w:lang w:val="es-ES_tradnl"/>
              </w:rPr>
            </w:pPr>
            <w:r w:rsidRPr="00780161">
              <w:rPr>
                <w:lang w:val="es-ES_tradnl"/>
              </w:rPr>
              <w:t>4</w:t>
            </w:r>
          </w:p>
        </w:tc>
      </w:tr>
      <w:tr w:rsidR="00780161" w:rsidRPr="00780161" w14:paraId="11350994" w14:textId="77777777" w:rsidTr="00F01381">
        <w:trPr>
          <w:cantSplit/>
          <w:trHeight w:val="414"/>
        </w:trPr>
        <w:tc>
          <w:tcPr>
            <w:tcW w:w="3680" w:type="dxa"/>
            <w:tcBorders>
              <w:top w:val="single" w:sz="4" w:space="0" w:color="auto"/>
              <w:left w:val="single" w:sz="4" w:space="0" w:color="auto"/>
              <w:bottom w:val="single" w:sz="4" w:space="0" w:color="auto"/>
              <w:right w:val="single" w:sz="4" w:space="0" w:color="auto"/>
            </w:tcBorders>
            <w:vAlign w:val="center"/>
          </w:tcPr>
          <w:p w14:paraId="10B8C450" w14:textId="77777777" w:rsidR="00780161" w:rsidRPr="00780161" w:rsidRDefault="00780161" w:rsidP="00F01381">
            <w:pPr>
              <w:keepNext/>
              <w:keepLines/>
              <w:suppressAutoHyphens/>
              <w:rPr>
                <w:szCs w:val="22"/>
                <w:lang w:val="es-ES_tradnl"/>
              </w:rPr>
            </w:pPr>
            <w:r w:rsidRPr="00780161">
              <w:rPr>
                <w:lang w:val="es-ES_tradnl"/>
              </w:rPr>
              <w:t>Química y productos farmacéuticos</w:t>
            </w:r>
          </w:p>
        </w:tc>
        <w:tc>
          <w:tcPr>
            <w:tcW w:w="1985" w:type="dxa"/>
            <w:tcBorders>
              <w:top w:val="single" w:sz="4" w:space="0" w:color="auto"/>
              <w:left w:val="single" w:sz="4" w:space="0" w:color="auto"/>
              <w:bottom w:val="single" w:sz="4" w:space="0" w:color="auto"/>
              <w:right w:val="single" w:sz="4" w:space="0" w:color="auto"/>
            </w:tcBorders>
            <w:vAlign w:val="center"/>
          </w:tcPr>
          <w:p w14:paraId="1B4FE152" w14:textId="77777777" w:rsidR="00780161" w:rsidRPr="00780161" w:rsidRDefault="00780161" w:rsidP="00F01381">
            <w:pPr>
              <w:keepNext/>
              <w:keepLines/>
              <w:suppressAutoHyphens/>
              <w:rPr>
                <w:rFonts w:eastAsia="Times New Roman"/>
                <w:szCs w:val="22"/>
                <w:lang w:val="es-ES_tradnl"/>
              </w:rPr>
            </w:pPr>
            <w:r w:rsidRPr="00780161">
              <w:rPr>
                <w:lang w:val="es-ES_tradnl"/>
              </w:rPr>
              <w:t>56</w:t>
            </w:r>
          </w:p>
        </w:tc>
        <w:tc>
          <w:tcPr>
            <w:tcW w:w="1701" w:type="dxa"/>
            <w:tcBorders>
              <w:top w:val="single" w:sz="4" w:space="0" w:color="auto"/>
              <w:left w:val="single" w:sz="4" w:space="0" w:color="auto"/>
              <w:bottom w:val="single" w:sz="4" w:space="0" w:color="auto"/>
              <w:right w:val="single" w:sz="4" w:space="0" w:color="auto"/>
            </w:tcBorders>
            <w:vAlign w:val="center"/>
          </w:tcPr>
          <w:p w14:paraId="6283B95D" w14:textId="77777777" w:rsidR="00780161" w:rsidRPr="00780161" w:rsidRDefault="00780161" w:rsidP="00F01381">
            <w:pPr>
              <w:keepNext/>
              <w:keepLines/>
              <w:suppressAutoHyphens/>
              <w:rPr>
                <w:rFonts w:eastAsia="Times New Roman"/>
                <w:szCs w:val="22"/>
                <w:lang w:val="es-ES_tradnl"/>
              </w:rPr>
            </w:pPr>
            <w:r w:rsidRPr="00780161">
              <w:rPr>
                <w:lang w:val="es-ES_tradnl"/>
              </w:rPr>
              <w:t>13</w:t>
            </w:r>
          </w:p>
        </w:tc>
        <w:tc>
          <w:tcPr>
            <w:tcW w:w="1843" w:type="dxa"/>
            <w:tcBorders>
              <w:top w:val="single" w:sz="4" w:space="0" w:color="auto"/>
              <w:left w:val="single" w:sz="4" w:space="0" w:color="auto"/>
              <w:bottom w:val="single" w:sz="4" w:space="0" w:color="auto"/>
              <w:right w:val="single" w:sz="4" w:space="0" w:color="auto"/>
            </w:tcBorders>
            <w:vAlign w:val="center"/>
          </w:tcPr>
          <w:p w14:paraId="726B15ED" w14:textId="77777777" w:rsidR="00780161" w:rsidRPr="00780161" w:rsidRDefault="00780161" w:rsidP="00F01381">
            <w:pPr>
              <w:keepNext/>
              <w:keepLines/>
              <w:suppressAutoHyphens/>
              <w:rPr>
                <w:rFonts w:eastAsia="Times New Roman"/>
                <w:szCs w:val="22"/>
                <w:lang w:val="es-ES_tradnl"/>
              </w:rPr>
            </w:pPr>
            <w:r w:rsidRPr="00780161">
              <w:rPr>
                <w:lang w:val="es-ES_tradnl"/>
              </w:rPr>
              <w:t>7</w:t>
            </w:r>
          </w:p>
        </w:tc>
      </w:tr>
      <w:tr w:rsidR="00780161" w:rsidRPr="00780161" w14:paraId="1D1E2D47" w14:textId="77777777" w:rsidTr="00F01381">
        <w:trPr>
          <w:cantSplit/>
          <w:trHeight w:val="845"/>
        </w:trPr>
        <w:tc>
          <w:tcPr>
            <w:tcW w:w="3680" w:type="dxa"/>
            <w:tcBorders>
              <w:top w:val="single" w:sz="4" w:space="0" w:color="auto"/>
              <w:left w:val="single" w:sz="4" w:space="0" w:color="auto"/>
              <w:bottom w:val="single" w:sz="4" w:space="0" w:color="auto"/>
              <w:right w:val="single" w:sz="4" w:space="0" w:color="auto"/>
            </w:tcBorders>
            <w:vAlign w:val="center"/>
          </w:tcPr>
          <w:p w14:paraId="3ABD3C92" w14:textId="77777777" w:rsidR="00780161" w:rsidRPr="00780161" w:rsidRDefault="00780161" w:rsidP="00F01381">
            <w:pPr>
              <w:keepNext/>
              <w:keepLines/>
              <w:suppressAutoHyphens/>
              <w:rPr>
                <w:szCs w:val="22"/>
                <w:lang w:val="es-ES_tradnl"/>
              </w:rPr>
            </w:pPr>
            <w:r w:rsidRPr="00780161">
              <w:rPr>
                <w:lang w:val="es-ES_tradnl"/>
              </w:rPr>
              <w:t>Metalurgia y compuestos metálicos inorgánicos</w:t>
            </w:r>
          </w:p>
        </w:tc>
        <w:tc>
          <w:tcPr>
            <w:tcW w:w="1985" w:type="dxa"/>
            <w:tcBorders>
              <w:top w:val="single" w:sz="4" w:space="0" w:color="auto"/>
              <w:left w:val="single" w:sz="4" w:space="0" w:color="auto"/>
              <w:bottom w:val="single" w:sz="4" w:space="0" w:color="auto"/>
              <w:right w:val="single" w:sz="4" w:space="0" w:color="auto"/>
            </w:tcBorders>
            <w:vAlign w:val="center"/>
          </w:tcPr>
          <w:p w14:paraId="08C983A9" w14:textId="77777777" w:rsidR="00780161" w:rsidRPr="00780161" w:rsidRDefault="00780161" w:rsidP="00F01381">
            <w:pPr>
              <w:keepNext/>
              <w:keepLines/>
              <w:suppressAutoHyphens/>
              <w:rPr>
                <w:rFonts w:eastAsia="Times New Roman"/>
                <w:szCs w:val="22"/>
                <w:lang w:val="es-ES_tradnl"/>
              </w:rPr>
            </w:pPr>
            <w:r w:rsidRPr="00780161">
              <w:rPr>
                <w:lang w:val="es-ES_tradnl"/>
              </w:rPr>
              <w:t>42</w:t>
            </w:r>
          </w:p>
        </w:tc>
        <w:tc>
          <w:tcPr>
            <w:tcW w:w="1701" w:type="dxa"/>
            <w:tcBorders>
              <w:top w:val="single" w:sz="4" w:space="0" w:color="auto"/>
              <w:left w:val="single" w:sz="4" w:space="0" w:color="auto"/>
              <w:bottom w:val="single" w:sz="4" w:space="0" w:color="auto"/>
              <w:right w:val="single" w:sz="4" w:space="0" w:color="auto"/>
            </w:tcBorders>
            <w:vAlign w:val="center"/>
          </w:tcPr>
          <w:p w14:paraId="35CC9CF9" w14:textId="77777777" w:rsidR="00780161" w:rsidRPr="00780161" w:rsidRDefault="00780161" w:rsidP="00F01381">
            <w:pPr>
              <w:keepNext/>
              <w:keepLines/>
              <w:suppressAutoHyphens/>
              <w:rPr>
                <w:rFonts w:eastAsia="Times New Roman"/>
                <w:szCs w:val="22"/>
                <w:lang w:val="es-ES_tradnl"/>
              </w:rPr>
            </w:pPr>
            <w:r w:rsidRPr="00780161">
              <w:rPr>
                <w:lang w:val="es-ES_tradnl"/>
              </w:rPr>
              <w:t>19,4</w:t>
            </w:r>
          </w:p>
        </w:tc>
        <w:tc>
          <w:tcPr>
            <w:tcW w:w="1843" w:type="dxa"/>
            <w:tcBorders>
              <w:top w:val="single" w:sz="4" w:space="0" w:color="auto"/>
              <w:left w:val="single" w:sz="4" w:space="0" w:color="auto"/>
              <w:bottom w:val="single" w:sz="4" w:space="0" w:color="auto"/>
              <w:right w:val="single" w:sz="4" w:space="0" w:color="auto"/>
            </w:tcBorders>
            <w:vAlign w:val="center"/>
          </w:tcPr>
          <w:p w14:paraId="05AEC73D" w14:textId="77777777" w:rsidR="00780161" w:rsidRPr="00780161" w:rsidRDefault="00780161" w:rsidP="00F01381">
            <w:pPr>
              <w:keepNext/>
              <w:keepLines/>
              <w:suppressAutoHyphens/>
              <w:rPr>
                <w:rFonts w:eastAsia="Times New Roman"/>
                <w:szCs w:val="22"/>
                <w:lang w:val="es-ES_tradnl"/>
              </w:rPr>
            </w:pPr>
            <w:r w:rsidRPr="00780161">
              <w:rPr>
                <w:lang w:val="es-ES_tradnl"/>
              </w:rPr>
              <w:t>3</w:t>
            </w:r>
          </w:p>
        </w:tc>
      </w:tr>
      <w:tr w:rsidR="00780161" w:rsidRPr="00780161" w14:paraId="0A34D6B3" w14:textId="77777777" w:rsidTr="00F01381">
        <w:trPr>
          <w:cantSplit/>
          <w:trHeight w:val="404"/>
        </w:trPr>
        <w:tc>
          <w:tcPr>
            <w:tcW w:w="3680" w:type="dxa"/>
            <w:tcBorders>
              <w:top w:val="single" w:sz="4" w:space="0" w:color="auto"/>
              <w:left w:val="single" w:sz="4" w:space="0" w:color="auto"/>
              <w:bottom w:val="single" w:sz="4" w:space="0" w:color="auto"/>
              <w:right w:val="single" w:sz="4" w:space="0" w:color="auto"/>
            </w:tcBorders>
            <w:vAlign w:val="center"/>
          </w:tcPr>
          <w:p w14:paraId="29BBC686" w14:textId="77777777" w:rsidR="00780161" w:rsidRPr="00780161" w:rsidRDefault="00780161" w:rsidP="00F01381">
            <w:pPr>
              <w:keepNext/>
              <w:keepLines/>
              <w:suppressAutoHyphens/>
              <w:rPr>
                <w:szCs w:val="22"/>
                <w:lang w:val="es-ES_tradnl"/>
              </w:rPr>
            </w:pPr>
            <w:r w:rsidRPr="00780161">
              <w:rPr>
                <w:lang w:val="es-ES_tradnl"/>
              </w:rPr>
              <w:t>Electricidad/electrónica</w:t>
            </w:r>
          </w:p>
        </w:tc>
        <w:tc>
          <w:tcPr>
            <w:tcW w:w="1985" w:type="dxa"/>
            <w:tcBorders>
              <w:top w:val="single" w:sz="4" w:space="0" w:color="auto"/>
              <w:left w:val="single" w:sz="4" w:space="0" w:color="auto"/>
              <w:bottom w:val="single" w:sz="4" w:space="0" w:color="auto"/>
              <w:right w:val="single" w:sz="4" w:space="0" w:color="auto"/>
            </w:tcBorders>
            <w:vAlign w:val="center"/>
          </w:tcPr>
          <w:p w14:paraId="23BBD255" w14:textId="77777777" w:rsidR="00780161" w:rsidRPr="00780161" w:rsidRDefault="00780161" w:rsidP="00F01381">
            <w:pPr>
              <w:keepNext/>
              <w:keepLines/>
              <w:suppressAutoHyphens/>
              <w:rPr>
                <w:rFonts w:eastAsia="Times New Roman"/>
                <w:szCs w:val="22"/>
                <w:lang w:val="es-ES_tradnl"/>
              </w:rPr>
            </w:pPr>
            <w:r w:rsidRPr="00780161">
              <w:rPr>
                <w:lang w:val="es-ES_tradnl"/>
              </w:rPr>
              <w:t>39</w:t>
            </w:r>
          </w:p>
        </w:tc>
        <w:tc>
          <w:tcPr>
            <w:tcW w:w="1701" w:type="dxa"/>
            <w:tcBorders>
              <w:top w:val="single" w:sz="4" w:space="0" w:color="auto"/>
              <w:left w:val="single" w:sz="4" w:space="0" w:color="auto"/>
              <w:bottom w:val="single" w:sz="4" w:space="0" w:color="auto"/>
              <w:right w:val="single" w:sz="4" w:space="0" w:color="auto"/>
            </w:tcBorders>
            <w:vAlign w:val="center"/>
          </w:tcPr>
          <w:p w14:paraId="7780BD93" w14:textId="77777777" w:rsidR="00780161" w:rsidRPr="00780161" w:rsidRDefault="00780161" w:rsidP="00F01381">
            <w:pPr>
              <w:keepNext/>
              <w:keepLines/>
              <w:suppressAutoHyphens/>
              <w:rPr>
                <w:rFonts w:eastAsia="Times New Roman"/>
                <w:szCs w:val="22"/>
                <w:lang w:val="es-ES_tradnl"/>
              </w:rPr>
            </w:pPr>
            <w:r w:rsidRPr="00780161">
              <w:rPr>
                <w:lang w:val="es-ES_tradnl"/>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0F5A12C" w14:textId="77777777" w:rsidR="00780161" w:rsidRPr="00780161" w:rsidRDefault="00780161" w:rsidP="00F01381">
            <w:pPr>
              <w:keepNext/>
              <w:keepLines/>
              <w:suppressAutoHyphens/>
              <w:rPr>
                <w:rFonts w:eastAsia="Times New Roman"/>
                <w:szCs w:val="22"/>
                <w:lang w:val="es-ES_tradnl"/>
              </w:rPr>
            </w:pPr>
            <w:r w:rsidRPr="00780161">
              <w:rPr>
                <w:lang w:val="es-ES_tradnl"/>
              </w:rPr>
              <w:t>2</w:t>
            </w:r>
          </w:p>
        </w:tc>
      </w:tr>
      <w:tr w:rsidR="00780161" w:rsidRPr="00780161" w14:paraId="0589DA8D" w14:textId="77777777" w:rsidTr="00F01381">
        <w:trPr>
          <w:cantSplit/>
          <w:trHeight w:val="977"/>
        </w:trPr>
        <w:tc>
          <w:tcPr>
            <w:tcW w:w="3680" w:type="dxa"/>
            <w:tcBorders>
              <w:top w:val="single" w:sz="4" w:space="0" w:color="auto"/>
              <w:left w:val="single" w:sz="4" w:space="0" w:color="auto"/>
              <w:bottom w:val="single" w:sz="4" w:space="0" w:color="auto"/>
              <w:right w:val="single" w:sz="4" w:space="0" w:color="auto"/>
            </w:tcBorders>
            <w:vAlign w:val="center"/>
          </w:tcPr>
          <w:p w14:paraId="281D4FF8" w14:textId="77777777" w:rsidR="00780161" w:rsidRPr="00780161" w:rsidRDefault="00780161" w:rsidP="00F01381">
            <w:pPr>
              <w:keepNext/>
              <w:keepLines/>
              <w:suppressAutoHyphens/>
              <w:rPr>
                <w:szCs w:val="22"/>
                <w:lang w:val="es-ES_tradnl"/>
              </w:rPr>
            </w:pPr>
            <w:r w:rsidRPr="00780161">
              <w:rPr>
                <w:lang w:val="es-ES_tradnl"/>
              </w:rPr>
              <w:t>Biotecnología, agricultura e industrias alimentarias</w:t>
            </w:r>
          </w:p>
        </w:tc>
        <w:tc>
          <w:tcPr>
            <w:tcW w:w="1985" w:type="dxa"/>
            <w:tcBorders>
              <w:top w:val="single" w:sz="4" w:space="0" w:color="auto"/>
              <w:left w:val="single" w:sz="4" w:space="0" w:color="auto"/>
              <w:bottom w:val="single" w:sz="4" w:space="0" w:color="auto"/>
              <w:right w:val="single" w:sz="4" w:space="0" w:color="auto"/>
            </w:tcBorders>
            <w:vAlign w:val="center"/>
          </w:tcPr>
          <w:p w14:paraId="0791A6C1" w14:textId="77777777" w:rsidR="00780161" w:rsidRPr="00780161" w:rsidRDefault="00780161" w:rsidP="00F01381">
            <w:pPr>
              <w:keepNext/>
              <w:keepLines/>
              <w:suppressAutoHyphens/>
              <w:rPr>
                <w:rFonts w:eastAsia="Times New Roman"/>
                <w:szCs w:val="22"/>
                <w:lang w:val="es-ES_tradnl"/>
              </w:rPr>
            </w:pPr>
            <w:r w:rsidRPr="00780161">
              <w:rPr>
                <w:lang w:val="es-ES_tradnl"/>
              </w:rPr>
              <w:t>57</w:t>
            </w:r>
          </w:p>
        </w:tc>
        <w:tc>
          <w:tcPr>
            <w:tcW w:w="1701" w:type="dxa"/>
            <w:tcBorders>
              <w:top w:val="single" w:sz="4" w:space="0" w:color="auto"/>
              <w:left w:val="single" w:sz="4" w:space="0" w:color="auto"/>
              <w:bottom w:val="single" w:sz="4" w:space="0" w:color="auto"/>
              <w:right w:val="single" w:sz="4" w:space="0" w:color="auto"/>
            </w:tcBorders>
            <w:vAlign w:val="center"/>
          </w:tcPr>
          <w:p w14:paraId="79B6DC6D" w14:textId="77777777" w:rsidR="00780161" w:rsidRPr="00780161" w:rsidRDefault="00780161" w:rsidP="00F01381">
            <w:pPr>
              <w:keepNext/>
              <w:keepLines/>
              <w:suppressAutoHyphens/>
              <w:rPr>
                <w:rFonts w:eastAsia="Times New Roman"/>
                <w:szCs w:val="22"/>
                <w:lang w:val="es-ES_tradnl"/>
              </w:rPr>
            </w:pPr>
            <w:r w:rsidRPr="00780161">
              <w:rPr>
                <w:lang w:val="es-ES_tradnl"/>
              </w:rPr>
              <w:t>17,6</w:t>
            </w:r>
          </w:p>
        </w:tc>
        <w:tc>
          <w:tcPr>
            <w:tcW w:w="1843" w:type="dxa"/>
            <w:tcBorders>
              <w:top w:val="single" w:sz="4" w:space="0" w:color="auto"/>
              <w:left w:val="single" w:sz="4" w:space="0" w:color="auto"/>
              <w:bottom w:val="single" w:sz="4" w:space="0" w:color="auto"/>
              <w:right w:val="single" w:sz="4" w:space="0" w:color="auto"/>
            </w:tcBorders>
            <w:vAlign w:val="center"/>
          </w:tcPr>
          <w:p w14:paraId="77334924" w14:textId="77777777" w:rsidR="00780161" w:rsidRPr="00780161" w:rsidRDefault="00780161" w:rsidP="00F01381">
            <w:pPr>
              <w:keepNext/>
              <w:keepLines/>
              <w:suppressAutoHyphens/>
              <w:rPr>
                <w:rFonts w:eastAsia="Times New Roman"/>
                <w:szCs w:val="22"/>
                <w:lang w:val="es-ES_tradnl"/>
              </w:rPr>
            </w:pPr>
            <w:r w:rsidRPr="00780161">
              <w:rPr>
                <w:lang w:val="es-ES_tradnl"/>
              </w:rPr>
              <w:t>7</w:t>
            </w:r>
          </w:p>
        </w:tc>
      </w:tr>
      <w:tr w:rsidR="00780161" w:rsidRPr="00780161" w14:paraId="6DC4AEAD" w14:textId="77777777" w:rsidTr="00F01381">
        <w:trPr>
          <w:cantSplit/>
          <w:trHeight w:val="422"/>
        </w:trPr>
        <w:tc>
          <w:tcPr>
            <w:tcW w:w="3680" w:type="dxa"/>
            <w:tcBorders>
              <w:top w:val="single" w:sz="4" w:space="0" w:color="auto"/>
              <w:left w:val="single" w:sz="4" w:space="0" w:color="auto"/>
              <w:bottom w:val="single" w:sz="4" w:space="0" w:color="auto"/>
              <w:right w:val="single" w:sz="4" w:space="0" w:color="auto"/>
            </w:tcBorders>
            <w:vAlign w:val="center"/>
          </w:tcPr>
          <w:p w14:paraId="1491F910" w14:textId="77777777" w:rsidR="00780161" w:rsidRPr="00780161" w:rsidRDefault="00780161" w:rsidP="00F01381">
            <w:pPr>
              <w:keepNext/>
              <w:keepLines/>
              <w:suppressAutoHyphens/>
              <w:rPr>
                <w:szCs w:val="22"/>
                <w:lang w:val="es-ES_tradnl"/>
              </w:rPr>
            </w:pPr>
            <w:r w:rsidRPr="00780161">
              <w:rPr>
                <w:lang w:val="es-ES_tradnl"/>
              </w:rPr>
              <w:t>Transporte</w:t>
            </w:r>
          </w:p>
        </w:tc>
        <w:tc>
          <w:tcPr>
            <w:tcW w:w="1985" w:type="dxa"/>
            <w:tcBorders>
              <w:top w:val="single" w:sz="4" w:space="0" w:color="auto"/>
              <w:left w:val="single" w:sz="4" w:space="0" w:color="auto"/>
              <w:bottom w:val="single" w:sz="4" w:space="0" w:color="auto"/>
              <w:right w:val="single" w:sz="4" w:space="0" w:color="auto"/>
            </w:tcBorders>
            <w:vAlign w:val="center"/>
          </w:tcPr>
          <w:p w14:paraId="3F0CAA3D" w14:textId="77777777" w:rsidR="00780161" w:rsidRPr="00780161" w:rsidRDefault="00780161" w:rsidP="00F01381">
            <w:pPr>
              <w:keepNext/>
              <w:keepLines/>
              <w:suppressAutoHyphens/>
              <w:rPr>
                <w:rFonts w:eastAsia="Times New Roman"/>
                <w:szCs w:val="22"/>
                <w:lang w:val="es-ES_tradnl"/>
              </w:rPr>
            </w:pPr>
            <w:r w:rsidRPr="00780161">
              <w:rPr>
                <w:lang w:val="es-ES_tradnl"/>
              </w:rPr>
              <w:t>37</w:t>
            </w:r>
          </w:p>
        </w:tc>
        <w:tc>
          <w:tcPr>
            <w:tcW w:w="1701" w:type="dxa"/>
            <w:tcBorders>
              <w:top w:val="single" w:sz="4" w:space="0" w:color="auto"/>
              <w:left w:val="single" w:sz="4" w:space="0" w:color="auto"/>
              <w:bottom w:val="single" w:sz="4" w:space="0" w:color="auto"/>
              <w:right w:val="single" w:sz="4" w:space="0" w:color="auto"/>
            </w:tcBorders>
            <w:vAlign w:val="center"/>
          </w:tcPr>
          <w:p w14:paraId="63EBAE50" w14:textId="77777777" w:rsidR="00780161" w:rsidRPr="00780161" w:rsidRDefault="00780161" w:rsidP="00F01381">
            <w:pPr>
              <w:keepNext/>
              <w:keepLines/>
              <w:suppressAutoHyphens/>
              <w:rPr>
                <w:rFonts w:eastAsia="Times New Roman"/>
                <w:szCs w:val="22"/>
                <w:lang w:val="es-ES_tradnl"/>
              </w:rPr>
            </w:pPr>
            <w:r w:rsidRPr="00780161">
              <w:rPr>
                <w:lang w:val="es-ES_tradnl"/>
              </w:rPr>
              <w:t>17</w:t>
            </w:r>
          </w:p>
        </w:tc>
        <w:tc>
          <w:tcPr>
            <w:tcW w:w="1843" w:type="dxa"/>
            <w:tcBorders>
              <w:top w:val="single" w:sz="4" w:space="0" w:color="auto"/>
              <w:left w:val="single" w:sz="4" w:space="0" w:color="auto"/>
              <w:bottom w:val="single" w:sz="4" w:space="0" w:color="auto"/>
              <w:right w:val="single" w:sz="4" w:space="0" w:color="auto"/>
            </w:tcBorders>
            <w:vAlign w:val="center"/>
          </w:tcPr>
          <w:p w14:paraId="638B3031" w14:textId="77777777" w:rsidR="00780161" w:rsidRPr="00780161" w:rsidRDefault="00780161" w:rsidP="00F01381">
            <w:pPr>
              <w:keepNext/>
              <w:keepLines/>
              <w:suppressAutoHyphens/>
              <w:rPr>
                <w:rFonts w:eastAsia="Times New Roman"/>
                <w:szCs w:val="22"/>
                <w:lang w:val="es-ES_tradnl"/>
              </w:rPr>
            </w:pPr>
            <w:r w:rsidRPr="00780161">
              <w:rPr>
                <w:lang w:val="es-ES_tradnl"/>
              </w:rPr>
              <w:t>2</w:t>
            </w:r>
          </w:p>
        </w:tc>
      </w:tr>
      <w:tr w:rsidR="00780161" w:rsidRPr="00780161" w14:paraId="1A19434C" w14:textId="77777777" w:rsidTr="00F01381">
        <w:trPr>
          <w:cantSplit/>
          <w:trHeight w:val="698"/>
        </w:trPr>
        <w:tc>
          <w:tcPr>
            <w:tcW w:w="3680" w:type="dxa"/>
            <w:tcBorders>
              <w:top w:val="single" w:sz="4" w:space="0" w:color="auto"/>
              <w:left w:val="single" w:sz="4" w:space="0" w:color="auto"/>
              <w:bottom w:val="single" w:sz="4" w:space="0" w:color="auto"/>
              <w:right w:val="single" w:sz="4" w:space="0" w:color="auto"/>
            </w:tcBorders>
            <w:vAlign w:val="center"/>
          </w:tcPr>
          <w:p w14:paraId="2D6E0BC0" w14:textId="77777777" w:rsidR="00780161" w:rsidRPr="00780161" w:rsidRDefault="00780161" w:rsidP="00F01381">
            <w:pPr>
              <w:keepNext/>
              <w:keepLines/>
              <w:suppressAutoHyphens/>
              <w:rPr>
                <w:rFonts w:eastAsia="Times New Roman"/>
                <w:szCs w:val="22"/>
                <w:lang w:val="es-ES_tradnl"/>
              </w:rPr>
            </w:pPr>
            <w:r w:rsidRPr="00780161">
              <w:rPr>
                <w:lang w:val="es-ES_tradnl"/>
              </w:rPr>
              <w:t>Energía e ingeniería mecánica ligera</w:t>
            </w:r>
          </w:p>
        </w:tc>
        <w:tc>
          <w:tcPr>
            <w:tcW w:w="1985" w:type="dxa"/>
            <w:tcBorders>
              <w:top w:val="single" w:sz="4" w:space="0" w:color="auto"/>
              <w:left w:val="single" w:sz="4" w:space="0" w:color="auto"/>
              <w:bottom w:val="single" w:sz="4" w:space="0" w:color="auto"/>
              <w:right w:val="single" w:sz="4" w:space="0" w:color="auto"/>
            </w:tcBorders>
            <w:vAlign w:val="center"/>
          </w:tcPr>
          <w:p w14:paraId="71C5839D" w14:textId="77777777" w:rsidR="00780161" w:rsidRPr="00780161" w:rsidRDefault="00780161" w:rsidP="00F01381">
            <w:pPr>
              <w:keepNext/>
              <w:keepLines/>
              <w:suppressAutoHyphens/>
              <w:rPr>
                <w:rFonts w:eastAsia="Times New Roman"/>
                <w:szCs w:val="22"/>
                <w:lang w:val="es-ES_tradnl"/>
              </w:rPr>
            </w:pPr>
            <w:r w:rsidRPr="00780161">
              <w:rPr>
                <w:lang w:val="es-ES_tradnl"/>
              </w:rPr>
              <w:t>31</w:t>
            </w:r>
          </w:p>
        </w:tc>
        <w:tc>
          <w:tcPr>
            <w:tcW w:w="1701" w:type="dxa"/>
            <w:tcBorders>
              <w:top w:val="single" w:sz="4" w:space="0" w:color="auto"/>
              <w:left w:val="single" w:sz="4" w:space="0" w:color="auto"/>
              <w:bottom w:val="single" w:sz="4" w:space="0" w:color="auto"/>
              <w:right w:val="single" w:sz="4" w:space="0" w:color="auto"/>
            </w:tcBorders>
            <w:vAlign w:val="center"/>
          </w:tcPr>
          <w:p w14:paraId="41570716" w14:textId="77777777" w:rsidR="00780161" w:rsidRPr="00780161" w:rsidRDefault="00780161" w:rsidP="00F01381">
            <w:pPr>
              <w:keepNext/>
              <w:keepLines/>
              <w:suppressAutoHyphens/>
              <w:rPr>
                <w:rFonts w:eastAsia="Times New Roman"/>
                <w:szCs w:val="22"/>
                <w:lang w:val="es-ES_tradnl"/>
              </w:rPr>
            </w:pPr>
            <w:r w:rsidRPr="00780161">
              <w:rPr>
                <w:lang w:val="es-ES_tradnl"/>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42B7A3F2" w14:textId="77777777" w:rsidR="00780161" w:rsidRPr="00780161" w:rsidRDefault="00780161" w:rsidP="00F01381">
            <w:pPr>
              <w:keepNext/>
              <w:keepLines/>
              <w:suppressAutoHyphens/>
              <w:rPr>
                <w:rFonts w:eastAsia="Times New Roman"/>
                <w:szCs w:val="22"/>
                <w:lang w:val="es-ES_tradnl"/>
              </w:rPr>
            </w:pPr>
            <w:r w:rsidRPr="00780161">
              <w:rPr>
                <w:lang w:val="es-ES_tradnl"/>
              </w:rPr>
              <w:t>2</w:t>
            </w:r>
          </w:p>
        </w:tc>
      </w:tr>
      <w:tr w:rsidR="00780161" w:rsidRPr="00780161" w14:paraId="5828427B" w14:textId="77777777" w:rsidTr="00F01381">
        <w:trPr>
          <w:cantSplit/>
          <w:trHeight w:val="707"/>
        </w:trPr>
        <w:tc>
          <w:tcPr>
            <w:tcW w:w="3680" w:type="dxa"/>
            <w:tcBorders>
              <w:top w:val="single" w:sz="4" w:space="0" w:color="auto"/>
              <w:left w:val="single" w:sz="4" w:space="0" w:color="auto"/>
              <w:bottom w:val="single" w:sz="4" w:space="0" w:color="auto"/>
              <w:right w:val="single" w:sz="4" w:space="0" w:color="auto"/>
            </w:tcBorders>
            <w:vAlign w:val="center"/>
          </w:tcPr>
          <w:p w14:paraId="56377FEB" w14:textId="77777777" w:rsidR="00780161" w:rsidRPr="00780161" w:rsidRDefault="00780161" w:rsidP="00F01381">
            <w:pPr>
              <w:keepNext/>
              <w:keepLines/>
              <w:suppressAutoHyphens/>
              <w:rPr>
                <w:rFonts w:eastAsia="Times New Roman"/>
                <w:szCs w:val="22"/>
                <w:lang w:val="es-ES_tradnl"/>
              </w:rPr>
            </w:pPr>
            <w:r w:rsidRPr="00780161">
              <w:rPr>
                <w:lang w:val="es-ES_tradnl"/>
              </w:rPr>
              <w:t>Medicina y equipos médicos</w:t>
            </w:r>
          </w:p>
        </w:tc>
        <w:tc>
          <w:tcPr>
            <w:tcW w:w="1985" w:type="dxa"/>
            <w:tcBorders>
              <w:top w:val="single" w:sz="4" w:space="0" w:color="auto"/>
              <w:left w:val="single" w:sz="4" w:space="0" w:color="auto"/>
              <w:bottom w:val="single" w:sz="4" w:space="0" w:color="auto"/>
              <w:right w:val="single" w:sz="4" w:space="0" w:color="auto"/>
            </w:tcBorders>
            <w:vAlign w:val="center"/>
          </w:tcPr>
          <w:p w14:paraId="2A3334E3" w14:textId="77777777" w:rsidR="00780161" w:rsidRPr="00780161" w:rsidRDefault="00780161" w:rsidP="00F01381">
            <w:pPr>
              <w:keepNext/>
              <w:keepLines/>
              <w:suppressAutoHyphens/>
              <w:rPr>
                <w:rFonts w:eastAsia="Times New Roman"/>
                <w:szCs w:val="22"/>
                <w:lang w:val="es-ES_tradnl"/>
              </w:rPr>
            </w:pPr>
            <w:r w:rsidRPr="00780161">
              <w:rPr>
                <w:lang w:val="es-ES_tradnl"/>
              </w:rPr>
              <w:t>46</w:t>
            </w:r>
          </w:p>
        </w:tc>
        <w:tc>
          <w:tcPr>
            <w:tcW w:w="1701" w:type="dxa"/>
            <w:tcBorders>
              <w:top w:val="single" w:sz="4" w:space="0" w:color="auto"/>
              <w:left w:val="single" w:sz="4" w:space="0" w:color="auto"/>
              <w:bottom w:val="single" w:sz="4" w:space="0" w:color="auto"/>
              <w:right w:val="single" w:sz="4" w:space="0" w:color="auto"/>
            </w:tcBorders>
            <w:vAlign w:val="center"/>
          </w:tcPr>
          <w:p w14:paraId="0980AC21" w14:textId="77777777" w:rsidR="00780161" w:rsidRPr="00780161" w:rsidRDefault="00780161" w:rsidP="00F01381">
            <w:pPr>
              <w:keepNext/>
              <w:keepLines/>
              <w:suppressAutoHyphens/>
              <w:rPr>
                <w:rFonts w:eastAsia="Times New Roman"/>
                <w:szCs w:val="22"/>
                <w:lang w:val="es-ES_tradnl"/>
              </w:rPr>
            </w:pPr>
            <w:r w:rsidRPr="00780161">
              <w:rPr>
                <w:lang w:val="es-ES_tradnl"/>
              </w:rPr>
              <w:t>13,6</w:t>
            </w:r>
          </w:p>
        </w:tc>
        <w:tc>
          <w:tcPr>
            <w:tcW w:w="1843" w:type="dxa"/>
            <w:tcBorders>
              <w:top w:val="single" w:sz="4" w:space="0" w:color="auto"/>
              <w:left w:val="single" w:sz="4" w:space="0" w:color="auto"/>
              <w:bottom w:val="single" w:sz="4" w:space="0" w:color="auto"/>
              <w:right w:val="single" w:sz="4" w:space="0" w:color="auto"/>
            </w:tcBorders>
            <w:vAlign w:val="center"/>
          </w:tcPr>
          <w:p w14:paraId="2858224A" w14:textId="77777777" w:rsidR="00780161" w:rsidRPr="00780161" w:rsidRDefault="00780161" w:rsidP="00F01381">
            <w:pPr>
              <w:keepNext/>
              <w:keepLines/>
              <w:suppressAutoHyphens/>
              <w:rPr>
                <w:rFonts w:eastAsia="Times New Roman"/>
                <w:szCs w:val="22"/>
                <w:lang w:val="es-ES_tradnl"/>
              </w:rPr>
            </w:pPr>
            <w:r w:rsidRPr="00780161">
              <w:rPr>
                <w:lang w:val="es-ES_tradnl"/>
              </w:rPr>
              <w:t>4</w:t>
            </w:r>
          </w:p>
        </w:tc>
      </w:tr>
      <w:tr w:rsidR="00780161" w:rsidRPr="00780161" w14:paraId="38563E91" w14:textId="77777777" w:rsidTr="00F01381">
        <w:trPr>
          <w:cantSplit/>
          <w:trHeight w:val="689"/>
        </w:trPr>
        <w:tc>
          <w:tcPr>
            <w:tcW w:w="3680" w:type="dxa"/>
            <w:tcBorders>
              <w:top w:val="single" w:sz="4" w:space="0" w:color="auto"/>
              <w:left w:val="single" w:sz="4" w:space="0" w:color="auto"/>
              <w:bottom w:val="single" w:sz="4" w:space="0" w:color="auto"/>
              <w:right w:val="single" w:sz="4" w:space="0" w:color="auto"/>
            </w:tcBorders>
            <w:vAlign w:val="center"/>
          </w:tcPr>
          <w:p w14:paraId="1B8B3B1B" w14:textId="77777777" w:rsidR="00780161" w:rsidRPr="00780161" w:rsidRDefault="00780161" w:rsidP="00F01381">
            <w:pPr>
              <w:keepNext/>
              <w:keepLines/>
              <w:suppressAutoHyphens/>
              <w:rPr>
                <w:rFonts w:eastAsia="Times New Roman"/>
                <w:szCs w:val="22"/>
                <w:lang w:val="es-ES_tradnl"/>
              </w:rPr>
            </w:pPr>
            <w:r w:rsidRPr="00780161">
              <w:rPr>
                <w:lang w:val="es-ES_tradnl"/>
              </w:rPr>
              <w:t>Medición y tecnologías de la información</w:t>
            </w:r>
          </w:p>
        </w:tc>
        <w:tc>
          <w:tcPr>
            <w:tcW w:w="1985" w:type="dxa"/>
            <w:tcBorders>
              <w:top w:val="single" w:sz="4" w:space="0" w:color="auto"/>
              <w:left w:val="single" w:sz="4" w:space="0" w:color="auto"/>
              <w:bottom w:val="single" w:sz="4" w:space="0" w:color="auto"/>
              <w:right w:val="single" w:sz="4" w:space="0" w:color="auto"/>
            </w:tcBorders>
            <w:vAlign w:val="center"/>
          </w:tcPr>
          <w:p w14:paraId="47674D28" w14:textId="77777777" w:rsidR="00780161" w:rsidRPr="00780161" w:rsidRDefault="00780161" w:rsidP="00F01381">
            <w:pPr>
              <w:keepNext/>
              <w:keepLines/>
              <w:suppressAutoHyphens/>
              <w:rPr>
                <w:rFonts w:eastAsia="Times New Roman"/>
                <w:szCs w:val="22"/>
                <w:lang w:val="es-ES_tradnl"/>
              </w:rPr>
            </w:pPr>
            <w:r w:rsidRPr="00780161">
              <w:rPr>
                <w:lang w:val="es-ES_tradnl"/>
              </w:rPr>
              <w:t>53</w:t>
            </w:r>
          </w:p>
        </w:tc>
        <w:tc>
          <w:tcPr>
            <w:tcW w:w="1701" w:type="dxa"/>
            <w:tcBorders>
              <w:top w:val="single" w:sz="4" w:space="0" w:color="auto"/>
              <w:left w:val="single" w:sz="4" w:space="0" w:color="auto"/>
              <w:bottom w:val="single" w:sz="4" w:space="0" w:color="auto"/>
              <w:right w:val="single" w:sz="4" w:space="0" w:color="auto"/>
            </w:tcBorders>
            <w:vAlign w:val="center"/>
          </w:tcPr>
          <w:p w14:paraId="6107C2E8" w14:textId="77777777" w:rsidR="00780161" w:rsidRPr="00780161" w:rsidRDefault="00780161" w:rsidP="00F01381">
            <w:pPr>
              <w:keepNext/>
              <w:keepLines/>
              <w:suppressAutoHyphens/>
              <w:rPr>
                <w:rFonts w:eastAsia="Times New Roman"/>
                <w:szCs w:val="22"/>
                <w:lang w:val="es-ES_tradnl"/>
              </w:rPr>
            </w:pPr>
            <w:r w:rsidRPr="00780161">
              <w:rPr>
                <w:lang w:val="es-ES_tradnl"/>
              </w:rPr>
              <w:t>15,1</w:t>
            </w:r>
          </w:p>
        </w:tc>
        <w:tc>
          <w:tcPr>
            <w:tcW w:w="1843" w:type="dxa"/>
            <w:tcBorders>
              <w:top w:val="single" w:sz="4" w:space="0" w:color="auto"/>
              <w:left w:val="single" w:sz="4" w:space="0" w:color="auto"/>
              <w:bottom w:val="single" w:sz="4" w:space="0" w:color="auto"/>
              <w:right w:val="single" w:sz="4" w:space="0" w:color="auto"/>
            </w:tcBorders>
            <w:vAlign w:val="center"/>
          </w:tcPr>
          <w:p w14:paraId="01CD3426" w14:textId="77777777" w:rsidR="00780161" w:rsidRPr="00780161" w:rsidRDefault="00780161" w:rsidP="00F01381">
            <w:pPr>
              <w:keepNext/>
              <w:keepLines/>
              <w:suppressAutoHyphens/>
              <w:rPr>
                <w:rFonts w:eastAsia="Times New Roman"/>
                <w:szCs w:val="22"/>
                <w:lang w:val="es-ES_tradnl"/>
              </w:rPr>
            </w:pPr>
            <w:r w:rsidRPr="00780161">
              <w:rPr>
                <w:lang w:val="es-ES_tradnl"/>
              </w:rPr>
              <w:t>4</w:t>
            </w:r>
          </w:p>
        </w:tc>
      </w:tr>
      <w:tr w:rsidR="00780161" w:rsidRPr="00780161" w14:paraId="7D637B49" w14:textId="77777777" w:rsidTr="00F01381">
        <w:trPr>
          <w:cantSplit/>
          <w:trHeight w:val="429"/>
        </w:trPr>
        <w:tc>
          <w:tcPr>
            <w:tcW w:w="3680" w:type="dxa"/>
            <w:tcBorders>
              <w:top w:val="single" w:sz="4" w:space="0" w:color="auto"/>
              <w:left w:val="single" w:sz="4" w:space="0" w:color="auto"/>
              <w:bottom w:val="single" w:sz="4" w:space="0" w:color="auto"/>
              <w:right w:val="single" w:sz="4" w:space="0" w:color="auto"/>
            </w:tcBorders>
            <w:vAlign w:val="center"/>
          </w:tcPr>
          <w:p w14:paraId="5FAB1353" w14:textId="77777777" w:rsidR="00780161" w:rsidRPr="00780161" w:rsidRDefault="00780161" w:rsidP="00F01381">
            <w:pPr>
              <w:keepNext/>
              <w:keepLines/>
              <w:suppressAutoHyphens/>
              <w:rPr>
                <w:rFonts w:eastAsia="Times New Roman"/>
                <w:szCs w:val="22"/>
                <w:lang w:val="es-ES_tradnl"/>
              </w:rPr>
            </w:pPr>
            <w:r w:rsidRPr="00780161">
              <w:rPr>
                <w:lang w:val="es-ES_tradnl"/>
              </w:rPr>
              <w:t>Total</w:t>
            </w:r>
          </w:p>
        </w:tc>
        <w:tc>
          <w:tcPr>
            <w:tcW w:w="1985" w:type="dxa"/>
            <w:tcBorders>
              <w:top w:val="single" w:sz="4" w:space="0" w:color="auto"/>
              <w:left w:val="single" w:sz="4" w:space="0" w:color="auto"/>
              <w:bottom w:val="single" w:sz="4" w:space="0" w:color="auto"/>
              <w:right w:val="single" w:sz="4" w:space="0" w:color="auto"/>
            </w:tcBorders>
            <w:vAlign w:val="center"/>
          </w:tcPr>
          <w:p w14:paraId="41112F0B" w14:textId="77777777" w:rsidR="00780161" w:rsidRPr="00780161" w:rsidRDefault="00780161" w:rsidP="00F01381">
            <w:pPr>
              <w:keepNext/>
              <w:keepLines/>
              <w:suppressAutoHyphens/>
              <w:rPr>
                <w:rFonts w:eastAsia="Times New Roman"/>
                <w:szCs w:val="22"/>
                <w:lang w:val="es-ES_tradnl"/>
              </w:rPr>
            </w:pPr>
            <w:r w:rsidRPr="00780161">
              <w:rPr>
                <w:lang w:val="es-ES_tradnl"/>
              </w:rPr>
              <w:t>406</w:t>
            </w:r>
          </w:p>
        </w:tc>
        <w:tc>
          <w:tcPr>
            <w:tcW w:w="1701" w:type="dxa"/>
            <w:tcBorders>
              <w:top w:val="single" w:sz="4" w:space="0" w:color="auto"/>
              <w:left w:val="single" w:sz="4" w:space="0" w:color="auto"/>
              <w:bottom w:val="single" w:sz="4" w:space="0" w:color="auto"/>
              <w:right w:val="single" w:sz="4" w:space="0" w:color="auto"/>
            </w:tcBorders>
            <w:vAlign w:val="center"/>
          </w:tcPr>
          <w:p w14:paraId="4B46954F" w14:textId="77777777" w:rsidR="00780161" w:rsidRPr="00780161" w:rsidRDefault="00780161" w:rsidP="00F01381">
            <w:pPr>
              <w:keepNext/>
              <w:keepLines/>
              <w:suppressAutoHyphens/>
              <w:jc w:val="center"/>
              <w:rPr>
                <w:rFonts w:eastAsia="Times New Roman"/>
                <w:szCs w:val="22"/>
                <w:lang w:val="es-ES_tradnl" w:eastAsia="en-US" w:bidi="he-IL"/>
              </w:rPr>
            </w:pPr>
          </w:p>
        </w:tc>
        <w:tc>
          <w:tcPr>
            <w:tcW w:w="1843" w:type="dxa"/>
            <w:tcBorders>
              <w:top w:val="single" w:sz="4" w:space="0" w:color="auto"/>
              <w:left w:val="single" w:sz="4" w:space="0" w:color="auto"/>
              <w:bottom w:val="single" w:sz="4" w:space="0" w:color="auto"/>
              <w:right w:val="single" w:sz="4" w:space="0" w:color="auto"/>
            </w:tcBorders>
            <w:vAlign w:val="center"/>
          </w:tcPr>
          <w:p w14:paraId="6DDAC925" w14:textId="77777777" w:rsidR="00780161" w:rsidRPr="00780161" w:rsidRDefault="00780161" w:rsidP="00F01381">
            <w:pPr>
              <w:keepNext/>
              <w:keepLines/>
              <w:suppressAutoHyphens/>
              <w:jc w:val="center"/>
              <w:rPr>
                <w:rFonts w:eastAsia="Times New Roman"/>
                <w:szCs w:val="22"/>
                <w:lang w:val="es-ES_tradnl" w:eastAsia="en-US" w:bidi="he-IL"/>
              </w:rPr>
            </w:pPr>
          </w:p>
        </w:tc>
      </w:tr>
    </w:tbl>
    <w:p w14:paraId="1418C52B" w14:textId="77777777" w:rsidR="00780161" w:rsidRPr="00780161" w:rsidRDefault="00780161" w:rsidP="00780161">
      <w:pPr>
        <w:pStyle w:val="RuleQuote"/>
        <w:spacing w:before="240"/>
        <w:ind w:left="0"/>
        <w:rPr>
          <w:i w:val="0"/>
          <w:color w:val="000000" w:themeColor="text1"/>
          <w:lang w:val="es-ES_tradnl"/>
        </w:rPr>
      </w:pPr>
    </w:p>
    <w:p w14:paraId="565238A3" w14:textId="77777777" w:rsidR="00780161" w:rsidRPr="00780161" w:rsidRDefault="00780161">
      <w:pPr>
        <w:rPr>
          <w:bCs/>
          <w:iCs/>
          <w:color w:val="000000" w:themeColor="text1"/>
          <w:lang w:val="es-ES_tradnl"/>
        </w:rPr>
      </w:pPr>
      <w:r w:rsidRPr="00780161">
        <w:rPr>
          <w:i/>
          <w:color w:val="000000" w:themeColor="text1"/>
          <w:lang w:val="es-ES_tradnl"/>
        </w:rPr>
        <w:br w:type="page"/>
      </w:r>
    </w:p>
    <w:p w14:paraId="2A87CC67" w14:textId="1550C2EA" w:rsidR="00780161" w:rsidRPr="00780161" w:rsidRDefault="00780161" w:rsidP="00780161">
      <w:pPr>
        <w:pStyle w:val="RuleQuote"/>
        <w:spacing w:before="240"/>
        <w:ind w:left="0"/>
        <w:rPr>
          <w:i w:val="0"/>
          <w:iCs w:val="0"/>
          <w:color w:val="000000" w:themeColor="text1"/>
          <w:lang w:val="es-ES_tradnl"/>
        </w:rPr>
      </w:pPr>
      <w:r w:rsidRPr="00780161">
        <w:rPr>
          <w:i w:val="0"/>
          <w:color w:val="000000" w:themeColor="text1"/>
          <w:lang w:val="es-ES_tradnl"/>
        </w:rPr>
        <w:lastRenderedPageBreak/>
        <w:t>Otra información además del informe SGC y el cuadro anterior (opcional):</w:t>
      </w:r>
    </w:p>
    <w:p w14:paraId="36B960C3" w14:textId="77777777" w:rsidR="00780161" w:rsidRPr="00780161" w:rsidRDefault="00780161" w:rsidP="00780161">
      <w:pPr>
        <w:pStyle w:val="SectionHeading"/>
        <w:spacing w:before="240" w:after="240" w:line="240" w:lineRule="auto"/>
        <w:rPr>
          <w:lang w:val="es-ES_tradnl"/>
        </w:rPr>
      </w:pPr>
      <w:r w:rsidRPr="00780161">
        <w:rPr>
          <w:lang w:val="es-ES_tradnl"/>
        </w:rPr>
        <w:t>2.2- Documentación mínima puesta a disposición para consulta</w:t>
      </w:r>
    </w:p>
    <w:p w14:paraId="00C1EE6A" w14:textId="4598E4C3" w:rsidR="00780161" w:rsidRPr="00780161" w:rsidRDefault="00780161" w:rsidP="00780161">
      <w:pPr>
        <w:pStyle w:val="RuleQuote"/>
        <w:rPr>
          <w:lang w:val="es-ES_tradnl"/>
        </w:rPr>
      </w:pPr>
      <w:r w:rsidRPr="00780161">
        <w:rPr>
          <w:lang w:val="es-ES_tradnl"/>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2AE3F642" w14:textId="77777777" w:rsidR="00780161" w:rsidRPr="00780161" w:rsidRDefault="00780161" w:rsidP="00780161">
      <w:pPr>
        <w:pStyle w:val="RuleQuote"/>
        <w:rPr>
          <w:szCs w:val="24"/>
          <w:lang w:val="es-ES_tradnl"/>
        </w:rPr>
      </w:pPr>
      <w:r w:rsidRPr="00780161">
        <w:rPr>
          <w:lang w:val="es-ES_tradnl"/>
        </w:rPr>
        <w:t>Los requisitos especificados en las Instrucciones Administrativas figuran en la circular C. PCT 1672, de 19 de junio de 2024.</w:t>
      </w:r>
    </w:p>
    <w:p w14:paraId="591B9726" w14:textId="77777777" w:rsidR="00780161" w:rsidRPr="00780161" w:rsidRDefault="00780161" w:rsidP="00780161">
      <w:pPr>
        <w:pStyle w:val="Question"/>
        <w:spacing w:after="240"/>
        <w:rPr>
          <w:b w:val="0"/>
          <w:color w:val="000000" w:themeColor="text1"/>
          <w:lang w:val="es-ES_tradnl"/>
        </w:rPr>
      </w:pPr>
      <w:bookmarkStart w:id="6" w:name="_Hlk215645952"/>
      <w:r w:rsidRPr="00780161">
        <w:rPr>
          <w:b w:val="0"/>
          <w:color w:val="000000" w:themeColor="text1"/>
          <w:lang w:val="es-ES_tradnl"/>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p>
    <w:bookmarkEnd w:id="6"/>
    <w:p w14:paraId="6D4AAC2D" w14:textId="77777777" w:rsidR="00780161" w:rsidRPr="00780161" w:rsidRDefault="00780161" w:rsidP="00780161">
      <w:pPr>
        <w:pStyle w:val="Question"/>
        <w:spacing w:after="240"/>
        <w:rPr>
          <w:b w:val="0"/>
          <w:lang w:val="es-ES_tradnl"/>
        </w:rPr>
      </w:pPr>
      <w:r w:rsidRPr="00780161">
        <w:rPr>
          <w:b w:val="0"/>
          <w:lang w:val="es-ES_tradnl"/>
        </w:rPr>
        <w:t>O bien:</w:t>
      </w:r>
    </w:p>
    <w:p w14:paraId="066AF9BA" w14:textId="22111DAE" w:rsidR="00780161" w:rsidRPr="00780161" w:rsidRDefault="005E14BB" w:rsidP="00780161">
      <w:pPr>
        <w:pStyle w:val="Question"/>
        <w:spacing w:after="240"/>
        <w:rPr>
          <w:b w:val="0"/>
          <w:color w:val="000000" w:themeColor="text1"/>
          <w:lang w:val="es-ES_tradnl"/>
        </w:rPr>
      </w:pPr>
      <w:sdt>
        <w:sdtPr>
          <w:rPr>
            <w:b w:val="0"/>
            <w:bCs w:val="0"/>
            <w:color w:val="000000" w:themeColor="text1"/>
            <w:lang w:val="es-ES_tradnl"/>
          </w:rPr>
          <w:id w:val="-178122316"/>
          <w14:checkbox>
            <w14:checked w14:val="1"/>
            <w14:checkedState w14:val="2612" w14:font="MS Gothic"/>
            <w14:uncheckedState w14:val="2610" w14:font="MS Gothic"/>
          </w14:checkbox>
        </w:sdtPr>
        <w:sdtEndPr/>
        <w:sdtContent>
          <w:r w:rsidR="00780161" w:rsidRPr="00780161">
            <w:rPr>
              <w:rFonts w:ascii="MS Gothic" w:eastAsia="MS Gothic" w:hAnsi="MS Gothic"/>
              <w:b w:val="0"/>
              <w:bCs w:val="0"/>
              <w:color w:val="000000" w:themeColor="text1"/>
              <w:lang w:val="es-ES_tradnl"/>
            </w:rPr>
            <w:t>☒</w:t>
          </w:r>
        </w:sdtContent>
      </w:sdt>
      <w:r w:rsidR="00780161" w:rsidRPr="00780161">
        <w:rPr>
          <w:b w:val="0"/>
          <w:lang w:val="es-ES_tradnl"/>
        </w:rPr>
        <w:t xml:space="preserve"> El Equipo Técnico sobre Documentación Mínima del PCT ha comprobado la disponibilidad de las colecciones de documentación sobre patentes antes del 1 de noviembre de 2025 y certifica que se han cumplido los requisitos. </w:t>
      </w:r>
      <w:r w:rsidR="00780161" w:rsidRPr="00780161">
        <w:rPr>
          <w:b w:val="0"/>
          <w:color w:val="000000" w:themeColor="text1"/>
          <w:lang w:val="es-ES_tradnl"/>
        </w:rPr>
        <w:t xml:space="preserve">El alcance y el formato de los documentos que la Administración ha puesto a disposición para su consulta han sido publicados en la Gaceta del PCT el 23 de octubre de 2025, en: </w:t>
      </w:r>
      <w:hyperlink r:id="rId10" w:anchor="# page=203" w:history="1">
        <w:r w:rsidR="00780161" w:rsidRPr="00780161">
          <w:rPr>
            <w:rStyle w:val="Hyperlink"/>
            <w:b w:val="0"/>
            <w:lang w:val="es-ES_tradnl"/>
          </w:rPr>
          <w:t>https://www.wipo.int/documents/d/pct-system/docs-en-official-notices-officialnotices.pdf#page=203</w:t>
        </w:r>
      </w:hyperlink>
      <w:r w:rsidR="00780161" w:rsidRPr="00780161">
        <w:rPr>
          <w:rStyle w:val="Hyperlink"/>
          <w:b w:val="0"/>
          <w:lang w:val="es-ES_tradnl"/>
        </w:rPr>
        <w:t>.</w:t>
      </w:r>
    </w:p>
    <w:p w14:paraId="4BF8B8DE" w14:textId="77777777" w:rsidR="00780161" w:rsidRPr="00780161" w:rsidRDefault="00780161" w:rsidP="00780161">
      <w:pPr>
        <w:pStyle w:val="Answer"/>
        <w:spacing w:after="240"/>
        <w:ind w:left="0"/>
        <w:rPr>
          <w:color w:val="000000" w:themeColor="text1"/>
          <w:lang w:val="es-ES_tradnl"/>
        </w:rPr>
      </w:pPr>
      <w:r w:rsidRPr="00780161">
        <w:rPr>
          <w:color w:val="000000" w:themeColor="text1"/>
          <w:lang w:val="es-ES_tradnl"/>
        </w:rPr>
        <w:t>O bien:</w:t>
      </w:r>
    </w:p>
    <w:p w14:paraId="1FD9009B" w14:textId="77777777" w:rsidR="00780161" w:rsidRPr="00780161" w:rsidRDefault="005E14BB" w:rsidP="00780161">
      <w:pPr>
        <w:pStyle w:val="Answer"/>
        <w:spacing w:after="240"/>
        <w:ind w:left="0"/>
        <w:rPr>
          <w:color w:val="000000" w:themeColor="text1"/>
          <w:lang w:val="es-ES_tradnl"/>
        </w:rPr>
      </w:pPr>
      <w:sdt>
        <w:sdtPr>
          <w:rPr>
            <w:color w:val="000000" w:themeColor="text1"/>
            <w:lang w:val="es-ES_tradnl"/>
          </w:rPr>
          <w:id w:val="229279132"/>
          <w14:checkbox>
            <w14:checked w14:val="0"/>
            <w14:checkedState w14:val="2612" w14:font="MS Gothic"/>
            <w14:uncheckedState w14:val="2610" w14:font="MS Gothic"/>
          </w14:checkbox>
        </w:sdtPr>
        <w:sdtEndPr/>
        <w:sdtContent>
          <w:r w:rsidR="00780161" w:rsidRPr="00780161">
            <w:rPr>
              <w:rFonts w:ascii="MS Gothic" w:eastAsia="MS Gothic" w:hAnsi="MS Gothic"/>
              <w:color w:val="000000" w:themeColor="text1"/>
              <w:lang w:val="es-ES_tradnl"/>
            </w:rPr>
            <w:t>☐</w:t>
          </w:r>
        </w:sdtContent>
      </w:sdt>
      <w:r w:rsidR="00780161" w:rsidRPr="00780161">
        <w:rPr>
          <w:lang w:val="es-ES_tradnl"/>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(véase más adelante). </w:t>
      </w:r>
      <w:r w:rsidR="00780161" w:rsidRPr="00780161">
        <w:rPr>
          <w:color w:val="000000" w:themeColor="text1"/>
          <w:lang w:val="es-ES_tradnl"/>
        </w:rPr>
        <w:t>Introduzca asimismo información detallada de su fichero de referencia junto con los enlaces, según proceda.</w:t>
      </w:r>
    </w:p>
    <w:p w14:paraId="62F8F99F" w14:textId="77777777" w:rsidR="00780161" w:rsidRPr="00780161" w:rsidRDefault="00780161" w:rsidP="00780161">
      <w:pPr>
        <w:pStyle w:val="SectionHeading"/>
        <w:keepNext w:val="0"/>
        <w:spacing w:before="0" w:after="240" w:line="240" w:lineRule="auto"/>
        <w:rPr>
          <w:lang w:val="es-ES_tradnl"/>
        </w:rPr>
      </w:pPr>
      <w:r w:rsidRPr="00780161">
        <w:rPr>
          <w:lang w:val="es-ES_tradnl"/>
        </w:rPr>
        <w:t>2.3- Acceso a la documentación mínima</w:t>
      </w:r>
    </w:p>
    <w:p w14:paraId="048D3543" w14:textId="77777777" w:rsidR="00780161" w:rsidRPr="00780161" w:rsidRDefault="00780161" w:rsidP="00780161">
      <w:pPr>
        <w:pStyle w:val="RuleQuote"/>
        <w:keepNext w:val="0"/>
        <w:rPr>
          <w:i w:val="0"/>
          <w:iCs w:val="0"/>
          <w:lang w:val="es-ES_tradnl"/>
        </w:rPr>
      </w:pPr>
      <w:r w:rsidRPr="00780161">
        <w:rPr>
          <w:lang w:val="es-ES_tradnl"/>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3840FF6A" w14:textId="5BD5E004" w:rsidR="00780161" w:rsidRPr="00780161" w:rsidRDefault="00780161" w:rsidP="00780161">
      <w:pPr>
        <w:pStyle w:val="RuleQuote"/>
        <w:keepNext w:val="0"/>
        <w:ind w:left="0"/>
        <w:rPr>
          <w:i w:val="0"/>
          <w:iCs w:val="0"/>
          <w:lang w:val="es-ES_tradnl"/>
        </w:rPr>
      </w:pPr>
      <w:r w:rsidRPr="00780161">
        <w:rPr>
          <w:i w:val="0"/>
          <w:lang w:val="es-ES_tradnl"/>
        </w:rPr>
        <w:t xml:space="preserve">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 </w:t>
      </w:r>
    </w:p>
    <w:p w14:paraId="30936890" w14:textId="5A4AC17A" w:rsidR="00780161" w:rsidRPr="00780161" w:rsidRDefault="00780161" w:rsidP="00780161">
      <w:pPr>
        <w:pStyle w:val="RuleQuote"/>
        <w:keepNext w:val="0"/>
        <w:ind w:left="0"/>
        <w:rPr>
          <w:i w:val="0"/>
          <w:iCs w:val="0"/>
          <w:color w:val="000000" w:themeColor="text1"/>
          <w:lang w:val="es-ES_tradnl"/>
        </w:rPr>
      </w:pPr>
      <w:r w:rsidRPr="00780161">
        <w:rPr>
          <w:i w:val="0"/>
          <w:color w:val="000000" w:themeColor="text1"/>
          <w:lang w:val="es-ES_tradnl"/>
        </w:rPr>
        <w:t>Otra información además del informe SGC (opcional):</w:t>
      </w:r>
    </w:p>
    <w:p w14:paraId="32E96FBF" w14:textId="77777777" w:rsidR="00780161" w:rsidRPr="00780161" w:rsidRDefault="00780161" w:rsidP="00780161">
      <w:pPr>
        <w:pStyle w:val="SectionHeading"/>
        <w:keepNext w:val="0"/>
        <w:spacing w:before="0" w:after="240" w:line="240" w:lineRule="auto"/>
        <w:rPr>
          <w:lang w:val="es-ES_tradnl"/>
        </w:rPr>
      </w:pPr>
      <w:r w:rsidRPr="00780161">
        <w:rPr>
          <w:lang w:val="es-ES_tradnl"/>
        </w:rPr>
        <w:t>2.4. Gestión de la calidad</w:t>
      </w:r>
    </w:p>
    <w:p w14:paraId="4070BBE4" w14:textId="77777777" w:rsidR="00780161" w:rsidRPr="00780161" w:rsidRDefault="00780161" w:rsidP="00780161">
      <w:pPr>
        <w:pStyle w:val="RuleQuote"/>
        <w:keepNext w:val="0"/>
        <w:rPr>
          <w:lang w:val="es-ES_tradnl"/>
        </w:rPr>
      </w:pPr>
      <w:r w:rsidRPr="00780161">
        <w:rPr>
          <w:lang w:val="es-ES_tradnl"/>
        </w:rPr>
        <w:t>Reglas 36.1.iv) y 63.1.iv): Esa Oficina u organización deberá disponer de un sistema de gestión de calidad y un sistema de revisión interna, conforme a las reglas comunes de la búsqueda internacional.</w:t>
      </w:r>
    </w:p>
    <w:p w14:paraId="3FE4FAEF" w14:textId="17B120D3" w:rsidR="00780161" w:rsidRPr="00780161" w:rsidRDefault="00780161" w:rsidP="00780161">
      <w:pPr>
        <w:pStyle w:val="RuleQuote"/>
        <w:keepNext w:val="0"/>
        <w:ind w:left="0"/>
        <w:rPr>
          <w:i w:val="0"/>
          <w:iCs w:val="0"/>
          <w:lang w:val="es-ES_tradnl"/>
        </w:rPr>
      </w:pPr>
      <w:r w:rsidRPr="00780161">
        <w:rPr>
          <w:i w:val="0"/>
          <w:lang w:val="es-ES_tradnl"/>
        </w:rPr>
        <w:lastRenderedPageBreak/>
        <w:t xml:space="preserve">El informe SGC proporciona información de </w:t>
      </w:r>
      <w:proofErr w:type="spellStart"/>
      <w:r w:rsidRPr="00780161">
        <w:rPr>
          <w:i w:val="0"/>
          <w:lang w:val="es-ES_tradnl"/>
        </w:rPr>
        <w:t>Rospatent</w:t>
      </w:r>
      <w:proofErr w:type="spellEnd"/>
      <w:r w:rsidRPr="00780161">
        <w:rPr>
          <w:i w:val="0"/>
          <w:lang w:val="es-ES_tradnl"/>
        </w:rPr>
        <w:t xml:space="preserve">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4E7B8C3F" w14:textId="027D3132" w:rsidR="00780161" w:rsidRPr="00780161" w:rsidRDefault="00780161" w:rsidP="00780161">
      <w:pPr>
        <w:pStyle w:val="RuleQuote"/>
        <w:keepNext w:val="0"/>
        <w:ind w:left="0"/>
        <w:rPr>
          <w:i w:val="0"/>
          <w:iCs w:val="0"/>
          <w:lang w:val="es-ES_tradnl"/>
        </w:rPr>
      </w:pPr>
      <w:r w:rsidRPr="00780161">
        <w:rPr>
          <w:i w:val="0"/>
          <w:lang w:val="es-ES_tradnl"/>
        </w:rPr>
        <w:t>Otra información además del informe SGC (opcional):</w:t>
      </w:r>
      <w:r>
        <w:rPr>
          <w:i w:val="0"/>
          <w:lang w:val="es-ES_tradnl"/>
        </w:rPr>
        <w:t xml:space="preserve"> </w:t>
      </w:r>
    </w:p>
    <w:p w14:paraId="74C03C87" w14:textId="4C2AE7AF" w:rsidR="00780161" w:rsidRPr="00780161" w:rsidRDefault="00780161" w:rsidP="00780161">
      <w:pPr>
        <w:spacing w:after="240"/>
        <w:jc w:val="both"/>
        <w:rPr>
          <w:lang w:val="es-ES_tradnl"/>
        </w:rPr>
      </w:pPr>
      <w:r w:rsidRPr="00780161">
        <w:rPr>
          <w:lang w:val="es-ES_tradnl"/>
        </w:rPr>
        <w:t xml:space="preserve">En octubre de 2025, el organismo de certificación llevó a cabo una auditoría de nueva certificación del sistema de gestión de la calidad de </w:t>
      </w:r>
      <w:proofErr w:type="spellStart"/>
      <w:r w:rsidRPr="00780161">
        <w:rPr>
          <w:lang w:val="es-ES_tradnl"/>
        </w:rPr>
        <w:t>Rospatent</w:t>
      </w:r>
      <w:proofErr w:type="spellEnd"/>
      <w:r w:rsidRPr="00780161">
        <w:rPr>
          <w:lang w:val="es-ES_tradnl"/>
        </w:rPr>
        <w:t xml:space="preserve"> para verificar el cumplimiento de los requisitos de la norma ISO 9001:2015 en el ámbito de la tramitación de solicitudes internacionales, la búsqueda internacional y el examen preliminar internacional en virtud del PCT.</w:t>
      </w:r>
    </w:p>
    <w:p w14:paraId="0DDEF99D" w14:textId="77777777" w:rsidR="00780161" w:rsidRPr="00780161" w:rsidRDefault="00780161" w:rsidP="00780161">
      <w:pPr>
        <w:pStyle w:val="SectionHeading"/>
        <w:keepNext w:val="0"/>
        <w:spacing w:before="0" w:after="240" w:line="240" w:lineRule="auto"/>
        <w:rPr>
          <w:lang w:val="es-ES_tradnl"/>
        </w:rPr>
      </w:pPr>
      <w:r w:rsidRPr="00780161">
        <w:rPr>
          <w:lang w:val="es-ES_tradnl"/>
        </w:rPr>
        <w:t>3. Ámbito de actuación</w:t>
      </w:r>
    </w:p>
    <w:p w14:paraId="3E1AA52C" w14:textId="77777777" w:rsidR="00780161" w:rsidRPr="00780161" w:rsidRDefault="00780161" w:rsidP="00780161">
      <w:pPr>
        <w:pStyle w:val="Question"/>
        <w:keepNext w:val="0"/>
        <w:spacing w:after="240"/>
        <w:rPr>
          <w:lang w:val="es-ES_tradnl"/>
        </w:rPr>
      </w:pPr>
      <w:r w:rsidRPr="00780161">
        <w:rPr>
          <w:lang w:val="es-ES_tradnl"/>
        </w:rPr>
        <w:t>a)</w:t>
      </w:r>
      <w:r w:rsidRPr="00780161">
        <w:rPr>
          <w:lang w:val="es-ES_tradnl"/>
        </w:rPr>
        <w:tab/>
        <w:t>Ámbito de actuación actual</w:t>
      </w:r>
    </w:p>
    <w:p w14:paraId="1F3F581C" w14:textId="03DE094E" w:rsidR="00780161" w:rsidRPr="00780161" w:rsidRDefault="00780161" w:rsidP="00780161">
      <w:pPr>
        <w:pStyle w:val="Question"/>
        <w:keepNext w:val="0"/>
        <w:spacing w:after="240"/>
        <w:rPr>
          <w:b w:val="0"/>
          <w:bCs w:val="0"/>
          <w:lang w:val="es-ES_tradnl"/>
        </w:rPr>
      </w:pPr>
      <w:r w:rsidRPr="00780161">
        <w:rPr>
          <w:b w:val="0"/>
          <w:lang w:val="es-ES_tradnl"/>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Guía del Solicitante del PCT, en los siguientes enlaces: </w:t>
      </w:r>
      <w:bookmarkStart w:id="7" w:name="_Hlk215085102"/>
      <w:r w:rsidRPr="00780161">
        <w:rPr>
          <w:rStyle w:val="Hyperlink"/>
          <w:lang w:val="es-ES_tradnl"/>
        </w:rPr>
        <w:fldChar w:fldCharType="begin"/>
      </w:r>
      <w:r w:rsidRPr="00780161">
        <w:rPr>
          <w:rStyle w:val="Hyperlink"/>
          <w:lang w:val="es-ES_tradnl"/>
        </w:rPr>
        <w:instrText>HYPERLINK "https://pctlegal.wipo.int/eGuide/view-doc.xhtml?doc-code=RU&amp;amp;doc-lang=en%23ISA"</w:instrText>
      </w:r>
      <w:r w:rsidR="00552AD3" w:rsidRPr="00780161">
        <w:rPr>
          <w:rStyle w:val="Hyperlink"/>
          <w:lang w:val="es-ES_tradnl"/>
        </w:rPr>
      </w:r>
      <w:r w:rsidRPr="00780161">
        <w:rPr>
          <w:rStyle w:val="Hyperlink"/>
          <w:lang w:val="es-ES_tradnl"/>
        </w:rPr>
        <w:fldChar w:fldCharType="separate"/>
      </w:r>
      <w:r w:rsidRPr="00780161">
        <w:rPr>
          <w:rStyle w:val="Hyperlink"/>
          <w:b w:val="0"/>
          <w:lang w:val="es-ES_tradnl"/>
        </w:rPr>
        <w:t>https://pctlegal.wipo.int/eGuide/view-doc.xhtml?doc-code=RU&amp;amp;doc-lang=en#ISA</w:t>
      </w:r>
      <w:r w:rsidRPr="00780161">
        <w:rPr>
          <w:rStyle w:val="Hyperlink"/>
          <w:lang w:val="es-ES_tradnl"/>
        </w:rPr>
        <w:fldChar w:fldCharType="end"/>
      </w:r>
      <w:r w:rsidRPr="00780161">
        <w:rPr>
          <w:b w:val="0"/>
          <w:lang w:val="es-ES_tradnl"/>
        </w:rPr>
        <w:t xml:space="preserve"> y </w:t>
      </w:r>
      <w:hyperlink r:id="rId11" w:anchor="IPEA" w:history="1">
        <w:r w:rsidRPr="00780161">
          <w:rPr>
            <w:rStyle w:val="Hyperlink"/>
            <w:b w:val="0"/>
            <w:lang w:val="es-ES_tradnl"/>
          </w:rPr>
          <w:t>https://pctlegal.wipo.int/eGuide/view-doc.xhtml?doc-code=RU&amp;amp;doc-lang=en#IPEA</w:t>
        </w:r>
      </w:hyperlink>
      <w:bookmarkEnd w:id="7"/>
      <w:r w:rsidRPr="00780161">
        <w:rPr>
          <w:b w:val="0"/>
          <w:lang w:val="es-ES_tradnl"/>
        </w:rPr>
        <w:t>.</w:t>
      </w:r>
    </w:p>
    <w:p w14:paraId="5C23FCD1" w14:textId="77777777" w:rsidR="00780161" w:rsidRPr="00780161" w:rsidRDefault="00780161" w:rsidP="00780161">
      <w:pPr>
        <w:pStyle w:val="Question"/>
        <w:keepNext w:val="0"/>
        <w:spacing w:after="240"/>
        <w:rPr>
          <w:lang w:val="es-ES_tradnl"/>
        </w:rPr>
      </w:pPr>
      <w:r w:rsidRPr="00780161">
        <w:rPr>
          <w:lang w:val="es-ES_tradnl"/>
        </w:rPr>
        <w:t>b)</w:t>
      </w:r>
      <w:r w:rsidRPr="00780161">
        <w:rPr>
          <w:lang w:val="es-ES_tradnl"/>
        </w:rPr>
        <w:tab/>
        <w:t>Cambios previstos en el ámbito de actuación como Administración, tales como las Oficinas receptoras para las que la Administración es competente y las lenguas ofrecidas (si procede):</w:t>
      </w:r>
    </w:p>
    <w:p w14:paraId="6BA6C52D" w14:textId="77777777" w:rsidR="00780161" w:rsidRPr="00780161" w:rsidRDefault="00780161" w:rsidP="00780161">
      <w:pPr>
        <w:pStyle w:val="SectionHeading"/>
        <w:spacing w:before="0" w:after="240" w:line="240" w:lineRule="auto"/>
        <w:rPr>
          <w:lang w:val="es-ES_tradnl"/>
        </w:rPr>
      </w:pPr>
      <w:r w:rsidRPr="00780161">
        <w:rPr>
          <w:lang w:val="es-ES_tradnl"/>
        </w:rPr>
        <w:t>4 - Otra información</w:t>
      </w:r>
    </w:p>
    <w:p w14:paraId="77E734B9" w14:textId="06665A4C" w:rsidR="00780161" w:rsidRPr="00780161" w:rsidRDefault="00780161" w:rsidP="00780161">
      <w:pPr>
        <w:spacing w:after="240"/>
        <w:rPr>
          <w:lang w:val="es-ES_tradnl"/>
        </w:rPr>
      </w:pPr>
      <w:r w:rsidRPr="00780161">
        <w:rPr>
          <w:lang w:val="es-ES_tradnl"/>
        </w:rPr>
        <w:t>Demás información pertinente para la prórroga de la designación como Administración encargada de la búsqueda y del examen preliminar internacionales:</w:t>
      </w:r>
    </w:p>
    <w:p w14:paraId="24EAE6AC" w14:textId="77777777" w:rsidR="00780161" w:rsidRPr="00780161" w:rsidRDefault="00780161" w:rsidP="00780161">
      <w:pPr>
        <w:pStyle w:val="Notestext"/>
        <w:spacing w:after="240"/>
        <w:jc w:val="both"/>
        <w:rPr>
          <w:lang w:val="es-ES_tradnl"/>
        </w:rPr>
      </w:pPr>
      <w:r w:rsidRPr="00780161">
        <w:rPr>
          <w:lang w:val="es-ES_tradnl"/>
        </w:rPr>
        <w:t xml:space="preserve">En lo que respecta al actual Acuerdo entre </w:t>
      </w:r>
      <w:proofErr w:type="spellStart"/>
      <w:r w:rsidRPr="00780161">
        <w:rPr>
          <w:lang w:val="es-ES_tradnl"/>
        </w:rPr>
        <w:t>Rospatent</w:t>
      </w:r>
      <w:proofErr w:type="spellEnd"/>
      <w:r w:rsidRPr="00780161">
        <w:rPr>
          <w:lang w:val="es-ES_tradnl"/>
        </w:rPr>
        <w:t xml:space="preserve"> y la Oficina Internacional de la OMPI sobre la labor de </w:t>
      </w:r>
      <w:proofErr w:type="spellStart"/>
      <w:r w:rsidRPr="00780161">
        <w:rPr>
          <w:lang w:val="es-ES_tradnl"/>
        </w:rPr>
        <w:t>Rospatent</w:t>
      </w:r>
      <w:proofErr w:type="spellEnd"/>
      <w:r w:rsidRPr="00780161">
        <w:rPr>
          <w:lang w:val="es-ES_tradnl"/>
        </w:rPr>
        <w:t xml:space="preserve"> como Administración encargada de la búsqueda internacional y del examen preliminar internacional en virtud del PCT, no se ha producido ningún cambio en el ámbito de actuación. Los idiomas de trabajo siguen siendo el inglés y el ruso.</w:t>
      </w:r>
    </w:p>
    <w:p w14:paraId="62A01299" w14:textId="77777777" w:rsidR="00780161" w:rsidRPr="00780161" w:rsidRDefault="00780161" w:rsidP="00780161">
      <w:pPr>
        <w:pStyle w:val="Notestext"/>
        <w:spacing w:after="240"/>
        <w:jc w:val="both"/>
        <w:rPr>
          <w:lang w:val="es-ES_tradnl"/>
        </w:rPr>
      </w:pPr>
      <w:proofErr w:type="spellStart"/>
      <w:r w:rsidRPr="00780161">
        <w:rPr>
          <w:lang w:val="es-ES_tradnl"/>
        </w:rPr>
        <w:t>Rospatent</w:t>
      </w:r>
      <w:proofErr w:type="spellEnd"/>
      <w:r w:rsidRPr="00780161">
        <w:rPr>
          <w:lang w:val="es-ES_tradnl"/>
        </w:rPr>
        <w:t xml:space="preserve"> es la Administración competente encargada de la búsqueda internacional y del examen preliminar internacional para las Oficinas receptoras de las siguientes Partes Contratantes (Estados y organizaciones) del PCT: Armenia (AM), Azerbaiyán (AZ), Bulgaria (BG), Belarús (BY), Colombia (CO), Cuba (CU), Organización Eurasiática de Patentes/ Oficina Eurasiática de Patentes (EA), Georgia (GE), Indonesia (ID), República Islámica </w:t>
      </w:r>
      <w:proofErr w:type="spellStart"/>
      <w:r w:rsidRPr="00780161">
        <w:rPr>
          <w:lang w:val="es-ES_tradnl"/>
        </w:rPr>
        <w:t>del</w:t>
      </w:r>
      <w:proofErr w:type="spellEnd"/>
      <w:r w:rsidRPr="00780161">
        <w:rPr>
          <w:lang w:val="es-ES_tradnl"/>
        </w:rPr>
        <w:t xml:space="preserve"> Irán (IR), Kirguistán (KG), República Popular Democrática de Corea (KP), Kazajstán (KZ), Marruecos (MA), República de Moldova (MD), Mongolia (MN), Organización Africana de la Propiedad Intelectual (OA), Rumanía (RO), Federación de Rusia (RU), Arabia Saudita (SA), República Árabe Siria (SY), Tayikistán (TJ), Turkmenistán (TM), Uzbekistán (UZ), Viet Nam (VN) y Zimbabwe (ZW).</w:t>
      </w:r>
    </w:p>
    <w:p w14:paraId="31F667AD" w14:textId="77777777" w:rsidR="00780161" w:rsidRPr="00780161" w:rsidRDefault="00780161" w:rsidP="00780161">
      <w:pPr>
        <w:pStyle w:val="Notestext"/>
        <w:spacing w:after="240"/>
        <w:jc w:val="both"/>
        <w:rPr>
          <w:lang w:val="es-ES_tradnl"/>
        </w:rPr>
      </w:pPr>
      <w:r w:rsidRPr="00780161">
        <w:rPr>
          <w:lang w:val="es-ES_tradnl"/>
        </w:rPr>
        <w:t>La Oficina rusa acepta peticiones de búsqueda internacional suplementaria con arreglo a la Regla 45</w:t>
      </w:r>
      <w:r w:rsidRPr="00780161">
        <w:rPr>
          <w:i/>
          <w:iCs/>
          <w:lang w:val="es-ES_tradnl"/>
        </w:rPr>
        <w:t>bis</w:t>
      </w:r>
      <w:r w:rsidRPr="00780161">
        <w:rPr>
          <w:lang w:val="es-ES_tradnl"/>
        </w:rPr>
        <w:t xml:space="preserve"> del Reglamento del PCT, así como peticiones de búsqueda internacional para solicitudes nacionales.</w:t>
      </w:r>
    </w:p>
    <w:p w14:paraId="54F4277F" w14:textId="22969888" w:rsidR="00780161" w:rsidRPr="00780161" w:rsidRDefault="00780161" w:rsidP="00780161">
      <w:pPr>
        <w:pStyle w:val="Notestext"/>
        <w:spacing w:after="600"/>
        <w:jc w:val="both"/>
        <w:rPr>
          <w:lang w:val="es-ES_tradnl"/>
        </w:rPr>
      </w:pPr>
      <w:proofErr w:type="spellStart"/>
      <w:r w:rsidRPr="00780161">
        <w:rPr>
          <w:lang w:val="es-ES_tradnl"/>
        </w:rPr>
        <w:lastRenderedPageBreak/>
        <w:t>Rospatent</w:t>
      </w:r>
      <w:proofErr w:type="spellEnd"/>
      <w:r w:rsidRPr="00780161">
        <w:rPr>
          <w:lang w:val="es-ES_tradnl"/>
        </w:rPr>
        <w:t xml:space="preserve"> no excluye de las búsquedas o exámenes las materias mencionadas en las Reglas 39.1 o 67.1 del Reglamento con respecto a las que se lleve a cabo una búsqueda o examen como parte del procedimiento de concesión de patentes en virtud de la legislación de patentes de la Federación de Rusia.</w:t>
      </w:r>
    </w:p>
    <w:p w14:paraId="3F263EEE" w14:textId="77777777" w:rsidR="00780161" w:rsidRPr="00780161" w:rsidRDefault="00780161" w:rsidP="00780161">
      <w:pPr>
        <w:pStyle w:val="Endofdocument-Annex"/>
        <w:rPr>
          <w:lang w:val="es-ES_tradnl"/>
        </w:rPr>
      </w:pPr>
      <w:r w:rsidRPr="00780161">
        <w:rPr>
          <w:lang w:val="es-ES_tradnl"/>
        </w:rPr>
        <w:t>[Fin del Anexo y del documento]</w:t>
      </w:r>
    </w:p>
    <w:sectPr w:rsidR="00780161" w:rsidRPr="00780161" w:rsidSect="0078016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736B" w14:textId="77777777" w:rsidR="00780161" w:rsidRDefault="00780161">
      <w:r>
        <w:separator/>
      </w:r>
    </w:p>
  </w:endnote>
  <w:endnote w:type="continuationSeparator" w:id="0">
    <w:p w14:paraId="3C71FD40" w14:textId="77777777" w:rsidR="00780161" w:rsidRPr="009D30E6" w:rsidRDefault="00780161" w:rsidP="007E663E">
      <w:pPr>
        <w:rPr>
          <w:sz w:val="17"/>
          <w:szCs w:val="17"/>
        </w:rPr>
      </w:pPr>
      <w:r w:rsidRPr="009D30E6">
        <w:rPr>
          <w:sz w:val="17"/>
          <w:szCs w:val="17"/>
        </w:rPr>
        <w:separator/>
      </w:r>
    </w:p>
    <w:p w14:paraId="7C0D584A" w14:textId="77777777" w:rsidR="00780161" w:rsidRPr="007E663E" w:rsidRDefault="00780161" w:rsidP="007E663E">
      <w:pPr>
        <w:spacing w:after="60"/>
        <w:rPr>
          <w:sz w:val="17"/>
          <w:szCs w:val="17"/>
        </w:rPr>
      </w:pPr>
      <w:r>
        <w:rPr>
          <w:sz w:val="17"/>
        </w:rPr>
        <w:t>[Continuación de la nota de la página anterior]</w:t>
      </w:r>
    </w:p>
  </w:endnote>
  <w:endnote w:type="continuationNotice" w:id="1">
    <w:p w14:paraId="6B6256B4" w14:textId="77777777" w:rsidR="00780161" w:rsidRPr="007E663E" w:rsidRDefault="0078016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3480" w14:textId="7F3DCE9D" w:rsidR="00780161" w:rsidRDefault="0078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0D73" w14:textId="2DCBD1D6" w:rsidR="00780161" w:rsidRDefault="00780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5B00" w14:textId="250AE3A4" w:rsidR="00780161" w:rsidRDefault="0078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6FD4" w14:textId="77777777" w:rsidR="00780161" w:rsidRDefault="00780161">
      <w:r>
        <w:separator/>
      </w:r>
    </w:p>
  </w:footnote>
  <w:footnote w:type="continuationSeparator" w:id="0">
    <w:p w14:paraId="43B3CDB8" w14:textId="77777777" w:rsidR="00780161" w:rsidRPr="009D30E6" w:rsidRDefault="00780161" w:rsidP="007E663E">
      <w:pPr>
        <w:rPr>
          <w:sz w:val="17"/>
          <w:szCs w:val="17"/>
        </w:rPr>
      </w:pPr>
      <w:r w:rsidRPr="009D30E6">
        <w:rPr>
          <w:sz w:val="17"/>
          <w:szCs w:val="17"/>
        </w:rPr>
        <w:separator/>
      </w:r>
    </w:p>
    <w:p w14:paraId="63E7D1C0" w14:textId="77777777" w:rsidR="00780161" w:rsidRPr="007E663E" w:rsidRDefault="00780161" w:rsidP="007E663E">
      <w:pPr>
        <w:spacing w:after="60"/>
        <w:rPr>
          <w:sz w:val="17"/>
          <w:szCs w:val="17"/>
        </w:rPr>
      </w:pPr>
      <w:r>
        <w:rPr>
          <w:sz w:val="17"/>
        </w:rPr>
        <w:t>[Continuación de la nota de la página anterior]</w:t>
      </w:r>
    </w:p>
  </w:footnote>
  <w:footnote w:type="continuationNotice" w:id="1">
    <w:p w14:paraId="2EE10F5C" w14:textId="77777777" w:rsidR="00780161" w:rsidRPr="007E663E" w:rsidRDefault="0078016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0375" w14:textId="6D1ABB1E" w:rsidR="00AE7F20" w:rsidRPr="00EB0D93" w:rsidRDefault="00780161" w:rsidP="00477D6B">
    <w:pPr>
      <w:jc w:val="right"/>
      <w:rPr>
        <w:caps/>
      </w:rPr>
    </w:pPr>
    <w:bookmarkStart w:id="5" w:name="Code2"/>
    <w:bookmarkEnd w:id="5"/>
    <w:r>
      <w:rPr>
        <w:caps/>
      </w:rPr>
      <w:t>PCT/CTC/33/18</w:t>
    </w:r>
  </w:p>
  <w:p w14:paraId="6E485A18"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68B54C91" w14:textId="77777777" w:rsidR="00AE7F20" w:rsidRDefault="00AE7F20" w:rsidP="00477D6B">
    <w:pPr>
      <w:jc w:val="right"/>
    </w:pPr>
  </w:p>
  <w:p w14:paraId="0E474EA4"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DEA3" w14:textId="77777777" w:rsidR="00780161" w:rsidRPr="002326AB" w:rsidRDefault="00780161" w:rsidP="00477D6B">
    <w:pPr>
      <w:jc w:val="right"/>
      <w:rPr>
        <w:caps/>
      </w:rPr>
    </w:pPr>
    <w:r>
      <w:rPr>
        <w:caps/>
      </w:rPr>
      <w:t>PCT/CTC/33/18</w:t>
    </w:r>
  </w:p>
  <w:p w14:paraId="4E3B0A20" w14:textId="77777777" w:rsidR="00780161" w:rsidRDefault="00780161" w:rsidP="00780161">
    <w:pPr>
      <w:spacing w:after="480"/>
      <w:jc w:val="right"/>
    </w:pPr>
    <w:r>
      <w:t xml:space="preserve">Anexo, página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6074" w14:textId="77777777" w:rsidR="00780161" w:rsidRDefault="00780161" w:rsidP="008956A4">
    <w:pPr>
      <w:pStyle w:val="Header"/>
      <w:jc w:val="right"/>
    </w:pPr>
    <w:r>
      <w:t>PCT/CTC/33/18</w:t>
    </w:r>
  </w:p>
  <w:p w14:paraId="43CA06B3" w14:textId="77777777" w:rsidR="00780161" w:rsidRDefault="00780161" w:rsidP="008956A4">
    <w:pPr>
      <w:pStyle w:val="Header"/>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61"/>
    <w:rsid w:val="00010686"/>
    <w:rsid w:val="00052915"/>
    <w:rsid w:val="000E3BB3"/>
    <w:rsid w:val="000F5E56"/>
    <w:rsid w:val="001362EE"/>
    <w:rsid w:val="00152CEA"/>
    <w:rsid w:val="001832A6"/>
    <w:rsid w:val="001C56F9"/>
    <w:rsid w:val="00220365"/>
    <w:rsid w:val="00242BA3"/>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D5202"/>
    <w:rsid w:val="004E297D"/>
    <w:rsid w:val="00531B02"/>
    <w:rsid w:val="005332F0"/>
    <w:rsid w:val="0055013B"/>
    <w:rsid w:val="00552AD3"/>
    <w:rsid w:val="00554450"/>
    <w:rsid w:val="00571B99"/>
    <w:rsid w:val="005B2EAE"/>
    <w:rsid w:val="005E14BB"/>
    <w:rsid w:val="00605827"/>
    <w:rsid w:val="00611529"/>
    <w:rsid w:val="00675021"/>
    <w:rsid w:val="006A06C6"/>
    <w:rsid w:val="007224C8"/>
    <w:rsid w:val="00761D20"/>
    <w:rsid w:val="00780161"/>
    <w:rsid w:val="00794BE2"/>
    <w:rsid w:val="007A5581"/>
    <w:rsid w:val="007A663C"/>
    <w:rsid w:val="007B71FE"/>
    <w:rsid w:val="007D781E"/>
    <w:rsid w:val="007E663E"/>
    <w:rsid w:val="00807244"/>
    <w:rsid w:val="00815082"/>
    <w:rsid w:val="0088395E"/>
    <w:rsid w:val="008B2CC1"/>
    <w:rsid w:val="008B6858"/>
    <w:rsid w:val="008E6BD6"/>
    <w:rsid w:val="0090731E"/>
    <w:rsid w:val="00927287"/>
    <w:rsid w:val="00966A22"/>
    <w:rsid w:val="00972F03"/>
    <w:rsid w:val="0098367F"/>
    <w:rsid w:val="009A0C8B"/>
    <w:rsid w:val="009A20CD"/>
    <w:rsid w:val="009B6241"/>
    <w:rsid w:val="00A16FC0"/>
    <w:rsid w:val="00A32C9E"/>
    <w:rsid w:val="00A62DBA"/>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7478"/>
  <w15:docId w15:val="{1020AA0E-9100-4FF0-9CA4-C5CBCA2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SectionHeadingChar">
    <w:name w:val="Section Heading Char"/>
    <w:link w:val="SectionHeading"/>
    <w:locked/>
    <w:rsid w:val="00780161"/>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78016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780161"/>
    <w:pPr>
      <w:keepNext/>
      <w:keepLines/>
      <w:spacing w:after="240"/>
      <w:ind w:left="567" w:right="567"/>
    </w:pPr>
    <w:rPr>
      <w:bCs/>
      <w:i/>
      <w:iCs/>
    </w:rPr>
  </w:style>
  <w:style w:type="paragraph" w:customStyle="1" w:styleId="Question">
    <w:name w:val="Question"/>
    <w:basedOn w:val="BodyText"/>
    <w:next w:val="Answer"/>
    <w:qFormat/>
    <w:rsid w:val="00780161"/>
    <w:pPr>
      <w:keepNext/>
      <w:keepLines/>
    </w:pPr>
    <w:rPr>
      <w:b/>
      <w:bCs/>
      <w:szCs w:val="22"/>
    </w:rPr>
  </w:style>
  <w:style w:type="paragraph" w:customStyle="1" w:styleId="Answer">
    <w:name w:val="Answer"/>
    <w:basedOn w:val="BodyText"/>
    <w:qFormat/>
    <w:rsid w:val="00780161"/>
    <w:pPr>
      <w:ind w:left="567"/>
    </w:pPr>
  </w:style>
  <w:style w:type="character" w:styleId="Hyperlink">
    <w:name w:val="Hyperlink"/>
    <w:basedOn w:val="DefaultParagraphFont"/>
    <w:uiPriority w:val="99"/>
    <w:unhideWhenUsed/>
    <w:rsid w:val="00780161"/>
    <w:rPr>
      <w:color w:val="0000FF" w:themeColor="hyperlink"/>
      <w:u w:val="single"/>
    </w:rPr>
  </w:style>
  <w:style w:type="character" w:customStyle="1" w:styleId="HeaderChar">
    <w:name w:val="Header Char"/>
    <w:basedOn w:val="DefaultParagraphFont"/>
    <w:link w:val="Header"/>
    <w:uiPriority w:val="99"/>
    <w:rsid w:val="00780161"/>
    <w:rPr>
      <w:rFonts w:ascii="Arial" w:eastAsia="SimSun" w:hAnsi="Arial" w:cs="Arial"/>
      <w:sz w:val="22"/>
      <w:lang w:val="es-ES" w:eastAsia="zh-CN"/>
    </w:rPr>
  </w:style>
  <w:style w:type="paragraph" w:customStyle="1" w:styleId="Notestext">
    <w:name w:val="Notes text"/>
    <w:basedOn w:val="BodyText"/>
    <w:qFormat/>
    <w:rsid w:val="00780161"/>
    <w:pPr>
      <w:keepLines/>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RU&amp;amp;doc-lang=e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documents/d/pct-system/docs-en-official-notices-officialnotic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6</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PCT/CTC/33/</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PCT/CTC/33/18</dc:title>
  <dc:creator>SAKR Sally</dc:creator>
  <cp:keywords/>
  <cp:lastModifiedBy>SAKR Sally</cp:lastModifiedBy>
  <cp:revision>2</cp:revision>
  <dcterms:created xsi:type="dcterms:W3CDTF">2026-01-09T12:45:00Z</dcterms:created>
  <dcterms:modified xsi:type="dcterms:W3CDTF">2026-01-09T12:45:00Z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2026-01-05T09:56:00Z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2ccd572b-233b-4b2d-ae7d-619b6ac90014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