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774" w14:textId="77777777" w:rsidR="008B2CC1" w:rsidRPr="008B2CC1" w:rsidRDefault="00472A6E" w:rsidP="00761D20">
      <w:pPr>
        <w:pBdr>
          <w:bottom w:val="single" w:sz="4" w:space="11" w:color="auto"/>
        </w:pBdr>
        <w:spacing w:after="120"/>
        <w:ind w:right="-57"/>
        <w:jc w:val="right"/>
      </w:pPr>
      <w:r>
        <w:rPr>
          <w:noProof/>
          <w:lang w:val="en-US" w:eastAsia="en-US"/>
        </w:rPr>
        <w:drawing>
          <wp:inline distT="0" distB="0" distL="0" distR="0" wp14:anchorId="2D0B91F3" wp14:editId="2FEAD4D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8FA970F" w14:textId="4CB127E6" w:rsidR="00472A6E" w:rsidRDefault="00927287" w:rsidP="00472A6E">
      <w:pPr>
        <w:jc w:val="right"/>
        <w:rPr>
          <w:rFonts w:ascii="Arial Black" w:hAnsi="Arial Black"/>
          <w:caps/>
          <w:sz w:val="15"/>
        </w:rPr>
      </w:pPr>
      <w:r>
        <w:rPr>
          <w:rFonts w:ascii="Arial Black" w:hAnsi="Arial Black"/>
          <w:caps/>
          <w:sz w:val="15"/>
        </w:rPr>
        <w:t>PCT/CTC/3</w:t>
      </w:r>
      <w:r w:rsidR="00611529">
        <w:rPr>
          <w:rFonts w:ascii="Arial Black" w:hAnsi="Arial Black"/>
          <w:caps/>
          <w:sz w:val="15"/>
        </w:rPr>
        <w:t>3</w:t>
      </w:r>
      <w:r>
        <w:rPr>
          <w:rFonts w:ascii="Arial Black" w:hAnsi="Arial Black"/>
          <w:caps/>
          <w:sz w:val="15"/>
        </w:rPr>
        <w:t>/</w:t>
      </w:r>
      <w:bookmarkStart w:id="0" w:name="Code"/>
      <w:bookmarkEnd w:id="0"/>
      <w:r w:rsidR="00E85716">
        <w:rPr>
          <w:rFonts w:ascii="Arial Black" w:hAnsi="Arial Black"/>
          <w:caps/>
          <w:sz w:val="15"/>
        </w:rPr>
        <w:t>19</w:t>
      </w:r>
    </w:p>
    <w:p w14:paraId="6081CCB9" w14:textId="528EEBA0"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D15247">
        <w:rPr>
          <w:rFonts w:ascii="Arial Black" w:hAnsi="Arial Black"/>
          <w:caps/>
          <w:sz w:val="15"/>
        </w:rPr>
        <w:t>árabe/</w:t>
      </w:r>
      <w:r w:rsidR="00E85716">
        <w:rPr>
          <w:rFonts w:ascii="Arial Black" w:hAnsi="Arial Black"/>
          <w:caps/>
          <w:sz w:val="15"/>
        </w:rPr>
        <w:t>INGLÉS</w:t>
      </w:r>
    </w:p>
    <w:bookmarkEnd w:id="1"/>
    <w:p w14:paraId="6E97D0D6" w14:textId="1DE6E154"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E85716">
        <w:rPr>
          <w:rFonts w:ascii="Arial Black" w:hAnsi="Arial Black"/>
          <w:caps/>
          <w:sz w:val="15"/>
        </w:rPr>
        <w:t>19 DE DICIEMBRE DE 2025</w:t>
      </w:r>
    </w:p>
    <w:bookmarkEnd w:id="2"/>
    <w:p w14:paraId="513396B4" w14:textId="77777777" w:rsidR="00927287" w:rsidRPr="00340193" w:rsidRDefault="00927287" w:rsidP="00927287">
      <w:pPr>
        <w:rPr>
          <w:b/>
          <w:sz w:val="28"/>
          <w:szCs w:val="28"/>
        </w:rPr>
      </w:pPr>
      <w:r w:rsidRPr="00340193">
        <w:rPr>
          <w:b/>
          <w:sz w:val="28"/>
          <w:szCs w:val="28"/>
        </w:rPr>
        <w:t>Tratado de Cooperación en materia de Patentes (PCT)</w:t>
      </w:r>
    </w:p>
    <w:p w14:paraId="4329660F" w14:textId="77777777" w:rsidR="00B67CDC" w:rsidRPr="00BF5A8E" w:rsidRDefault="00927287" w:rsidP="00927287">
      <w:pPr>
        <w:pStyle w:val="Heading1"/>
        <w:spacing w:before="0" w:after="480"/>
        <w:rPr>
          <w:sz w:val="28"/>
        </w:rPr>
      </w:pPr>
      <w:r>
        <w:rPr>
          <w:caps w:val="0"/>
          <w:sz w:val="28"/>
          <w:szCs w:val="28"/>
        </w:rPr>
        <w:t>C</w:t>
      </w:r>
      <w:r w:rsidRPr="00340193">
        <w:rPr>
          <w:caps w:val="0"/>
          <w:sz w:val="28"/>
          <w:szCs w:val="28"/>
        </w:rPr>
        <w:t xml:space="preserve">omité de </w:t>
      </w:r>
      <w:r>
        <w:rPr>
          <w:caps w:val="0"/>
          <w:sz w:val="28"/>
          <w:szCs w:val="28"/>
        </w:rPr>
        <w:t>C</w:t>
      </w:r>
      <w:r w:rsidRPr="00340193">
        <w:rPr>
          <w:caps w:val="0"/>
          <w:sz w:val="28"/>
          <w:szCs w:val="28"/>
        </w:rPr>
        <w:t xml:space="preserve">ooperación </w:t>
      </w:r>
      <w:r>
        <w:rPr>
          <w:caps w:val="0"/>
          <w:sz w:val="28"/>
          <w:szCs w:val="28"/>
        </w:rPr>
        <w:t>T</w:t>
      </w:r>
      <w:r w:rsidRPr="00340193">
        <w:rPr>
          <w:caps w:val="0"/>
          <w:sz w:val="28"/>
          <w:szCs w:val="28"/>
        </w:rPr>
        <w:t>écnica</w:t>
      </w:r>
      <w:r w:rsidRPr="00BF5A8E">
        <w:rPr>
          <w:caps w:val="0"/>
          <w:sz w:val="28"/>
        </w:rPr>
        <w:t xml:space="preserve"> </w:t>
      </w:r>
    </w:p>
    <w:p w14:paraId="263D3228" w14:textId="77777777" w:rsidR="005B2EAE" w:rsidRDefault="00927287" w:rsidP="005B2EAE">
      <w:pPr>
        <w:outlineLvl w:val="1"/>
        <w:rPr>
          <w:b/>
          <w:sz w:val="24"/>
          <w:szCs w:val="24"/>
        </w:rPr>
      </w:pPr>
      <w:r>
        <w:rPr>
          <w:b/>
          <w:sz w:val="24"/>
          <w:szCs w:val="24"/>
          <w:lang w:val="es-UY"/>
        </w:rPr>
        <w:t>T</w:t>
      </w:r>
      <w:r w:rsidRPr="00A76735">
        <w:rPr>
          <w:b/>
          <w:sz w:val="24"/>
          <w:szCs w:val="24"/>
          <w:lang w:val="es-UY"/>
        </w:rPr>
        <w:t>rigésima</w:t>
      </w:r>
      <w:r>
        <w:rPr>
          <w:b/>
          <w:sz w:val="24"/>
          <w:szCs w:val="24"/>
          <w:lang w:val="es-UY"/>
        </w:rPr>
        <w:t xml:space="preserve"> </w:t>
      </w:r>
      <w:r w:rsidR="00220365">
        <w:rPr>
          <w:b/>
          <w:sz w:val="24"/>
          <w:szCs w:val="24"/>
          <w:lang w:val="es-UY"/>
        </w:rPr>
        <w:t>tercer</w:t>
      </w:r>
      <w:r w:rsidRPr="00A941B4">
        <w:rPr>
          <w:b/>
          <w:sz w:val="24"/>
          <w:szCs w:val="24"/>
          <w:lang w:val="es-UY"/>
        </w:rPr>
        <w:t>a</w:t>
      </w:r>
      <w:r w:rsidRPr="00A76735">
        <w:rPr>
          <w:b/>
          <w:sz w:val="24"/>
          <w:szCs w:val="24"/>
          <w:lang w:val="es-UY"/>
        </w:rPr>
        <w:t xml:space="preserve"> </w:t>
      </w:r>
      <w:r>
        <w:rPr>
          <w:b/>
          <w:sz w:val="24"/>
          <w:szCs w:val="24"/>
        </w:rPr>
        <w:t>sesión</w:t>
      </w:r>
    </w:p>
    <w:p w14:paraId="14B9E0CE" w14:textId="77777777" w:rsidR="00B67CDC" w:rsidRPr="00B67CDC" w:rsidRDefault="00927287" w:rsidP="00472A6E">
      <w:pPr>
        <w:spacing w:after="720"/>
        <w:outlineLvl w:val="1"/>
        <w:rPr>
          <w:b/>
          <w:sz w:val="24"/>
          <w:szCs w:val="24"/>
        </w:rPr>
      </w:pPr>
      <w:r>
        <w:rPr>
          <w:b/>
          <w:sz w:val="24"/>
          <w:szCs w:val="24"/>
        </w:rPr>
        <w:t>Gi</w:t>
      </w:r>
      <w:r w:rsidRPr="00340193">
        <w:rPr>
          <w:b/>
          <w:sz w:val="24"/>
          <w:szCs w:val="24"/>
        </w:rPr>
        <w:t>ne</w:t>
      </w:r>
      <w:r>
        <w:rPr>
          <w:b/>
          <w:sz w:val="24"/>
          <w:szCs w:val="24"/>
        </w:rPr>
        <w:t>br</w:t>
      </w:r>
      <w:r w:rsidRPr="00340193">
        <w:rPr>
          <w:b/>
          <w:sz w:val="24"/>
          <w:szCs w:val="24"/>
        </w:rPr>
        <w:t xml:space="preserve">a, </w:t>
      </w:r>
      <w:r w:rsidR="00220365">
        <w:rPr>
          <w:b/>
          <w:sz w:val="24"/>
          <w:szCs w:val="24"/>
        </w:rPr>
        <w:t>2 a 6 de febrero</w:t>
      </w:r>
      <w:r w:rsidRPr="00B92598">
        <w:rPr>
          <w:b/>
          <w:sz w:val="24"/>
          <w:szCs w:val="24"/>
        </w:rPr>
        <w:t xml:space="preserve"> de </w:t>
      </w:r>
      <w:r>
        <w:rPr>
          <w:b/>
          <w:sz w:val="24"/>
          <w:szCs w:val="24"/>
        </w:rPr>
        <w:t>202</w:t>
      </w:r>
      <w:r w:rsidR="00DB7E59">
        <w:rPr>
          <w:b/>
          <w:sz w:val="24"/>
          <w:szCs w:val="24"/>
        </w:rPr>
        <w:t>6</w:t>
      </w:r>
    </w:p>
    <w:p w14:paraId="39F2021F" w14:textId="6FF0CDE1" w:rsidR="008B2CC1" w:rsidRPr="00E56B7B" w:rsidRDefault="00E85716" w:rsidP="00472A6E">
      <w:pPr>
        <w:spacing w:after="360"/>
        <w:rPr>
          <w:caps/>
          <w:sz w:val="24"/>
          <w:szCs w:val="24"/>
        </w:rPr>
      </w:pPr>
      <w:bookmarkStart w:id="3" w:name="TitleOfDoc"/>
      <w:r w:rsidRPr="00E56B7B">
        <w:rPr>
          <w:caps/>
          <w:sz w:val="24"/>
          <w:szCs w:val="24"/>
        </w:rPr>
        <w:t xml:space="preserve">Prórroga de la designación de la Autoridad Saudita para la Propiedad Intelectual </w:t>
      </w:r>
      <w:r w:rsidR="00E56B7B" w:rsidRPr="0013109E">
        <w:rPr>
          <w:caps/>
          <w:sz w:val="24"/>
          <w:lang w:val="es-419"/>
        </w:rPr>
        <w:t>EN CALIDAD DE ADMINISTRACIÓN ENCARGADA DE LA BÚSQUEDA INTERNACIONAL Y DEL EXAMEN PRELIMINAR INTERNACIONAL EN VIRTUD DEL</w:t>
      </w:r>
      <w:r w:rsidR="00E56B7B">
        <w:rPr>
          <w:caps/>
          <w:sz w:val="24"/>
          <w:lang w:val="es-419"/>
        </w:rPr>
        <w:t> </w:t>
      </w:r>
      <w:r w:rsidR="00E56B7B" w:rsidRPr="0013109E">
        <w:rPr>
          <w:caps/>
          <w:sz w:val="24"/>
          <w:lang w:val="es-419"/>
        </w:rPr>
        <w:t>PCT</w:t>
      </w:r>
    </w:p>
    <w:p w14:paraId="14483D73" w14:textId="1480DC05" w:rsidR="008B2CC1" w:rsidRPr="008B2CC1" w:rsidRDefault="00E85716" w:rsidP="00472A6E">
      <w:pPr>
        <w:spacing w:after="1040"/>
        <w:rPr>
          <w:i/>
        </w:rPr>
      </w:pPr>
      <w:bookmarkStart w:id="4" w:name="Prepared"/>
      <w:bookmarkEnd w:id="3"/>
      <w:bookmarkEnd w:id="4"/>
      <w:r>
        <w:rPr>
          <w:i/>
        </w:rPr>
        <w:t>Documento preparado por la Oficina Internacional</w:t>
      </w:r>
    </w:p>
    <w:p w14:paraId="0D8E00FE" w14:textId="40B82ECE" w:rsidR="00E85716" w:rsidRPr="00E85716" w:rsidRDefault="00E85716" w:rsidP="00E85716">
      <w:pPr>
        <w:pStyle w:val="ONUMFS"/>
        <w:rPr>
          <w:szCs w:val="22"/>
        </w:rPr>
      </w:pPr>
      <w:r w:rsidRPr="00E85716">
        <w:rPr>
          <w:szCs w:val="22"/>
        </w:rPr>
        <w:t>Todas las Administraciones internacionales existentes fueron designadas por la Asamblea de la Unión del PCT por un plazo que expirará el 31 de diciembre de 2027.</w:t>
      </w:r>
      <w:r>
        <w:rPr>
          <w:szCs w:val="22"/>
        </w:rPr>
        <w:t xml:space="preserve"> </w:t>
      </w:r>
      <w:r w:rsidRPr="00E85716">
        <w:rPr>
          <w:szCs w:val="22"/>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E85716">
        <w:rPr>
          <w:szCs w:val="22"/>
        </w:rPr>
        <w:t>16.3)e</w:t>
      </w:r>
      <w:proofErr w:type="gramEnd"/>
      <w:r w:rsidRPr="00E85716">
        <w:rPr>
          <w:szCs w:val="22"/>
        </w:rPr>
        <w:t>) y 32.3) del PCT).</w:t>
      </w:r>
      <w:r>
        <w:rPr>
          <w:szCs w:val="22"/>
        </w:rPr>
        <w:t xml:space="preserve"> </w:t>
      </w:r>
      <w:r w:rsidRPr="00E85716">
        <w:rPr>
          <w:szCs w:val="22"/>
        </w:rPr>
        <w:t xml:space="preserve">El documento PCT/CTC/33/INF/1 contiene más información sobre este proceso y sobre la función del Comité en el marco </w:t>
      </w:r>
      <w:proofErr w:type="gramStart"/>
      <w:r w:rsidRPr="00E85716">
        <w:rPr>
          <w:szCs w:val="22"/>
        </w:rPr>
        <w:t>del mismo</w:t>
      </w:r>
      <w:proofErr w:type="gramEnd"/>
      <w:r w:rsidRPr="00E85716">
        <w:rPr>
          <w:szCs w:val="22"/>
        </w:rPr>
        <w:t>.</w:t>
      </w:r>
    </w:p>
    <w:p w14:paraId="1BC8B7FD" w14:textId="77777777" w:rsidR="00E85716" w:rsidRPr="00E85716" w:rsidRDefault="00E85716" w:rsidP="00E85716">
      <w:pPr>
        <w:pStyle w:val="ONUMFS"/>
        <w:rPr>
          <w:szCs w:val="22"/>
        </w:rPr>
      </w:pPr>
      <w:r w:rsidRPr="00E85716">
        <w:rPr>
          <w:szCs w:val="22"/>
        </w:rPr>
        <w:t>El 30 de noviembre de 2025, la Autoridad Saudita para la Propiedad Intelectual presentó su solicitud de prórroga de la designación, que se reproduce en el Anexo del presente documento.</w:t>
      </w:r>
    </w:p>
    <w:p w14:paraId="7E4722B9" w14:textId="77777777" w:rsidR="00E85716" w:rsidRPr="00E85716" w:rsidRDefault="00E85716" w:rsidP="00E85716">
      <w:pPr>
        <w:pStyle w:val="ONUMFS"/>
        <w:tabs>
          <w:tab w:val="clear" w:pos="567"/>
        </w:tabs>
        <w:spacing w:after="600"/>
        <w:ind w:left="5528"/>
        <w:rPr>
          <w:i/>
          <w:iCs/>
          <w:szCs w:val="22"/>
        </w:rPr>
      </w:pPr>
      <w:r w:rsidRPr="00E85716">
        <w:rPr>
          <w:i/>
          <w:iCs/>
          <w:szCs w:val="22"/>
        </w:rPr>
        <w:t>Se invita al Comité a dar su opinión sobre este asunto.</w:t>
      </w:r>
    </w:p>
    <w:p w14:paraId="5C9031AD" w14:textId="77777777" w:rsidR="00E85716" w:rsidRPr="00C530E4" w:rsidRDefault="00E85716" w:rsidP="00E85716">
      <w:pPr>
        <w:pStyle w:val="Endofdocument-Annex"/>
        <w:rPr>
          <w:szCs w:val="22"/>
          <w:lang w:val="es-ES_tradnl"/>
        </w:rPr>
      </w:pPr>
      <w:r w:rsidRPr="00C530E4">
        <w:rPr>
          <w:szCs w:val="22"/>
          <w:lang w:val="es-ES_tradnl"/>
        </w:rPr>
        <w:t>[Sigue el Anexo]</w:t>
      </w:r>
    </w:p>
    <w:p w14:paraId="2F41990E" w14:textId="77777777" w:rsidR="00E85716" w:rsidRPr="00C530E4" w:rsidRDefault="00E85716" w:rsidP="00E85716">
      <w:pPr>
        <w:pStyle w:val="Endofdocument-Annex"/>
        <w:rPr>
          <w:szCs w:val="22"/>
          <w:lang w:val="es-ES_tradnl"/>
        </w:rPr>
        <w:sectPr w:rsidR="00E85716" w:rsidRPr="00C530E4" w:rsidSect="00E85716">
          <w:headerReference w:type="default" r:id="rId9"/>
          <w:pgSz w:w="11907" w:h="16840" w:code="9"/>
          <w:pgMar w:top="567" w:right="1134" w:bottom="1418" w:left="1418" w:header="510" w:footer="1021" w:gutter="0"/>
          <w:cols w:space="720"/>
          <w:titlePg/>
          <w:docGrid w:linePitch="299"/>
        </w:sectPr>
      </w:pPr>
    </w:p>
    <w:p w14:paraId="64C9D207" w14:textId="77777777" w:rsidR="00E85716" w:rsidRPr="00E85716" w:rsidRDefault="00E85716" w:rsidP="00E85716">
      <w:pPr>
        <w:keepNext/>
        <w:spacing w:before="240" w:after="60"/>
        <w:jc w:val="center"/>
        <w:outlineLvl w:val="1"/>
        <w:rPr>
          <w:bCs/>
          <w:i/>
          <w:caps/>
          <w:szCs w:val="22"/>
        </w:rPr>
      </w:pPr>
      <w:r w:rsidRPr="00E85716">
        <w:rPr>
          <w:i/>
          <w:caps/>
          <w:szCs w:val="22"/>
        </w:rPr>
        <w:lastRenderedPageBreak/>
        <w:t>Solicitud de prórroga de la designación como Administración encargada de la búsqueda y del examen preliminar internacionales en virtud del PCT</w:t>
      </w:r>
    </w:p>
    <w:p w14:paraId="2D8B401E" w14:textId="77777777" w:rsidR="00E85716" w:rsidRPr="00E85716" w:rsidRDefault="00E85716" w:rsidP="00E85716">
      <w:pPr>
        <w:keepNext/>
        <w:spacing w:before="240" w:after="60"/>
        <w:outlineLvl w:val="1"/>
        <w:rPr>
          <w:bCs/>
          <w:i/>
          <w:caps/>
          <w:szCs w:val="22"/>
          <w:rtl/>
        </w:rPr>
      </w:pPr>
    </w:p>
    <w:p w14:paraId="5227961D" w14:textId="77777777" w:rsidR="00E85716" w:rsidRPr="00E85716" w:rsidRDefault="00E85716" w:rsidP="00E85716">
      <w:pPr>
        <w:keepNext/>
        <w:pBdr>
          <w:top w:val="single" w:sz="4" w:space="1" w:color="auto"/>
        </w:pBdr>
        <w:spacing w:before="240" w:after="60"/>
        <w:outlineLvl w:val="1"/>
        <w:rPr>
          <w:b/>
          <w:bCs/>
          <w:caps/>
          <w:szCs w:val="22"/>
        </w:rPr>
      </w:pPr>
      <w:r w:rsidRPr="00E85716">
        <w:rPr>
          <w:b/>
          <w:bCs/>
          <w:caps/>
          <w:szCs w:val="22"/>
        </w:rPr>
        <w:t>1. General</w:t>
      </w:r>
    </w:p>
    <w:p w14:paraId="53B6C0DC" w14:textId="77777777" w:rsidR="00E85716" w:rsidRPr="00E85716" w:rsidRDefault="00E85716" w:rsidP="00E85716">
      <w:pPr>
        <w:rPr>
          <w:szCs w:val="22"/>
          <w:rtl/>
        </w:rPr>
      </w:pPr>
    </w:p>
    <w:p w14:paraId="25118819" w14:textId="77777777" w:rsidR="00E85716" w:rsidRPr="00E85716" w:rsidRDefault="00E85716" w:rsidP="00E85716">
      <w:pPr>
        <w:keepNext/>
        <w:keepLines/>
        <w:spacing w:after="480"/>
        <w:rPr>
          <w:b/>
          <w:bCs/>
          <w:szCs w:val="22"/>
        </w:rPr>
      </w:pPr>
      <w:r w:rsidRPr="00E85716">
        <w:rPr>
          <w:b/>
          <w:szCs w:val="22"/>
        </w:rPr>
        <w:t>a)</w:t>
      </w:r>
      <w:r w:rsidRPr="00E85716">
        <w:rPr>
          <w:b/>
          <w:szCs w:val="22"/>
        </w:rPr>
        <w:tab/>
        <w:t>Nombre de la Oficina u organización intergubernamental:</w:t>
      </w:r>
    </w:p>
    <w:p w14:paraId="2C9EE832" w14:textId="77777777" w:rsidR="00E85716" w:rsidRPr="00E85716" w:rsidRDefault="00E85716" w:rsidP="00E85716">
      <w:pPr>
        <w:keepNext/>
        <w:keepLines/>
        <w:spacing w:after="480"/>
        <w:ind w:left="930" w:hanging="931"/>
        <w:contextualSpacing/>
        <w:rPr>
          <w:bCs/>
          <w:szCs w:val="22"/>
          <w:lang w:eastAsia="en-US"/>
        </w:rPr>
      </w:pPr>
      <w:r w:rsidRPr="00E85716">
        <w:rPr>
          <w:rFonts w:eastAsia="Times New Roman"/>
          <w:szCs w:val="22"/>
          <w:lang w:eastAsia="en-US"/>
        </w:rPr>
        <w:t>Autoridad Saudita para la Propiedad Intelectual (SAIP)</w:t>
      </w:r>
    </w:p>
    <w:p w14:paraId="673E9A15" w14:textId="77777777" w:rsidR="00E85716" w:rsidRPr="00E85716" w:rsidRDefault="00E85716" w:rsidP="00E85716">
      <w:pPr>
        <w:keepNext/>
        <w:keepLines/>
        <w:spacing w:after="480"/>
        <w:rPr>
          <w:b/>
          <w:bCs/>
          <w:szCs w:val="22"/>
        </w:rPr>
      </w:pPr>
      <w:r w:rsidRPr="00E85716">
        <w:rPr>
          <w:b/>
          <w:szCs w:val="22"/>
        </w:rPr>
        <w:t>b)</w:t>
      </w:r>
      <w:r w:rsidRPr="00E85716">
        <w:rPr>
          <w:b/>
          <w:szCs w:val="22"/>
        </w:rPr>
        <w:tab/>
        <w:t>Nombre y datos de contacto para consultas sobre esta solicitud:</w:t>
      </w:r>
    </w:p>
    <w:p w14:paraId="67AA0240" w14:textId="77777777" w:rsidR="00E85716" w:rsidRPr="00E85716" w:rsidRDefault="00E85716" w:rsidP="00E85716">
      <w:pPr>
        <w:spacing w:after="120" w:line="260" w:lineRule="atLeast"/>
        <w:jc w:val="both"/>
        <w:rPr>
          <w:szCs w:val="22"/>
        </w:rPr>
      </w:pPr>
      <w:r w:rsidRPr="00E85716">
        <w:rPr>
          <w:szCs w:val="22"/>
        </w:rPr>
        <w:t>Nombre: Sr. Mohammed Althrowi</w:t>
      </w:r>
    </w:p>
    <w:p w14:paraId="00253D4D" w14:textId="77777777" w:rsidR="00E85716" w:rsidRPr="00E85716" w:rsidRDefault="00E85716" w:rsidP="00E85716">
      <w:pPr>
        <w:spacing w:after="120" w:line="260" w:lineRule="atLeast"/>
        <w:jc w:val="both"/>
        <w:rPr>
          <w:szCs w:val="22"/>
        </w:rPr>
      </w:pPr>
      <w:r w:rsidRPr="00E85716">
        <w:rPr>
          <w:szCs w:val="22"/>
        </w:rPr>
        <w:t>Cargo: Supervisor del Departamento PCT en la SAIP</w:t>
      </w:r>
    </w:p>
    <w:p w14:paraId="2FAD639A" w14:textId="77777777" w:rsidR="00E85716" w:rsidRPr="00E85716" w:rsidRDefault="00E85716" w:rsidP="00E85716">
      <w:pPr>
        <w:spacing w:after="120" w:line="260" w:lineRule="atLeast"/>
        <w:jc w:val="both"/>
        <w:rPr>
          <w:szCs w:val="22"/>
        </w:rPr>
      </w:pPr>
      <w:r w:rsidRPr="00E85716">
        <w:rPr>
          <w:szCs w:val="22"/>
        </w:rPr>
        <w:t>Correo-e: pct@saip.gov.sa</w:t>
      </w:r>
    </w:p>
    <w:p w14:paraId="29D2E05E" w14:textId="77777777" w:rsidR="00E85716" w:rsidRPr="00E85716" w:rsidRDefault="00E85716" w:rsidP="00E85716">
      <w:pPr>
        <w:spacing w:after="120" w:line="260" w:lineRule="atLeast"/>
        <w:jc w:val="both"/>
        <w:rPr>
          <w:szCs w:val="22"/>
        </w:rPr>
      </w:pPr>
      <w:r w:rsidRPr="00E85716">
        <w:rPr>
          <w:szCs w:val="22"/>
        </w:rPr>
        <w:t xml:space="preserve">Teléfono: </w:t>
      </w:r>
      <w:bookmarkStart w:id="6" w:name="_Hlk214352861"/>
      <w:r w:rsidRPr="00E85716">
        <w:rPr>
          <w:szCs w:val="22"/>
        </w:rPr>
        <w:t>0096656688838</w:t>
      </w:r>
      <w:bookmarkEnd w:id="6"/>
    </w:p>
    <w:p w14:paraId="19F63AB6" w14:textId="77777777" w:rsidR="00E85716" w:rsidRPr="00E85716" w:rsidRDefault="00E85716" w:rsidP="00E85716">
      <w:pPr>
        <w:spacing w:after="120" w:line="260" w:lineRule="atLeast"/>
        <w:jc w:val="both"/>
        <w:rPr>
          <w:szCs w:val="22"/>
          <w:rtl/>
        </w:rPr>
      </w:pPr>
    </w:p>
    <w:p w14:paraId="16371350" w14:textId="77777777" w:rsidR="00E85716" w:rsidRPr="00E85716" w:rsidRDefault="00E85716" w:rsidP="00E85716">
      <w:pPr>
        <w:keepNext/>
        <w:keepLines/>
        <w:spacing w:after="220"/>
        <w:rPr>
          <w:b/>
          <w:bCs/>
          <w:szCs w:val="22"/>
        </w:rPr>
      </w:pPr>
      <w:r w:rsidRPr="00E85716">
        <w:rPr>
          <w:b/>
          <w:szCs w:val="22"/>
        </w:rPr>
        <w:t>c)</w:t>
      </w:r>
      <w:r w:rsidRPr="00E85716">
        <w:rPr>
          <w:b/>
          <w:szCs w:val="22"/>
        </w:rPr>
        <w:tab/>
        <w:t>Fecha en que el director general recibió la solicitud de prórroga de la designación:</w:t>
      </w:r>
    </w:p>
    <w:p w14:paraId="59ECAA92" w14:textId="77777777" w:rsidR="00E85716" w:rsidRPr="00E85716" w:rsidRDefault="00E85716" w:rsidP="00E85716">
      <w:pPr>
        <w:spacing w:after="220"/>
        <w:ind w:firstLine="567"/>
        <w:rPr>
          <w:szCs w:val="22"/>
        </w:rPr>
      </w:pPr>
      <w:r w:rsidRPr="00E85716">
        <w:rPr>
          <w:szCs w:val="22"/>
        </w:rPr>
        <w:t>30 de noviembre de 2025</w:t>
      </w:r>
    </w:p>
    <w:p w14:paraId="675879F4" w14:textId="77777777" w:rsidR="00E85716" w:rsidRPr="00E85716" w:rsidRDefault="00E85716" w:rsidP="00E85716">
      <w:pPr>
        <w:keepNext/>
        <w:pBdr>
          <w:top w:val="single" w:sz="4" w:space="1" w:color="auto"/>
        </w:pBdr>
        <w:spacing w:before="240" w:after="60"/>
        <w:outlineLvl w:val="1"/>
        <w:rPr>
          <w:b/>
          <w:bCs/>
          <w:caps/>
          <w:szCs w:val="22"/>
        </w:rPr>
      </w:pPr>
      <w:r w:rsidRPr="00E85716">
        <w:rPr>
          <w:b/>
          <w:bCs/>
          <w:caps/>
          <w:szCs w:val="22"/>
        </w:rPr>
        <w:t>2). Requisitos mínimos para la designación</w:t>
      </w:r>
    </w:p>
    <w:p w14:paraId="484B7A74" w14:textId="77777777" w:rsidR="00E85716" w:rsidRPr="00E85716" w:rsidRDefault="00E85716" w:rsidP="00E85716">
      <w:pPr>
        <w:rPr>
          <w:szCs w:val="22"/>
        </w:rPr>
      </w:pPr>
    </w:p>
    <w:p w14:paraId="12A594CD" w14:textId="663D6F49" w:rsidR="00E85716" w:rsidRPr="00E85716" w:rsidRDefault="00E85716" w:rsidP="00E85716">
      <w:pPr>
        <w:spacing w:after="220"/>
        <w:rPr>
          <w:szCs w:val="22"/>
        </w:rPr>
      </w:pPr>
      <w:r w:rsidRPr="00E85716">
        <w:rPr>
          <w:szCs w:val="22"/>
        </w:rPr>
        <w:t xml:space="preserve">Además del informe anual sobre el sistema de gestión de la calidad (“el informe SGC” de la Oficina u organización para 2025 </w:t>
      </w:r>
      <w:hyperlink r:id="rId10" w:anchor="#SA" w:history="1">
        <w:r w:rsidRPr="00E85716">
          <w:rPr>
            <w:color w:val="0000FF" w:themeColor="hyperlink"/>
            <w:szCs w:val="22"/>
            <w:u w:val="single"/>
          </w:rPr>
          <w:t>https://https://www.wipo.int/en/web/pct-system/quality/authorities#SA</w:t>
        </w:r>
      </w:hyperlink>
      <w:r w:rsidRPr="00E85716">
        <w:rPr>
          <w:szCs w:val="22"/>
        </w:rPr>
        <w:t>) elaborado de conformidad con los párrafos 21.31 y 21.32 de las Directrices de búsqueda y examen preliminar internacionales (“las Directrices”</w:t>
      </w:r>
      <w:proofErr w:type="gramStart"/>
      <w:r w:rsidRPr="00E85716">
        <w:rPr>
          <w:szCs w:val="22"/>
        </w:rPr>
        <w:t>) ,</w:t>
      </w:r>
      <w:proofErr w:type="gramEnd"/>
      <w:r w:rsidRPr="00E85716">
        <w:rPr>
          <w:szCs w:val="22"/>
        </w:rPr>
        <w:t xml:space="preserve"> la Administración presenta la siguiente información.</w:t>
      </w:r>
    </w:p>
    <w:p w14:paraId="754A3C15" w14:textId="77777777" w:rsidR="00E85716" w:rsidRPr="00E85716" w:rsidRDefault="00E85716" w:rsidP="00E85716">
      <w:pPr>
        <w:keepNext/>
        <w:pBdr>
          <w:top w:val="single" w:sz="4" w:space="1" w:color="auto"/>
        </w:pBdr>
        <w:spacing w:before="240" w:after="60"/>
        <w:outlineLvl w:val="1"/>
        <w:rPr>
          <w:b/>
          <w:bCs/>
          <w:caps/>
          <w:szCs w:val="22"/>
        </w:rPr>
      </w:pPr>
      <w:r w:rsidRPr="00E85716">
        <w:rPr>
          <w:b/>
          <w:bCs/>
          <w:caps/>
          <w:szCs w:val="22"/>
        </w:rPr>
        <w:t>2.1. Capacidad de búsqueda y examen</w:t>
      </w:r>
    </w:p>
    <w:p w14:paraId="3BEFFA00" w14:textId="77777777" w:rsidR="00E85716" w:rsidRPr="00E85716" w:rsidRDefault="00E85716" w:rsidP="00E85716">
      <w:pPr>
        <w:keepNext/>
        <w:keepLines/>
        <w:spacing w:after="240"/>
        <w:ind w:left="567" w:right="567"/>
        <w:rPr>
          <w:b/>
          <w:i/>
          <w:iCs/>
          <w:szCs w:val="22"/>
        </w:rPr>
      </w:pPr>
    </w:p>
    <w:p w14:paraId="00569BF5" w14:textId="77777777" w:rsidR="00E85716" w:rsidRPr="00E85716" w:rsidRDefault="00E85716" w:rsidP="00E85716">
      <w:pPr>
        <w:keepNext/>
        <w:keepLines/>
        <w:spacing w:after="240"/>
        <w:ind w:left="567" w:right="567"/>
        <w:rPr>
          <w:bCs/>
          <w:i/>
          <w:iCs/>
          <w:szCs w:val="22"/>
        </w:rPr>
      </w:pPr>
      <w:r w:rsidRPr="00E85716">
        <w:rPr>
          <w:i/>
          <w:szCs w:val="22"/>
        </w:rPr>
        <w:t>Reglas 36.1.i) y 63.1.i): La Oficina nacional o la organización intergubernamental deberá tener, por lo menos, 100 empleados con plena dedicación, con cualificaciones técnicas suficientes para efectuar las búsquedas y los exámenes.</w:t>
      </w:r>
    </w:p>
    <w:p w14:paraId="2CD882DD" w14:textId="152CA60A" w:rsidR="00E85716" w:rsidRPr="00E85716" w:rsidRDefault="00E85716" w:rsidP="00E85716">
      <w:pPr>
        <w:spacing w:after="220"/>
        <w:rPr>
          <w:szCs w:val="22"/>
        </w:rPr>
      </w:pPr>
      <w:r w:rsidRPr="00E85716">
        <w:rPr>
          <w:szCs w:val="22"/>
        </w:rPr>
        <w:t>El informe SGC proporciona información de la Administración sobre la infraestructura existente para garantizar un número suficiente de personal técnicamente cualificado, según el párrafo</w:t>
      </w:r>
      <w:r>
        <w:rPr>
          <w:szCs w:val="22"/>
        </w:rPr>
        <w:t> </w:t>
      </w:r>
      <w:r w:rsidRPr="00E85716">
        <w:rPr>
          <w:szCs w:val="22"/>
        </w:rPr>
        <w:t>21.</w:t>
      </w:r>
      <w:proofErr w:type="gramStart"/>
      <w:r w:rsidRPr="00E85716">
        <w:rPr>
          <w:szCs w:val="22"/>
        </w:rPr>
        <w:t>15.i</w:t>
      </w:r>
      <w:proofErr w:type="gramEnd"/>
      <w:r w:rsidRPr="00E85716">
        <w:rPr>
          <w:szCs w:val="22"/>
        </w:rPr>
        <w:t>) de las Directrices, y sobre los programas de formación y desarrollo del personal implicado en el proceso de búsqueda y examen, según el párrafo 21.15.vi).</w:t>
      </w:r>
      <w:r>
        <w:rPr>
          <w:szCs w:val="22"/>
        </w:rPr>
        <w:t xml:space="preserve"> </w:t>
      </w:r>
      <w:r w:rsidRPr="00E85716">
        <w:rPr>
          <w:szCs w:val="22"/>
        </w:rPr>
        <w:t>La Administración también incluye la siguiente información sobre el número de empleados cualificados para llevar a cabo búsquedas y exámenes.</w:t>
      </w:r>
    </w:p>
    <w:p w14:paraId="598EEF38" w14:textId="7B2E636D" w:rsidR="00E85716" w:rsidRPr="00E85716" w:rsidRDefault="00E85716" w:rsidP="00E85716">
      <w:pPr>
        <w:spacing w:after="240"/>
        <w:rPr>
          <w:szCs w:val="22"/>
        </w:rPr>
      </w:pPr>
      <w:r w:rsidRPr="00E85716">
        <w:rPr>
          <w:szCs w:val="22"/>
        </w:rPr>
        <w:t>La contratación de personal altamente cualificado y con conocimientos técnicos especializados es fundamental para garantizar la calidad de los procedimientos de búsqueda y examen.</w:t>
      </w:r>
      <w:r>
        <w:rPr>
          <w:szCs w:val="22"/>
        </w:rPr>
        <w:t xml:space="preserve"> </w:t>
      </w:r>
      <w:r w:rsidRPr="00E85716">
        <w:rPr>
          <w:szCs w:val="22"/>
        </w:rPr>
        <w:t>Esta sección contiene información sobre el número de examinadores y sus campos técnicos, así como sobre los programas existentes para su formación y desarrollo de competencias.</w:t>
      </w:r>
    </w:p>
    <w:p w14:paraId="5B7C0F62" w14:textId="77777777" w:rsidR="00E85716" w:rsidRPr="00E85716" w:rsidRDefault="00E85716" w:rsidP="004A649A">
      <w:pPr>
        <w:keepNext/>
        <w:numPr>
          <w:ilvl w:val="0"/>
          <w:numId w:val="13"/>
        </w:numPr>
        <w:spacing w:after="160" w:line="256" w:lineRule="auto"/>
        <w:contextualSpacing/>
        <w:jc w:val="both"/>
        <w:rPr>
          <w:rFonts w:eastAsia="Times New Roman"/>
          <w:b/>
          <w:bCs/>
          <w:szCs w:val="22"/>
          <w:lang w:eastAsia="en-US"/>
        </w:rPr>
      </w:pPr>
      <w:r w:rsidRPr="00E85716">
        <w:rPr>
          <w:rFonts w:eastAsia="Times New Roman"/>
          <w:b/>
          <w:szCs w:val="22"/>
          <w:lang w:eastAsia="en-US"/>
        </w:rPr>
        <w:t>Empleados cualificados para realizar búsquedas y exámenes:</w:t>
      </w:r>
    </w:p>
    <w:p w14:paraId="41670CDA" w14:textId="28B60E5A" w:rsidR="00E85716" w:rsidRPr="00E85716" w:rsidRDefault="00E85716" w:rsidP="004A649A">
      <w:pPr>
        <w:keepNext/>
        <w:spacing w:after="240"/>
        <w:rPr>
          <w:szCs w:val="22"/>
        </w:rPr>
      </w:pPr>
      <w:r w:rsidRPr="00E85716">
        <w:rPr>
          <w:szCs w:val="22"/>
        </w:rPr>
        <w:lastRenderedPageBreak/>
        <w:t>Tras la designación de la Autoridad como Administración encargada de la búsqueda internacional y del examen preliminar internacional y de conformidad con el plan establecido, se ha procedido a la contratación y formación de examinadores.</w:t>
      </w:r>
      <w:r>
        <w:rPr>
          <w:szCs w:val="22"/>
        </w:rPr>
        <w:t xml:space="preserve"> </w:t>
      </w:r>
      <w:r w:rsidRPr="00E85716">
        <w:rPr>
          <w:szCs w:val="22"/>
        </w:rPr>
        <w:t>La SAIP cuenta actualmente con</w:t>
      </w:r>
      <w:r>
        <w:rPr>
          <w:szCs w:val="22"/>
        </w:rPr>
        <w:t> </w:t>
      </w:r>
      <w:r w:rsidRPr="00E85716">
        <w:rPr>
          <w:szCs w:val="22"/>
        </w:rPr>
        <w:t>110 empleados formados para llevar a cabo actividades de búsqueda y examen, y sus empleados a tiempo completo trabajan en varios niveles jerárquicos.</w:t>
      </w:r>
      <w:r>
        <w:rPr>
          <w:szCs w:val="22"/>
        </w:rPr>
        <w:t xml:space="preserve"> </w:t>
      </w:r>
      <w:r w:rsidRPr="00E85716">
        <w:rPr>
          <w:szCs w:val="22"/>
        </w:rPr>
        <w:t>Estos examinadores tienen las cualificaciones científicas y técnicas necesarias para llevar a cabo el trabajo de examen en sus respectivos campos y todos los examinadores de la SAIP tienen al menos una licenciatura; el 57 % tiene títulos superiores (máster o doctorado).</w:t>
      </w:r>
      <w:r>
        <w:rPr>
          <w:szCs w:val="22"/>
        </w:rPr>
        <w:t xml:space="preserve"> </w:t>
      </w:r>
      <w:r w:rsidRPr="00E85716">
        <w:rPr>
          <w:szCs w:val="22"/>
        </w:rPr>
        <w:t>La media de experiencia de los examinadores de la SAIP es de nueve años.</w:t>
      </w:r>
      <w:r>
        <w:rPr>
          <w:szCs w:val="22"/>
        </w:rPr>
        <w:t xml:space="preserve"> </w:t>
      </w:r>
      <w:r w:rsidRPr="00E85716">
        <w:rPr>
          <w:szCs w:val="22"/>
        </w:rPr>
        <w:t>Los examinadores son asignados a centros técnicos especializados en función de su especialización profesional, con el fin de profundizar en conocimientos específicos y para maximizar la eficacia.</w:t>
      </w:r>
      <w:bookmarkStart w:id="7" w:name="_Hlk213757645"/>
      <w:r>
        <w:rPr>
          <w:szCs w:val="22"/>
        </w:rPr>
        <w:t xml:space="preserve"> </w:t>
      </w:r>
      <w:r w:rsidRPr="00E85716">
        <w:rPr>
          <w:szCs w:val="22"/>
        </w:rPr>
        <w:t>Hay cinco centros técnicos, y el centro al que se asigna a cada uno depende de la especialización individual.</w:t>
      </w:r>
      <w:r>
        <w:rPr>
          <w:szCs w:val="22"/>
        </w:rPr>
        <w:t xml:space="preserve"> </w:t>
      </w:r>
      <w:r w:rsidRPr="00E85716">
        <w:rPr>
          <w:szCs w:val="22"/>
        </w:rPr>
        <w:t>El grado funcional de los examinadores refleja el número de años de experiencia que tienen.</w:t>
      </w:r>
    </w:p>
    <w:bookmarkEnd w:id="7"/>
    <w:p w14:paraId="1B9BC4A7" w14:textId="74F382A0" w:rsidR="00E85716" w:rsidRPr="00E85716" w:rsidRDefault="00E85716" w:rsidP="00E85716">
      <w:pPr>
        <w:spacing w:after="240"/>
        <w:rPr>
          <w:b/>
          <w:bCs/>
          <w:szCs w:val="22"/>
        </w:rPr>
      </w:pPr>
      <w:r w:rsidRPr="00E85716">
        <w:rPr>
          <w:b/>
          <w:szCs w:val="22"/>
        </w:rPr>
        <w:t>Cuadro 1. Examinadores de patentes en cada sector técnico</w:t>
      </w:r>
    </w:p>
    <w:tbl>
      <w:tblPr>
        <w:tblW w:w="9345" w:type="dxa"/>
        <w:tblCellMar>
          <w:left w:w="0" w:type="dxa"/>
          <w:right w:w="0" w:type="dxa"/>
        </w:tblCellMar>
        <w:tblLook w:val="04A0" w:firstRow="1" w:lastRow="0" w:firstColumn="1" w:lastColumn="0" w:noHBand="0" w:noVBand="1"/>
      </w:tblPr>
      <w:tblGrid>
        <w:gridCol w:w="1265"/>
        <w:gridCol w:w="2635"/>
        <w:gridCol w:w="1439"/>
        <w:gridCol w:w="1696"/>
        <w:gridCol w:w="2310"/>
      </w:tblGrid>
      <w:tr w:rsidR="00E85716" w:rsidRPr="00E85716" w14:paraId="4A39EC2B" w14:textId="77777777" w:rsidTr="00E85716">
        <w:trPr>
          <w:cantSplit/>
          <w:trHeight w:val="868"/>
          <w:tblHeader/>
        </w:trPr>
        <w:tc>
          <w:tcPr>
            <w:tcW w:w="1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321BC2" w14:textId="77777777" w:rsidR="00E85716" w:rsidRPr="00E85716" w:rsidRDefault="00E85716" w:rsidP="00E85716">
            <w:pPr>
              <w:rPr>
                <w:b/>
                <w:bCs/>
                <w:szCs w:val="22"/>
              </w:rPr>
            </w:pPr>
            <w:r w:rsidRPr="00E85716">
              <w:rPr>
                <w:b/>
                <w:szCs w:val="22"/>
              </w:rPr>
              <w:t>Centro técnico</w:t>
            </w:r>
          </w:p>
        </w:tc>
        <w:tc>
          <w:tcPr>
            <w:tcW w:w="2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FE221" w14:textId="77777777" w:rsidR="00E85716" w:rsidRPr="00E85716" w:rsidRDefault="00E85716" w:rsidP="00E85716">
            <w:pPr>
              <w:rPr>
                <w:b/>
                <w:bCs/>
                <w:szCs w:val="22"/>
              </w:rPr>
            </w:pPr>
            <w:r w:rsidRPr="00E85716">
              <w:rPr>
                <w:b/>
                <w:szCs w:val="22"/>
              </w:rPr>
              <w:t>Campo técnico</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2E12F" w14:textId="77777777" w:rsidR="00E85716" w:rsidRPr="00E85716" w:rsidRDefault="00E85716" w:rsidP="00E85716">
            <w:pPr>
              <w:rPr>
                <w:b/>
                <w:bCs/>
                <w:szCs w:val="22"/>
              </w:rPr>
            </w:pPr>
            <w:r w:rsidRPr="00E85716">
              <w:rPr>
                <w:b/>
                <w:szCs w:val="22"/>
              </w:rPr>
              <w:t>Número (en equivalente a tiempo completo)</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58FB6" w14:textId="77777777" w:rsidR="00E85716" w:rsidRPr="00E85716" w:rsidRDefault="00E85716" w:rsidP="00E85716">
            <w:pPr>
              <w:rPr>
                <w:b/>
                <w:bCs/>
                <w:szCs w:val="22"/>
              </w:rPr>
            </w:pPr>
            <w:r w:rsidRPr="00E85716">
              <w:rPr>
                <w:b/>
                <w:szCs w:val="22"/>
              </w:rPr>
              <w:t>Experiencia media como examinadores (años)</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6DF1B" w14:textId="77777777" w:rsidR="00E85716" w:rsidRPr="00E85716" w:rsidRDefault="00E85716" w:rsidP="00E85716">
            <w:pPr>
              <w:rPr>
                <w:b/>
                <w:bCs/>
                <w:szCs w:val="22"/>
              </w:rPr>
            </w:pPr>
            <w:r w:rsidRPr="00E85716">
              <w:rPr>
                <w:b/>
                <w:szCs w:val="22"/>
              </w:rPr>
              <w:t xml:space="preserve">Desglose de las cualificaciones </w:t>
            </w:r>
          </w:p>
        </w:tc>
      </w:tr>
      <w:tr w:rsidR="00E85716" w:rsidRPr="00E85716" w14:paraId="03A88C9E" w14:textId="77777777" w:rsidTr="00E85716">
        <w:trPr>
          <w:cantSplit/>
          <w:trHeight w:val="251"/>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613E6" w14:textId="77777777" w:rsidR="00E85716" w:rsidRPr="00E85716" w:rsidRDefault="00E85716" w:rsidP="00E85716">
            <w:pPr>
              <w:rPr>
                <w:szCs w:val="22"/>
              </w:rPr>
            </w:pPr>
            <w:r w:rsidRPr="00E85716">
              <w:rPr>
                <w:szCs w:val="22"/>
              </w:rPr>
              <w:t>100</w:t>
            </w:r>
          </w:p>
        </w:tc>
        <w:tc>
          <w:tcPr>
            <w:tcW w:w="2635" w:type="dxa"/>
            <w:tcBorders>
              <w:top w:val="nil"/>
              <w:left w:val="nil"/>
              <w:bottom w:val="single" w:sz="8" w:space="0" w:color="auto"/>
              <w:right w:val="single" w:sz="8" w:space="0" w:color="auto"/>
            </w:tcBorders>
            <w:tcMar>
              <w:top w:w="0" w:type="dxa"/>
              <w:left w:w="108" w:type="dxa"/>
              <w:bottom w:w="0" w:type="dxa"/>
              <w:right w:w="108" w:type="dxa"/>
            </w:tcMar>
            <w:hideMark/>
          </w:tcPr>
          <w:p w14:paraId="6ED63612" w14:textId="77777777" w:rsidR="00E85716" w:rsidRPr="00E85716" w:rsidRDefault="00E85716" w:rsidP="00E85716">
            <w:pPr>
              <w:rPr>
                <w:szCs w:val="22"/>
              </w:rPr>
            </w:pPr>
            <w:r w:rsidRPr="00E85716">
              <w:rPr>
                <w:szCs w:val="22"/>
              </w:rPr>
              <w:t>Química e ingeniería química</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2AE53060" w14:textId="77777777" w:rsidR="00E85716" w:rsidRPr="00E85716" w:rsidRDefault="00E85716" w:rsidP="00E85716">
            <w:pPr>
              <w:rPr>
                <w:szCs w:val="22"/>
              </w:rPr>
            </w:pPr>
            <w:r w:rsidRPr="00E85716">
              <w:rPr>
                <w:szCs w:val="22"/>
              </w:rPr>
              <w:t>24</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357D92A4" w14:textId="77777777" w:rsidR="00E85716" w:rsidRPr="00E85716" w:rsidRDefault="00E85716" w:rsidP="00E85716">
            <w:pPr>
              <w:rPr>
                <w:szCs w:val="22"/>
              </w:rPr>
            </w:pPr>
            <w:r w:rsidRPr="00E85716">
              <w:rPr>
                <w:szCs w:val="22"/>
              </w:rPr>
              <w:t>7,5</w:t>
            </w:r>
          </w:p>
        </w:tc>
        <w:tc>
          <w:tcPr>
            <w:tcW w:w="23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D6F6729" w14:textId="77777777" w:rsidR="00E85716" w:rsidRPr="00E85716" w:rsidRDefault="00E85716" w:rsidP="00E85716">
            <w:pPr>
              <w:rPr>
                <w:szCs w:val="22"/>
              </w:rPr>
            </w:pPr>
            <w:r w:rsidRPr="00E85716">
              <w:rPr>
                <w:szCs w:val="22"/>
              </w:rPr>
              <w:t>1. Examinadores: 110</w:t>
            </w:r>
          </w:p>
          <w:p w14:paraId="25D5519C" w14:textId="77777777" w:rsidR="00E85716" w:rsidRPr="00E85716" w:rsidRDefault="00E85716" w:rsidP="00E85716">
            <w:pPr>
              <w:rPr>
                <w:szCs w:val="22"/>
              </w:rPr>
            </w:pPr>
            <w:r w:rsidRPr="00E85716">
              <w:rPr>
                <w:szCs w:val="22"/>
              </w:rPr>
              <w:t>2. Responsables de centros técnicos: 5</w:t>
            </w:r>
          </w:p>
        </w:tc>
      </w:tr>
      <w:tr w:rsidR="00E85716" w:rsidRPr="00E85716" w14:paraId="66F3FCFE" w14:textId="77777777" w:rsidTr="00E85716">
        <w:trPr>
          <w:cantSplit/>
          <w:trHeight w:val="251"/>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72CB0" w14:textId="77777777" w:rsidR="00E85716" w:rsidRPr="00E85716" w:rsidRDefault="00E85716" w:rsidP="00E85716">
            <w:pPr>
              <w:rPr>
                <w:szCs w:val="22"/>
              </w:rPr>
            </w:pPr>
            <w:r w:rsidRPr="00E85716">
              <w:rPr>
                <w:szCs w:val="22"/>
              </w:rPr>
              <w:t>200</w:t>
            </w:r>
          </w:p>
        </w:tc>
        <w:tc>
          <w:tcPr>
            <w:tcW w:w="2635" w:type="dxa"/>
            <w:tcBorders>
              <w:top w:val="nil"/>
              <w:left w:val="nil"/>
              <w:bottom w:val="single" w:sz="8" w:space="0" w:color="auto"/>
              <w:right w:val="single" w:sz="8" w:space="0" w:color="auto"/>
            </w:tcBorders>
            <w:tcMar>
              <w:top w:w="0" w:type="dxa"/>
              <w:left w:w="108" w:type="dxa"/>
              <w:bottom w:w="0" w:type="dxa"/>
              <w:right w:w="108" w:type="dxa"/>
            </w:tcMar>
            <w:hideMark/>
          </w:tcPr>
          <w:p w14:paraId="1DEA4AFC" w14:textId="77777777" w:rsidR="00E85716" w:rsidRPr="00E85716" w:rsidRDefault="00E85716" w:rsidP="00E85716">
            <w:pPr>
              <w:rPr>
                <w:szCs w:val="22"/>
              </w:rPr>
            </w:pPr>
            <w:r w:rsidRPr="00E85716">
              <w:rPr>
                <w:szCs w:val="22"/>
              </w:rPr>
              <w:t xml:space="preserve">Biotecnología y farmacia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04B6084" w14:textId="77777777" w:rsidR="00E85716" w:rsidRPr="00E85716" w:rsidRDefault="00E85716" w:rsidP="00E85716">
            <w:pPr>
              <w:rPr>
                <w:szCs w:val="22"/>
              </w:rPr>
            </w:pPr>
            <w:r w:rsidRPr="00E85716">
              <w:rPr>
                <w:szCs w:val="22"/>
              </w:rPr>
              <w:t>27</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26C27FEC" w14:textId="77777777" w:rsidR="00E85716" w:rsidRPr="00E85716" w:rsidRDefault="00E85716" w:rsidP="00E85716">
            <w:pPr>
              <w:rPr>
                <w:szCs w:val="22"/>
              </w:rPr>
            </w:pPr>
            <w:r w:rsidRPr="00E85716">
              <w:rPr>
                <w:szCs w:val="22"/>
              </w:rPr>
              <w:t>7,5</w:t>
            </w:r>
          </w:p>
        </w:tc>
        <w:tc>
          <w:tcPr>
            <w:tcW w:w="2310" w:type="dxa"/>
            <w:vMerge/>
            <w:tcBorders>
              <w:top w:val="nil"/>
              <w:left w:val="nil"/>
              <w:bottom w:val="single" w:sz="8" w:space="0" w:color="auto"/>
              <w:right w:val="single" w:sz="8" w:space="0" w:color="auto"/>
            </w:tcBorders>
            <w:vAlign w:val="center"/>
            <w:hideMark/>
          </w:tcPr>
          <w:p w14:paraId="0EB23DA8" w14:textId="77777777" w:rsidR="00E85716" w:rsidRPr="00E85716" w:rsidRDefault="00E85716" w:rsidP="00E85716">
            <w:pPr>
              <w:rPr>
                <w:szCs w:val="22"/>
                <w:lang w:eastAsia="ko-KR" w:bidi="ar-EG"/>
              </w:rPr>
            </w:pPr>
          </w:p>
        </w:tc>
      </w:tr>
      <w:tr w:rsidR="00E85716" w:rsidRPr="00E85716" w14:paraId="3F623C26" w14:textId="77777777" w:rsidTr="00E85716">
        <w:trPr>
          <w:cantSplit/>
          <w:trHeight w:val="251"/>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D877F" w14:textId="77777777" w:rsidR="00E85716" w:rsidRPr="00E85716" w:rsidRDefault="00E85716" w:rsidP="00E85716">
            <w:pPr>
              <w:rPr>
                <w:szCs w:val="22"/>
              </w:rPr>
            </w:pPr>
            <w:r w:rsidRPr="00E85716">
              <w:rPr>
                <w:szCs w:val="22"/>
              </w:rPr>
              <w:t>300</w:t>
            </w:r>
          </w:p>
        </w:tc>
        <w:tc>
          <w:tcPr>
            <w:tcW w:w="2635" w:type="dxa"/>
            <w:tcBorders>
              <w:top w:val="nil"/>
              <w:left w:val="nil"/>
              <w:bottom w:val="single" w:sz="8" w:space="0" w:color="auto"/>
              <w:right w:val="single" w:sz="8" w:space="0" w:color="auto"/>
            </w:tcBorders>
            <w:tcMar>
              <w:top w:w="0" w:type="dxa"/>
              <w:left w:w="108" w:type="dxa"/>
              <w:bottom w:w="0" w:type="dxa"/>
              <w:right w:w="108" w:type="dxa"/>
            </w:tcMar>
            <w:hideMark/>
          </w:tcPr>
          <w:p w14:paraId="0883EA35" w14:textId="77777777" w:rsidR="00E85716" w:rsidRPr="00E85716" w:rsidRDefault="00E85716" w:rsidP="00E85716">
            <w:pPr>
              <w:rPr>
                <w:szCs w:val="22"/>
              </w:rPr>
            </w:pPr>
            <w:r w:rsidRPr="00E85716">
              <w:rPr>
                <w:szCs w:val="22"/>
              </w:rPr>
              <w:t>Tecnologías de la información y las comunicaciones</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7BCA947" w14:textId="77777777" w:rsidR="00E85716" w:rsidRPr="00E85716" w:rsidRDefault="00E85716" w:rsidP="00E85716">
            <w:pPr>
              <w:rPr>
                <w:szCs w:val="22"/>
              </w:rPr>
            </w:pPr>
            <w:r w:rsidRPr="00E85716">
              <w:rPr>
                <w:szCs w:val="22"/>
              </w:rPr>
              <w:t>16</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2BB6E136" w14:textId="77777777" w:rsidR="00E85716" w:rsidRPr="00E85716" w:rsidRDefault="00E85716" w:rsidP="00E85716">
            <w:pPr>
              <w:rPr>
                <w:szCs w:val="22"/>
              </w:rPr>
            </w:pPr>
            <w:r w:rsidRPr="00E85716">
              <w:rPr>
                <w:szCs w:val="22"/>
              </w:rPr>
              <w:t>5</w:t>
            </w:r>
          </w:p>
        </w:tc>
        <w:tc>
          <w:tcPr>
            <w:tcW w:w="2310" w:type="dxa"/>
            <w:vMerge/>
            <w:tcBorders>
              <w:top w:val="nil"/>
              <w:left w:val="nil"/>
              <w:bottom w:val="single" w:sz="8" w:space="0" w:color="auto"/>
              <w:right w:val="single" w:sz="8" w:space="0" w:color="auto"/>
            </w:tcBorders>
            <w:vAlign w:val="center"/>
            <w:hideMark/>
          </w:tcPr>
          <w:p w14:paraId="21EA94FC" w14:textId="77777777" w:rsidR="00E85716" w:rsidRPr="00E85716" w:rsidRDefault="00E85716" w:rsidP="00E85716">
            <w:pPr>
              <w:rPr>
                <w:szCs w:val="22"/>
                <w:lang w:eastAsia="ko-KR" w:bidi="ar-EG"/>
              </w:rPr>
            </w:pPr>
          </w:p>
        </w:tc>
      </w:tr>
      <w:tr w:rsidR="00E85716" w:rsidRPr="00E85716" w14:paraId="54BAADE4" w14:textId="77777777" w:rsidTr="00E85716">
        <w:trPr>
          <w:cantSplit/>
          <w:trHeight w:val="262"/>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A44EA" w14:textId="77777777" w:rsidR="00E85716" w:rsidRPr="00E85716" w:rsidRDefault="00E85716" w:rsidP="00E85716">
            <w:pPr>
              <w:rPr>
                <w:szCs w:val="22"/>
              </w:rPr>
            </w:pPr>
            <w:r w:rsidRPr="00E85716">
              <w:rPr>
                <w:szCs w:val="22"/>
              </w:rPr>
              <w:t>400</w:t>
            </w:r>
          </w:p>
        </w:tc>
        <w:tc>
          <w:tcPr>
            <w:tcW w:w="2635" w:type="dxa"/>
            <w:tcBorders>
              <w:top w:val="nil"/>
              <w:left w:val="nil"/>
              <w:bottom w:val="single" w:sz="8" w:space="0" w:color="auto"/>
              <w:right w:val="single" w:sz="8" w:space="0" w:color="auto"/>
            </w:tcBorders>
            <w:tcMar>
              <w:top w:w="0" w:type="dxa"/>
              <w:left w:w="108" w:type="dxa"/>
              <w:bottom w:w="0" w:type="dxa"/>
              <w:right w:w="108" w:type="dxa"/>
            </w:tcMar>
            <w:hideMark/>
          </w:tcPr>
          <w:p w14:paraId="3D2286F2" w14:textId="77777777" w:rsidR="00E85716" w:rsidRPr="00E85716" w:rsidRDefault="00E85716" w:rsidP="00E85716">
            <w:pPr>
              <w:rPr>
                <w:szCs w:val="22"/>
              </w:rPr>
            </w:pPr>
            <w:r w:rsidRPr="00E85716">
              <w:rPr>
                <w:szCs w:val="22"/>
              </w:rPr>
              <w:t>Mecánica</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709FC5C2" w14:textId="77777777" w:rsidR="00E85716" w:rsidRPr="00E85716" w:rsidRDefault="00E85716" w:rsidP="00E85716">
            <w:pPr>
              <w:rPr>
                <w:szCs w:val="22"/>
              </w:rPr>
            </w:pPr>
            <w:r w:rsidRPr="00E85716">
              <w:rPr>
                <w:szCs w:val="22"/>
              </w:rPr>
              <w:t>15</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3C728722" w14:textId="77777777" w:rsidR="00E85716" w:rsidRPr="00E85716" w:rsidRDefault="00E85716" w:rsidP="00E85716">
            <w:pPr>
              <w:rPr>
                <w:szCs w:val="22"/>
              </w:rPr>
            </w:pPr>
            <w:r w:rsidRPr="00E85716">
              <w:rPr>
                <w:szCs w:val="22"/>
              </w:rPr>
              <w:t>12</w:t>
            </w:r>
          </w:p>
        </w:tc>
        <w:tc>
          <w:tcPr>
            <w:tcW w:w="2310" w:type="dxa"/>
            <w:vMerge/>
            <w:tcBorders>
              <w:top w:val="nil"/>
              <w:left w:val="nil"/>
              <w:bottom w:val="single" w:sz="8" w:space="0" w:color="auto"/>
              <w:right w:val="single" w:sz="8" w:space="0" w:color="auto"/>
            </w:tcBorders>
            <w:vAlign w:val="center"/>
            <w:hideMark/>
          </w:tcPr>
          <w:p w14:paraId="10B6ED4F" w14:textId="77777777" w:rsidR="00E85716" w:rsidRPr="00E85716" w:rsidRDefault="00E85716" w:rsidP="00E85716">
            <w:pPr>
              <w:rPr>
                <w:szCs w:val="22"/>
                <w:lang w:eastAsia="ko-KR" w:bidi="ar-EG"/>
              </w:rPr>
            </w:pPr>
          </w:p>
        </w:tc>
      </w:tr>
      <w:tr w:rsidR="00E85716" w:rsidRPr="00E85716" w14:paraId="7999DDB9" w14:textId="77777777" w:rsidTr="00E85716">
        <w:trPr>
          <w:cantSplit/>
          <w:trHeight w:val="251"/>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DD487" w14:textId="77777777" w:rsidR="00E85716" w:rsidRPr="00E85716" w:rsidRDefault="00E85716" w:rsidP="00E85716">
            <w:pPr>
              <w:rPr>
                <w:szCs w:val="22"/>
              </w:rPr>
            </w:pPr>
            <w:r w:rsidRPr="00E85716">
              <w:rPr>
                <w:szCs w:val="22"/>
              </w:rPr>
              <w:t>500</w:t>
            </w:r>
          </w:p>
        </w:tc>
        <w:tc>
          <w:tcPr>
            <w:tcW w:w="2635" w:type="dxa"/>
            <w:tcBorders>
              <w:top w:val="nil"/>
              <w:left w:val="nil"/>
              <w:bottom w:val="single" w:sz="8" w:space="0" w:color="auto"/>
              <w:right w:val="single" w:sz="8" w:space="0" w:color="auto"/>
            </w:tcBorders>
            <w:tcMar>
              <w:top w:w="0" w:type="dxa"/>
              <w:left w:w="108" w:type="dxa"/>
              <w:bottom w:w="0" w:type="dxa"/>
              <w:right w:w="108" w:type="dxa"/>
            </w:tcMar>
            <w:hideMark/>
          </w:tcPr>
          <w:p w14:paraId="5FBF0A92" w14:textId="77777777" w:rsidR="00E85716" w:rsidRPr="00E85716" w:rsidRDefault="00E85716" w:rsidP="00E85716">
            <w:pPr>
              <w:rPr>
                <w:szCs w:val="22"/>
              </w:rPr>
            </w:pPr>
            <w:r w:rsidRPr="00E85716">
              <w:rPr>
                <w:szCs w:val="22"/>
              </w:rPr>
              <w:t>Ingeniería y construcción petroleras</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3F05607A" w14:textId="77777777" w:rsidR="00E85716" w:rsidRPr="00E85716" w:rsidRDefault="00E85716" w:rsidP="00E85716">
            <w:pPr>
              <w:rPr>
                <w:szCs w:val="22"/>
              </w:rPr>
            </w:pPr>
            <w:r w:rsidRPr="00E85716">
              <w:rPr>
                <w:szCs w:val="22"/>
              </w:rPr>
              <w:t>16</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4C52EF34" w14:textId="77777777" w:rsidR="00E85716" w:rsidRPr="00E85716" w:rsidRDefault="00E85716" w:rsidP="00E85716">
            <w:pPr>
              <w:rPr>
                <w:szCs w:val="22"/>
              </w:rPr>
            </w:pPr>
            <w:r w:rsidRPr="00E85716">
              <w:rPr>
                <w:szCs w:val="22"/>
              </w:rPr>
              <w:t>5</w:t>
            </w:r>
          </w:p>
        </w:tc>
        <w:tc>
          <w:tcPr>
            <w:tcW w:w="2310" w:type="dxa"/>
            <w:vMerge/>
            <w:tcBorders>
              <w:top w:val="nil"/>
              <w:left w:val="nil"/>
              <w:bottom w:val="single" w:sz="8" w:space="0" w:color="auto"/>
              <w:right w:val="single" w:sz="8" w:space="0" w:color="auto"/>
            </w:tcBorders>
            <w:vAlign w:val="center"/>
            <w:hideMark/>
          </w:tcPr>
          <w:p w14:paraId="24AF714A" w14:textId="77777777" w:rsidR="00E85716" w:rsidRPr="00E85716" w:rsidRDefault="00E85716" w:rsidP="00E85716">
            <w:pPr>
              <w:rPr>
                <w:szCs w:val="22"/>
                <w:lang w:eastAsia="ko-KR" w:bidi="ar-EG"/>
              </w:rPr>
            </w:pPr>
          </w:p>
        </w:tc>
      </w:tr>
      <w:tr w:rsidR="00E85716" w:rsidRPr="00E85716" w14:paraId="7EB14881" w14:textId="77777777" w:rsidTr="00E85716">
        <w:trPr>
          <w:cantSplit/>
          <w:trHeight w:val="503"/>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C0B1A" w14:textId="77777777" w:rsidR="00E85716" w:rsidRPr="00E85716" w:rsidRDefault="00E85716" w:rsidP="00E85716">
            <w:pPr>
              <w:rPr>
                <w:szCs w:val="22"/>
              </w:rPr>
            </w:pPr>
            <w:r w:rsidRPr="00E85716">
              <w:rPr>
                <w:szCs w:val="22"/>
              </w:rPr>
              <w:t>Apoyo en materia de patentes</w:t>
            </w:r>
          </w:p>
        </w:tc>
        <w:tc>
          <w:tcPr>
            <w:tcW w:w="2635" w:type="dxa"/>
            <w:tcBorders>
              <w:top w:val="nil"/>
              <w:left w:val="nil"/>
              <w:bottom w:val="single" w:sz="8" w:space="0" w:color="auto"/>
              <w:right w:val="single" w:sz="8" w:space="0" w:color="auto"/>
            </w:tcBorders>
            <w:tcMar>
              <w:top w:w="0" w:type="dxa"/>
              <w:left w:w="108" w:type="dxa"/>
              <w:bottom w:w="0" w:type="dxa"/>
              <w:right w:w="108" w:type="dxa"/>
            </w:tcMar>
            <w:hideMark/>
          </w:tcPr>
          <w:p w14:paraId="7AA2B8E3" w14:textId="77777777" w:rsidR="00E85716" w:rsidRPr="00E85716" w:rsidRDefault="00E85716" w:rsidP="00E85716">
            <w:pPr>
              <w:rPr>
                <w:szCs w:val="22"/>
              </w:rPr>
            </w:pPr>
            <w:r w:rsidRPr="00E85716">
              <w:rPr>
                <w:szCs w:val="22"/>
              </w:rPr>
              <w:t>Otro</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F9BD181" w14:textId="77777777" w:rsidR="00E85716" w:rsidRPr="00E85716" w:rsidRDefault="00E85716" w:rsidP="00E85716">
            <w:pPr>
              <w:rPr>
                <w:szCs w:val="22"/>
              </w:rPr>
            </w:pPr>
            <w:r w:rsidRPr="00E85716">
              <w:rPr>
                <w:szCs w:val="22"/>
              </w:rPr>
              <w:t>12</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27C11137" w14:textId="77777777" w:rsidR="00E85716" w:rsidRPr="00E85716" w:rsidRDefault="00E85716" w:rsidP="00E85716">
            <w:pPr>
              <w:rPr>
                <w:szCs w:val="22"/>
              </w:rPr>
            </w:pPr>
            <w:r w:rsidRPr="00E85716">
              <w:rPr>
                <w:szCs w:val="22"/>
              </w:rPr>
              <w:t>15</w:t>
            </w:r>
          </w:p>
        </w:tc>
        <w:tc>
          <w:tcPr>
            <w:tcW w:w="2310" w:type="dxa"/>
            <w:vMerge/>
            <w:tcBorders>
              <w:top w:val="nil"/>
              <w:left w:val="nil"/>
              <w:bottom w:val="single" w:sz="8" w:space="0" w:color="auto"/>
              <w:right w:val="single" w:sz="8" w:space="0" w:color="auto"/>
            </w:tcBorders>
            <w:vAlign w:val="center"/>
            <w:hideMark/>
          </w:tcPr>
          <w:p w14:paraId="34BE2C2B" w14:textId="77777777" w:rsidR="00E85716" w:rsidRPr="00E85716" w:rsidRDefault="00E85716" w:rsidP="00E85716">
            <w:pPr>
              <w:rPr>
                <w:szCs w:val="22"/>
                <w:lang w:eastAsia="ko-KR" w:bidi="ar-EG"/>
              </w:rPr>
            </w:pPr>
          </w:p>
        </w:tc>
      </w:tr>
      <w:tr w:rsidR="00E85716" w:rsidRPr="00E85716" w14:paraId="7BF574F2" w14:textId="77777777" w:rsidTr="00E85716">
        <w:trPr>
          <w:cantSplit/>
          <w:trHeight w:val="251"/>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789BA" w14:textId="77777777" w:rsidR="00E85716" w:rsidRPr="00E85716" w:rsidRDefault="00E85716" w:rsidP="00E85716">
            <w:pPr>
              <w:rPr>
                <w:szCs w:val="22"/>
              </w:rPr>
            </w:pPr>
            <w:r w:rsidRPr="00E85716">
              <w:rPr>
                <w:szCs w:val="22"/>
              </w:rPr>
              <w:t>Total</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57AB90FE" w14:textId="77777777" w:rsidR="00E85716" w:rsidRPr="00E85716" w:rsidRDefault="00E85716" w:rsidP="00E85716">
            <w:pPr>
              <w:rPr>
                <w:szCs w:val="22"/>
                <w:rtl/>
              </w:rPr>
            </w:pP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BE633D1" w14:textId="77777777" w:rsidR="00E85716" w:rsidRPr="00E85716" w:rsidRDefault="00E85716" w:rsidP="00E85716">
            <w:pPr>
              <w:rPr>
                <w:szCs w:val="22"/>
              </w:rPr>
            </w:pPr>
            <w:r w:rsidRPr="00E85716">
              <w:rPr>
                <w:szCs w:val="22"/>
              </w:rPr>
              <w:t>110</w:t>
            </w:r>
          </w:p>
        </w:tc>
        <w:tc>
          <w:tcPr>
            <w:tcW w:w="1696" w:type="dxa"/>
            <w:tcBorders>
              <w:top w:val="nil"/>
              <w:left w:val="nil"/>
              <w:bottom w:val="single" w:sz="8" w:space="0" w:color="auto"/>
              <w:right w:val="single" w:sz="8" w:space="0" w:color="auto"/>
            </w:tcBorders>
            <w:tcMar>
              <w:top w:w="0" w:type="dxa"/>
              <w:left w:w="108" w:type="dxa"/>
              <w:bottom w:w="0" w:type="dxa"/>
              <w:right w:w="108" w:type="dxa"/>
            </w:tcMar>
          </w:tcPr>
          <w:p w14:paraId="795EC711" w14:textId="77777777" w:rsidR="00E85716" w:rsidRPr="00E85716" w:rsidRDefault="00E85716" w:rsidP="00E85716">
            <w:pPr>
              <w:rPr>
                <w:szCs w:val="22"/>
              </w:rPr>
            </w:pP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407D7FA" w14:textId="77777777" w:rsidR="00E85716" w:rsidRPr="00E85716" w:rsidRDefault="00E85716" w:rsidP="00E85716">
            <w:pPr>
              <w:rPr>
                <w:szCs w:val="22"/>
              </w:rPr>
            </w:pPr>
          </w:p>
        </w:tc>
      </w:tr>
    </w:tbl>
    <w:p w14:paraId="12947408" w14:textId="77777777" w:rsidR="00E85716" w:rsidRPr="00E85716" w:rsidRDefault="00E85716" w:rsidP="00E85716">
      <w:pPr>
        <w:rPr>
          <w:szCs w:val="22"/>
          <w:lang w:eastAsia="ko-KR"/>
        </w:rPr>
      </w:pPr>
    </w:p>
    <w:p w14:paraId="64342428" w14:textId="77777777" w:rsidR="00E85716" w:rsidRPr="00E85716" w:rsidRDefault="00E85716" w:rsidP="00E85716">
      <w:pPr>
        <w:pBdr>
          <w:top w:val="single" w:sz="4" w:space="1" w:color="auto"/>
        </w:pBdr>
        <w:spacing w:before="240" w:after="120"/>
        <w:outlineLvl w:val="1"/>
        <w:rPr>
          <w:b/>
          <w:bCs/>
          <w:caps/>
          <w:szCs w:val="22"/>
        </w:rPr>
      </w:pPr>
      <w:r w:rsidRPr="00E85716">
        <w:rPr>
          <w:b/>
          <w:bCs/>
          <w:caps/>
          <w:szCs w:val="22"/>
        </w:rPr>
        <w:t>2.2. DOCUMENTACIÓN MÍNIMA PUESTA A DISPOSICIÓN PARA CONSULTA</w:t>
      </w:r>
    </w:p>
    <w:p w14:paraId="46175835" w14:textId="05FBA651" w:rsidR="00E85716" w:rsidRPr="00E85716" w:rsidRDefault="00E85716" w:rsidP="00E85716">
      <w:pPr>
        <w:keepLines/>
        <w:spacing w:after="240"/>
        <w:ind w:left="567" w:right="567"/>
        <w:rPr>
          <w:bCs/>
          <w:i/>
          <w:iCs/>
          <w:szCs w:val="22"/>
        </w:rPr>
      </w:pPr>
      <w:r w:rsidRPr="00E85716">
        <w:rPr>
          <w:i/>
          <w:szCs w:val="22"/>
        </w:rPr>
        <w:t>Reglas 36.</w:t>
      </w:r>
      <w:proofErr w:type="gramStart"/>
      <w:r w:rsidRPr="00E85716">
        <w:rPr>
          <w:i/>
          <w:szCs w:val="22"/>
        </w:rPr>
        <w:t>1.ii</w:t>
      </w:r>
      <w:proofErr w:type="gramEnd"/>
      <w:r w:rsidRPr="00E85716">
        <w:rPr>
          <w:i/>
          <w:szCs w:val="22"/>
        </w:rPr>
        <w:t>) y 63.1.ii): Esa Oficina u organización deberá poner a disposición para su consulta, como parte de la documentación mínima mencionada en la Regla</w:t>
      </w:r>
      <w:r>
        <w:rPr>
          <w:i/>
          <w:szCs w:val="22"/>
        </w:rPr>
        <w:t> </w:t>
      </w:r>
      <w:r w:rsidRPr="00E85716">
        <w:rPr>
          <w:i/>
          <w:szCs w:val="22"/>
        </w:rPr>
        <w:t>34, de conformidad con los requisitos especificados en las Instrucciones Administrativas, toda patente concedida y toda solicitud de patente publicada por ella y, en su caso, por su antecesor jurídico.</w:t>
      </w:r>
    </w:p>
    <w:p w14:paraId="089FC545" w14:textId="18524464" w:rsidR="00E85716" w:rsidRPr="00E85716" w:rsidRDefault="00E85716" w:rsidP="00E85716">
      <w:pPr>
        <w:keepLines/>
        <w:spacing w:after="240"/>
        <w:ind w:left="567" w:right="567"/>
        <w:rPr>
          <w:b/>
          <w:i/>
          <w:iCs/>
          <w:szCs w:val="22"/>
        </w:rPr>
      </w:pPr>
      <w:r w:rsidRPr="00E85716">
        <w:rPr>
          <w:i/>
          <w:iCs/>
          <w:szCs w:val="22"/>
        </w:rPr>
        <w:t>Los requisitos especificados en las Instrucciones Administrativas figuran en la</w:t>
      </w:r>
      <w:hyperlink r:id="rId11" w:history="1">
        <w:r w:rsidRPr="00E85716">
          <w:rPr>
            <w:i/>
            <w:color w:val="0000FF" w:themeColor="hyperlink"/>
            <w:szCs w:val="22"/>
            <w:u w:val="single"/>
          </w:rPr>
          <w:t xml:space="preserve"> circular </w:t>
        </w:r>
        <w:hyperlink r:id="rId12" w:history="1">
          <w:r w:rsidR="00E56B7B" w:rsidRPr="00E56B7B">
            <w:rPr>
              <w:rStyle w:val="Hyperlink"/>
            </w:rPr>
            <w:t>https://www.wipo.int/export/sites/www/pct/es/docs/circulars/2024/1672.pdf</w:t>
          </w:r>
        </w:hyperlink>
        <w:r w:rsidRPr="00E85716">
          <w:rPr>
            <w:i/>
            <w:color w:val="0000FF" w:themeColor="hyperlink"/>
            <w:szCs w:val="22"/>
            <w:u w:val="single"/>
          </w:rPr>
          <w:t>C. PCT 1672</w:t>
        </w:r>
      </w:hyperlink>
      <w:r w:rsidRPr="00E85716">
        <w:rPr>
          <w:i/>
          <w:iCs/>
          <w:szCs w:val="22"/>
        </w:rPr>
        <w:t>, de 19 de junio de 2024.</w:t>
      </w:r>
    </w:p>
    <w:p w14:paraId="745F9DA3" w14:textId="194A6D1E" w:rsidR="00E85716" w:rsidRPr="00E85716" w:rsidRDefault="00E85716" w:rsidP="00E85716">
      <w:pPr>
        <w:spacing w:after="240"/>
        <w:rPr>
          <w:szCs w:val="22"/>
        </w:rPr>
      </w:pPr>
      <w:r w:rsidRPr="00E85716">
        <w:rPr>
          <w:szCs w:val="22"/>
        </w:rPr>
        <w:t>En coordinación con la Oficina Europea de Patentes (OEP), se están realizando pruebas con una muestra de documentos de patentes.</w:t>
      </w:r>
      <w:r>
        <w:rPr>
          <w:szCs w:val="22"/>
        </w:rPr>
        <w:t xml:space="preserve"> </w:t>
      </w:r>
      <w:r w:rsidRPr="00E85716">
        <w:rPr>
          <w:szCs w:val="22"/>
        </w:rPr>
        <w:t>Se prevé terminar en diciembre de 2025 las pruebas y el trabajo de validación necesario con la OEP y otras Administraciones encargadas de la búsqueda internacional (ISA).</w:t>
      </w:r>
      <w:r>
        <w:rPr>
          <w:szCs w:val="22"/>
        </w:rPr>
        <w:t xml:space="preserve"> </w:t>
      </w:r>
      <w:r w:rsidRPr="00E85716">
        <w:rPr>
          <w:szCs w:val="22"/>
        </w:rPr>
        <w:t>Dicho de otro modo: la finalidad es que todo esté listo para el 1 de enero de 2026.</w:t>
      </w:r>
    </w:p>
    <w:p w14:paraId="132F718D" w14:textId="77777777" w:rsidR="00E85716" w:rsidRPr="00E85716" w:rsidRDefault="00E85716" w:rsidP="00E85716">
      <w:pPr>
        <w:spacing w:after="240"/>
        <w:rPr>
          <w:szCs w:val="22"/>
        </w:rPr>
      </w:pPr>
      <w:r w:rsidRPr="00E85716">
        <w:rPr>
          <w:szCs w:val="22"/>
        </w:rPr>
        <w:lastRenderedPageBreak/>
        <w:t>El trabajo sobre el repositorio electrónico ha finalizado, lo que significa que las oficinas de búsqueda pueden acceder, buscar y cargar documentos.</w:t>
      </w:r>
    </w:p>
    <w:p w14:paraId="1E23E11A" w14:textId="6D80605B" w:rsidR="00E85716" w:rsidRPr="00E85716" w:rsidRDefault="00E85716" w:rsidP="00E85716">
      <w:pPr>
        <w:spacing w:after="240"/>
        <w:rPr>
          <w:szCs w:val="22"/>
        </w:rPr>
      </w:pPr>
      <w:r w:rsidRPr="00E85716">
        <w:rPr>
          <w:szCs w:val="22"/>
        </w:rPr>
        <w:t>La SAIP también se ha comprometido a adaptar su fichero de referencia a la norma ST.37 de la OMPI, actualizada en el sitio web de la OMPI el 28 de agosto de 2025.</w:t>
      </w:r>
    </w:p>
    <w:p w14:paraId="617F62BB" w14:textId="77777777" w:rsidR="00E85716" w:rsidRPr="00E85716" w:rsidRDefault="00E85716" w:rsidP="00E85716">
      <w:pPr>
        <w:spacing w:after="240"/>
        <w:rPr>
          <w:szCs w:val="22"/>
        </w:rPr>
      </w:pPr>
      <w:r w:rsidRPr="00E85716">
        <w:rPr>
          <w:szCs w:val="22"/>
        </w:rPr>
        <w:t>Véase también el cuadro que figura a continuación, en el que se recogen los documentos de patente publicados por la SAIP que se ponen a disposición de otras ISA de conformidad con los requisitos establecidos en el Anexo H. Dichos documentos están disponibles en el sitio web de la OMPI.</w:t>
      </w:r>
    </w:p>
    <w:tbl>
      <w:tblPr>
        <w:tblStyle w:val="TableGrid"/>
        <w:tblW w:w="9345" w:type="dxa"/>
        <w:tblLook w:val="04A0" w:firstRow="1" w:lastRow="0" w:firstColumn="1" w:lastColumn="0" w:noHBand="0" w:noVBand="1"/>
      </w:tblPr>
      <w:tblGrid>
        <w:gridCol w:w="2321"/>
        <w:gridCol w:w="974"/>
        <w:gridCol w:w="1416"/>
        <w:gridCol w:w="1318"/>
        <w:gridCol w:w="1613"/>
        <w:gridCol w:w="1703"/>
      </w:tblGrid>
      <w:tr w:rsidR="00E85716" w:rsidRPr="00E85716" w14:paraId="118A86B5" w14:textId="77777777" w:rsidTr="001133E5">
        <w:trPr>
          <w:trHeight w:val="953"/>
        </w:trPr>
        <w:tc>
          <w:tcPr>
            <w:tcW w:w="2335" w:type="dxa"/>
            <w:vMerge w:val="restart"/>
          </w:tcPr>
          <w:p w14:paraId="6EFB9A4A" w14:textId="77777777" w:rsidR="00E85716" w:rsidRPr="00E85716" w:rsidRDefault="00E85716" w:rsidP="00E85716">
            <w:pPr>
              <w:keepLines/>
              <w:spacing w:before="240"/>
              <w:jc w:val="center"/>
              <w:rPr>
                <w:rFonts w:eastAsiaTheme="minorHAnsi"/>
                <w:b/>
                <w:bCs/>
                <w:szCs w:val="22"/>
                <w:lang w:eastAsia="en-US"/>
              </w:rPr>
            </w:pPr>
            <w:r w:rsidRPr="00E85716">
              <w:rPr>
                <w:rFonts w:eastAsiaTheme="minorHAnsi"/>
                <w:b/>
                <w:szCs w:val="22"/>
                <w:lang w:eastAsia="en-US"/>
              </w:rPr>
              <w:t>Tipo de documento</w:t>
            </w:r>
          </w:p>
        </w:tc>
        <w:tc>
          <w:tcPr>
            <w:tcW w:w="971" w:type="dxa"/>
            <w:vMerge w:val="restart"/>
          </w:tcPr>
          <w:p w14:paraId="455AFA79" w14:textId="77777777" w:rsidR="00E85716" w:rsidRPr="00E85716" w:rsidRDefault="00E85716" w:rsidP="00E85716">
            <w:pPr>
              <w:keepLines/>
              <w:spacing w:before="240"/>
              <w:jc w:val="center"/>
              <w:rPr>
                <w:rFonts w:eastAsiaTheme="minorHAnsi"/>
                <w:b/>
                <w:bCs/>
                <w:szCs w:val="22"/>
                <w:lang w:eastAsia="en-US"/>
              </w:rPr>
            </w:pPr>
            <w:r w:rsidRPr="00E85716">
              <w:rPr>
                <w:rFonts w:eastAsiaTheme="minorHAnsi"/>
                <w:b/>
                <w:szCs w:val="22"/>
                <w:lang w:eastAsia="en-US"/>
              </w:rPr>
              <w:t>Código ST.16</w:t>
            </w:r>
          </w:p>
        </w:tc>
        <w:tc>
          <w:tcPr>
            <w:tcW w:w="2719" w:type="dxa"/>
            <w:gridSpan w:val="2"/>
          </w:tcPr>
          <w:p w14:paraId="4E47DBE2" w14:textId="77777777" w:rsidR="00E85716" w:rsidRPr="00E85716" w:rsidRDefault="00E85716" w:rsidP="00E85716">
            <w:pPr>
              <w:keepLines/>
              <w:spacing w:before="240"/>
              <w:jc w:val="center"/>
              <w:rPr>
                <w:rFonts w:eastAsiaTheme="minorHAnsi"/>
                <w:b/>
                <w:bCs/>
                <w:szCs w:val="22"/>
                <w:lang w:eastAsia="en-US"/>
              </w:rPr>
            </w:pPr>
            <w:r w:rsidRPr="00E85716">
              <w:rPr>
                <w:rFonts w:eastAsiaTheme="minorHAnsi"/>
                <w:b/>
                <w:szCs w:val="22"/>
                <w:lang w:eastAsia="en-US"/>
              </w:rPr>
              <w:t>Fechas</w:t>
            </w:r>
          </w:p>
        </w:tc>
        <w:tc>
          <w:tcPr>
            <w:tcW w:w="1614" w:type="dxa"/>
            <w:vMerge w:val="restart"/>
          </w:tcPr>
          <w:p w14:paraId="35CB4478" w14:textId="77777777" w:rsidR="00E85716" w:rsidRPr="00E85716" w:rsidRDefault="00E85716" w:rsidP="00E85716">
            <w:pPr>
              <w:keepLines/>
              <w:spacing w:before="240"/>
              <w:jc w:val="center"/>
              <w:rPr>
                <w:rFonts w:eastAsiaTheme="minorHAnsi"/>
                <w:b/>
                <w:bCs/>
                <w:szCs w:val="22"/>
                <w:lang w:eastAsia="en-US"/>
              </w:rPr>
            </w:pPr>
            <w:r w:rsidRPr="00E85716">
              <w:rPr>
                <w:rFonts w:eastAsiaTheme="minorHAnsi"/>
                <w:b/>
                <w:szCs w:val="22"/>
                <w:lang w:eastAsia="en-US"/>
              </w:rPr>
              <w:t>Formato de los documentos</w:t>
            </w:r>
          </w:p>
        </w:tc>
        <w:tc>
          <w:tcPr>
            <w:tcW w:w="1706" w:type="dxa"/>
            <w:vMerge w:val="restart"/>
          </w:tcPr>
          <w:p w14:paraId="520E817D" w14:textId="77777777" w:rsidR="00E85716" w:rsidRPr="00E85716" w:rsidRDefault="00E85716" w:rsidP="00E85716">
            <w:pPr>
              <w:keepLines/>
              <w:spacing w:before="240"/>
              <w:jc w:val="center"/>
              <w:rPr>
                <w:rFonts w:eastAsiaTheme="minorHAnsi"/>
                <w:b/>
                <w:bCs/>
                <w:szCs w:val="22"/>
                <w:lang w:eastAsia="en-US"/>
              </w:rPr>
            </w:pPr>
            <w:r w:rsidRPr="00E85716">
              <w:rPr>
                <w:rFonts w:eastAsiaTheme="minorHAnsi"/>
                <w:b/>
                <w:szCs w:val="22"/>
                <w:lang w:eastAsia="en-US"/>
              </w:rPr>
              <w:t>Fuente de los documentos</w:t>
            </w:r>
          </w:p>
        </w:tc>
      </w:tr>
      <w:tr w:rsidR="00E85716" w:rsidRPr="00E85716" w14:paraId="6F44B4A9" w14:textId="77777777" w:rsidTr="001133E5">
        <w:tc>
          <w:tcPr>
            <w:tcW w:w="2335" w:type="dxa"/>
            <w:vMerge/>
          </w:tcPr>
          <w:p w14:paraId="0A5E8F9F" w14:textId="77777777" w:rsidR="00E85716" w:rsidRPr="00E85716" w:rsidRDefault="00E85716" w:rsidP="00E85716">
            <w:pPr>
              <w:keepLines/>
              <w:spacing w:before="240"/>
              <w:jc w:val="right"/>
              <w:rPr>
                <w:rFonts w:eastAsiaTheme="minorHAnsi"/>
                <w:szCs w:val="22"/>
                <w:lang w:eastAsia="en-US"/>
              </w:rPr>
            </w:pPr>
          </w:p>
        </w:tc>
        <w:tc>
          <w:tcPr>
            <w:tcW w:w="971" w:type="dxa"/>
            <w:vMerge/>
          </w:tcPr>
          <w:p w14:paraId="68B86D46" w14:textId="77777777" w:rsidR="00E85716" w:rsidRPr="00E85716" w:rsidRDefault="00E85716" w:rsidP="00E85716">
            <w:pPr>
              <w:keepLines/>
              <w:spacing w:before="240"/>
              <w:jc w:val="center"/>
              <w:rPr>
                <w:rFonts w:eastAsiaTheme="minorHAnsi"/>
                <w:szCs w:val="22"/>
                <w:lang w:eastAsia="en-US"/>
              </w:rPr>
            </w:pPr>
          </w:p>
        </w:tc>
        <w:tc>
          <w:tcPr>
            <w:tcW w:w="1418" w:type="dxa"/>
          </w:tcPr>
          <w:p w14:paraId="0644FE36"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Desde</w:t>
            </w:r>
          </w:p>
        </w:tc>
        <w:tc>
          <w:tcPr>
            <w:tcW w:w="1301" w:type="dxa"/>
          </w:tcPr>
          <w:p w14:paraId="1FD900B0"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Hasta</w:t>
            </w:r>
          </w:p>
        </w:tc>
        <w:tc>
          <w:tcPr>
            <w:tcW w:w="1614" w:type="dxa"/>
            <w:vMerge/>
          </w:tcPr>
          <w:p w14:paraId="62FC13B6" w14:textId="77777777" w:rsidR="00E85716" w:rsidRPr="00E85716" w:rsidRDefault="00E85716" w:rsidP="00E85716">
            <w:pPr>
              <w:keepLines/>
              <w:spacing w:before="240"/>
              <w:jc w:val="right"/>
              <w:rPr>
                <w:rFonts w:eastAsiaTheme="minorHAnsi"/>
                <w:szCs w:val="22"/>
                <w:lang w:eastAsia="en-US"/>
              </w:rPr>
            </w:pPr>
          </w:p>
        </w:tc>
        <w:tc>
          <w:tcPr>
            <w:tcW w:w="1706" w:type="dxa"/>
            <w:vMerge/>
          </w:tcPr>
          <w:p w14:paraId="7B8D1AA9" w14:textId="77777777" w:rsidR="00E85716" w:rsidRPr="00E85716" w:rsidRDefault="00E85716" w:rsidP="00E85716">
            <w:pPr>
              <w:keepLines/>
              <w:spacing w:before="240"/>
              <w:jc w:val="right"/>
              <w:rPr>
                <w:rFonts w:eastAsiaTheme="minorHAnsi"/>
                <w:szCs w:val="22"/>
                <w:lang w:eastAsia="en-US"/>
              </w:rPr>
            </w:pPr>
          </w:p>
        </w:tc>
      </w:tr>
      <w:tr w:rsidR="00E85716" w:rsidRPr="00E85716" w14:paraId="00B2F466" w14:textId="77777777" w:rsidTr="001133E5">
        <w:tc>
          <w:tcPr>
            <w:tcW w:w="2335" w:type="dxa"/>
          </w:tcPr>
          <w:p w14:paraId="39D3AD8F" w14:textId="77777777" w:rsidR="00E85716" w:rsidRPr="00E85716" w:rsidRDefault="00E85716" w:rsidP="00E85716">
            <w:pPr>
              <w:keepLines/>
              <w:spacing w:before="240"/>
              <w:jc w:val="center"/>
              <w:rPr>
                <w:szCs w:val="22"/>
                <w:lang w:eastAsia="en-US"/>
              </w:rPr>
            </w:pPr>
            <w:r w:rsidRPr="00E85716">
              <w:rPr>
                <w:rFonts w:eastAsiaTheme="minorHAnsi"/>
                <w:szCs w:val="22"/>
                <w:lang w:eastAsia="en-US"/>
              </w:rPr>
              <w:t>Patente nacional o regional publicada</w:t>
            </w:r>
          </w:p>
        </w:tc>
        <w:tc>
          <w:tcPr>
            <w:tcW w:w="971" w:type="dxa"/>
          </w:tcPr>
          <w:p w14:paraId="08B60BAA"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B1</w:t>
            </w:r>
          </w:p>
        </w:tc>
        <w:tc>
          <w:tcPr>
            <w:tcW w:w="1418" w:type="dxa"/>
          </w:tcPr>
          <w:p w14:paraId="4AEA1B86"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23/12/1995</w:t>
            </w:r>
          </w:p>
        </w:tc>
        <w:tc>
          <w:tcPr>
            <w:tcW w:w="1301" w:type="dxa"/>
          </w:tcPr>
          <w:p w14:paraId="122EC850"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01/01/2015</w:t>
            </w:r>
          </w:p>
        </w:tc>
        <w:tc>
          <w:tcPr>
            <w:tcW w:w="1614" w:type="dxa"/>
          </w:tcPr>
          <w:p w14:paraId="27C7565E"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Texto completo (ST.36)</w:t>
            </w:r>
          </w:p>
        </w:tc>
        <w:sdt>
          <w:sdtPr>
            <w:rPr>
              <w:rFonts w:eastAsiaTheme="minorHAnsi"/>
              <w:szCs w:val="22"/>
              <w:lang w:eastAsia="en-US"/>
            </w:rPr>
            <w:alias w:val="Fuente del documento"/>
            <w:tag w:val="Source of Document"/>
            <w:id w:val="-1866208688"/>
            <w:placeholder>
              <w:docPart w:val="C76FF09D6EA84B3BB5F8F558EE68D194"/>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706" w:type="dxa"/>
              </w:tcPr>
              <w:p w14:paraId="25491B8F"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Repositorio en línea alojado por esta Oficina</w:t>
                </w:r>
              </w:p>
            </w:tc>
          </w:sdtContent>
        </w:sdt>
      </w:tr>
      <w:tr w:rsidR="00E85716" w:rsidRPr="00E85716" w14:paraId="534FE519" w14:textId="77777777" w:rsidTr="001133E5">
        <w:tc>
          <w:tcPr>
            <w:tcW w:w="2335" w:type="dxa"/>
          </w:tcPr>
          <w:p w14:paraId="6C56B06A" w14:textId="77777777" w:rsidR="00E85716" w:rsidRPr="00E85716" w:rsidRDefault="00E85716" w:rsidP="00E85716">
            <w:pPr>
              <w:keepLines/>
              <w:spacing w:before="240"/>
              <w:jc w:val="center"/>
              <w:rPr>
                <w:szCs w:val="22"/>
                <w:lang w:eastAsia="en-US"/>
              </w:rPr>
            </w:pPr>
            <w:r w:rsidRPr="00E85716">
              <w:rPr>
                <w:rFonts w:eastAsiaTheme="minorHAnsi"/>
                <w:szCs w:val="22"/>
                <w:lang w:eastAsia="en-US"/>
              </w:rPr>
              <w:t>Solicitud publicada de patente nacional o regional</w:t>
            </w:r>
          </w:p>
        </w:tc>
        <w:tc>
          <w:tcPr>
            <w:tcW w:w="971" w:type="dxa"/>
          </w:tcPr>
          <w:p w14:paraId="54BAB7A9"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A1</w:t>
            </w:r>
          </w:p>
        </w:tc>
        <w:tc>
          <w:tcPr>
            <w:tcW w:w="1418" w:type="dxa"/>
          </w:tcPr>
          <w:p w14:paraId="1A24BC04"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01/01/2015</w:t>
            </w:r>
          </w:p>
        </w:tc>
        <w:tc>
          <w:tcPr>
            <w:tcW w:w="1301" w:type="dxa"/>
          </w:tcPr>
          <w:p w14:paraId="0E4DB554" w14:textId="77777777" w:rsidR="00E85716" w:rsidRPr="00E85716" w:rsidRDefault="00E85716" w:rsidP="00E85716">
            <w:pPr>
              <w:keepLines/>
              <w:spacing w:before="240"/>
              <w:jc w:val="center"/>
              <w:rPr>
                <w:rFonts w:eastAsiaTheme="minorHAnsi"/>
                <w:szCs w:val="22"/>
                <w:lang w:eastAsia="en-US"/>
              </w:rPr>
            </w:pPr>
          </w:p>
        </w:tc>
        <w:tc>
          <w:tcPr>
            <w:tcW w:w="1614" w:type="dxa"/>
          </w:tcPr>
          <w:p w14:paraId="5632231E"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Texto completo (ST.36)</w:t>
            </w:r>
          </w:p>
        </w:tc>
        <w:sdt>
          <w:sdtPr>
            <w:rPr>
              <w:rFonts w:eastAsiaTheme="minorHAnsi"/>
              <w:szCs w:val="22"/>
              <w:lang w:eastAsia="en-US"/>
            </w:rPr>
            <w:alias w:val="Fuente de los documentos"/>
            <w:tag w:val="Source of Document"/>
            <w:id w:val="1900399903"/>
            <w:placeholder>
              <w:docPart w:val="7420FA5CA01143168EAAC0188C960CAD"/>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706" w:type="dxa"/>
              </w:tcPr>
              <w:p w14:paraId="5C7A1A4D"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Repositorio en línea alojado por esta Oficina</w:t>
                </w:r>
              </w:p>
            </w:tc>
          </w:sdtContent>
        </w:sdt>
      </w:tr>
      <w:tr w:rsidR="00E85716" w:rsidRPr="00E85716" w14:paraId="493C1DD2" w14:textId="77777777" w:rsidTr="001133E5">
        <w:tc>
          <w:tcPr>
            <w:tcW w:w="2335" w:type="dxa"/>
          </w:tcPr>
          <w:p w14:paraId="3B14C3DA" w14:textId="77777777" w:rsidR="00E85716" w:rsidRPr="00E85716" w:rsidRDefault="00E85716" w:rsidP="00E85716">
            <w:pPr>
              <w:keepLines/>
              <w:spacing w:before="240"/>
              <w:jc w:val="center"/>
              <w:rPr>
                <w:szCs w:val="22"/>
                <w:lang w:eastAsia="en-US"/>
              </w:rPr>
            </w:pPr>
            <w:r w:rsidRPr="00E85716">
              <w:rPr>
                <w:rFonts w:eastAsiaTheme="minorHAnsi"/>
                <w:szCs w:val="22"/>
                <w:lang w:eastAsia="en-US"/>
              </w:rPr>
              <w:t>Patente nacional o regional publicada</w:t>
            </w:r>
          </w:p>
        </w:tc>
        <w:tc>
          <w:tcPr>
            <w:tcW w:w="971" w:type="dxa"/>
          </w:tcPr>
          <w:p w14:paraId="26AA5EE2"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B1</w:t>
            </w:r>
          </w:p>
        </w:tc>
        <w:tc>
          <w:tcPr>
            <w:tcW w:w="1418" w:type="dxa"/>
          </w:tcPr>
          <w:p w14:paraId="7106D206"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01/01/2015</w:t>
            </w:r>
          </w:p>
        </w:tc>
        <w:tc>
          <w:tcPr>
            <w:tcW w:w="1301" w:type="dxa"/>
          </w:tcPr>
          <w:p w14:paraId="2DB42CC9" w14:textId="77777777" w:rsidR="00E85716" w:rsidRPr="00E85716" w:rsidRDefault="00E85716" w:rsidP="00E85716">
            <w:pPr>
              <w:keepLines/>
              <w:spacing w:before="240"/>
              <w:jc w:val="center"/>
              <w:rPr>
                <w:rFonts w:eastAsiaTheme="minorHAnsi"/>
                <w:szCs w:val="22"/>
                <w:lang w:eastAsia="en-US"/>
              </w:rPr>
            </w:pPr>
          </w:p>
        </w:tc>
        <w:tc>
          <w:tcPr>
            <w:tcW w:w="1614" w:type="dxa"/>
          </w:tcPr>
          <w:p w14:paraId="7426F78E"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Texto completo (ST.36)</w:t>
            </w:r>
          </w:p>
        </w:tc>
        <w:sdt>
          <w:sdtPr>
            <w:rPr>
              <w:rFonts w:eastAsiaTheme="minorHAnsi"/>
              <w:szCs w:val="22"/>
              <w:lang w:eastAsia="en-US"/>
            </w:rPr>
            <w:alias w:val="Fuente del documento"/>
            <w:tag w:val="Source of Document"/>
            <w:id w:val="-477383303"/>
            <w:placeholder>
              <w:docPart w:val="604658AE37164814BFA2B3DDE86AD9A8"/>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706" w:type="dxa"/>
              </w:tcPr>
              <w:p w14:paraId="15F3E8F1" w14:textId="77777777" w:rsidR="00E85716" w:rsidRPr="00E85716" w:rsidRDefault="00E85716" w:rsidP="00E85716">
                <w:pPr>
                  <w:keepLines/>
                  <w:spacing w:before="240"/>
                  <w:jc w:val="center"/>
                  <w:rPr>
                    <w:rFonts w:eastAsiaTheme="minorHAnsi"/>
                    <w:szCs w:val="22"/>
                    <w:lang w:eastAsia="en-US"/>
                  </w:rPr>
                </w:pPr>
                <w:r w:rsidRPr="00E85716">
                  <w:rPr>
                    <w:rFonts w:eastAsiaTheme="minorHAnsi"/>
                    <w:szCs w:val="22"/>
                    <w:lang w:eastAsia="en-US"/>
                  </w:rPr>
                  <w:t>Repositorio en línea alojado por esta Oficina</w:t>
                </w:r>
              </w:p>
            </w:tc>
          </w:sdtContent>
        </w:sdt>
      </w:tr>
    </w:tbl>
    <w:p w14:paraId="2250EAF1" w14:textId="77777777" w:rsidR="00E85716" w:rsidRPr="00E85716" w:rsidRDefault="00E85716" w:rsidP="00E85716">
      <w:pPr>
        <w:rPr>
          <w:szCs w:val="22"/>
        </w:rPr>
      </w:pPr>
    </w:p>
    <w:p w14:paraId="1551D760" w14:textId="77777777" w:rsidR="00E85716" w:rsidRPr="00E85716" w:rsidRDefault="00E85716" w:rsidP="00E85716">
      <w:pPr>
        <w:keepNext/>
        <w:pBdr>
          <w:top w:val="single" w:sz="4" w:space="1" w:color="auto"/>
        </w:pBdr>
        <w:spacing w:after="240"/>
        <w:outlineLvl w:val="1"/>
        <w:rPr>
          <w:b/>
          <w:bCs/>
          <w:caps/>
          <w:szCs w:val="22"/>
        </w:rPr>
      </w:pPr>
      <w:r w:rsidRPr="00E85716">
        <w:rPr>
          <w:b/>
          <w:bCs/>
          <w:caps/>
          <w:szCs w:val="22"/>
        </w:rPr>
        <w:t>2.3. Acceso a la documentación mínima</w:t>
      </w:r>
    </w:p>
    <w:p w14:paraId="0D0C6608" w14:textId="77777777" w:rsidR="00E85716" w:rsidRPr="00E85716" w:rsidRDefault="00E85716" w:rsidP="00E85716">
      <w:pPr>
        <w:keepLines/>
        <w:spacing w:after="240"/>
        <w:ind w:left="567" w:right="567"/>
        <w:rPr>
          <w:bCs/>
          <w:szCs w:val="22"/>
        </w:rPr>
      </w:pPr>
      <w:r w:rsidRPr="00E85716">
        <w:rPr>
          <w:i/>
          <w:szCs w:val="22"/>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2FB2FE93" w14:textId="77777777" w:rsidR="00E85716" w:rsidRPr="00E85716" w:rsidRDefault="00E85716" w:rsidP="00E85716">
      <w:pPr>
        <w:keepLines/>
        <w:spacing w:after="120"/>
        <w:ind w:right="-6"/>
        <w:jc w:val="both"/>
        <w:rPr>
          <w:bCs/>
          <w:szCs w:val="22"/>
        </w:rPr>
      </w:pPr>
      <w:r w:rsidRPr="00E85716">
        <w:rPr>
          <w:szCs w:val="22"/>
        </w:rPr>
        <w:t>La SAIP tiene licencias de acceso integral a las siguientes bases de datos:</w:t>
      </w:r>
    </w:p>
    <w:p w14:paraId="00DD13B0" w14:textId="77777777" w:rsidR="00E85716" w:rsidRPr="00E85716" w:rsidRDefault="00E85716" w:rsidP="00E85716">
      <w:pPr>
        <w:keepLines/>
        <w:numPr>
          <w:ilvl w:val="0"/>
          <w:numId w:val="11"/>
        </w:numPr>
        <w:spacing w:after="240" w:line="276" w:lineRule="auto"/>
        <w:ind w:right="-5"/>
        <w:contextualSpacing/>
        <w:jc w:val="both"/>
        <w:rPr>
          <w:rFonts w:eastAsia="Times New Roman"/>
          <w:szCs w:val="22"/>
          <w:lang w:val="en-US" w:eastAsia="en-US"/>
        </w:rPr>
      </w:pPr>
      <w:r w:rsidRPr="00E85716">
        <w:rPr>
          <w:rFonts w:eastAsia="Times New Roman"/>
          <w:szCs w:val="22"/>
          <w:lang w:val="en-US" w:eastAsia="en-US"/>
        </w:rPr>
        <w:t>Derwent (</w:t>
      </w:r>
      <w:proofErr w:type="spellStart"/>
      <w:r w:rsidRPr="00E85716">
        <w:rPr>
          <w:rFonts w:eastAsia="Times New Roman"/>
          <w:szCs w:val="22"/>
          <w:lang w:val="en-US" w:eastAsia="en-US"/>
        </w:rPr>
        <w:t>SequenceBase</w:t>
      </w:r>
      <w:proofErr w:type="spellEnd"/>
      <w:r w:rsidRPr="00E85716">
        <w:rPr>
          <w:rFonts w:eastAsia="Times New Roman"/>
          <w:szCs w:val="22"/>
          <w:lang w:val="en-US" w:eastAsia="en-US"/>
        </w:rPr>
        <w:t xml:space="preserve">, Search with Simplicity, Innovation, CAS </w:t>
      </w:r>
      <w:proofErr w:type="spellStart"/>
      <w:r w:rsidRPr="00E85716">
        <w:rPr>
          <w:rFonts w:eastAsia="Times New Roman"/>
          <w:szCs w:val="22"/>
          <w:lang w:val="en-US" w:eastAsia="en-US"/>
        </w:rPr>
        <w:t>SciFinder</w:t>
      </w:r>
      <w:proofErr w:type="spellEnd"/>
      <w:r w:rsidRPr="00E85716">
        <w:rPr>
          <w:rFonts w:eastAsia="Times New Roman"/>
          <w:szCs w:val="22"/>
          <w:lang w:val="en-US" w:eastAsia="en-US"/>
        </w:rPr>
        <w:t>)</w:t>
      </w:r>
    </w:p>
    <w:p w14:paraId="3C4908F3" w14:textId="22332CE5" w:rsidR="00E85716" w:rsidRPr="00E85716" w:rsidRDefault="00E85716" w:rsidP="00E85716">
      <w:pPr>
        <w:numPr>
          <w:ilvl w:val="0"/>
          <w:numId w:val="11"/>
        </w:numPr>
        <w:spacing w:line="276" w:lineRule="auto"/>
        <w:ind w:right="-5"/>
        <w:contextualSpacing/>
        <w:jc w:val="both"/>
        <w:rPr>
          <w:rFonts w:eastAsia="Times New Roman"/>
          <w:szCs w:val="22"/>
          <w:lang w:eastAsia="en-US"/>
        </w:rPr>
      </w:pPr>
      <w:r w:rsidRPr="00E85716">
        <w:rPr>
          <w:rFonts w:eastAsia="Times New Roman"/>
          <w:szCs w:val="22"/>
          <w:lang w:eastAsia="en-US"/>
        </w:rPr>
        <w:t xml:space="preserve">CAS </w:t>
      </w:r>
      <w:proofErr w:type="spellStart"/>
      <w:r w:rsidRPr="00E85716">
        <w:rPr>
          <w:rFonts w:eastAsia="Times New Roman"/>
          <w:szCs w:val="22"/>
          <w:lang w:eastAsia="en-US"/>
        </w:rPr>
        <w:t>BioFinder</w:t>
      </w:r>
      <w:proofErr w:type="spellEnd"/>
      <w:r w:rsidRPr="00E85716">
        <w:rPr>
          <w:rFonts w:eastAsia="Times New Roman"/>
          <w:szCs w:val="22"/>
          <w:lang w:eastAsia="en-US"/>
        </w:rPr>
        <w:t>™</w:t>
      </w:r>
      <w:r>
        <w:rPr>
          <w:rFonts w:eastAsia="Times New Roman"/>
          <w:szCs w:val="22"/>
          <w:lang w:eastAsia="en-US"/>
        </w:rPr>
        <w:t xml:space="preserve"> </w:t>
      </w:r>
    </w:p>
    <w:p w14:paraId="58E92D17" w14:textId="77777777" w:rsidR="00E85716" w:rsidRPr="00E85716" w:rsidRDefault="00E85716" w:rsidP="00E85716">
      <w:pPr>
        <w:keepLines/>
        <w:numPr>
          <w:ilvl w:val="0"/>
          <w:numId w:val="11"/>
        </w:numPr>
        <w:spacing w:after="240"/>
        <w:ind w:left="714" w:right="-6" w:hanging="357"/>
        <w:jc w:val="both"/>
        <w:rPr>
          <w:rFonts w:eastAsia="Times New Roman"/>
          <w:szCs w:val="22"/>
          <w:lang w:eastAsia="en-US"/>
        </w:rPr>
      </w:pPr>
      <w:proofErr w:type="spellStart"/>
      <w:r w:rsidRPr="00E85716">
        <w:rPr>
          <w:rFonts w:eastAsia="Times New Roman"/>
          <w:szCs w:val="22"/>
          <w:lang w:eastAsia="en-US"/>
        </w:rPr>
        <w:t>Derwent</w:t>
      </w:r>
      <w:proofErr w:type="spellEnd"/>
      <w:r w:rsidRPr="00E85716">
        <w:rPr>
          <w:rFonts w:eastAsia="Times New Roman"/>
          <w:szCs w:val="22"/>
          <w:lang w:eastAsia="en-US"/>
        </w:rPr>
        <w:t xml:space="preserve"> </w:t>
      </w:r>
      <w:proofErr w:type="spellStart"/>
      <w:r w:rsidRPr="00E85716">
        <w:rPr>
          <w:rFonts w:eastAsia="Times New Roman"/>
          <w:szCs w:val="22"/>
          <w:lang w:eastAsia="en-US"/>
        </w:rPr>
        <w:t>Innovation</w:t>
      </w:r>
      <w:proofErr w:type="spellEnd"/>
    </w:p>
    <w:p w14:paraId="0473B65B" w14:textId="77777777" w:rsidR="00E85716" w:rsidRPr="00E85716" w:rsidRDefault="00E85716" w:rsidP="00E85716">
      <w:pPr>
        <w:keepLines/>
        <w:spacing w:after="120"/>
        <w:ind w:right="-6"/>
        <w:jc w:val="both"/>
        <w:rPr>
          <w:szCs w:val="22"/>
        </w:rPr>
      </w:pPr>
      <w:r w:rsidRPr="00E85716">
        <w:rPr>
          <w:szCs w:val="22"/>
        </w:rPr>
        <w:t>Además, los examinadores hacen uso de:</w:t>
      </w:r>
    </w:p>
    <w:p w14:paraId="66278338" w14:textId="77777777" w:rsidR="00E85716" w:rsidRPr="00E85716" w:rsidRDefault="00E85716" w:rsidP="00E85716">
      <w:pPr>
        <w:keepLines/>
        <w:numPr>
          <w:ilvl w:val="0"/>
          <w:numId w:val="12"/>
        </w:numPr>
        <w:spacing w:after="240" w:line="276" w:lineRule="auto"/>
        <w:ind w:right="-5"/>
        <w:contextualSpacing/>
        <w:jc w:val="both"/>
        <w:rPr>
          <w:rFonts w:eastAsia="Times New Roman"/>
          <w:szCs w:val="22"/>
          <w:lang w:eastAsia="en-US"/>
        </w:rPr>
      </w:pPr>
      <w:r w:rsidRPr="00E85716">
        <w:rPr>
          <w:rFonts w:eastAsia="Times New Roman"/>
          <w:szCs w:val="22"/>
          <w:lang w:eastAsia="en-US"/>
        </w:rPr>
        <w:t>PATENTSCOPE</w:t>
      </w:r>
    </w:p>
    <w:p w14:paraId="14E1E419" w14:textId="5A3B7803" w:rsidR="00E85716" w:rsidRPr="00E85716" w:rsidRDefault="00E85716" w:rsidP="00E85716">
      <w:pPr>
        <w:keepLines/>
        <w:numPr>
          <w:ilvl w:val="0"/>
          <w:numId w:val="12"/>
        </w:numPr>
        <w:spacing w:after="240"/>
        <w:ind w:left="714" w:right="-6" w:hanging="357"/>
        <w:jc w:val="both"/>
        <w:rPr>
          <w:rFonts w:eastAsia="Times New Roman"/>
          <w:szCs w:val="22"/>
          <w:lang w:eastAsia="en-US"/>
        </w:rPr>
      </w:pPr>
      <w:r w:rsidRPr="00E85716">
        <w:rPr>
          <w:rFonts w:eastAsia="Times New Roman"/>
          <w:szCs w:val="22"/>
          <w:lang w:eastAsia="en-US"/>
        </w:rPr>
        <w:t xml:space="preserve">Google </w:t>
      </w:r>
      <w:proofErr w:type="spellStart"/>
      <w:r w:rsidRPr="00E85716">
        <w:rPr>
          <w:rFonts w:eastAsia="Times New Roman"/>
          <w:szCs w:val="22"/>
          <w:lang w:eastAsia="en-US"/>
        </w:rPr>
        <w:t>Patents</w:t>
      </w:r>
      <w:proofErr w:type="spellEnd"/>
    </w:p>
    <w:p w14:paraId="38F84403" w14:textId="77777777" w:rsidR="00E85716" w:rsidRPr="00E85716" w:rsidRDefault="00E85716" w:rsidP="00E85716">
      <w:pPr>
        <w:keepLines/>
        <w:spacing w:after="240"/>
        <w:ind w:right="-6"/>
        <w:jc w:val="both"/>
        <w:rPr>
          <w:szCs w:val="22"/>
        </w:rPr>
      </w:pPr>
      <w:r w:rsidRPr="00E85716">
        <w:rPr>
          <w:szCs w:val="22"/>
        </w:rPr>
        <w:t>y las bases de datos gratuitas de la Oficina de Patentes y Marcas de los Estados Unidos (USPTO) para realizar búsquedas de documentos de patentes.</w:t>
      </w:r>
    </w:p>
    <w:p w14:paraId="2755F205" w14:textId="77777777" w:rsidR="00E85716" w:rsidRPr="00E85716" w:rsidRDefault="00E85716" w:rsidP="00E85716">
      <w:pPr>
        <w:keepLines/>
        <w:spacing w:after="120"/>
        <w:ind w:right="-6"/>
        <w:jc w:val="both"/>
        <w:rPr>
          <w:szCs w:val="22"/>
        </w:rPr>
      </w:pPr>
      <w:r w:rsidRPr="00E85716">
        <w:rPr>
          <w:szCs w:val="22"/>
        </w:rPr>
        <w:t>Para la búsqueda de documentos no relacionados con patentes y el acceso a los mismos, la SAIP recurre a:</w:t>
      </w:r>
    </w:p>
    <w:p w14:paraId="273275DF" w14:textId="77777777" w:rsidR="00E85716" w:rsidRPr="00E85716" w:rsidRDefault="00E85716" w:rsidP="00E85716">
      <w:pPr>
        <w:keepLines/>
        <w:numPr>
          <w:ilvl w:val="0"/>
          <w:numId w:val="11"/>
        </w:numPr>
        <w:spacing w:after="240" w:line="276" w:lineRule="auto"/>
        <w:ind w:right="-5"/>
        <w:contextualSpacing/>
        <w:jc w:val="both"/>
        <w:rPr>
          <w:rFonts w:eastAsia="Times New Roman"/>
          <w:szCs w:val="22"/>
          <w:lang w:eastAsia="en-US"/>
        </w:rPr>
      </w:pPr>
      <w:r w:rsidRPr="00E85716">
        <w:rPr>
          <w:rFonts w:eastAsia="Times New Roman"/>
          <w:szCs w:val="22"/>
          <w:lang w:eastAsia="en-US"/>
        </w:rPr>
        <w:t>SDL (Biblioteca Digital Saudita)</w:t>
      </w:r>
    </w:p>
    <w:p w14:paraId="55E0AD7F" w14:textId="77777777" w:rsidR="00E85716" w:rsidRPr="00E85716" w:rsidRDefault="00E85716" w:rsidP="00E85716">
      <w:pPr>
        <w:keepLines/>
        <w:numPr>
          <w:ilvl w:val="0"/>
          <w:numId w:val="11"/>
        </w:numPr>
        <w:spacing w:after="240"/>
        <w:ind w:left="714" w:right="-6" w:hanging="357"/>
        <w:jc w:val="both"/>
        <w:rPr>
          <w:rFonts w:eastAsia="Times New Roman"/>
          <w:szCs w:val="22"/>
          <w:lang w:eastAsia="en-US"/>
        </w:rPr>
      </w:pPr>
      <w:proofErr w:type="spellStart"/>
      <w:r w:rsidRPr="00E85716">
        <w:rPr>
          <w:rFonts w:eastAsia="Times New Roman"/>
          <w:szCs w:val="22"/>
          <w:lang w:eastAsia="en-US"/>
        </w:rPr>
        <w:t>Derwent</w:t>
      </w:r>
      <w:proofErr w:type="spellEnd"/>
    </w:p>
    <w:p w14:paraId="276CD7E6" w14:textId="77777777" w:rsidR="00E85716" w:rsidRPr="00E85716" w:rsidRDefault="00E85716" w:rsidP="00E85716">
      <w:pPr>
        <w:keepLines/>
        <w:spacing w:after="240" w:line="276" w:lineRule="auto"/>
        <w:ind w:right="-5"/>
        <w:jc w:val="both"/>
        <w:rPr>
          <w:szCs w:val="22"/>
        </w:rPr>
      </w:pPr>
      <w:r w:rsidRPr="00E85716">
        <w:rPr>
          <w:szCs w:val="22"/>
        </w:rPr>
        <w:t>También utiliza fuentes abiertas.</w:t>
      </w:r>
    </w:p>
    <w:p w14:paraId="15A36893" w14:textId="77777777" w:rsidR="00E85716" w:rsidRPr="00E85716" w:rsidRDefault="00E85716" w:rsidP="00E85716">
      <w:pPr>
        <w:keepNext/>
        <w:pBdr>
          <w:top w:val="single" w:sz="4" w:space="1" w:color="auto"/>
        </w:pBdr>
        <w:spacing w:before="240" w:after="120"/>
        <w:outlineLvl w:val="1"/>
        <w:rPr>
          <w:b/>
          <w:bCs/>
          <w:caps/>
          <w:szCs w:val="22"/>
        </w:rPr>
      </w:pPr>
      <w:r w:rsidRPr="00E85716">
        <w:rPr>
          <w:b/>
          <w:bCs/>
          <w:caps/>
          <w:szCs w:val="22"/>
        </w:rPr>
        <w:t>2.4. Gestión de la calidad</w:t>
      </w:r>
    </w:p>
    <w:p w14:paraId="5A7F20C0" w14:textId="77777777" w:rsidR="00E85716" w:rsidRPr="00E85716" w:rsidRDefault="00E85716" w:rsidP="00E85716">
      <w:pPr>
        <w:keepLines/>
        <w:spacing w:after="240"/>
        <w:ind w:left="567" w:right="567"/>
        <w:rPr>
          <w:bCs/>
          <w:i/>
          <w:iCs/>
          <w:szCs w:val="22"/>
        </w:rPr>
      </w:pPr>
      <w:r w:rsidRPr="00E85716">
        <w:rPr>
          <w:i/>
          <w:szCs w:val="22"/>
        </w:rPr>
        <w:t>Reglas 36.</w:t>
      </w:r>
      <w:proofErr w:type="gramStart"/>
      <w:r w:rsidRPr="00E85716">
        <w:rPr>
          <w:i/>
          <w:szCs w:val="22"/>
        </w:rPr>
        <w:t>1.iv</w:t>
      </w:r>
      <w:proofErr w:type="gramEnd"/>
      <w:r w:rsidRPr="00E85716">
        <w:rPr>
          <w:i/>
          <w:szCs w:val="22"/>
        </w:rPr>
        <w:t>) y 63.1.iv): Esa Oficina u organización deberá disponer de un sistema de gestión de calidad y un sistema de revisión interna, conforme a las reglas comunes de la búsqueda internacional.</w:t>
      </w:r>
    </w:p>
    <w:p w14:paraId="5A18473B" w14:textId="696DDCC3" w:rsidR="00E85716" w:rsidRPr="00E85716" w:rsidRDefault="00E85716" w:rsidP="00E85716">
      <w:pPr>
        <w:keepLines/>
        <w:spacing w:after="240"/>
        <w:ind w:right="567"/>
        <w:rPr>
          <w:b/>
          <w:szCs w:val="22"/>
        </w:rPr>
      </w:pPr>
      <w:r w:rsidRPr="00E85716">
        <w:rPr>
          <w:szCs w:val="22"/>
        </w:rPr>
        <w:t>El informe SGC proporciona información de la Administración sobre el sistema de gestión de la calidad implantado conforme al Capítulo 21 de las Directrices e incluye un informe conforme al párrafo</w:t>
      </w:r>
      <w:r>
        <w:rPr>
          <w:szCs w:val="22"/>
        </w:rPr>
        <w:t> </w:t>
      </w:r>
      <w:r w:rsidRPr="00E85716">
        <w:rPr>
          <w:szCs w:val="22"/>
        </w:rPr>
        <w:t>21.09 de las disposiciones de revisión interna que se describen con más detalle en los párrafos</w:t>
      </w:r>
      <w:r>
        <w:rPr>
          <w:szCs w:val="22"/>
        </w:rPr>
        <w:t> </w:t>
      </w:r>
      <w:r w:rsidRPr="00E85716">
        <w:rPr>
          <w:szCs w:val="22"/>
        </w:rPr>
        <w:t>21.27 a</w:t>
      </w:r>
      <w:r>
        <w:rPr>
          <w:szCs w:val="22"/>
        </w:rPr>
        <w:t> </w:t>
      </w:r>
      <w:r w:rsidRPr="00E85716">
        <w:rPr>
          <w:szCs w:val="22"/>
        </w:rPr>
        <w:t>21.30 de las Directrices.</w:t>
      </w:r>
    </w:p>
    <w:p w14:paraId="70718855" w14:textId="77777777" w:rsidR="00E85716" w:rsidRPr="00E85716" w:rsidRDefault="00E85716" w:rsidP="00E85716">
      <w:pPr>
        <w:keepLines/>
        <w:spacing w:after="240"/>
        <w:ind w:right="567"/>
        <w:rPr>
          <w:bCs/>
          <w:szCs w:val="22"/>
        </w:rPr>
      </w:pPr>
    </w:p>
    <w:p w14:paraId="4E882648" w14:textId="77777777" w:rsidR="00E85716" w:rsidRPr="00E85716" w:rsidRDefault="00E85716" w:rsidP="00E85716">
      <w:pPr>
        <w:keepNext/>
        <w:pBdr>
          <w:top w:val="single" w:sz="4" w:space="1" w:color="auto"/>
        </w:pBdr>
        <w:spacing w:before="240" w:after="60"/>
        <w:outlineLvl w:val="1"/>
        <w:rPr>
          <w:b/>
          <w:bCs/>
          <w:caps/>
          <w:szCs w:val="22"/>
        </w:rPr>
      </w:pPr>
      <w:r w:rsidRPr="00E85716">
        <w:rPr>
          <w:b/>
          <w:bCs/>
          <w:caps/>
          <w:szCs w:val="22"/>
        </w:rPr>
        <w:t>3. Ámbito de actuación</w:t>
      </w:r>
    </w:p>
    <w:p w14:paraId="5831664E" w14:textId="77777777" w:rsidR="00E85716" w:rsidRPr="00E85716" w:rsidRDefault="00E85716" w:rsidP="00E85716">
      <w:pPr>
        <w:keepLines/>
        <w:spacing w:before="240" w:after="120"/>
        <w:rPr>
          <w:b/>
          <w:bCs/>
          <w:szCs w:val="22"/>
        </w:rPr>
      </w:pPr>
      <w:r w:rsidRPr="00E85716">
        <w:rPr>
          <w:b/>
          <w:szCs w:val="22"/>
        </w:rPr>
        <w:t>a)</w:t>
      </w:r>
      <w:r w:rsidRPr="00E85716">
        <w:rPr>
          <w:b/>
          <w:szCs w:val="22"/>
        </w:rPr>
        <w:tab/>
        <w:t>Ámbito de actuación actual</w:t>
      </w:r>
    </w:p>
    <w:p w14:paraId="7A2EA97B" w14:textId="77777777" w:rsidR="00E85716" w:rsidRPr="00E85716" w:rsidRDefault="00E85716" w:rsidP="00E85716">
      <w:pPr>
        <w:spacing w:after="120"/>
        <w:rPr>
          <w:szCs w:val="22"/>
        </w:rPr>
      </w:pPr>
      <w:r w:rsidRPr="00E85716">
        <w:rPr>
          <w:szCs w:val="22"/>
        </w:rPr>
        <w:t>Se han alcanzado acuerdos con las siguientes oficinas receptoras, por los que la SAIP es competente para examinar las solicitudes que se le presenten en calidad de Administración encargada de la búsqueda internacional y del examen preliminar:</w:t>
      </w:r>
    </w:p>
    <w:p w14:paraId="16DFCE07" w14:textId="77777777" w:rsidR="00E85716" w:rsidRPr="00E85716" w:rsidRDefault="00E85716" w:rsidP="00E85716">
      <w:pPr>
        <w:numPr>
          <w:ilvl w:val="0"/>
          <w:numId w:val="10"/>
        </w:numPr>
        <w:spacing w:after="120"/>
        <w:ind w:left="357" w:hanging="357"/>
        <w:rPr>
          <w:rFonts w:eastAsia="Times New Roman"/>
          <w:szCs w:val="22"/>
          <w:lang w:eastAsia="en-US"/>
        </w:rPr>
      </w:pPr>
      <w:r w:rsidRPr="00E85716">
        <w:rPr>
          <w:rFonts w:eastAsia="Times New Roman"/>
          <w:szCs w:val="22"/>
          <w:lang w:eastAsia="en-US"/>
        </w:rPr>
        <w:t xml:space="preserve">Ministerio de Industria y Comercio del Reino de </w:t>
      </w:r>
      <w:proofErr w:type="spellStart"/>
      <w:r w:rsidRPr="00E85716">
        <w:rPr>
          <w:rFonts w:eastAsia="Times New Roman"/>
          <w:szCs w:val="22"/>
          <w:lang w:eastAsia="en-US"/>
        </w:rPr>
        <w:t>Bahrein</w:t>
      </w:r>
      <w:proofErr w:type="spellEnd"/>
    </w:p>
    <w:p w14:paraId="22EF9B44" w14:textId="77777777" w:rsidR="00E85716" w:rsidRPr="00E85716" w:rsidRDefault="00E85716" w:rsidP="00E85716">
      <w:pPr>
        <w:numPr>
          <w:ilvl w:val="0"/>
          <w:numId w:val="10"/>
        </w:numPr>
        <w:spacing w:after="120"/>
        <w:ind w:left="357" w:hanging="357"/>
        <w:rPr>
          <w:rFonts w:eastAsia="Times New Roman"/>
          <w:szCs w:val="22"/>
          <w:lang w:eastAsia="en-US"/>
        </w:rPr>
      </w:pPr>
      <w:r w:rsidRPr="00E85716">
        <w:rPr>
          <w:rFonts w:eastAsia="Times New Roman"/>
          <w:szCs w:val="22"/>
          <w:lang w:eastAsia="en-US"/>
        </w:rPr>
        <w:t>Oficina Nacional de Propiedad Intelectual de Omán</w:t>
      </w:r>
    </w:p>
    <w:p w14:paraId="5D24466F" w14:textId="77777777" w:rsidR="00E85716" w:rsidRPr="00E85716" w:rsidRDefault="00E85716" w:rsidP="00E85716">
      <w:pPr>
        <w:numPr>
          <w:ilvl w:val="0"/>
          <w:numId w:val="10"/>
        </w:numPr>
        <w:spacing w:after="240"/>
        <w:ind w:left="357" w:hanging="357"/>
        <w:rPr>
          <w:rFonts w:eastAsia="Times New Roman"/>
          <w:szCs w:val="22"/>
          <w:lang w:eastAsia="en-US"/>
        </w:rPr>
      </w:pPr>
      <w:r w:rsidRPr="00E85716">
        <w:rPr>
          <w:rFonts w:eastAsia="Times New Roman"/>
          <w:szCs w:val="22"/>
          <w:lang w:eastAsia="en-US"/>
        </w:rPr>
        <w:t>Departamento de Propiedad Intelectual de Qatar</w:t>
      </w:r>
    </w:p>
    <w:p w14:paraId="7B0BFFE3" w14:textId="77777777" w:rsidR="00E85716" w:rsidRPr="00E85716" w:rsidRDefault="00E85716" w:rsidP="00E85716">
      <w:pPr>
        <w:spacing w:after="240"/>
        <w:rPr>
          <w:szCs w:val="22"/>
        </w:rPr>
      </w:pPr>
      <w:r w:rsidRPr="00E85716">
        <w:rPr>
          <w:szCs w:val="22"/>
        </w:rPr>
        <w:t>Los idiomas admitidos son el árabe y el inglés.</w:t>
      </w:r>
    </w:p>
    <w:p w14:paraId="2FB1CF29" w14:textId="096DBE47" w:rsidR="00E85716" w:rsidRPr="00E85716" w:rsidRDefault="00E85716" w:rsidP="00E85716">
      <w:pPr>
        <w:keepLines/>
        <w:spacing w:after="240"/>
        <w:rPr>
          <w:szCs w:val="22"/>
        </w:rPr>
      </w:pPr>
      <w:r w:rsidRPr="00E85716">
        <w:rPr>
          <w:szCs w:val="22"/>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E85716">
        <w:rPr>
          <w:i/>
          <w:szCs w:val="22"/>
        </w:rPr>
        <w:t>Guía del Solicitante del PCT</w:t>
      </w:r>
      <w:r w:rsidRPr="00E85716">
        <w:rPr>
          <w:szCs w:val="22"/>
        </w:rPr>
        <w:t xml:space="preserve">, en los siguientes enlaces: </w:t>
      </w:r>
      <w:hyperlink r:id="rId13" w:anchor="ISA" w:history="1">
        <w:r w:rsidRPr="00E85716">
          <w:rPr>
            <w:color w:val="0000FF" w:themeColor="hyperlink"/>
            <w:szCs w:val="22"/>
            <w:u w:val="single"/>
          </w:rPr>
          <w:t>https://pctlegal.wipo.int/eGuide/view-doc.xhtml?doc-code=SA&amp;doc-lang=en#ISA</w:t>
        </w:r>
      </w:hyperlink>
      <w:r w:rsidRPr="00E85716">
        <w:rPr>
          <w:szCs w:val="22"/>
        </w:rPr>
        <w:t xml:space="preserve"> y</w:t>
      </w:r>
      <w:hyperlink r:id="rId14" w:anchor="IPEA" w:history="1">
        <w:r w:rsidRPr="00E85716">
          <w:rPr>
            <w:color w:val="0000FF" w:themeColor="hyperlink"/>
            <w:szCs w:val="22"/>
            <w:u w:val="single"/>
          </w:rPr>
          <w:t>https://pctlegal.wipo.int/eGuide/view-doc.xhtml?doc-code=SA&amp;doc-lang=en#IPEA</w:t>
        </w:r>
      </w:hyperlink>
      <w:r w:rsidRPr="00E85716">
        <w:rPr>
          <w:szCs w:val="22"/>
        </w:rPr>
        <w:t>.</w:t>
      </w:r>
    </w:p>
    <w:p w14:paraId="5365296A" w14:textId="77777777" w:rsidR="00E85716" w:rsidRPr="00E85716" w:rsidRDefault="00E85716" w:rsidP="00E85716">
      <w:pPr>
        <w:keepLines/>
        <w:spacing w:after="120"/>
        <w:rPr>
          <w:b/>
          <w:bCs/>
          <w:szCs w:val="22"/>
        </w:rPr>
      </w:pPr>
      <w:r w:rsidRPr="00E85716">
        <w:rPr>
          <w:b/>
          <w:szCs w:val="22"/>
        </w:rPr>
        <w:t>b)</w:t>
      </w:r>
      <w:r w:rsidRPr="00E85716">
        <w:rPr>
          <w:b/>
          <w:szCs w:val="22"/>
        </w:rPr>
        <w:tab/>
        <w:t>Cambios previstos en el ámbito de actuación como Administración, tales como las Oficinas receptoras para las que la Administración es competente y los idiomas ofrecidos (si procede):</w:t>
      </w:r>
    </w:p>
    <w:p w14:paraId="6AF2B952" w14:textId="77777777" w:rsidR="00E85716" w:rsidRPr="00E85716" w:rsidRDefault="00E85716" w:rsidP="00E85716">
      <w:pPr>
        <w:spacing w:after="120"/>
        <w:ind w:right="-357"/>
        <w:rPr>
          <w:szCs w:val="22"/>
        </w:rPr>
      </w:pPr>
      <w:r w:rsidRPr="00E85716">
        <w:rPr>
          <w:szCs w:val="22"/>
        </w:rPr>
        <w:t>Se formuló el plan de negociación para designar a la SAIP como Administración encargada de la búsqueda internacional y del examen preliminar internacional en colaboración con las oficinas asociadas, siguiendo un marco que incluía los siguientes elementos:</w:t>
      </w:r>
    </w:p>
    <w:p w14:paraId="65DF4DEA" w14:textId="77777777" w:rsidR="00E85716" w:rsidRPr="00E85716" w:rsidRDefault="00E85716" w:rsidP="00E85716">
      <w:pPr>
        <w:keepNext/>
        <w:numPr>
          <w:ilvl w:val="0"/>
          <w:numId w:val="8"/>
        </w:numPr>
        <w:spacing w:after="120"/>
        <w:ind w:right="-360"/>
        <w:rPr>
          <w:szCs w:val="22"/>
        </w:rPr>
      </w:pPr>
      <w:r w:rsidRPr="00E85716">
        <w:rPr>
          <w:szCs w:val="22"/>
        </w:rPr>
        <w:t>Criterios para seleccionar los países para los que la SAIP podría actuar como ISA:</w:t>
      </w:r>
    </w:p>
    <w:p w14:paraId="42BCEB0A" w14:textId="77777777" w:rsidR="00E85716" w:rsidRPr="00E85716" w:rsidRDefault="00E85716" w:rsidP="00E85716">
      <w:pPr>
        <w:keepNext/>
        <w:spacing w:after="120"/>
        <w:ind w:left="525" w:right="-360"/>
        <w:rPr>
          <w:szCs w:val="22"/>
        </w:rPr>
      </w:pPr>
      <w:r w:rsidRPr="00E85716">
        <w:rPr>
          <w:szCs w:val="22"/>
        </w:rPr>
        <w:t>Principales oficinas receptoras árabes que han comenzado a tramitar solicitudes internacionales e importancia de mantener con ellas una colaboración continua.</w:t>
      </w:r>
    </w:p>
    <w:p w14:paraId="46A95CC2" w14:textId="77777777" w:rsidR="00E85716" w:rsidRPr="00E85716" w:rsidRDefault="00E85716" w:rsidP="00E85716">
      <w:pPr>
        <w:numPr>
          <w:ilvl w:val="0"/>
          <w:numId w:val="8"/>
        </w:numPr>
        <w:spacing w:after="120"/>
        <w:ind w:right="-360"/>
        <w:rPr>
          <w:szCs w:val="22"/>
        </w:rPr>
      </w:pPr>
      <w:r w:rsidRPr="00E85716">
        <w:rPr>
          <w:szCs w:val="22"/>
        </w:rPr>
        <w:t>Selección de los países objetivo y la zona geográfica, como se indica a continuación:</w:t>
      </w:r>
    </w:p>
    <w:p w14:paraId="6A584A4D" w14:textId="77777777" w:rsidR="00E85716" w:rsidRPr="00E85716" w:rsidRDefault="00E85716" w:rsidP="00E85716">
      <w:pPr>
        <w:spacing w:after="120"/>
        <w:ind w:left="525" w:right="-360"/>
        <w:rPr>
          <w:szCs w:val="22"/>
        </w:rPr>
      </w:pPr>
      <w:r w:rsidRPr="00E85716">
        <w:rPr>
          <w:szCs w:val="22"/>
        </w:rPr>
        <w:t>empezando por los Estados del Consejo de Cooperación del Golfo (CCG) y los Estados árabes, e incluyendo, en el futuro, las principales oficinas de presentación de solicitudes internacionales.</w:t>
      </w:r>
    </w:p>
    <w:p w14:paraId="7A6557EA" w14:textId="77777777" w:rsidR="00E85716" w:rsidRPr="00E85716" w:rsidRDefault="00E85716" w:rsidP="00E85716">
      <w:pPr>
        <w:numPr>
          <w:ilvl w:val="0"/>
          <w:numId w:val="8"/>
        </w:numPr>
        <w:ind w:right="-360"/>
        <w:contextualSpacing/>
        <w:rPr>
          <w:szCs w:val="22"/>
        </w:rPr>
      </w:pPr>
      <w:r w:rsidRPr="00E85716">
        <w:rPr>
          <w:szCs w:val="22"/>
        </w:rPr>
        <w:t>Memorandos de entendimiento para orientar el trabajo con las oficinas objetivo.</w:t>
      </w:r>
    </w:p>
    <w:p w14:paraId="1CEAA744" w14:textId="77777777" w:rsidR="00E85716" w:rsidRPr="00E85716" w:rsidRDefault="00E85716" w:rsidP="00E85716">
      <w:pPr>
        <w:keepLines/>
        <w:spacing w:after="480"/>
        <w:rPr>
          <w:szCs w:val="22"/>
          <w:rtl/>
          <w:lang w:bidi="ar-EG"/>
        </w:rPr>
      </w:pPr>
    </w:p>
    <w:p w14:paraId="711FADE6" w14:textId="77777777" w:rsidR="00E85716" w:rsidRPr="00E85716" w:rsidRDefault="00E85716" w:rsidP="00E85716">
      <w:pPr>
        <w:keepNext/>
        <w:keepLines/>
        <w:pBdr>
          <w:top w:val="single" w:sz="4" w:space="1" w:color="auto"/>
        </w:pBdr>
        <w:spacing w:after="120"/>
        <w:outlineLvl w:val="2"/>
        <w:rPr>
          <w:b/>
          <w:bCs/>
          <w:caps/>
          <w:szCs w:val="22"/>
        </w:rPr>
      </w:pPr>
      <w:r w:rsidRPr="00E85716">
        <w:rPr>
          <w:b/>
          <w:caps/>
          <w:szCs w:val="22"/>
        </w:rPr>
        <w:t>4. Otra información</w:t>
      </w:r>
    </w:p>
    <w:p w14:paraId="675F345B" w14:textId="4A31533E" w:rsidR="00E85716" w:rsidRPr="00E85716" w:rsidRDefault="00E85716" w:rsidP="00E85716">
      <w:pPr>
        <w:spacing w:after="120"/>
        <w:rPr>
          <w:szCs w:val="22"/>
        </w:rPr>
      </w:pPr>
      <w:r w:rsidRPr="00E85716">
        <w:rPr>
          <w:szCs w:val="22"/>
        </w:rPr>
        <w:t>Demás información pertinente para la prórroga de la designación como Administración encargada de la búsqueda y del examen preliminar internacionales:</w:t>
      </w:r>
    </w:p>
    <w:p w14:paraId="26C96AA2" w14:textId="77777777" w:rsidR="00E85716" w:rsidRPr="00E85716" w:rsidRDefault="00E85716" w:rsidP="00E85716">
      <w:pPr>
        <w:spacing w:after="120"/>
        <w:rPr>
          <w:b/>
          <w:bCs/>
          <w:szCs w:val="22"/>
        </w:rPr>
      </w:pPr>
      <w:r w:rsidRPr="00E85716">
        <w:rPr>
          <w:b/>
          <w:szCs w:val="22"/>
        </w:rPr>
        <w:t>Guías introductorias y didácticas</w:t>
      </w:r>
    </w:p>
    <w:p w14:paraId="37C4723B" w14:textId="0EA544BC" w:rsidR="00E85716" w:rsidRPr="00E85716" w:rsidRDefault="00E85716" w:rsidP="00E85716">
      <w:pPr>
        <w:spacing w:after="120"/>
        <w:jc w:val="both"/>
        <w:rPr>
          <w:szCs w:val="22"/>
          <w:rtl/>
        </w:rPr>
      </w:pPr>
      <w:r w:rsidRPr="00E85716">
        <w:rPr>
          <w:szCs w:val="22"/>
        </w:rPr>
        <w:t xml:space="preserve">Guías introductorias y didácticas: Una iniciativa clave de la SAIP fue la elaboración de una guía para los solicitantes de habla árabe sobre sus funciones de ISA e IPEA, que abarca todos los procesos. Se ha publicado un manual de búsqueda internacional y de examen preliminar internacional del PCT en árabe e inglés. </w:t>
      </w:r>
    </w:p>
    <w:p w14:paraId="0AD110A8" w14:textId="754AA634" w:rsidR="00E85716" w:rsidRPr="00E85716" w:rsidRDefault="00E85716" w:rsidP="00E85716">
      <w:pPr>
        <w:spacing w:after="120"/>
        <w:jc w:val="both"/>
        <w:rPr>
          <w:rFonts w:eastAsia="Times New Roman"/>
          <w:szCs w:val="22"/>
          <w:rtl/>
          <w:lang w:eastAsia="en-US"/>
        </w:rPr>
      </w:pPr>
      <w:r w:rsidRPr="00E85716">
        <w:rPr>
          <w:rFonts w:eastAsia="Times New Roman"/>
          <w:szCs w:val="22"/>
          <w:lang w:eastAsia="en-US"/>
        </w:rPr>
        <w:t>Las guías y plantillas de la OMPI se han traducido al árabe y se han enviado a la OMPI para que las publique en su sitio web:</w:t>
      </w:r>
    </w:p>
    <w:p w14:paraId="1178A978" w14:textId="77777777" w:rsidR="00E85716" w:rsidRPr="00E85716" w:rsidRDefault="00E85716" w:rsidP="00E85716">
      <w:pPr>
        <w:numPr>
          <w:ilvl w:val="0"/>
          <w:numId w:val="9"/>
        </w:numPr>
        <w:spacing w:after="120"/>
        <w:ind w:left="1134" w:hanging="567"/>
        <w:jc w:val="both"/>
        <w:rPr>
          <w:rFonts w:eastAsia="Times New Roman"/>
          <w:szCs w:val="22"/>
          <w:lang w:eastAsia="en-US"/>
        </w:rPr>
      </w:pPr>
      <w:r w:rsidRPr="00E85716">
        <w:rPr>
          <w:rFonts w:eastAsia="Times New Roman"/>
          <w:szCs w:val="22"/>
          <w:lang w:eastAsia="en-US"/>
        </w:rPr>
        <w:t>Directrices para las oficinas receptoras</w:t>
      </w:r>
    </w:p>
    <w:p w14:paraId="5D0A090E" w14:textId="77777777" w:rsidR="00E85716" w:rsidRPr="00E85716" w:rsidRDefault="00E85716" w:rsidP="00E85716">
      <w:pPr>
        <w:numPr>
          <w:ilvl w:val="0"/>
          <w:numId w:val="9"/>
        </w:numPr>
        <w:spacing w:after="120"/>
        <w:ind w:left="1134" w:hanging="567"/>
        <w:jc w:val="both"/>
        <w:rPr>
          <w:rFonts w:eastAsia="Times New Roman"/>
          <w:szCs w:val="22"/>
          <w:lang w:eastAsia="en-US"/>
        </w:rPr>
      </w:pPr>
      <w:r w:rsidRPr="00E85716">
        <w:rPr>
          <w:rFonts w:eastAsia="Times New Roman"/>
          <w:szCs w:val="22"/>
          <w:lang w:eastAsia="en-US"/>
        </w:rPr>
        <w:t>Directrices para la búsqueda y el examen preliminar internacionales</w:t>
      </w:r>
    </w:p>
    <w:p w14:paraId="650A3B38" w14:textId="77777777" w:rsidR="00E85716" w:rsidRPr="00E85716" w:rsidRDefault="00E85716" w:rsidP="00E85716">
      <w:pPr>
        <w:numPr>
          <w:ilvl w:val="0"/>
          <w:numId w:val="9"/>
        </w:numPr>
        <w:spacing w:after="120"/>
        <w:ind w:left="1134" w:hanging="567"/>
        <w:jc w:val="both"/>
        <w:rPr>
          <w:rFonts w:eastAsia="Times New Roman"/>
          <w:szCs w:val="22"/>
          <w:lang w:eastAsia="en-US"/>
        </w:rPr>
      </w:pPr>
      <w:r w:rsidRPr="00E85716">
        <w:rPr>
          <w:rFonts w:eastAsia="Times New Roman"/>
          <w:szCs w:val="22"/>
          <w:lang w:eastAsia="en-US"/>
        </w:rPr>
        <w:t>Instrucciones administrativas en virtud del PCT para las Administraciones encargadas de la búsqueda y el examen preliminar internacionales</w:t>
      </w:r>
    </w:p>
    <w:p w14:paraId="548ECB14" w14:textId="77777777" w:rsidR="00E85716" w:rsidRPr="00E85716" w:rsidRDefault="00E85716" w:rsidP="00E85716">
      <w:pPr>
        <w:numPr>
          <w:ilvl w:val="0"/>
          <w:numId w:val="9"/>
        </w:numPr>
        <w:spacing w:after="120"/>
        <w:ind w:left="1134" w:hanging="567"/>
        <w:jc w:val="both"/>
        <w:rPr>
          <w:rFonts w:eastAsia="Times New Roman"/>
          <w:szCs w:val="22"/>
          <w:lang w:eastAsia="en-US"/>
        </w:rPr>
      </w:pPr>
      <w:r w:rsidRPr="00E85716">
        <w:rPr>
          <w:rFonts w:eastAsia="Times New Roman"/>
          <w:i/>
          <w:iCs/>
          <w:szCs w:val="22"/>
          <w:lang w:eastAsia="en-US"/>
        </w:rPr>
        <w:t>Guía del solicitante del PCT</w:t>
      </w:r>
      <w:r w:rsidRPr="00E85716">
        <w:rPr>
          <w:rFonts w:eastAsia="Times New Roman"/>
          <w:szCs w:val="22"/>
          <w:lang w:eastAsia="en-US"/>
        </w:rPr>
        <w:t xml:space="preserve"> – Fase internacional</w:t>
      </w:r>
    </w:p>
    <w:p w14:paraId="0511A226" w14:textId="77777777" w:rsidR="00E85716" w:rsidRPr="00E85716" w:rsidRDefault="00E85716" w:rsidP="00E85716">
      <w:pPr>
        <w:numPr>
          <w:ilvl w:val="0"/>
          <w:numId w:val="9"/>
        </w:numPr>
        <w:spacing w:after="120"/>
        <w:ind w:left="1134" w:hanging="567"/>
        <w:jc w:val="both"/>
        <w:rPr>
          <w:rFonts w:eastAsia="Times New Roman"/>
          <w:szCs w:val="22"/>
          <w:lang w:eastAsia="en-US"/>
        </w:rPr>
      </w:pPr>
      <w:r w:rsidRPr="00E85716">
        <w:rPr>
          <w:rFonts w:eastAsia="Times New Roman"/>
          <w:i/>
          <w:iCs/>
          <w:szCs w:val="22"/>
          <w:lang w:eastAsia="en-US"/>
        </w:rPr>
        <w:t>Guía del solicitante del PCT</w:t>
      </w:r>
      <w:r w:rsidRPr="00E85716">
        <w:rPr>
          <w:rFonts w:eastAsia="Times New Roman"/>
          <w:szCs w:val="22"/>
          <w:lang w:eastAsia="en-US"/>
        </w:rPr>
        <w:t xml:space="preserve"> – Fase nacional</w:t>
      </w:r>
    </w:p>
    <w:p w14:paraId="10864427" w14:textId="77777777" w:rsidR="00E85716" w:rsidRPr="00E85716" w:rsidRDefault="00E85716" w:rsidP="00E85716">
      <w:pPr>
        <w:numPr>
          <w:ilvl w:val="0"/>
          <w:numId w:val="9"/>
        </w:numPr>
        <w:spacing w:after="120"/>
        <w:ind w:left="1134" w:hanging="567"/>
        <w:jc w:val="both"/>
        <w:rPr>
          <w:rFonts w:eastAsia="Times New Roman"/>
          <w:szCs w:val="22"/>
          <w:lang w:eastAsia="en-US"/>
        </w:rPr>
      </w:pPr>
      <w:r w:rsidRPr="00E85716">
        <w:rPr>
          <w:rFonts w:eastAsia="Times New Roman"/>
          <w:szCs w:val="22"/>
          <w:lang w:eastAsia="en-US"/>
        </w:rPr>
        <w:t>Formularios referentes a las Administraciones encargadas de la búsqueda y el examen preliminar internacionales</w:t>
      </w:r>
    </w:p>
    <w:p w14:paraId="09F1566D" w14:textId="77777777" w:rsidR="00E85716" w:rsidRPr="00E85716" w:rsidRDefault="00E85716" w:rsidP="00E85716">
      <w:pPr>
        <w:pBdr>
          <w:top w:val="single" w:sz="4" w:space="1" w:color="auto"/>
        </w:pBdr>
        <w:spacing w:after="600"/>
        <w:rPr>
          <w:szCs w:val="22"/>
        </w:rPr>
      </w:pPr>
    </w:p>
    <w:p w14:paraId="0A8D474D" w14:textId="77777777" w:rsidR="00E85716" w:rsidRPr="00E85716" w:rsidRDefault="00E85716" w:rsidP="00E85716">
      <w:pPr>
        <w:pStyle w:val="Endofdocument-Annex"/>
        <w:rPr>
          <w:szCs w:val="22"/>
          <w:lang w:val="es-ES"/>
        </w:rPr>
      </w:pPr>
      <w:r w:rsidRPr="00E85716">
        <w:rPr>
          <w:szCs w:val="22"/>
          <w:lang w:val="es-ES"/>
        </w:rPr>
        <w:t>[Fin del Anexo y del documento]</w:t>
      </w:r>
    </w:p>
    <w:sectPr w:rsidR="00E85716" w:rsidRPr="00E85716" w:rsidSect="00E85716">
      <w:headerReference w:type="default" r:id="rId15"/>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0400" w14:textId="77777777" w:rsidR="00E85716" w:rsidRDefault="00E85716">
      <w:r>
        <w:separator/>
      </w:r>
    </w:p>
  </w:endnote>
  <w:endnote w:type="continuationSeparator" w:id="0">
    <w:p w14:paraId="50E3B313" w14:textId="77777777" w:rsidR="00E85716" w:rsidRPr="009D30E6" w:rsidRDefault="00E85716" w:rsidP="007E663E">
      <w:pPr>
        <w:rPr>
          <w:sz w:val="17"/>
          <w:szCs w:val="17"/>
        </w:rPr>
      </w:pPr>
      <w:r w:rsidRPr="009D30E6">
        <w:rPr>
          <w:sz w:val="17"/>
          <w:szCs w:val="17"/>
        </w:rPr>
        <w:separator/>
      </w:r>
    </w:p>
    <w:p w14:paraId="4A59BC37" w14:textId="77777777" w:rsidR="00E85716" w:rsidRPr="007E663E" w:rsidRDefault="00E85716" w:rsidP="007E663E">
      <w:pPr>
        <w:spacing w:after="60"/>
        <w:rPr>
          <w:sz w:val="17"/>
          <w:szCs w:val="17"/>
        </w:rPr>
      </w:pPr>
      <w:r>
        <w:rPr>
          <w:sz w:val="17"/>
        </w:rPr>
        <w:t>[Continuación de la nota de la página anterior]</w:t>
      </w:r>
    </w:p>
  </w:endnote>
  <w:endnote w:type="continuationNotice" w:id="1">
    <w:p w14:paraId="763E4F71" w14:textId="77777777" w:rsidR="00E85716" w:rsidRPr="007E663E" w:rsidRDefault="00E8571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12A5" w14:textId="77777777" w:rsidR="00E85716" w:rsidRDefault="00E85716">
      <w:r>
        <w:separator/>
      </w:r>
    </w:p>
  </w:footnote>
  <w:footnote w:type="continuationSeparator" w:id="0">
    <w:p w14:paraId="06091028" w14:textId="77777777" w:rsidR="00E85716" w:rsidRPr="009D30E6" w:rsidRDefault="00E85716" w:rsidP="007E663E">
      <w:pPr>
        <w:rPr>
          <w:sz w:val="17"/>
          <w:szCs w:val="17"/>
        </w:rPr>
      </w:pPr>
      <w:r w:rsidRPr="009D30E6">
        <w:rPr>
          <w:sz w:val="17"/>
          <w:szCs w:val="17"/>
        </w:rPr>
        <w:separator/>
      </w:r>
    </w:p>
    <w:p w14:paraId="24BD8DEC" w14:textId="77777777" w:rsidR="00E85716" w:rsidRPr="007E663E" w:rsidRDefault="00E85716" w:rsidP="007E663E">
      <w:pPr>
        <w:spacing w:after="60"/>
        <w:rPr>
          <w:sz w:val="17"/>
          <w:szCs w:val="17"/>
        </w:rPr>
      </w:pPr>
      <w:r>
        <w:rPr>
          <w:sz w:val="17"/>
        </w:rPr>
        <w:t>[Continuación de la nota de la página anterior]</w:t>
      </w:r>
    </w:p>
  </w:footnote>
  <w:footnote w:type="continuationNotice" w:id="1">
    <w:p w14:paraId="1ED4DF10" w14:textId="77777777" w:rsidR="00E85716" w:rsidRPr="007E663E" w:rsidRDefault="00E8571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5B32" w14:textId="4F72040E" w:rsidR="00AE7F20" w:rsidRPr="00EB0D93" w:rsidRDefault="00E85716" w:rsidP="00477D6B">
    <w:pPr>
      <w:jc w:val="right"/>
      <w:rPr>
        <w:caps/>
      </w:rPr>
    </w:pPr>
    <w:bookmarkStart w:id="5" w:name="Code2"/>
    <w:bookmarkEnd w:id="5"/>
    <w:r>
      <w:rPr>
        <w:caps/>
      </w:rPr>
      <w:t>PCT/CTC/33/19</w:t>
    </w:r>
  </w:p>
  <w:p w14:paraId="2E315565"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35A5E16D" w14:textId="77777777" w:rsidR="00AE7F20" w:rsidRDefault="00AE7F20" w:rsidP="00477D6B">
    <w:pPr>
      <w:jc w:val="right"/>
    </w:pPr>
  </w:p>
  <w:p w14:paraId="37C5F55B"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152F" w14:textId="6C2C867C" w:rsidR="00E85716" w:rsidRDefault="00E85716" w:rsidP="009664C5">
    <w:pPr>
      <w:jc w:val="right"/>
      <w:rPr>
        <w:caps/>
      </w:rPr>
    </w:pPr>
    <w:r>
      <w:rPr>
        <w:caps/>
      </w:rPr>
      <w:t>PCT/CTC/33/19</w:t>
    </w:r>
  </w:p>
  <w:p w14:paraId="1D3A9F77" w14:textId="22F052BC" w:rsidR="00E85716" w:rsidRPr="009664C5" w:rsidRDefault="00E85716" w:rsidP="00E85716">
    <w:pPr>
      <w:spacing w:after="480"/>
      <w:jc w:val="right"/>
      <w:rPr>
        <w:caps/>
      </w:rPr>
    </w:pPr>
    <w:r>
      <w:t>Anexo</w:t>
    </w:r>
    <w:r>
      <w:rPr>
        <w:caps/>
      </w:rPr>
      <w:t>,</w:t>
    </w:r>
    <w:r>
      <w:t xml:space="preserve"> página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7E76" w14:textId="4BE35B25" w:rsidR="00E85716" w:rsidRDefault="00E85716" w:rsidP="009664C5">
    <w:pPr>
      <w:jc w:val="right"/>
      <w:rPr>
        <w:caps/>
      </w:rPr>
    </w:pPr>
    <w:r>
      <w:rPr>
        <w:caps/>
      </w:rPr>
      <w:t>PCT/CTC/33/19</w:t>
    </w:r>
  </w:p>
  <w:p w14:paraId="7F81694D" w14:textId="77777777" w:rsidR="00E85716" w:rsidRDefault="00E85716" w:rsidP="009664C5">
    <w:pPr>
      <w:jc w:val="right"/>
      <w:rPr>
        <w:caps/>
      </w:rPr>
    </w:pPr>
    <w:r>
      <w:rPr>
        <w:caps/>
      </w:rPr>
      <w:t>ANEXO</w:t>
    </w:r>
  </w:p>
  <w:p w14:paraId="22B1B984" w14:textId="77777777" w:rsidR="00E85716" w:rsidRDefault="00E85716" w:rsidP="00085A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956BF8"/>
    <w:multiLevelType w:val="hybridMultilevel"/>
    <w:tmpl w:val="BB84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CD25D0"/>
    <w:multiLevelType w:val="hybridMultilevel"/>
    <w:tmpl w:val="B0B2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775FCD"/>
    <w:multiLevelType w:val="hybridMultilevel"/>
    <w:tmpl w:val="333028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60D75329"/>
    <w:multiLevelType w:val="hybridMultilevel"/>
    <w:tmpl w:val="BE36CD38"/>
    <w:lvl w:ilvl="0" w:tplc="04090011">
      <w:start w:val="1"/>
      <w:numFmt w:val="decimal"/>
      <w:lvlText w:val="%1)"/>
      <w:lvlJc w:val="left"/>
      <w:pPr>
        <w:ind w:left="525" w:hanging="360"/>
      </w:p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start w:val="1"/>
      <w:numFmt w:val="lowerLetter"/>
      <w:lvlText w:val="%5."/>
      <w:lvlJc w:val="left"/>
      <w:pPr>
        <w:ind w:left="3405" w:hanging="360"/>
      </w:pPr>
    </w:lvl>
    <w:lvl w:ilvl="5" w:tplc="0409001B">
      <w:start w:val="1"/>
      <w:numFmt w:val="lowerRoman"/>
      <w:lvlText w:val="%6."/>
      <w:lvlJc w:val="right"/>
      <w:pPr>
        <w:ind w:left="4125" w:hanging="180"/>
      </w:pPr>
    </w:lvl>
    <w:lvl w:ilvl="6" w:tplc="0409000F">
      <w:start w:val="1"/>
      <w:numFmt w:val="decimal"/>
      <w:lvlText w:val="%7."/>
      <w:lvlJc w:val="left"/>
      <w:pPr>
        <w:ind w:left="4845" w:hanging="360"/>
      </w:pPr>
    </w:lvl>
    <w:lvl w:ilvl="7" w:tplc="04090019">
      <w:start w:val="1"/>
      <w:numFmt w:val="lowerLetter"/>
      <w:lvlText w:val="%8."/>
      <w:lvlJc w:val="left"/>
      <w:pPr>
        <w:ind w:left="5565" w:hanging="360"/>
      </w:pPr>
    </w:lvl>
    <w:lvl w:ilvl="8" w:tplc="0409001B">
      <w:start w:val="1"/>
      <w:numFmt w:val="lowerRoman"/>
      <w:lvlText w:val="%9."/>
      <w:lvlJc w:val="right"/>
      <w:pPr>
        <w:ind w:left="6285" w:hanging="180"/>
      </w:pPr>
    </w:lvl>
  </w:abstractNum>
  <w:abstractNum w:abstractNumId="11" w15:restartNumberingAfterBreak="0">
    <w:nsid w:val="68235B64"/>
    <w:multiLevelType w:val="hybridMultilevel"/>
    <w:tmpl w:val="C04CBA0C"/>
    <w:lvl w:ilvl="0" w:tplc="0409000F">
      <w:start w:val="1"/>
      <w:numFmt w:val="decimal"/>
      <w:lvlText w:val="%1."/>
      <w:lvlJc w:val="left"/>
      <w:pPr>
        <w:ind w:left="1650" w:hanging="5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4C548F"/>
    <w:multiLevelType w:val="hybridMultilevel"/>
    <w:tmpl w:val="C1F44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57173">
    <w:abstractNumId w:val="2"/>
  </w:num>
  <w:num w:numId="2" w16cid:durableId="935676022">
    <w:abstractNumId w:val="5"/>
  </w:num>
  <w:num w:numId="3" w16cid:durableId="1849903877">
    <w:abstractNumId w:val="0"/>
  </w:num>
  <w:num w:numId="4" w16cid:durableId="593898791">
    <w:abstractNumId w:val="7"/>
  </w:num>
  <w:num w:numId="5" w16cid:durableId="443039048">
    <w:abstractNumId w:val="1"/>
  </w:num>
  <w:num w:numId="6" w16cid:durableId="1262756580">
    <w:abstractNumId w:val="3"/>
  </w:num>
  <w:num w:numId="7" w16cid:durableId="623774633">
    <w:abstractNumId w:val="9"/>
  </w:num>
  <w:num w:numId="8" w16cid:durableId="1548373712">
    <w:abstractNumId w:val="10"/>
  </w:num>
  <w:num w:numId="9" w16cid:durableId="1572542753">
    <w:abstractNumId w:val="11"/>
  </w:num>
  <w:num w:numId="10" w16cid:durableId="1269317275">
    <w:abstractNumId w:val="8"/>
  </w:num>
  <w:num w:numId="11" w16cid:durableId="1907841322">
    <w:abstractNumId w:val="4"/>
  </w:num>
  <w:num w:numId="12" w16cid:durableId="1741366248">
    <w:abstractNumId w:val="6"/>
  </w:num>
  <w:num w:numId="13" w16cid:durableId="1883248833">
    <w:abstractNumId w:val="12"/>
  </w:num>
  <w:num w:numId="14" w16cid:durableId="1536963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16"/>
    <w:rsid w:val="00010686"/>
    <w:rsid w:val="00052915"/>
    <w:rsid w:val="000E3BB3"/>
    <w:rsid w:val="000F5E56"/>
    <w:rsid w:val="001362EE"/>
    <w:rsid w:val="00152CEA"/>
    <w:rsid w:val="001832A6"/>
    <w:rsid w:val="001C56F9"/>
    <w:rsid w:val="0022036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49A"/>
    <w:rsid w:val="004A6C37"/>
    <w:rsid w:val="004E297D"/>
    <w:rsid w:val="00531B02"/>
    <w:rsid w:val="005332F0"/>
    <w:rsid w:val="0055013B"/>
    <w:rsid w:val="00571B99"/>
    <w:rsid w:val="005B2EAE"/>
    <w:rsid w:val="00605827"/>
    <w:rsid w:val="00611529"/>
    <w:rsid w:val="00655A0D"/>
    <w:rsid w:val="00675021"/>
    <w:rsid w:val="006A06C6"/>
    <w:rsid w:val="006D56BA"/>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53E8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530E4"/>
    <w:rsid w:val="00C90559"/>
    <w:rsid w:val="00CA0500"/>
    <w:rsid w:val="00CA2251"/>
    <w:rsid w:val="00D14C95"/>
    <w:rsid w:val="00D15247"/>
    <w:rsid w:val="00D56C7C"/>
    <w:rsid w:val="00D71B4D"/>
    <w:rsid w:val="00D90289"/>
    <w:rsid w:val="00D93D55"/>
    <w:rsid w:val="00DB7E59"/>
    <w:rsid w:val="00DC4C60"/>
    <w:rsid w:val="00DD6CF4"/>
    <w:rsid w:val="00E0079A"/>
    <w:rsid w:val="00E444DA"/>
    <w:rsid w:val="00E45C84"/>
    <w:rsid w:val="00E504E5"/>
    <w:rsid w:val="00E56B7B"/>
    <w:rsid w:val="00E677AC"/>
    <w:rsid w:val="00E85716"/>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9D441"/>
  <w15:docId w15:val="{83FA0958-1312-4F4C-9582-EB4004A9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ONUMA">
    <w:name w:val="ONUM A"/>
    <w:basedOn w:val="BodyText"/>
    <w:rsid w:val="00E85716"/>
    <w:pPr>
      <w:numPr>
        <w:numId w:val="7"/>
      </w:numPr>
    </w:pPr>
    <w:rPr>
      <w:rFonts w:eastAsia="Times New Roman" w:cs="Calibri"/>
      <w:szCs w:val="22"/>
      <w:lang w:eastAsia="en-US"/>
    </w:rPr>
  </w:style>
  <w:style w:type="table" w:styleId="TableGrid">
    <w:name w:val="Table Grid"/>
    <w:basedOn w:val="TableNormal"/>
    <w:uiPriority w:val="39"/>
    <w:rsid w:val="00E85716"/>
    <w:rPr>
      <w:rFonts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56B7B"/>
    <w:rPr>
      <w:color w:val="0000FF" w:themeColor="hyperlink"/>
      <w:u w:val="single"/>
    </w:rPr>
  </w:style>
  <w:style w:type="character" w:styleId="UnresolvedMention">
    <w:name w:val="Unresolved Mention"/>
    <w:basedOn w:val="DefaultParagraphFont"/>
    <w:uiPriority w:val="99"/>
    <w:semiHidden/>
    <w:unhideWhenUsed/>
    <w:rsid w:val="00E56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https://pctlegal.wipo.int/eGuide/view-doc.xhtml?doc-code=SA&amp;doc-lang=en"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s/docs/circulars/2024/167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es/web/pct-system/quality/author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lhttps://pctlegal.wipo.int/eGuide/view-doc.xhtml?doc-code=SA&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FF09D6EA84B3BB5F8F558EE68D194"/>
        <w:category>
          <w:name w:val="General"/>
          <w:gallery w:val="placeholder"/>
        </w:category>
        <w:types>
          <w:type w:val="bbPlcHdr"/>
        </w:types>
        <w:behaviors>
          <w:behavior w:val="content"/>
        </w:behaviors>
        <w:guid w:val="{E6FB1D92-C370-4A6E-BDE6-4FA20CC47BAC}"/>
      </w:docPartPr>
      <w:docPartBody>
        <w:p w:rsidR="00C25F88" w:rsidRDefault="00C25F88" w:rsidP="00C25F88">
          <w:pPr>
            <w:pStyle w:val="C76FF09D6EA84B3BB5F8F558EE68D194"/>
          </w:pPr>
          <w:r>
            <w:rPr>
              <w:rStyle w:val="PlaceholderText"/>
              <w:rFonts w:hint="cs"/>
              <w:rtl/>
            </w:rPr>
            <w:t>يُرجى اختيار عنصر</w:t>
          </w:r>
        </w:p>
      </w:docPartBody>
    </w:docPart>
    <w:docPart>
      <w:docPartPr>
        <w:name w:val="7420FA5CA01143168EAAC0188C960CAD"/>
        <w:category>
          <w:name w:val="General"/>
          <w:gallery w:val="placeholder"/>
        </w:category>
        <w:types>
          <w:type w:val="bbPlcHdr"/>
        </w:types>
        <w:behaviors>
          <w:behavior w:val="content"/>
        </w:behaviors>
        <w:guid w:val="{65520A88-4F35-49E8-8AD4-F608DA97AE27}"/>
      </w:docPartPr>
      <w:docPartBody>
        <w:p w:rsidR="00C25F88" w:rsidRDefault="00C25F88" w:rsidP="00C25F88">
          <w:pPr>
            <w:pStyle w:val="7420FA5CA01143168EAAC0188C960CAD"/>
          </w:pPr>
          <w:r>
            <w:rPr>
              <w:rStyle w:val="PlaceholderText"/>
              <w:rFonts w:hint="cs"/>
              <w:rtl/>
            </w:rPr>
            <w:t>يُرجى اختيار عنصر</w:t>
          </w:r>
        </w:p>
      </w:docPartBody>
    </w:docPart>
    <w:docPart>
      <w:docPartPr>
        <w:name w:val="604658AE37164814BFA2B3DDE86AD9A8"/>
        <w:category>
          <w:name w:val="General"/>
          <w:gallery w:val="placeholder"/>
        </w:category>
        <w:types>
          <w:type w:val="bbPlcHdr"/>
        </w:types>
        <w:behaviors>
          <w:behavior w:val="content"/>
        </w:behaviors>
        <w:guid w:val="{A9B3B063-78A5-4957-ACEE-5C2C49F53315}"/>
      </w:docPartPr>
      <w:docPartBody>
        <w:p w:rsidR="00C25F88" w:rsidRDefault="00C25F88" w:rsidP="00C25F88">
          <w:pPr>
            <w:pStyle w:val="604658AE37164814BFA2B3DDE86AD9A8"/>
          </w:pPr>
          <w:r>
            <w:rPr>
              <w:rStyle w:val="PlaceholderText"/>
              <w:rFonts w:hint="cs"/>
              <w:rtl/>
            </w:rPr>
            <w:t>يُرجى اختيار عنصر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88"/>
    <w:rsid w:val="001C56F9"/>
    <w:rsid w:val="00655A0D"/>
    <w:rsid w:val="00C25F88"/>
    <w:rsid w:val="00E6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F88"/>
    <w:rPr>
      <w:color w:val="666666"/>
    </w:rPr>
  </w:style>
  <w:style w:type="paragraph" w:customStyle="1" w:styleId="C76FF09D6EA84B3BB5F8F558EE68D194">
    <w:name w:val="C76FF09D6EA84B3BB5F8F558EE68D194"/>
    <w:rsid w:val="00C25F88"/>
  </w:style>
  <w:style w:type="paragraph" w:customStyle="1" w:styleId="7420FA5CA01143168EAAC0188C960CAD">
    <w:name w:val="7420FA5CA01143168EAAC0188C960CAD"/>
    <w:rsid w:val="00C25F88"/>
  </w:style>
  <w:style w:type="paragraph" w:customStyle="1" w:styleId="604658AE37164814BFA2B3DDE86AD9A8">
    <w:name w:val="604658AE37164814BFA2B3DDE86AD9A8"/>
    <w:rsid w:val="00C25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3</TotalTime>
  <Pages>6</Pages>
  <Words>1799</Words>
  <Characters>10658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PCT/CTC/33/</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PCT/CTC/33/19</dc:title>
  <dc:creator>MARLOW Thomas</dc:creator>
  <cp:keywords/>
  <cp:lastModifiedBy>MARLOW Thomas</cp:lastModifiedBy>
  <cp:revision>5</cp:revision>
  <cp:lastPrinted>2026-01-06T15:54:00Z</cp:lastPrinted>
  <dcterms:created xsi:type="dcterms:W3CDTF">2026-01-06T15:53:00Z</dcterms:created>
  <dcterms:modified xsi:type="dcterms:W3CDTF">2026-01-06T15:56:00Z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2026-01-05T07:08:23Z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88fd78e9-8ad2-4ad9-b550-1c66190333db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