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D2807" w:rsidRPr="000060CE" w14:paraId="08613F4B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006785" w14:textId="77777777" w:rsidR="00EC4E49" w:rsidRPr="000060CE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9006F4" w14:textId="77777777" w:rsidR="00EC4E49" w:rsidRPr="000060CE" w:rsidRDefault="004130D2" w:rsidP="00916EE2">
            <w:pPr>
              <w:rPr>
                <w:lang w:val="es-ES"/>
              </w:rPr>
            </w:pPr>
            <w:r w:rsidRPr="000060CE">
              <w:rPr>
                <w:noProof/>
                <w:lang w:eastAsia="en-US"/>
              </w:rPr>
              <w:drawing>
                <wp:inline distT="0" distB="0" distL="0" distR="0" wp14:anchorId="2A7B5FEF" wp14:editId="5A1C1ED4">
                  <wp:extent cx="1859280" cy="1329055"/>
                  <wp:effectExtent l="0" t="0" r="7620" b="444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676382" w14:textId="77777777" w:rsidR="00EC4E49" w:rsidRPr="000060CE" w:rsidRDefault="004130D2" w:rsidP="00916EE2">
            <w:pPr>
              <w:jc w:val="right"/>
              <w:rPr>
                <w:lang w:val="es-ES"/>
              </w:rPr>
            </w:pPr>
            <w:r w:rsidRPr="000060CE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AD2807" w:rsidRPr="000060CE" w14:paraId="632CBCC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5C5DFF0" w14:textId="77777777" w:rsidR="008B2CC1" w:rsidRPr="000060CE" w:rsidRDefault="00BD078D" w:rsidP="00BD078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060CE">
              <w:rPr>
                <w:rFonts w:ascii="Arial Black" w:hAnsi="Arial Black"/>
                <w:caps/>
                <w:sz w:val="15"/>
                <w:lang w:val="es-ES"/>
              </w:rPr>
              <w:t>PCT/CTC/30</w:t>
            </w:r>
            <w:r w:rsidR="0099692E" w:rsidRPr="000060CE">
              <w:rPr>
                <w:rFonts w:ascii="Arial Black" w:hAnsi="Arial Black"/>
                <w:caps/>
                <w:sz w:val="15"/>
                <w:lang w:val="es-ES"/>
              </w:rPr>
              <w:t>/4</w:t>
            </w:r>
          </w:p>
        </w:tc>
      </w:tr>
      <w:tr w:rsidR="00AD2807" w:rsidRPr="000060CE" w14:paraId="1784F7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653CA4E" w14:textId="1303F0C8" w:rsidR="008B2CC1" w:rsidRPr="000060CE" w:rsidRDefault="008B2CC1" w:rsidP="00E30FD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060CE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="00A526B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E30FDF" w:rsidRPr="000060CE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0060CE" w14:paraId="46D76D06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30EB8E1" w14:textId="53FD835E" w:rsidR="008B2CC1" w:rsidRPr="000060CE" w:rsidRDefault="00E30FDF" w:rsidP="00E30FD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060CE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060CE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2" w:name="Date"/>
            <w:bookmarkEnd w:id="2"/>
            <w:r w:rsidR="00A526B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0060CE">
              <w:rPr>
                <w:rFonts w:ascii="Arial Black" w:hAnsi="Arial Black"/>
                <w:caps/>
                <w:sz w:val="15"/>
                <w:lang w:val="es-ES"/>
              </w:rPr>
              <w:t xml:space="preserve">16 DE MARZO DE </w:t>
            </w:r>
            <w:r w:rsidR="00C650A4" w:rsidRPr="000060CE">
              <w:rPr>
                <w:rFonts w:ascii="Arial Black" w:hAnsi="Arial Black"/>
                <w:caps/>
                <w:sz w:val="15"/>
                <w:lang w:val="es-ES"/>
              </w:rPr>
              <w:t>2017</w:t>
            </w:r>
          </w:p>
        </w:tc>
      </w:tr>
    </w:tbl>
    <w:p w14:paraId="517E5E7D" w14:textId="77777777" w:rsidR="008B2CC1" w:rsidRPr="000060CE" w:rsidRDefault="008B2CC1" w:rsidP="008B2CC1">
      <w:pPr>
        <w:rPr>
          <w:lang w:val="es-ES"/>
        </w:rPr>
      </w:pPr>
    </w:p>
    <w:p w14:paraId="77FBBD0B" w14:textId="77777777" w:rsidR="008B2CC1" w:rsidRPr="000060CE" w:rsidRDefault="008B2CC1" w:rsidP="008B2CC1">
      <w:pPr>
        <w:rPr>
          <w:lang w:val="es-ES"/>
        </w:rPr>
      </w:pPr>
    </w:p>
    <w:p w14:paraId="0F9054D2" w14:textId="77777777" w:rsidR="008B2CC1" w:rsidRPr="000060CE" w:rsidRDefault="008B2CC1" w:rsidP="008B2CC1">
      <w:pPr>
        <w:rPr>
          <w:lang w:val="es-ES"/>
        </w:rPr>
      </w:pPr>
    </w:p>
    <w:p w14:paraId="2F12BFA7" w14:textId="77777777" w:rsidR="008B2CC1" w:rsidRPr="000060CE" w:rsidRDefault="008B2CC1" w:rsidP="008B2CC1">
      <w:pPr>
        <w:rPr>
          <w:lang w:val="es-ES"/>
        </w:rPr>
      </w:pPr>
    </w:p>
    <w:p w14:paraId="7D4F2874" w14:textId="77777777" w:rsidR="008B2CC1" w:rsidRPr="000060CE" w:rsidRDefault="008B2CC1" w:rsidP="008B2CC1">
      <w:pPr>
        <w:rPr>
          <w:lang w:val="es-ES"/>
        </w:rPr>
      </w:pPr>
    </w:p>
    <w:p w14:paraId="60CFF295" w14:textId="77777777" w:rsidR="002615BC" w:rsidRPr="000060CE" w:rsidRDefault="002615BC" w:rsidP="002615BC">
      <w:pPr>
        <w:rPr>
          <w:b/>
          <w:sz w:val="28"/>
          <w:szCs w:val="28"/>
          <w:lang w:val="es-ES"/>
        </w:rPr>
      </w:pPr>
      <w:r w:rsidRPr="000060CE">
        <w:rPr>
          <w:b/>
          <w:sz w:val="28"/>
          <w:szCs w:val="28"/>
          <w:lang w:val="es-ES"/>
        </w:rPr>
        <w:t>Tratado de Cooperación en materia de Patentes (PCT)</w:t>
      </w:r>
    </w:p>
    <w:p w14:paraId="249A357E" w14:textId="77777777" w:rsidR="008B2CC1" w:rsidRPr="000060CE" w:rsidRDefault="00D51155" w:rsidP="002615BC">
      <w:pPr>
        <w:rPr>
          <w:b/>
          <w:sz w:val="28"/>
          <w:szCs w:val="28"/>
          <w:lang w:val="es-ES"/>
        </w:rPr>
      </w:pPr>
      <w:r w:rsidRPr="000060CE">
        <w:rPr>
          <w:b/>
          <w:sz w:val="28"/>
          <w:szCs w:val="28"/>
          <w:lang w:val="es-ES"/>
        </w:rPr>
        <w:t>Comité de Cooperación Técnica</w:t>
      </w:r>
    </w:p>
    <w:p w14:paraId="4B02E3D0" w14:textId="77777777" w:rsidR="003845C1" w:rsidRPr="000060CE" w:rsidRDefault="003845C1" w:rsidP="003845C1">
      <w:pPr>
        <w:rPr>
          <w:lang w:val="es-ES"/>
        </w:rPr>
      </w:pPr>
    </w:p>
    <w:p w14:paraId="48EA6F83" w14:textId="77777777" w:rsidR="003845C1" w:rsidRPr="000060CE" w:rsidRDefault="003845C1" w:rsidP="003845C1">
      <w:pPr>
        <w:rPr>
          <w:lang w:val="es-ES"/>
        </w:rPr>
      </w:pPr>
    </w:p>
    <w:p w14:paraId="64C4E355" w14:textId="77777777" w:rsidR="008B2CC1" w:rsidRPr="000060CE" w:rsidRDefault="002615BC" w:rsidP="008B2CC1">
      <w:pPr>
        <w:rPr>
          <w:b/>
          <w:sz w:val="24"/>
          <w:szCs w:val="24"/>
          <w:lang w:val="es-ES"/>
        </w:rPr>
      </w:pPr>
      <w:r w:rsidRPr="000060CE">
        <w:rPr>
          <w:b/>
          <w:sz w:val="24"/>
          <w:szCs w:val="24"/>
          <w:lang w:val="es-ES"/>
        </w:rPr>
        <w:t xml:space="preserve">Trigésima </w:t>
      </w:r>
      <w:r w:rsidR="00E30FDF" w:rsidRPr="000060CE">
        <w:rPr>
          <w:b/>
          <w:sz w:val="24"/>
          <w:szCs w:val="24"/>
          <w:lang w:val="es-ES"/>
        </w:rPr>
        <w:t>sesión</w:t>
      </w:r>
      <w:r w:rsidRPr="000060CE">
        <w:rPr>
          <w:b/>
          <w:sz w:val="24"/>
          <w:szCs w:val="24"/>
          <w:lang w:val="es-ES"/>
        </w:rPr>
        <w:t xml:space="preserve"> </w:t>
      </w:r>
    </w:p>
    <w:p w14:paraId="70521F8C" w14:textId="77777777" w:rsidR="008B2CC1" w:rsidRPr="000060CE" w:rsidRDefault="002615BC" w:rsidP="008B2CC1">
      <w:pPr>
        <w:rPr>
          <w:b/>
          <w:sz w:val="24"/>
          <w:szCs w:val="24"/>
          <w:lang w:val="es-ES"/>
        </w:rPr>
      </w:pPr>
      <w:r w:rsidRPr="000060CE">
        <w:rPr>
          <w:b/>
          <w:sz w:val="24"/>
          <w:szCs w:val="24"/>
          <w:lang w:val="es-ES"/>
        </w:rPr>
        <w:t>Ginebra</w:t>
      </w:r>
      <w:r w:rsidR="00BD078D" w:rsidRPr="000060CE">
        <w:rPr>
          <w:b/>
          <w:sz w:val="24"/>
          <w:szCs w:val="24"/>
          <w:lang w:val="es-ES"/>
        </w:rPr>
        <w:t xml:space="preserve">, 8 </w:t>
      </w:r>
      <w:r w:rsidRPr="000060CE">
        <w:rPr>
          <w:b/>
          <w:sz w:val="24"/>
          <w:szCs w:val="24"/>
          <w:lang w:val="es-ES"/>
        </w:rPr>
        <w:t>a</w:t>
      </w:r>
      <w:r w:rsidR="00BD078D" w:rsidRPr="000060CE">
        <w:rPr>
          <w:b/>
          <w:sz w:val="24"/>
          <w:szCs w:val="24"/>
          <w:lang w:val="es-ES"/>
        </w:rPr>
        <w:t xml:space="preserve"> 12</w:t>
      </w:r>
      <w:r w:rsidRPr="000060CE">
        <w:rPr>
          <w:b/>
          <w:sz w:val="24"/>
          <w:szCs w:val="24"/>
          <w:lang w:val="es-ES"/>
        </w:rPr>
        <w:t xml:space="preserve"> de mayo de</w:t>
      </w:r>
      <w:r w:rsidR="00BD078D" w:rsidRPr="000060CE">
        <w:rPr>
          <w:b/>
          <w:sz w:val="24"/>
          <w:szCs w:val="24"/>
          <w:lang w:val="es-ES"/>
        </w:rPr>
        <w:t xml:space="preserve"> 2017</w:t>
      </w:r>
    </w:p>
    <w:p w14:paraId="19913EBD" w14:textId="77777777" w:rsidR="008B2CC1" w:rsidRPr="000060CE" w:rsidRDefault="008B2CC1" w:rsidP="008B2CC1">
      <w:pPr>
        <w:rPr>
          <w:lang w:val="es-ES"/>
        </w:rPr>
      </w:pPr>
    </w:p>
    <w:p w14:paraId="74209C51" w14:textId="77777777" w:rsidR="008B2CC1" w:rsidRPr="000060CE" w:rsidRDefault="008B2CC1" w:rsidP="008B2CC1">
      <w:pPr>
        <w:rPr>
          <w:lang w:val="es-ES"/>
        </w:rPr>
      </w:pPr>
    </w:p>
    <w:p w14:paraId="2219D074" w14:textId="77777777" w:rsidR="008B2CC1" w:rsidRPr="000060CE" w:rsidRDefault="008B2CC1" w:rsidP="008B2CC1">
      <w:pPr>
        <w:rPr>
          <w:lang w:val="es-ES"/>
        </w:rPr>
      </w:pPr>
    </w:p>
    <w:p w14:paraId="535EC3E3" w14:textId="77777777" w:rsidR="00E30FDF" w:rsidRPr="000060CE" w:rsidRDefault="00E30FDF" w:rsidP="008B2CC1">
      <w:pPr>
        <w:rPr>
          <w:caps/>
          <w:sz w:val="24"/>
          <w:lang w:val="es-ES"/>
        </w:rPr>
      </w:pPr>
      <w:bookmarkStart w:id="3" w:name="TitleOfDoc"/>
      <w:bookmarkEnd w:id="3"/>
      <w:r w:rsidRPr="000060CE">
        <w:rPr>
          <w:caps/>
          <w:sz w:val="24"/>
          <w:lang w:val="es-ES"/>
        </w:rPr>
        <w:t xml:space="preserve">PRÓRROGA DE LA DESIGNACIÓN DE lA OFICINA </w:t>
      </w:r>
      <w:r w:rsidR="00851580" w:rsidRPr="000060CE">
        <w:rPr>
          <w:caps/>
          <w:sz w:val="24"/>
          <w:lang w:val="es-ES"/>
        </w:rPr>
        <w:t xml:space="preserve">AUStRALIANA </w:t>
      </w:r>
      <w:r w:rsidRPr="000060CE">
        <w:rPr>
          <w:caps/>
          <w:sz w:val="24"/>
          <w:lang w:val="es-ES"/>
        </w:rPr>
        <w:t xml:space="preserve">DE PATENTES </w:t>
      </w:r>
    </w:p>
    <w:p w14:paraId="758DBBD2" w14:textId="6AE669D3" w:rsidR="00E30FDF" w:rsidRPr="000060CE" w:rsidRDefault="00E30FDF" w:rsidP="008B2CC1">
      <w:pPr>
        <w:rPr>
          <w:caps/>
          <w:sz w:val="24"/>
          <w:lang w:val="es-ES"/>
        </w:rPr>
      </w:pPr>
      <w:r w:rsidRPr="000060CE">
        <w:rPr>
          <w:caps/>
          <w:sz w:val="24"/>
          <w:lang w:val="es-ES"/>
        </w:rPr>
        <w:t xml:space="preserve">COMO ADMINISTRACIÓN ENCARGADA DE LA BÚSQUEDA </w:t>
      </w:r>
      <w:r w:rsidR="0023675D" w:rsidRPr="000060CE">
        <w:rPr>
          <w:caps/>
          <w:sz w:val="24"/>
          <w:lang w:val="es-ES"/>
        </w:rPr>
        <w:t xml:space="preserve">INTERNACIONAL Y DEL EXAMEN PRELIMINAR INTERNACIONAL </w:t>
      </w:r>
      <w:r w:rsidR="00C97561">
        <w:rPr>
          <w:caps/>
          <w:sz w:val="24"/>
          <w:lang w:val="es-ES"/>
        </w:rPr>
        <w:t>en virtud del</w:t>
      </w:r>
      <w:r w:rsidR="0023675D" w:rsidRPr="000060CE">
        <w:rPr>
          <w:caps/>
          <w:sz w:val="24"/>
          <w:lang w:val="es-ES"/>
        </w:rPr>
        <w:t xml:space="preserve"> PCT</w:t>
      </w:r>
    </w:p>
    <w:p w14:paraId="596B57C1" w14:textId="77777777" w:rsidR="00694B84" w:rsidRPr="000060CE" w:rsidRDefault="00694B84" w:rsidP="008B2CC1">
      <w:pPr>
        <w:rPr>
          <w:caps/>
          <w:sz w:val="24"/>
          <w:lang w:val="es-ES"/>
        </w:rPr>
      </w:pPr>
    </w:p>
    <w:p w14:paraId="061279AF" w14:textId="3FA59779" w:rsidR="008B2CC1" w:rsidRPr="000060CE" w:rsidRDefault="008B2CC1" w:rsidP="00E30FDF">
      <w:pPr>
        <w:tabs>
          <w:tab w:val="left" w:pos="1290"/>
        </w:tabs>
        <w:rPr>
          <w:lang w:val="es-ES"/>
        </w:rPr>
      </w:pPr>
    </w:p>
    <w:p w14:paraId="0DD2D7A3" w14:textId="77777777" w:rsidR="00AC205C" w:rsidRPr="000060CE" w:rsidRDefault="00E30FDF">
      <w:pPr>
        <w:rPr>
          <w:i/>
          <w:lang w:val="es-ES"/>
        </w:rPr>
      </w:pPr>
      <w:bookmarkStart w:id="4" w:name="Prepared"/>
      <w:bookmarkEnd w:id="4"/>
      <w:r w:rsidRPr="000060CE">
        <w:rPr>
          <w:i/>
          <w:lang w:val="es-ES"/>
        </w:rPr>
        <w:t>Documento preparado por la Oficina Internacional</w:t>
      </w:r>
    </w:p>
    <w:p w14:paraId="6CA7505E" w14:textId="77777777" w:rsidR="000F5E56" w:rsidRPr="000060CE" w:rsidRDefault="000F5E56">
      <w:pPr>
        <w:rPr>
          <w:lang w:val="es-ES"/>
        </w:rPr>
      </w:pPr>
    </w:p>
    <w:p w14:paraId="69C32347" w14:textId="77777777" w:rsidR="002928D3" w:rsidRPr="000060CE" w:rsidRDefault="002928D3">
      <w:pPr>
        <w:rPr>
          <w:lang w:val="es-ES"/>
        </w:rPr>
      </w:pPr>
    </w:p>
    <w:p w14:paraId="7E2D41D1" w14:textId="77777777" w:rsidR="002928D3" w:rsidRPr="000060CE" w:rsidRDefault="002928D3" w:rsidP="0053057A">
      <w:pPr>
        <w:rPr>
          <w:lang w:val="es-ES"/>
        </w:rPr>
      </w:pPr>
    </w:p>
    <w:p w14:paraId="7BABF5A5" w14:textId="20CD06F6" w:rsidR="00C97561" w:rsidRPr="00C97561" w:rsidRDefault="00C97561" w:rsidP="00C97561">
      <w:pPr>
        <w:pStyle w:val="ONUME"/>
        <w:rPr>
          <w:lang w:val="es-ES"/>
        </w:rPr>
      </w:pPr>
      <w:bookmarkStart w:id="5" w:name="_Ref447032909"/>
      <w:r w:rsidRPr="00C97561">
        <w:rPr>
          <w:lang w:val="es-ES"/>
        </w:rPr>
        <w:t xml:space="preserve">Todas las Administraciones </w:t>
      </w:r>
      <w:r w:rsidR="006B4685" w:rsidRPr="00C97561">
        <w:rPr>
          <w:lang w:val="es-ES"/>
        </w:rPr>
        <w:t xml:space="preserve">internacionales </w:t>
      </w:r>
      <w:r w:rsidRPr="00C97561">
        <w:rPr>
          <w:lang w:val="es-ES"/>
        </w:rPr>
        <w:t>existentes fueron designadas por la Asamblea de</w:t>
      </w:r>
      <w:r w:rsidR="006B4685">
        <w:rPr>
          <w:lang w:val="es-ES"/>
        </w:rPr>
        <w:t xml:space="preserve"> la Unión</w:t>
      </w:r>
      <w:r w:rsidRPr="00C97561">
        <w:rPr>
          <w:lang w:val="es-ES"/>
        </w:rPr>
        <w:t xml:space="preserve"> PCT por un plazo que expirará el 31 de diciembre de 2017.  Por consiguiente, en 2017 la Asamblea estará llamada a adoptar una decisión con respecto a la prórroga de la designación de cada una de las Administraciones internacionales existentes que aspiren a una prórroga de su designación, teniendo en cuenta la recomendación previamente solicitada a este Comité (véanse los Artículos 16.3)e) y 32.3) del PCT).</w:t>
      </w:r>
      <w:bookmarkEnd w:id="5"/>
      <w:r w:rsidRPr="00C97561">
        <w:rPr>
          <w:lang w:val="es-ES"/>
        </w:rPr>
        <w:t xml:space="preserve">  El documento PCT/CTC/30/INF/1 contiene más información sobre este proceso y sobre la función del Comité en el marco del mismo.</w:t>
      </w:r>
    </w:p>
    <w:p w14:paraId="067546FB" w14:textId="109F26AE" w:rsidR="005C40A3" w:rsidRPr="000060CE" w:rsidRDefault="002A29F3" w:rsidP="00E235E7">
      <w:pPr>
        <w:pStyle w:val="ONUME"/>
        <w:rPr>
          <w:lang w:val="es-ES"/>
        </w:rPr>
      </w:pPr>
      <w:r w:rsidRPr="000060CE">
        <w:rPr>
          <w:lang w:val="es-ES"/>
        </w:rPr>
        <w:t>El 7 de marzo de 2017, la Oficina Australiana de P</w:t>
      </w:r>
      <w:r w:rsidR="00E235E7" w:rsidRPr="000060CE">
        <w:rPr>
          <w:lang w:val="es-ES"/>
        </w:rPr>
        <w:t>a</w:t>
      </w:r>
      <w:r w:rsidRPr="000060CE">
        <w:rPr>
          <w:lang w:val="es-ES"/>
        </w:rPr>
        <w:t xml:space="preserve">tentes remitió </w:t>
      </w:r>
      <w:r w:rsidR="00513494" w:rsidRPr="000060CE">
        <w:rPr>
          <w:lang w:val="es-ES"/>
        </w:rPr>
        <w:t>la</w:t>
      </w:r>
      <w:r w:rsidRPr="000060CE">
        <w:rPr>
          <w:lang w:val="es-ES"/>
        </w:rPr>
        <w:t xml:space="preserve"> solicitud </w:t>
      </w:r>
      <w:r w:rsidR="00513494" w:rsidRPr="000060CE">
        <w:rPr>
          <w:lang w:val="es-ES"/>
        </w:rPr>
        <w:t xml:space="preserve">de prórroga de su </w:t>
      </w:r>
      <w:r w:rsidRPr="000060CE">
        <w:rPr>
          <w:lang w:val="es-ES"/>
        </w:rPr>
        <w:t>designación como Admini</w:t>
      </w:r>
      <w:r w:rsidR="009C5EF6" w:rsidRPr="000060CE">
        <w:rPr>
          <w:lang w:val="es-ES"/>
        </w:rPr>
        <w:t>s</w:t>
      </w:r>
      <w:r w:rsidRPr="000060CE">
        <w:rPr>
          <w:lang w:val="es-ES"/>
        </w:rPr>
        <w:t>tración encargada de la b</w:t>
      </w:r>
      <w:r w:rsidR="00E235E7" w:rsidRPr="000060CE">
        <w:rPr>
          <w:lang w:val="es-ES"/>
        </w:rPr>
        <w:t>úsqueda internacional</w:t>
      </w:r>
      <w:r w:rsidR="007C2F0F" w:rsidRPr="000060CE">
        <w:rPr>
          <w:lang w:val="es-ES"/>
        </w:rPr>
        <w:t xml:space="preserve"> </w:t>
      </w:r>
      <w:r w:rsidR="006B4685">
        <w:rPr>
          <w:lang w:val="es-ES"/>
        </w:rPr>
        <w:t xml:space="preserve">(ISA) </w:t>
      </w:r>
      <w:r w:rsidRPr="000060CE">
        <w:rPr>
          <w:lang w:val="es-ES"/>
        </w:rPr>
        <w:t xml:space="preserve">y </w:t>
      </w:r>
      <w:r w:rsidR="00E235E7" w:rsidRPr="000060CE">
        <w:rPr>
          <w:lang w:val="es-ES"/>
        </w:rPr>
        <w:t xml:space="preserve">Administración encargada del examen preliminar internacional </w:t>
      </w:r>
      <w:r w:rsidR="006B4685">
        <w:rPr>
          <w:lang w:val="es-ES"/>
        </w:rPr>
        <w:t xml:space="preserve">(IPEA) </w:t>
      </w:r>
      <w:r w:rsidR="0029755C">
        <w:rPr>
          <w:lang w:val="es-ES"/>
        </w:rPr>
        <w:t>en virtud de</w:t>
      </w:r>
      <w:r w:rsidR="00E235E7" w:rsidRPr="000060CE">
        <w:rPr>
          <w:lang w:val="es-ES"/>
        </w:rPr>
        <w:t>l</w:t>
      </w:r>
      <w:r w:rsidR="00AA5F79" w:rsidRPr="000060CE">
        <w:rPr>
          <w:lang w:val="es-ES"/>
        </w:rPr>
        <w:t xml:space="preserve"> PCT.  </w:t>
      </w:r>
      <w:r w:rsidR="00E235E7" w:rsidRPr="000060CE">
        <w:rPr>
          <w:lang w:val="es-ES"/>
        </w:rPr>
        <w:t>Dicha solicitud se reproduce en el Anexo a este documento</w:t>
      </w:r>
      <w:r w:rsidR="00AA5F79" w:rsidRPr="000060CE">
        <w:rPr>
          <w:lang w:val="es-ES"/>
        </w:rPr>
        <w:t>.</w:t>
      </w:r>
    </w:p>
    <w:p w14:paraId="5C30B631" w14:textId="77777777" w:rsidR="005C40A3" w:rsidRPr="000060CE" w:rsidRDefault="00196AAA" w:rsidP="0035027E">
      <w:pPr>
        <w:pStyle w:val="ONUME"/>
        <w:tabs>
          <w:tab w:val="left" w:pos="6096"/>
        </w:tabs>
        <w:ind w:left="5533"/>
        <w:rPr>
          <w:i/>
          <w:lang w:val="es-ES"/>
        </w:rPr>
      </w:pPr>
      <w:r w:rsidRPr="000060CE">
        <w:rPr>
          <w:i/>
          <w:lang w:val="es-ES"/>
        </w:rPr>
        <w:t>Se invita al Comité a dar su opinión sobre este asunto</w:t>
      </w:r>
      <w:r w:rsidR="00AA5F79" w:rsidRPr="000060CE">
        <w:rPr>
          <w:i/>
          <w:lang w:val="es-ES"/>
        </w:rPr>
        <w:t>.</w:t>
      </w:r>
    </w:p>
    <w:p w14:paraId="53CA59AE" w14:textId="77777777" w:rsidR="00AA5F79" w:rsidRPr="000060CE" w:rsidRDefault="00AA5F79" w:rsidP="00AA5F79">
      <w:pPr>
        <w:pStyle w:val="ONUME"/>
        <w:numPr>
          <w:ilvl w:val="0"/>
          <w:numId w:val="0"/>
        </w:numPr>
        <w:rPr>
          <w:lang w:val="es-ES"/>
        </w:rPr>
      </w:pPr>
    </w:p>
    <w:p w14:paraId="14DF46EC" w14:textId="77777777" w:rsidR="00AA5F79" w:rsidRPr="000060CE" w:rsidRDefault="00AA5F79" w:rsidP="00AA5F79">
      <w:pPr>
        <w:pStyle w:val="ONUME"/>
        <w:numPr>
          <w:ilvl w:val="0"/>
          <w:numId w:val="0"/>
        </w:numPr>
        <w:ind w:left="5533"/>
        <w:rPr>
          <w:lang w:val="es-ES"/>
        </w:rPr>
        <w:sectPr w:rsidR="00AA5F79" w:rsidRPr="000060CE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060CE">
        <w:rPr>
          <w:lang w:val="es-ES"/>
        </w:rPr>
        <w:t>[</w:t>
      </w:r>
      <w:r w:rsidR="00196AAA" w:rsidRPr="000060CE">
        <w:rPr>
          <w:lang w:val="es-ES"/>
        </w:rPr>
        <w:t>Sigue el Anexo</w:t>
      </w:r>
      <w:r w:rsidRPr="000060CE">
        <w:rPr>
          <w:lang w:val="es-ES"/>
        </w:rPr>
        <w:t>]</w:t>
      </w:r>
    </w:p>
    <w:p w14:paraId="54B095FD" w14:textId="12F1B8AB" w:rsidR="006720DC" w:rsidRPr="000060CE" w:rsidRDefault="00E30FDF" w:rsidP="006B4685">
      <w:pPr>
        <w:pStyle w:val="ONUME"/>
        <w:numPr>
          <w:ilvl w:val="0"/>
          <w:numId w:val="0"/>
        </w:numPr>
        <w:ind w:right="-1"/>
        <w:jc w:val="center"/>
        <w:rPr>
          <w:caps/>
          <w:lang w:val="es-ES"/>
        </w:rPr>
      </w:pPr>
      <w:r w:rsidRPr="000060CE">
        <w:rPr>
          <w:caps/>
          <w:lang w:val="es-ES"/>
        </w:rPr>
        <w:lastRenderedPageBreak/>
        <w:t xml:space="preserve">solicitud de la OFICINA </w:t>
      </w:r>
      <w:r w:rsidR="00D267BF" w:rsidRPr="000060CE">
        <w:rPr>
          <w:caps/>
          <w:lang w:val="es-ES"/>
        </w:rPr>
        <w:t xml:space="preserve">AUSTRALIANA </w:t>
      </w:r>
      <w:r w:rsidRPr="000060CE">
        <w:rPr>
          <w:caps/>
          <w:lang w:val="es-ES"/>
        </w:rPr>
        <w:t xml:space="preserve">DE PATENTES </w:t>
      </w:r>
      <w:r w:rsidR="006B4685">
        <w:rPr>
          <w:caps/>
          <w:lang w:val="es-ES"/>
        </w:rPr>
        <w:br/>
      </w:r>
      <w:r w:rsidRPr="000060CE">
        <w:rPr>
          <w:caps/>
          <w:lang w:val="es-ES"/>
        </w:rPr>
        <w:t xml:space="preserve">para la PRÓRROGA DE </w:t>
      </w:r>
      <w:r w:rsidR="001E5B3E" w:rsidRPr="000060CE">
        <w:rPr>
          <w:caps/>
          <w:lang w:val="es-ES"/>
        </w:rPr>
        <w:t>su</w:t>
      </w:r>
      <w:r w:rsidRPr="000060CE">
        <w:rPr>
          <w:caps/>
          <w:lang w:val="es-ES"/>
        </w:rPr>
        <w:t xml:space="preserve"> DESIGNACIÓN COMO </w:t>
      </w:r>
      <w:r w:rsidR="006B4685">
        <w:rPr>
          <w:caps/>
          <w:lang w:val="es-ES"/>
        </w:rPr>
        <w:br/>
      </w:r>
      <w:r w:rsidRPr="000060CE">
        <w:rPr>
          <w:caps/>
          <w:lang w:val="es-ES"/>
        </w:rPr>
        <w:t xml:space="preserve">ADMINISTRACIÓN ENCARGADA DE LA BÚSQUEDA Y EL EXAMEN PRELIMINAR INTERNACIONALES </w:t>
      </w:r>
      <w:r w:rsidR="006B4685">
        <w:rPr>
          <w:caps/>
          <w:lang w:val="es-ES"/>
        </w:rPr>
        <w:t>en virtud del pct</w:t>
      </w:r>
      <w:r w:rsidRPr="000060CE">
        <w:rPr>
          <w:caps/>
          <w:lang w:val="es-ES"/>
        </w:rPr>
        <w:t xml:space="preserve">  </w:t>
      </w:r>
    </w:p>
    <w:p w14:paraId="1576E4FA" w14:textId="77777777" w:rsidR="00694B84" w:rsidRPr="000060CE" w:rsidRDefault="00694B84" w:rsidP="00196AAA">
      <w:pPr>
        <w:pStyle w:val="ONUME"/>
        <w:numPr>
          <w:ilvl w:val="0"/>
          <w:numId w:val="0"/>
        </w:numPr>
        <w:ind w:left="1134" w:right="1700"/>
        <w:jc w:val="center"/>
        <w:rPr>
          <w:caps/>
          <w:lang w:val="es-ES"/>
        </w:rPr>
      </w:pPr>
    </w:p>
    <w:p w14:paraId="0D3B0B0A" w14:textId="0BF061A8" w:rsidR="006720DC" w:rsidRPr="000060CE" w:rsidRDefault="006720DC" w:rsidP="006720DC">
      <w:pPr>
        <w:pStyle w:val="SectionHeading"/>
        <w:jc w:val="both"/>
        <w:rPr>
          <w:lang w:val="es-ES"/>
        </w:rPr>
      </w:pPr>
      <w:r w:rsidRPr="000060CE">
        <w:rPr>
          <w:lang w:val="es-ES"/>
        </w:rPr>
        <w:t>1 – General</w:t>
      </w:r>
    </w:p>
    <w:p w14:paraId="2D23254C" w14:textId="77777777" w:rsidR="006720DC" w:rsidRPr="000060CE" w:rsidRDefault="003943A7" w:rsidP="006720DC">
      <w:pPr>
        <w:pStyle w:val="ListParagraph"/>
        <w:numPr>
          <w:ilvl w:val="0"/>
          <w:numId w:val="7"/>
        </w:numPr>
        <w:ind w:left="360"/>
        <w:rPr>
          <w:b/>
          <w:szCs w:val="22"/>
          <w:lang w:val="es-ES"/>
        </w:rPr>
      </w:pPr>
      <w:r w:rsidRPr="000060CE">
        <w:rPr>
          <w:b/>
          <w:szCs w:val="22"/>
          <w:lang w:val="es-ES"/>
        </w:rPr>
        <w:t>Nombre de la O</w:t>
      </w:r>
      <w:r w:rsidR="00196AAA" w:rsidRPr="000060CE">
        <w:rPr>
          <w:b/>
          <w:szCs w:val="22"/>
          <w:lang w:val="es-ES"/>
        </w:rPr>
        <w:t xml:space="preserve">ficina nacional </w:t>
      </w:r>
      <w:r w:rsidR="006720DC" w:rsidRPr="000060CE">
        <w:rPr>
          <w:b/>
          <w:szCs w:val="22"/>
          <w:lang w:val="es-ES"/>
        </w:rPr>
        <w:t xml:space="preserve"> : </w:t>
      </w:r>
    </w:p>
    <w:p w14:paraId="385AA3F6" w14:textId="77777777" w:rsidR="006720DC" w:rsidRPr="000060CE" w:rsidRDefault="00196AAA" w:rsidP="006720DC">
      <w:pPr>
        <w:pStyle w:val="ListParagraph"/>
        <w:ind w:left="360"/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Oficina Australiana de Patentes </w:t>
      </w:r>
      <w:r w:rsidR="006720DC" w:rsidRPr="000060CE">
        <w:rPr>
          <w:szCs w:val="22"/>
          <w:lang w:val="es-ES"/>
        </w:rPr>
        <w:t>(</w:t>
      </w:r>
      <w:r w:rsidRPr="000060CE">
        <w:rPr>
          <w:szCs w:val="22"/>
          <w:lang w:val="es-ES"/>
        </w:rPr>
        <w:t>parte del organismo gubernamental conocido como “</w:t>
      </w:r>
      <w:r w:rsidR="006720DC" w:rsidRPr="000060CE">
        <w:rPr>
          <w:szCs w:val="22"/>
          <w:lang w:val="es-ES"/>
        </w:rPr>
        <w:t>IP Australia</w:t>
      </w:r>
      <w:r w:rsidRPr="000060CE">
        <w:rPr>
          <w:szCs w:val="22"/>
          <w:lang w:val="es-ES"/>
        </w:rPr>
        <w:t>”</w:t>
      </w:r>
      <w:r w:rsidR="006720DC" w:rsidRPr="000060CE">
        <w:rPr>
          <w:szCs w:val="22"/>
          <w:lang w:val="es-ES"/>
        </w:rPr>
        <w:t>).</w:t>
      </w:r>
    </w:p>
    <w:p w14:paraId="0850D58F" w14:textId="77777777" w:rsidR="006720DC" w:rsidRPr="000060CE" w:rsidRDefault="00196AAA" w:rsidP="00196AAA">
      <w:pPr>
        <w:pStyle w:val="ListParagraph"/>
        <w:tabs>
          <w:tab w:val="left" w:pos="6866"/>
        </w:tabs>
        <w:ind w:left="360"/>
        <w:rPr>
          <w:b/>
          <w:szCs w:val="22"/>
          <w:lang w:val="es-ES"/>
        </w:rPr>
      </w:pPr>
      <w:r w:rsidRPr="000060CE">
        <w:rPr>
          <w:b/>
          <w:szCs w:val="22"/>
          <w:lang w:val="es-ES"/>
        </w:rPr>
        <w:tab/>
      </w:r>
    </w:p>
    <w:p w14:paraId="201D837A" w14:textId="77777777" w:rsidR="006720DC" w:rsidRPr="000060CE" w:rsidRDefault="006720DC" w:rsidP="006720DC">
      <w:pPr>
        <w:pStyle w:val="ListParagraph"/>
        <w:numPr>
          <w:ilvl w:val="0"/>
          <w:numId w:val="7"/>
        </w:numPr>
        <w:ind w:left="360"/>
        <w:rPr>
          <w:b/>
          <w:bCs/>
          <w:szCs w:val="22"/>
          <w:lang w:val="es-ES"/>
        </w:rPr>
      </w:pPr>
      <w:r w:rsidRPr="000060CE">
        <w:rPr>
          <w:b/>
          <w:szCs w:val="22"/>
          <w:lang w:val="es-ES"/>
        </w:rPr>
        <w:t>Contact</w:t>
      </w:r>
      <w:r w:rsidR="00196AAA" w:rsidRPr="000060CE">
        <w:rPr>
          <w:b/>
          <w:szCs w:val="22"/>
          <w:lang w:val="es-ES"/>
        </w:rPr>
        <w:t xml:space="preserve">o para cualquier asunto relacionado con </w:t>
      </w:r>
      <w:r w:rsidR="003943A7" w:rsidRPr="000060CE">
        <w:rPr>
          <w:b/>
          <w:szCs w:val="22"/>
          <w:lang w:val="es-ES"/>
        </w:rPr>
        <w:t xml:space="preserve">el contenido de </w:t>
      </w:r>
      <w:r w:rsidR="00196AAA" w:rsidRPr="000060CE">
        <w:rPr>
          <w:b/>
          <w:szCs w:val="22"/>
          <w:lang w:val="es-ES"/>
        </w:rPr>
        <w:t>este informe</w:t>
      </w:r>
      <w:r w:rsidRPr="000060CE">
        <w:rPr>
          <w:b/>
          <w:szCs w:val="22"/>
          <w:lang w:val="es-ES"/>
        </w:rPr>
        <w:t xml:space="preserve">: </w:t>
      </w:r>
    </w:p>
    <w:p w14:paraId="27499F76" w14:textId="77777777" w:rsidR="006720DC" w:rsidRPr="000060CE" w:rsidRDefault="006720DC" w:rsidP="006720DC">
      <w:pPr>
        <w:pStyle w:val="ListParagraph"/>
        <w:ind w:left="360"/>
        <w:rPr>
          <w:lang w:val="es-ES"/>
        </w:rPr>
      </w:pPr>
    </w:p>
    <w:p w14:paraId="4E7737ED" w14:textId="77777777" w:rsidR="006720DC" w:rsidRPr="00A526B6" w:rsidRDefault="006720DC" w:rsidP="006720DC">
      <w:pPr>
        <w:pStyle w:val="ListParagraph"/>
        <w:ind w:left="360"/>
      </w:pPr>
      <w:r w:rsidRPr="00A526B6">
        <w:t>Martin Devlin, Policy Officer, International Policy and Cooperation</w:t>
      </w:r>
    </w:p>
    <w:p w14:paraId="4EA95291" w14:textId="77777777" w:rsidR="006720DC" w:rsidRPr="00A526B6" w:rsidRDefault="006720DC" w:rsidP="006720DC">
      <w:pPr>
        <w:pStyle w:val="ListParagraph"/>
        <w:ind w:left="360"/>
      </w:pPr>
      <w:r w:rsidRPr="00A526B6">
        <w:t>Policy and Governance Group, IP Australia</w:t>
      </w:r>
    </w:p>
    <w:p w14:paraId="50D16BDA" w14:textId="77777777" w:rsidR="006720DC" w:rsidRPr="00A526B6" w:rsidRDefault="009079C3" w:rsidP="006720DC">
      <w:pPr>
        <w:pStyle w:val="ListParagraph"/>
        <w:ind w:left="360"/>
      </w:pPr>
      <w:hyperlink r:id="rId11" w:history="1">
        <w:r w:rsidR="006720DC" w:rsidRPr="00A526B6">
          <w:rPr>
            <w:rStyle w:val="Hyperlink"/>
            <w:lang w:val="en-US"/>
          </w:rPr>
          <w:t>martin.devlin@ipaustralia.gov.au</w:t>
        </w:r>
      </w:hyperlink>
      <w:r w:rsidR="006720DC" w:rsidRPr="00A526B6">
        <w:t>, +613 99359697</w:t>
      </w:r>
    </w:p>
    <w:p w14:paraId="0D23689C" w14:textId="77777777" w:rsidR="006720DC" w:rsidRPr="00A526B6" w:rsidRDefault="006720DC" w:rsidP="006720DC">
      <w:pPr>
        <w:pStyle w:val="ListParagraph"/>
        <w:ind w:left="360"/>
        <w:rPr>
          <w:b/>
          <w:bCs/>
          <w:szCs w:val="22"/>
        </w:rPr>
      </w:pPr>
    </w:p>
    <w:p w14:paraId="2270D70E" w14:textId="77777777" w:rsidR="00196AAA" w:rsidRPr="000060CE" w:rsidRDefault="00196AAA" w:rsidP="006720DC">
      <w:pPr>
        <w:pStyle w:val="ListParagraph"/>
        <w:numPr>
          <w:ilvl w:val="0"/>
          <w:numId w:val="7"/>
        </w:numPr>
        <w:ind w:left="360"/>
        <w:rPr>
          <w:b/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 xml:space="preserve">Fecha en la que el Director General ha recibido la solicitud de </w:t>
      </w:r>
      <w:r w:rsidR="003943A7" w:rsidRPr="000060CE">
        <w:rPr>
          <w:b/>
          <w:bCs/>
          <w:szCs w:val="22"/>
          <w:lang w:val="es-ES"/>
        </w:rPr>
        <w:t>renovación</w:t>
      </w:r>
      <w:r w:rsidRPr="000060CE">
        <w:rPr>
          <w:b/>
          <w:bCs/>
          <w:szCs w:val="22"/>
          <w:lang w:val="es-ES"/>
        </w:rPr>
        <w:t xml:space="preserve"> de la designación  </w:t>
      </w:r>
    </w:p>
    <w:p w14:paraId="5DF6F845" w14:textId="77777777" w:rsidR="006720DC" w:rsidRPr="000060CE" w:rsidRDefault="00196AAA" w:rsidP="00196AAA">
      <w:pPr>
        <w:ind w:left="360"/>
        <w:rPr>
          <w:b/>
          <w:bCs/>
          <w:szCs w:val="22"/>
          <w:lang w:val="es-ES"/>
        </w:rPr>
      </w:pPr>
      <w:r w:rsidRPr="000060CE">
        <w:rPr>
          <w:szCs w:val="22"/>
          <w:lang w:val="es-ES"/>
        </w:rPr>
        <w:t xml:space="preserve">7 de marzo de </w:t>
      </w:r>
      <w:r w:rsidR="006720DC" w:rsidRPr="000060CE">
        <w:rPr>
          <w:szCs w:val="22"/>
          <w:lang w:val="es-ES"/>
        </w:rPr>
        <w:t>2017</w:t>
      </w:r>
    </w:p>
    <w:p w14:paraId="669F5425" w14:textId="77777777" w:rsidR="006720DC" w:rsidRPr="000060CE" w:rsidRDefault="006720DC" w:rsidP="006720DC">
      <w:pPr>
        <w:pStyle w:val="ListParagraph"/>
        <w:ind w:left="360"/>
        <w:rPr>
          <w:b/>
          <w:bCs/>
          <w:szCs w:val="22"/>
          <w:lang w:val="es-ES"/>
        </w:rPr>
      </w:pPr>
    </w:p>
    <w:p w14:paraId="096BEA8F" w14:textId="77777777" w:rsidR="00694B84" w:rsidRPr="000060CE" w:rsidRDefault="00694B84" w:rsidP="002F1AFC">
      <w:pPr>
        <w:pStyle w:val="ListParagraph"/>
        <w:numPr>
          <w:ilvl w:val="0"/>
          <w:numId w:val="7"/>
        </w:numPr>
        <w:ind w:left="360"/>
        <w:rPr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 xml:space="preserve">Período de sesiones de la Asamblea de la Unión del PCT en el que se </w:t>
      </w:r>
      <w:r w:rsidR="001E5B3E" w:rsidRPr="000060CE">
        <w:rPr>
          <w:b/>
          <w:bCs/>
          <w:szCs w:val="22"/>
          <w:lang w:val="es-ES"/>
        </w:rPr>
        <w:t>solicita</w:t>
      </w:r>
      <w:r w:rsidRPr="000060CE">
        <w:rPr>
          <w:b/>
          <w:bCs/>
          <w:szCs w:val="22"/>
          <w:lang w:val="es-ES"/>
        </w:rPr>
        <w:t xml:space="preserve"> la renovación de la designación</w:t>
      </w:r>
      <w:r w:rsidR="006720DC" w:rsidRPr="000060CE">
        <w:rPr>
          <w:b/>
          <w:bCs/>
          <w:szCs w:val="22"/>
          <w:lang w:val="es-ES"/>
        </w:rPr>
        <w:t>:</w:t>
      </w:r>
      <w:r w:rsidRPr="000060CE">
        <w:rPr>
          <w:b/>
          <w:bCs/>
          <w:szCs w:val="22"/>
          <w:lang w:val="es-ES"/>
        </w:rPr>
        <w:t xml:space="preserve"> </w:t>
      </w:r>
      <w:r w:rsidR="00EF30AC" w:rsidRPr="000060CE">
        <w:rPr>
          <w:b/>
          <w:bCs/>
          <w:szCs w:val="22"/>
          <w:lang w:val="es-ES"/>
        </w:rPr>
        <w:t xml:space="preserve"> </w:t>
      </w:r>
      <w:r w:rsidRPr="000060CE">
        <w:rPr>
          <w:bCs/>
          <w:szCs w:val="22"/>
          <w:lang w:val="es-ES"/>
        </w:rPr>
        <w:t>Cuadragésimo noveno periodo de sesiones (21º ordinario)  de la Asamblea de la Unión del PCT (2017)</w:t>
      </w:r>
    </w:p>
    <w:p w14:paraId="0C121EA2" w14:textId="77777777" w:rsidR="006720DC" w:rsidRPr="000060CE" w:rsidRDefault="00694B84" w:rsidP="00694B84">
      <w:pPr>
        <w:pStyle w:val="ListParagraph"/>
        <w:tabs>
          <w:tab w:val="left" w:pos="6451"/>
        </w:tabs>
        <w:ind w:left="360"/>
        <w:rPr>
          <w:b/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ab/>
      </w:r>
    </w:p>
    <w:p w14:paraId="2E2DE68C" w14:textId="42FB3F9A" w:rsidR="006720DC" w:rsidRPr="000060CE" w:rsidRDefault="0023675D" w:rsidP="002F1AFC">
      <w:pPr>
        <w:pStyle w:val="ListParagraph"/>
        <w:numPr>
          <w:ilvl w:val="0"/>
          <w:numId w:val="7"/>
        </w:numPr>
        <w:ind w:left="360"/>
        <w:rPr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>Fecha prevista de inicio de la renovación de la designación como</w:t>
      </w:r>
      <w:r w:rsidR="006720DC" w:rsidRPr="000060CE">
        <w:rPr>
          <w:b/>
          <w:bCs/>
          <w:szCs w:val="22"/>
          <w:lang w:val="es-ES"/>
        </w:rPr>
        <w:t xml:space="preserve"> </w:t>
      </w:r>
      <w:r w:rsidR="006B4685">
        <w:rPr>
          <w:b/>
          <w:bCs/>
          <w:szCs w:val="22"/>
          <w:lang w:val="es-ES"/>
        </w:rPr>
        <w:t>ISA/IPEA</w:t>
      </w:r>
      <w:r w:rsidRPr="000060CE">
        <w:rPr>
          <w:b/>
          <w:bCs/>
          <w:szCs w:val="22"/>
          <w:lang w:val="es-ES"/>
        </w:rPr>
        <w:t xml:space="preserve">: </w:t>
      </w:r>
      <w:r w:rsidR="00EF30AC" w:rsidRPr="000060CE">
        <w:rPr>
          <w:b/>
          <w:bCs/>
          <w:szCs w:val="22"/>
          <w:lang w:val="es-ES"/>
        </w:rPr>
        <w:t xml:space="preserve"> </w:t>
      </w:r>
      <w:r w:rsidRPr="000060CE">
        <w:rPr>
          <w:bCs/>
          <w:szCs w:val="22"/>
          <w:lang w:val="es-ES"/>
        </w:rPr>
        <w:t>1 de enero de 2018.</w:t>
      </w:r>
      <w:r w:rsidR="006720DC" w:rsidRPr="000060CE">
        <w:rPr>
          <w:bCs/>
          <w:vertAlign w:val="superscript"/>
          <w:lang w:val="es-ES"/>
        </w:rPr>
        <w:footnoteReference w:id="2"/>
      </w:r>
    </w:p>
    <w:p w14:paraId="31F25D74" w14:textId="77777777" w:rsidR="0023675D" w:rsidRPr="000060CE" w:rsidRDefault="0023675D" w:rsidP="0023675D">
      <w:pPr>
        <w:rPr>
          <w:b/>
          <w:bCs/>
          <w:szCs w:val="22"/>
          <w:lang w:val="es-ES"/>
        </w:rPr>
      </w:pPr>
    </w:p>
    <w:p w14:paraId="39F807C1" w14:textId="77777777" w:rsidR="006720DC" w:rsidRPr="000060CE" w:rsidRDefault="0023675D" w:rsidP="002F1AFC">
      <w:pPr>
        <w:pStyle w:val="ListParagraph"/>
        <w:numPr>
          <w:ilvl w:val="0"/>
          <w:numId w:val="7"/>
        </w:numPr>
        <w:ind w:left="360"/>
        <w:rPr>
          <w:b/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 xml:space="preserve">Administraciones encargadas de la búsqueda y del examen preliminar internacional existentes que han prestado su ayuda para evaluar </w:t>
      </w:r>
      <w:r w:rsidR="00CF5E57">
        <w:rPr>
          <w:b/>
          <w:bCs/>
          <w:szCs w:val="22"/>
          <w:lang w:val="es-ES"/>
        </w:rPr>
        <w:t>en qué medida se cumplen los criterios:</w:t>
      </w:r>
    </w:p>
    <w:p w14:paraId="7B4E3E11" w14:textId="77777777" w:rsidR="006720DC" w:rsidRPr="000060CE" w:rsidRDefault="006720DC" w:rsidP="006720DC">
      <w:pPr>
        <w:pStyle w:val="ListParagraph"/>
        <w:ind w:left="360"/>
        <w:rPr>
          <w:b/>
          <w:bCs/>
          <w:szCs w:val="22"/>
          <w:lang w:val="es-ES"/>
        </w:rPr>
      </w:pPr>
    </w:p>
    <w:p w14:paraId="03B012E8" w14:textId="50AAEB70" w:rsidR="0023675D" w:rsidRPr="000060CE" w:rsidRDefault="0023675D" w:rsidP="006720DC">
      <w:pPr>
        <w:pStyle w:val="ListParagraph"/>
        <w:ind w:left="360"/>
        <w:rPr>
          <w:bCs/>
          <w:szCs w:val="22"/>
          <w:lang w:val="es-ES"/>
        </w:rPr>
      </w:pPr>
      <w:r w:rsidRPr="000060CE">
        <w:rPr>
          <w:bCs/>
          <w:szCs w:val="22"/>
          <w:lang w:val="es-ES"/>
        </w:rPr>
        <w:t xml:space="preserve">La Oficina Australiana de Patentes (APO) ha solicitado ayuda a la Oficina </w:t>
      </w:r>
      <w:r w:rsidR="006B4685">
        <w:rPr>
          <w:bCs/>
          <w:szCs w:val="22"/>
          <w:lang w:val="es-ES"/>
        </w:rPr>
        <w:t xml:space="preserve">Canadiense </w:t>
      </w:r>
      <w:r w:rsidRPr="000060CE">
        <w:rPr>
          <w:bCs/>
          <w:szCs w:val="22"/>
          <w:lang w:val="es-ES"/>
        </w:rPr>
        <w:t xml:space="preserve">de Propiedad Intelectual </w:t>
      </w:r>
      <w:r w:rsidR="006720DC" w:rsidRPr="000060CE">
        <w:rPr>
          <w:bCs/>
          <w:szCs w:val="22"/>
          <w:lang w:val="es-ES"/>
        </w:rPr>
        <w:t xml:space="preserve">(CIPO) </w:t>
      </w:r>
      <w:r w:rsidR="0037088C" w:rsidRPr="000060CE">
        <w:rPr>
          <w:bCs/>
          <w:szCs w:val="22"/>
          <w:lang w:val="es-ES"/>
        </w:rPr>
        <w:t xml:space="preserve">para que examine su solicitud de renovación de la designación como Administración  encargada de la búsqueda internacional y </w:t>
      </w:r>
      <w:r w:rsidR="001E5B3E" w:rsidRPr="000060CE">
        <w:rPr>
          <w:bCs/>
          <w:szCs w:val="22"/>
          <w:lang w:val="es-ES"/>
        </w:rPr>
        <w:t xml:space="preserve">Administración encargada </w:t>
      </w:r>
      <w:r w:rsidR="0037088C" w:rsidRPr="000060CE">
        <w:rPr>
          <w:bCs/>
          <w:szCs w:val="22"/>
          <w:lang w:val="es-ES"/>
        </w:rPr>
        <w:t xml:space="preserve">del examen preliminar internacional </w:t>
      </w:r>
      <w:r w:rsidR="00F35374">
        <w:rPr>
          <w:bCs/>
          <w:szCs w:val="22"/>
          <w:lang w:val="es-ES"/>
        </w:rPr>
        <w:t>así como</w:t>
      </w:r>
      <w:r w:rsidR="0037088C" w:rsidRPr="000060CE">
        <w:rPr>
          <w:bCs/>
          <w:szCs w:val="22"/>
          <w:lang w:val="es-ES"/>
        </w:rPr>
        <w:t xml:space="preserve"> </w:t>
      </w:r>
      <w:r w:rsidR="00BA40A6" w:rsidRPr="000060CE">
        <w:rPr>
          <w:bCs/>
          <w:szCs w:val="22"/>
          <w:lang w:val="es-ES"/>
        </w:rPr>
        <w:t>la</w:t>
      </w:r>
      <w:r w:rsidR="0037088C" w:rsidRPr="000060CE">
        <w:rPr>
          <w:bCs/>
          <w:szCs w:val="22"/>
          <w:lang w:val="es-ES"/>
        </w:rPr>
        <w:t xml:space="preserve"> idoneidad </w:t>
      </w:r>
      <w:r w:rsidR="00BA40A6" w:rsidRPr="000060CE">
        <w:rPr>
          <w:bCs/>
          <w:szCs w:val="22"/>
          <w:lang w:val="es-ES"/>
        </w:rPr>
        <w:t>de</w:t>
      </w:r>
      <w:r w:rsidR="0037088C" w:rsidRPr="000060CE">
        <w:rPr>
          <w:bCs/>
          <w:szCs w:val="22"/>
          <w:lang w:val="es-ES"/>
        </w:rPr>
        <w:t xml:space="preserve"> la renovación de la designación. </w:t>
      </w:r>
      <w:r w:rsidR="00C552D7" w:rsidRPr="000060CE">
        <w:rPr>
          <w:bCs/>
          <w:szCs w:val="22"/>
          <w:lang w:val="es-ES"/>
        </w:rPr>
        <w:t xml:space="preserve"> </w:t>
      </w:r>
      <w:r w:rsidR="0037088C" w:rsidRPr="000060CE">
        <w:rPr>
          <w:bCs/>
          <w:szCs w:val="22"/>
          <w:lang w:val="es-ES"/>
        </w:rPr>
        <w:t xml:space="preserve">La APO ha remitido un proyecto de texto a la Oficina Internacional para comentarios y </w:t>
      </w:r>
      <w:r w:rsidR="001E5B3E" w:rsidRPr="000060CE">
        <w:rPr>
          <w:bCs/>
          <w:szCs w:val="22"/>
          <w:lang w:val="es-ES"/>
        </w:rPr>
        <w:t>ha</w:t>
      </w:r>
      <w:r w:rsidR="0037088C" w:rsidRPr="000060CE">
        <w:rPr>
          <w:bCs/>
          <w:szCs w:val="22"/>
          <w:lang w:val="es-ES"/>
        </w:rPr>
        <w:t xml:space="preserve"> incorpora</w:t>
      </w:r>
      <w:r w:rsidR="001E5B3E" w:rsidRPr="000060CE">
        <w:rPr>
          <w:bCs/>
          <w:szCs w:val="22"/>
          <w:lang w:val="es-ES"/>
        </w:rPr>
        <w:t xml:space="preserve">do esta </w:t>
      </w:r>
      <w:r w:rsidR="0037088C" w:rsidRPr="000060CE">
        <w:rPr>
          <w:bCs/>
          <w:szCs w:val="22"/>
          <w:lang w:val="es-ES"/>
        </w:rPr>
        <w:t xml:space="preserve">información </w:t>
      </w:r>
      <w:r w:rsidR="00BA40A6" w:rsidRPr="000060CE">
        <w:rPr>
          <w:bCs/>
          <w:szCs w:val="22"/>
          <w:lang w:val="es-ES"/>
        </w:rPr>
        <w:t xml:space="preserve">recibida </w:t>
      </w:r>
      <w:r w:rsidR="001E5B3E" w:rsidRPr="000060CE">
        <w:rPr>
          <w:bCs/>
          <w:szCs w:val="22"/>
          <w:lang w:val="es-ES"/>
        </w:rPr>
        <w:t>inicial</w:t>
      </w:r>
      <w:r w:rsidR="00BA40A6" w:rsidRPr="000060CE">
        <w:rPr>
          <w:bCs/>
          <w:szCs w:val="22"/>
          <w:lang w:val="es-ES"/>
        </w:rPr>
        <w:t>mente</w:t>
      </w:r>
      <w:r w:rsidR="0037088C" w:rsidRPr="000060CE">
        <w:rPr>
          <w:bCs/>
          <w:szCs w:val="22"/>
          <w:lang w:val="es-ES"/>
        </w:rPr>
        <w:t xml:space="preserve"> como parte del proceso de formalización de la solicitud.  En la sección 8 de esta solicitud se recoge información adicional sobre el examen realizado </w:t>
      </w:r>
      <w:r w:rsidR="001E5B3E" w:rsidRPr="000060CE">
        <w:rPr>
          <w:bCs/>
          <w:szCs w:val="22"/>
          <w:lang w:val="es-ES"/>
        </w:rPr>
        <w:t xml:space="preserve">por </w:t>
      </w:r>
      <w:r w:rsidR="0037088C" w:rsidRPr="000060CE">
        <w:rPr>
          <w:bCs/>
          <w:szCs w:val="22"/>
          <w:lang w:val="es-ES"/>
        </w:rPr>
        <w:t xml:space="preserve">otras </w:t>
      </w:r>
      <w:r w:rsidR="00BA40A6" w:rsidRPr="000060CE">
        <w:rPr>
          <w:bCs/>
          <w:szCs w:val="22"/>
          <w:lang w:val="es-ES"/>
        </w:rPr>
        <w:t>administraciones</w:t>
      </w:r>
      <w:r w:rsidR="0037088C" w:rsidRPr="000060CE">
        <w:rPr>
          <w:bCs/>
          <w:szCs w:val="22"/>
          <w:lang w:val="es-ES"/>
        </w:rPr>
        <w:t>.</w:t>
      </w:r>
    </w:p>
    <w:p w14:paraId="14D20428" w14:textId="77777777" w:rsidR="0023675D" w:rsidRPr="000060CE" w:rsidRDefault="0023675D" w:rsidP="006720DC">
      <w:pPr>
        <w:pStyle w:val="ListParagraph"/>
        <w:ind w:left="360"/>
        <w:rPr>
          <w:bCs/>
          <w:szCs w:val="22"/>
          <w:lang w:val="es-ES"/>
        </w:rPr>
      </w:pPr>
    </w:p>
    <w:p w14:paraId="57F63D02" w14:textId="77777777" w:rsidR="006720DC" w:rsidRPr="000060CE" w:rsidRDefault="006720DC" w:rsidP="006720DC">
      <w:pPr>
        <w:rPr>
          <w:bCs/>
          <w:szCs w:val="22"/>
          <w:lang w:val="es-ES"/>
        </w:rPr>
      </w:pPr>
    </w:p>
    <w:p w14:paraId="1C8F64B3" w14:textId="77777777" w:rsidR="006720DC" w:rsidRPr="000060CE" w:rsidRDefault="006720DC" w:rsidP="006720DC">
      <w:pPr>
        <w:pStyle w:val="SectionHeading"/>
        <w:rPr>
          <w:lang w:val="es-ES"/>
        </w:rPr>
      </w:pPr>
      <w:r w:rsidRPr="000060CE">
        <w:rPr>
          <w:lang w:val="es-ES"/>
        </w:rPr>
        <w:lastRenderedPageBreak/>
        <w:t xml:space="preserve">2 – </w:t>
      </w:r>
      <w:r w:rsidR="00EF30AC" w:rsidRPr="000060CE">
        <w:rPr>
          <w:lang w:val="es-ES"/>
        </w:rPr>
        <w:t>CRITERIOS SUSTANTIVOS: REQU</w:t>
      </w:r>
      <w:r w:rsidR="009E0E48" w:rsidRPr="000060CE">
        <w:rPr>
          <w:lang w:val="es-ES"/>
        </w:rPr>
        <w:t>I</w:t>
      </w:r>
      <w:r w:rsidR="00EF30AC" w:rsidRPr="000060CE">
        <w:rPr>
          <w:lang w:val="es-ES"/>
        </w:rPr>
        <w:t xml:space="preserve">SITOS MÍNIMOS PARA LA DESIGNACIÓN </w:t>
      </w:r>
    </w:p>
    <w:p w14:paraId="4416DAE1" w14:textId="77777777" w:rsidR="006720DC" w:rsidRPr="000060CE" w:rsidRDefault="006720DC" w:rsidP="00B40E5F">
      <w:pPr>
        <w:keepNext/>
        <w:rPr>
          <w:sz w:val="16"/>
          <w:szCs w:val="16"/>
          <w:lang w:val="es-ES"/>
        </w:rPr>
      </w:pPr>
    </w:p>
    <w:p w14:paraId="3BD7B7E4" w14:textId="77777777" w:rsidR="006720DC" w:rsidRPr="000060CE" w:rsidRDefault="006720DC" w:rsidP="00B40E5F">
      <w:pPr>
        <w:pStyle w:val="SectionHeading"/>
        <w:spacing w:before="0"/>
        <w:rPr>
          <w:lang w:val="es-ES"/>
        </w:rPr>
      </w:pPr>
      <w:r w:rsidRPr="000060CE">
        <w:rPr>
          <w:lang w:val="es-ES"/>
        </w:rPr>
        <w:t xml:space="preserve">2.1 – </w:t>
      </w:r>
      <w:r w:rsidR="00A40998" w:rsidRPr="000060CE">
        <w:rPr>
          <w:lang w:val="es-ES"/>
        </w:rPr>
        <w:t xml:space="preserve">capacidad de búsqueda y examen </w:t>
      </w:r>
    </w:p>
    <w:p w14:paraId="5DB66A9C" w14:textId="77777777" w:rsidR="006720DC" w:rsidRPr="000060CE" w:rsidRDefault="005959CC" w:rsidP="00B40E5F">
      <w:pPr>
        <w:keepNext/>
        <w:keepLines/>
        <w:rPr>
          <w:b/>
          <w:i/>
          <w:lang w:val="es-ES"/>
        </w:rPr>
      </w:pPr>
      <w:r w:rsidRPr="000060CE">
        <w:rPr>
          <w:b/>
          <w:i/>
          <w:lang w:val="es-ES"/>
        </w:rPr>
        <w:t>Reglas</w:t>
      </w:r>
      <w:r w:rsidR="000060CE">
        <w:rPr>
          <w:b/>
          <w:i/>
          <w:lang w:val="es-ES"/>
        </w:rPr>
        <w:t xml:space="preserve"> 36.1.</w:t>
      </w:r>
      <w:r w:rsidR="006720DC" w:rsidRPr="000060CE">
        <w:rPr>
          <w:b/>
          <w:i/>
          <w:lang w:val="es-ES"/>
        </w:rPr>
        <w:t xml:space="preserve">i) </w:t>
      </w:r>
      <w:r w:rsidRPr="000060CE">
        <w:rPr>
          <w:b/>
          <w:i/>
          <w:lang w:val="es-ES"/>
        </w:rPr>
        <w:t>y</w:t>
      </w:r>
      <w:r w:rsidR="006720DC" w:rsidRPr="000060CE">
        <w:rPr>
          <w:b/>
          <w:i/>
          <w:lang w:val="es-ES"/>
        </w:rPr>
        <w:t xml:space="preserve"> 63.1</w:t>
      </w:r>
      <w:r w:rsidR="000060CE">
        <w:rPr>
          <w:b/>
          <w:i/>
          <w:lang w:val="es-ES"/>
        </w:rPr>
        <w:t>.</w:t>
      </w:r>
      <w:r w:rsidR="006720DC" w:rsidRPr="000060CE">
        <w:rPr>
          <w:b/>
          <w:i/>
          <w:lang w:val="es-ES"/>
        </w:rPr>
        <w:t xml:space="preserve">i):  </w:t>
      </w:r>
      <w:r w:rsidR="004856CC" w:rsidRPr="000060CE">
        <w:rPr>
          <w:b/>
          <w:i/>
          <w:lang w:val="es-ES"/>
        </w:rPr>
        <w:t>la Oficina nacional o la organización intergubernamental deberá tener, por lo menos, 100 empleados con plena dedicación, con calificaciones técnicas suficientes para efectuar las búsquedas y los exámenes</w:t>
      </w:r>
      <w:r w:rsidR="006720DC" w:rsidRPr="000060CE">
        <w:rPr>
          <w:b/>
          <w:i/>
          <w:lang w:val="es-ES"/>
        </w:rPr>
        <w:t>.</w:t>
      </w:r>
    </w:p>
    <w:p w14:paraId="3A24D922" w14:textId="77777777" w:rsidR="006720DC" w:rsidRPr="000060CE" w:rsidRDefault="006720DC" w:rsidP="00B40E5F">
      <w:pPr>
        <w:keepNext/>
        <w:keepLines/>
        <w:rPr>
          <w:b/>
          <w:bCs/>
          <w:szCs w:val="22"/>
          <w:lang w:val="es-ES"/>
        </w:rPr>
      </w:pPr>
    </w:p>
    <w:p w14:paraId="32AACDDC" w14:textId="77777777" w:rsidR="006720DC" w:rsidRPr="000060CE" w:rsidRDefault="006720DC" w:rsidP="00AD2807">
      <w:pPr>
        <w:keepNext/>
        <w:keepLines/>
        <w:rPr>
          <w:b/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>Em</w:t>
      </w:r>
      <w:r w:rsidR="004856CC" w:rsidRPr="000060CE">
        <w:rPr>
          <w:b/>
          <w:bCs/>
          <w:szCs w:val="22"/>
          <w:lang w:val="es-ES"/>
        </w:rPr>
        <w:t>pleados cualificados para realizar búsquedas y exámenes</w:t>
      </w:r>
      <w:r w:rsidRPr="000060CE">
        <w:rPr>
          <w:b/>
          <w:bCs/>
          <w:szCs w:val="22"/>
          <w:lang w:val="es-ES"/>
        </w:rPr>
        <w:t>:</w:t>
      </w:r>
      <w:r w:rsidRPr="000060CE">
        <w:rPr>
          <w:szCs w:val="22"/>
          <w:lang w:val="es-ES"/>
        </w:rPr>
        <w:t xml:space="preserve">  </w:t>
      </w:r>
    </w:p>
    <w:p w14:paraId="5DA848F6" w14:textId="77777777" w:rsidR="006720DC" w:rsidRPr="000060CE" w:rsidRDefault="004856CC" w:rsidP="00534264">
      <w:pPr>
        <w:rPr>
          <w:i/>
          <w:lang w:val="es-ES"/>
        </w:rPr>
      </w:pPr>
      <w:r w:rsidRPr="000060CE">
        <w:rPr>
          <w:i/>
          <w:lang w:val="es-ES"/>
        </w:rPr>
        <w:t xml:space="preserve">Fuente: Equipo </w:t>
      </w:r>
      <w:r w:rsidR="002667D1" w:rsidRPr="000060CE">
        <w:rPr>
          <w:i/>
          <w:lang w:val="es-ES"/>
        </w:rPr>
        <w:t xml:space="preserve">interno de elaboración de informes </w:t>
      </w:r>
      <w:r w:rsidRPr="000060CE">
        <w:rPr>
          <w:i/>
          <w:lang w:val="es-ES"/>
        </w:rPr>
        <w:t>de IP Australia</w:t>
      </w:r>
      <w:r w:rsidR="006720DC" w:rsidRPr="000060CE">
        <w:rPr>
          <w:i/>
          <w:lang w:val="es-ES"/>
        </w:rPr>
        <w:t>.</w:t>
      </w:r>
    </w:p>
    <w:p w14:paraId="1C03EF9E" w14:textId="77777777" w:rsidR="006720DC" w:rsidRPr="000060CE" w:rsidRDefault="004856CC" w:rsidP="002667D1">
      <w:pPr>
        <w:keepNext/>
        <w:keepLines/>
        <w:tabs>
          <w:tab w:val="left" w:pos="841"/>
          <w:tab w:val="left" w:pos="6981"/>
        </w:tabs>
        <w:rPr>
          <w:szCs w:val="22"/>
          <w:lang w:val="es-ES"/>
        </w:rPr>
      </w:pPr>
      <w:r w:rsidRPr="000060CE">
        <w:rPr>
          <w:szCs w:val="22"/>
          <w:lang w:val="es-ES"/>
        </w:rPr>
        <w:tab/>
      </w:r>
      <w:r w:rsidR="002667D1" w:rsidRPr="000060CE">
        <w:rPr>
          <w:szCs w:val="22"/>
          <w:lang w:val="es-ES"/>
        </w:rPr>
        <w:tab/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2693"/>
      </w:tblGrid>
      <w:tr w:rsidR="00AD2807" w:rsidRPr="00986536" w14:paraId="330419C7" w14:textId="77777777" w:rsidTr="00694B84">
        <w:trPr>
          <w:cantSplit/>
        </w:trPr>
        <w:tc>
          <w:tcPr>
            <w:tcW w:w="3085" w:type="dxa"/>
            <w:shd w:val="clear" w:color="auto" w:fill="auto"/>
          </w:tcPr>
          <w:p w14:paraId="5E0C499A" w14:textId="3973BDBF" w:rsidR="006720DC" w:rsidRPr="000060CE" w:rsidRDefault="006B4685" w:rsidP="004856CC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Camp</w:t>
            </w:r>
            <w:r w:rsidR="004856CC" w:rsidRPr="000060CE">
              <w:rPr>
                <w:b/>
                <w:bCs/>
                <w:lang w:val="es-ES"/>
              </w:rPr>
              <w:t xml:space="preserve">o técnico </w:t>
            </w:r>
          </w:p>
        </w:tc>
        <w:tc>
          <w:tcPr>
            <w:tcW w:w="2410" w:type="dxa"/>
            <w:shd w:val="clear" w:color="auto" w:fill="auto"/>
          </w:tcPr>
          <w:p w14:paraId="1870848C" w14:textId="77777777" w:rsidR="006720DC" w:rsidRPr="000060CE" w:rsidRDefault="004856CC" w:rsidP="004856CC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Número</w:t>
            </w:r>
            <w:r w:rsidR="006720DC" w:rsidRPr="000060CE">
              <w:rPr>
                <w:b/>
                <w:bCs/>
                <w:lang w:val="es-ES"/>
              </w:rPr>
              <w:t xml:space="preserve"> (</w:t>
            </w:r>
            <w:r w:rsidRPr="000060CE">
              <w:rPr>
                <w:b/>
                <w:bCs/>
                <w:lang w:val="es-ES"/>
              </w:rPr>
              <w:t>en equivalentes a tiempo completo</w:t>
            </w:r>
            <w:r w:rsidR="006720DC" w:rsidRPr="000060CE">
              <w:rPr>
                <w:b/>
                <w:bCs/>
                <w:lang w:val="es-ES"/>
              </w:rPr>
              <w:t>)</w:t>
            </w:r>
          </w:p>
        </w:tc>
        <w:tc>
          <w:tcPr>
            <w:tcW w:w="2693" w:type="dxa"/>
          </w:tcPr>
          <w:p w14:paraId="2F999C0B" w14:textId="77777777" w:rsidR="006720DC" w:rsidRPr="000060CE" w:rsidRDefault="004856CC" w:rsidP="004856CC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 xml:space="preserve">Experiencia media como examinadores </w:t>
            </w:r>
            <w:r w:rsidR="006720DC" w:rsidRPr="000060CE">
              <w:rPr>
                <w:b/>
                <w:bCs/>
                <w:lang w:val="es-ES"/>
              </w:rPr>
              <w:t xml:space="preserve"> (</w:t>
            </w:r>
            <w:r w:rsidRPr="000060CE">
              <w:rPr>
                <w:b/>
                <w:bCs/>
                <w:lang w:val="es-ES"/>
              </w:rPr>
              <w:t>años</w:t>
            </w:r>
            <w:r w:rsidR="006720DC" w:rsidRPr="000060CE">
              <w:rPr>
                <w:b/>
                <w:bCs/>
                <w:lang w:val="es-ES"/>
              </w:rPr>
              <w:t>)</w:t>
            </w:r>
          </w:p>
        </w:tc>
      </w:tr>
      <w:tr w:rsidR="00AD2807" w:rsidRPr="000060CE" w14:paraId="2CB4727B" w14:textId="77777777" w:rsidTr="00694B84">
        <w:trPr>
          <w:cantSplit/>
        </w:trPr>
        <w:tc>
          <w:tcPr>
            <w:tcW w:w="3085" w:type="dxa"/>
            <w:shd w:val="clear" w:color="auto" w:fill="auto"/>
          </w:tcPr>
          <w:p w14:paraId="3F5DC195" w14:textId="77777777" w:rsidR="006720DC" w:rsidRPr="000060CE" w:rsidRDefault="00A40998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Mecánica</w:t>
            </w:r>
          </w:p>
        </w:tc>
        <w:tc>
          <w:tcPr>
            <w:tcW w:w="2410" w:type="dxa"/>
            <w:shd w:val="clear" w:color="auto" w:fill="auto"/>
          </w:tcPr>
          <w:p w14:paraId="0AD84640" w14:textId="77777777" w:rsidR="006720DC" w:rsidRPr="000060CE" w:rsidRDefault="006720DC" w:rsidP="004856CC">
            <w:pPr>
              <w:ind w:right="884"/>
              <w:jc w:val="right"/>
              <w:rPr>
                <w:lang w:val="es-ES"/>
              </w:rPr>
            </w:pPr>
            <w:r w:rsidRPr="000060CE">
              <w:rPr>
                <w:lang w:val="es-ES"/>
              </w:rPr>
              <w:t>125</w:t>
            </w:r>
            <w:r w:rsidR="004856CC" w:rsidRPr="000060CE">
              <w:rPr>
                <w:lang w:val="es-ES"/>
              </w:rPr>
              <w:t>,</w:t>
            </w:r>
            <w:r w:rsidRPr="000060CE">
              <w:rPr>
                <w:lang w:val="es-ES"/>
              </w:rPr>
              <w:t>98</w:t>
            </w:r>
          </w:p>
        </w:tc>
        <w:tc>
          <w:tcPr>
            <w:tcW w:w="2693" w:type="dxa"/>
          </w:tcPr>
          <w:p w14:paraId="260BC5EA" w14:textId="77777777" w:rsidR="006720DC" w:rsidRPr="000060CE" w:rsidRDefault="006720DC" w:rsidP="001D0D5B">
            <w:pPr>
              <w:ind w:right="884"/>
              <w:jc w:val="right"/>
              <w:rPr>
                <w:lang w:val="es-ES"/>
              </w:rPr>
            </w:pPr>
            <w:r w:rsidRPr="000060CE">
              <w:rPr>
                <w:lang w:val="es-ES"/>
              </w:rPr>
              <w:t>8</w:t>
            </w:r>
            <w:r w:rsidR="004856CC" w:rsidRPr="000060CE">
              <w:rPr>
                <w:lang w:val="es-ES"/>
              </w:rPr>
              <w:t>,</w:t>
            </w:r>
            <w:r w:rsidRPr="000060CE">
              <w:rPr>
                <w:lang w:val="es-ES"/>
              </w:rPr>
              <w:t>93</w:t>
            </w:r>
          </w:p>
        </w:tc>
      </w:tr>
      <w:tr w:rsidR="00AD2807" w:rsidRPr="000060CE" w14:paraId="409890CF" w14:textId="77777777" w:rsidTr="00694B84">
        <w:trPr>
          <w:cantSplit/>
        </w:trPr>
        <w:tc>
          <w:tcPr>
            <w:tcW w:w="3085" w:type="dxa"/>
            <w:shd w:val="clear" w:color="auto" w:fill="auto"/>
          </w:tcPr>
          <w:p w14:paraId="2198B5AC" w14:textId="77777777" w:rsidR="006720DC" w:rsidRPr="000060CE" w:rsidRDefault="006720DC" w:rsidP="004856CC">
            <w:pPr>
              <w:rPr>
                <w:lang w:val="es-ES"/>
              </w:rPr>
            </w:pPr>
            <w:r w:rsidRPr="000060CE">
              <w:rPr>
                <w:lang w:val="es-ES"/>
              </w:rPr>
              <w:t>Electric</w:t>
            </w:r>
            <w:r w:rsidR="004856CC" w:rsidRPr="000060CE">
              <w:rPr>
                <w:lang w:val="es-ES"/>
              </w:rPr>
              <w:t xml:space="preserve">idad/electrónica </w:t>
            </w:r>
          </w:p>
        </w:tc>
        <w:tc>
          <w:tcPr>
            <w:tcW w:w="2410" w:type="dxa"/>
            <w:shd w:val="clear" w:color="auto" w:fill="auto"/>
          </w:tcPr>
          <w:p w14:paraId="7A7E4AEB" w14:textId="77777777" w:rsidR="006720DC" w:rsidRPr="000060CE" w:rsidRDefault="006720DC" w:rsidP="001D0D5B">
            <w:pPr>
              <w:ind w:right="884"/>
              <w:jc w:val="right"/>
              <w:rPr>
                <w:lang w:val="es-ES"/>
              </w:rPr>
            </w:pPr>
            <w:r w:rsidRPr="000060CE">
              <w:rPr>
                <w:lang w:val="es-ES"/>
              </w:rPr>
              <w:t>8</w:t>
            </w:r>
            <w:r w:rsidR="004856CC" w:rsidRPr="000060CE">
              <w:rPr>
                <w:lang w:val="es-ES"/>
              </w:rPr>
              <w:t>7,</w:t>
            </w:r>
            <w:r w:rsidRPr="000060CE">
              <w:rPr>
                <w:lang w:val="es-ES"/>
              </w:rPr>
              <w:t>94</w:t>
            </w:r>
          </w:p>
        </w:tc>
        <w:tc>
          <w:tcPr>
            <w:tcW w:w="2693" w:type="dxa"/>
          </w:tcPr>
          <w:p w14:paraId="5A0D057E" w14:textId="77777777" w:rsidR="006720DC" w:rsidRPr="000060CE" w:rsidRDefault="004856CC" w:rsidP="001D0D5B">
            <w:pPr>
              <w:ind w:right="884"/>
              <w:jc w:val="right"/>
              <w:rPr>
                <w:lang w:val="es-ES"/>
              </w:rPr>
            </w:pPr>
            <w:r w:rsidRPr="000060CE">
              <w:rPr>
                <w:lang w:val="es-ES"/>
              </w:rPr>
              <w:t>8,</w:t>
            </w:r>
            <w:r w:rsidR="006720DC" w:rsidRPr="000060CE">
              <w:rPr>
                <w:lang w:val="es-ES"/>
              </w:rPr>
              <w:t>92</w:t>
            </w:r>
          </w:p>
        </w:tc>
      </w:tr>
      <w:tr w:rsidR="00AD2807" w:rsidRPr="000060CE" w14:paraId="4AC16289" w14:textId="77777777" w:rsidTr="00694B84">
        <w:trPr>
          <w:cantSplit/>
        </w:trPr>
        <w:tc>
          <w:tcPr>
            <w:tcW w:w="3085" w:type="dxa"/>
            <w:shd w:val="clear" w:color="auto" w:fill="auto"/>
          </w:tcPr>
          <w:p w14:paraId="37F82D77" w14:textId="77777777" w:rsidR="006720DC" w:rsidRPr="000060CE" w:rsidRDefault="004856C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Química</w:t>
            </w:r>
          </w:p>
        </w:tc>
        <w:tc>
          <w:tcPr>
            <w:tcW w:w="2410" w:type="dxa"/>
            <w:shd w:val="clear" w:color="auto" w:fill="auto"/>
          </w:tcPr>
          <w:p w14:paraId="46F50705" w14:textId="77777777" w:rsidR="006720DC" w:rsidRPr="000060CE" w:rsidRDefault="004856CC" w:rsidP="001D0D5B">
            <w:pPr>
              <w:ind w:right="884"/>
              <w:jc w:val="right"/>
              <w:rPr>
                <w:lang w:val="es-ES"/>
              </w:rPr>
            </w:pPr>
            <w:r w:rsidRPr="000060CE">
              <w:rPr>
                <w:lang w:val="es-ES"/>
              </w:rPr>
              <w:t>93,</w:t>
            </w:r>
            <w:r w:rsidR="006720DC" w:rsidRPr="000060CE">
              <w:rPr>
                <w:lang w:val="es-ES"/>
              </w:rPr>
              <w:t>86</w:t>
            </w:r>
          </w:p>
        </w:tc>
        <w:tc>
          <w:tcPr>
            <w:tcW w:w="2693" w:type="dxa"/>
          </w:tcPr>
          <w:p w14:paraId="411B2E06" w14:textId="77777777" w:rsidR="006720DC" w:rsidRPr="000060CE" w:rsidRDefault="004856CC" w:rsidP="001D0D5B">
            <w:pPr>
              <w:ind w:right="884"/>
              <w:jc w:val="right"/>
              <w:rPr>
                <w:lang w:val="es-ES"/>
              </w:rPr>
            </w:pPr>
            <w:r w:rsidRPr="000060CE">
              <w:rPr>
                <w:lang w:val="es-ES"/>
              </w:rPr>
              <w:t>9,</w:t>
            </w:r>
            <w:r w:rsidR="006720DC" w:rsidRPr="000060CE">
              <w:rPr>
                <w:lang w:val="es-ES"/>
              </w:rPr>
              <w:t>06</w:t>
            </w:r>
          </w:p>
        </w:tc>
      </w:tr>
      <w:tr w:rsidR="00AD2807" w:rsidRPr="000060CE" w14:paraId="7E89CFB6" w14:textId="77777777" w:rsidTr="00694B84">
        <w:trPr>
          <w:cantSplit/>
        </w:trPr>
        <w:tc>
          <w:tcPr>
            <w:tcW w:w="3085" w:type="dxa"/>
            <w:shd w:val="clear" w:color="auto" w:fill="auto"/>
          </w:tcPr>
          <w:p w14:paraId="77EE111C" w14:textId="77777777" w:rsidR="006720DC" w:rsidRPr="000060CE" w:rsidRDefault="006720DC" w:rsidP="00694B84">
            <w:pPr>
              <w:rPr>
                <w:i/>
                <w:iCs/>
                <w:lang w:val="es-ES"/>
              </w:rPr>
            </w:pPr>
            <w:r w:rsidRPr="000060CE">
              <w:rPr>
                <w:i/>
                <w:iCs/>
                <w:lang w:val="es-ES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14:paraId="03135C3B" w14:textId="77777777" w:rsidR="006720DC" w:rsidRPr="000060CE" w:rsidRDefault="006720DC" w:rsidP="004856CC">
            <w:pPr>
              <w:ind w:right="884"/>
              <w:jc w:val="right"/>
              <w:rPr>
                <w:i/>
                <w:iCs/>
                <w:lang w:val="es-ES"/>
              </w:rPr>
            </w:pPr>
            <w:r w:rsidRPr="000060CE">
              <w:rPr>
                <w:i/>
                <w:iCs/>
                <w:lang w:val="es-ES"/>
              </w:rPr>
              <w:t>307</w:t>
            </w:r>
            <w:r w:rsidR="004856CC" w:rsidRPr="000060CE">
              <w:rPr>
                <w:i/>
                <w:iCs/>
                <w:lang w:val="es-ES"/>
              </w:rPr>
              <w:t>,</w:t>
            </w:r>
            <w:r w:rsidRPr="000060CE">
              <w:rPr>
                <w:i/>
                <w:iCs/>
                <w:lang w:val="es-ES"/>
              </w:rPr>
              <w:t>78</w:t>
            </w:r>
          </w:p>
        </w:tc>
        <w:tc>
          <w:tcPr>
            <w:tcW w:w="2693" w:type="dxa"/>
          </w:tcPr>
          <w:p w14:paraId="18C5FD0E" w14:textId="77777777" w:rsidR="006720DC" w:rsidRPr="000060CE" w:rsidRDefault="006720DC" w:rsidP="004856CC">
            <w:pPr>
              <w:ind w:right="884"/>
              <w:jc w:val="right"/>
              <w:rPr>
                <w:i/>
                <w:iCs/>
                <w:lang w:val="es-ES"/>
              </w:rPr>
            </w:pPr>
            <w:r w:rsidRPr="000060CE">
              <w:rPr>
                <w:i/>
                <w:iCs/>
                <w:lang w:val="es-ES"/>
              </w:rPr>
              <w:t>9</w:t>
            </w:r>
            <w:r w:rsidR="004856CC" w:rsidRPr="000060CE">
              <w:rPr>
                <w:i/>
                <w:iCs/>
                <w:lang w:val="es-ES"/>
              </w:rPr>
              <w:t>,</w:t>
            </w:r>
            <w:r w:rsidRPr="000060CE">
              <w:rPr>
                <w:i/>
                <w:iCs/>
                <w:lang w:val="es-ES"/>
              </w:rPr>
              <w:t>03</w:t>
            </w:r>
          </w:p>
        </w:tc>
      </w:tr>
      <w:tr w:rsidR="00AD2807" w:rsidRPr="00986536" w14:paraId="06557804" w14:textId="77777777" w:rsidTr="00694B84">
        <w:trPr>
          <w:cantSplit/>
        </w:trPr>
        <w:tc>
          <w:tcPr>
            <w:tcW w:w="3085" w:type="dxa"/>
            <w:shd w:val="clear" w:color="auto" w:fill="auto"/>
          </w:tcPr>
          <w:p w14:paraId="07F270DB" w14:textId="77777777" w:rsidR="006720DC" w:rsidRPr="000060CE" w:rsidRDefault="006720DC" w:rsidP="00694B84">
            <w:pPr>
              <w:rPr>
                <w:i/>
                <w:iCs/>
                <w:lang w:val="es-ES"/>
              </w:rPr>
            </w:pPr>
          </w:p>
          <w:p w14:paraId="7AE03F39" w14:textId="77777777" w:rsidR="006720DC" w:rsidRPr="000060CE" w:rsidRDefault="006720DC" w:rsidP="00694B84">
            <w:pPr>
              <w:rPr>
                <w:i/>
                <w:iCs/>
                <w:lang w:val="es-ES"/>
              </w:rPr>
            </w:pPr>
          </w:p>
          <w:p w14:paraId="07E65A5B" w14:textId="77777777" w:rsidR="006720DC" w:rsidRPr="000060CE" w:rsidRDefault="006720DC" w:rsidP="00694B84">
            <w:pPr>
              <w:rPr>
                <w:i/>
                <w:iCs/>
                <w:lang w:val="es-ES"/>
              </w:rPr>
            </w:pPr>
          </w:p>
        </w:tc>
        <w:tc>
          <w:tcPr>
            <w:tcW w:w="2410" w:type="dxa"/>
            <w:shd w:val="clear" w:color="auto" w:fill="auto"/>
          </w:tcPr>
          <w:p w14:paraId="2B251739" w14:textId="77777777" w:rsidR="006720DC" w:rsidRPr="000060CE" w:rsidRDefault="006720DC" w:rsidP="004856CC">
            <w:pPr>
              <w:rPr>
                <w:iCs/>
                <w:lang w:val="es-ES"/>
              </w:rPr>
            </w:pPr>
            <w:r w:rsidRPr="000060CE">
              <w:rPr>
                <w:iCs/>
                <w:lang w:val="es-ES"/>
              </w:rPr>
              <w:t>Exclu</w:t>
            </w:r>
            <w:r w:rsidR="004856CC" w:rsidRPr="000060CE">
              <w:rPr>
                <w:iCs/>
                <w:lang w:val="es-ES"/>
              </w:rPr>
              <w:t xml:space="preserve">ye los empleados en periodo de formación </w:t>
            </w:r>
          </w:p>
        </w:tc>
        <w:tc>
          <w:tcPr>
            <w:tcW w:w="2693" w:type="dxa"/>
          </w:tcPr>
          <w:p w14:paraId="48F8A818" w14:textId="77777777" w:rsidR="006720DC" w:rsidRPr="000060CE" w:rsidRDefault="004856CC" w:rsidP="004856CC">
            <w:pPr>
              <w:rPr>
                <w:iCs/>
                <w:lang w:val="es-ES"/>
              </w:rPr>
            </w:pPr>
            <w:r w:rsidRPr="000060CE">
              <w:rPr>
                <w:iCs/>
                <w:lang w:val="es-ES"/>
              </w:rPr>
              <w:t>Años desde su contratación</w:t>
            </w:r>
            <w:r w:rsidR="006720DC" w:rsidRPr="000060CE">
              <w:rPr>
                <w:iCs/>
                <w:lang w:val="es-ES"/>
              </w:rPr>
              <w:t xml:space="preserve"> (</w:t>
            </w:r>
            <w:r w:rsidRPr="000060CE">
              <w:rPr>
                <w:iCs/>
                <w:lang w:val="es-ES"/>
              </w:rPr>
              <w:t>incluye el periodo de formación</w:t>
            </w:r>
            <w:r w:rsidR="006720DC" w:rsidRPr="000060CE">
              <w:rPr>
                <w:iCs/>
                <w:lang w:val="es-ES"/>
              </w:rPr>
              <w:t>)</w:t>
            </w:r>
          </w:p>
        </w:tc>
      </w:tr>
    </w:tbl>
    <w:p w14:paraId="17E9D605" w14:textId="77777777" w:rsidR="006720DC" w:rsidRPr="000060CE" w:rsidRDefault="006720DC" w:rsidP="006720DC">
      <w:pPr>
        <w:rPr>
          <w:szCs w:val="22"/>
          <w:lang w:val="es-ES"/>
        </w:rPr>
      </w:pPr>
    </w:p>
    <w:p w14:paraId="00C449DF" w14:textId="77777777" w:rsidR="002F79C9" w:rsidRPr="000060CE" w:rsidRDefault="004856CC" w:rsidP="006720DC">
      <w:pPr>
        <w:rPr>
          <w:lang w:val="es-ES"/>
        </w:rPr>
      </w:pPr>
      <w:r w:rsidRPr="000060CE">
        <w:rPr>
          <w:b/>
          <w:lang w:val="es-ES"/>
        </w:rPr>
        <w:t>Programas de formación</w:t>
      </w:r>
      <w:r w:rsidR="006720DC" w:rsidRPr="000060CE">
        <w:rPr>
          <w:b/>
          <w:lang w:val="es-ES"/>
        </w:rPr>
        <w:t xml:space="preserve">:  </w:t>
      </w:r>
      <w:r w:rsidR="00A40998" w:rsidRPr="000060CE">
        <w:rPr>
          <w:b/>
          <w:lang w:val="es-ES"/>
        </w:rPr>
        <w:t>l</w:t>
      </w:r>
      <w:r w:rsidR="00851580" w:rsidRPr="000060CE">
        <w:rPr>
          <w:lang w:val="es-ES"/>
        </w:rPr>
        <w:t xml:space="preserve">a APO promueve el desarrollo de </w:t>
      </w:r>
      <w:r w:rsidR="00D54411" w:rsidRPr="000060CE">
        <w:rPr>
          <w:lang w:val="es-ES"/>
        </w:rPr>
        <w:t>las competencias</w:t>
      </w:r>
      <w:r w:rsidR="00851580" w:rsidRPr="000060CE">
        <w:rPr>
          <w:lang w:val="es-ES"/>
        </w:rPr>
        <w:t xml:space="preserve"> de los examinadores en un marco de formación basada en las competencias (Programa del examinador de derechos de P.I.)</w:t>
      </w:r>
      <w:r w:rsidR="006632A1" w:rsidRPr="000060CE">
        <w:rPr>
          <w:lang w:val="es-ES"/>
        </w:rPr>
        <w:t>.  E</w:t>
      </w:r>
      <w:r w:rsidR="0044115F" w:rsidRPr="000060CE">
        <w:rPr>
          <w:lang w:val="es-ES"/>
        </w:rPr>
        <w:t>n este marco s</w:t>
      </w:r>
      <w:r w:rsidR="00851580" w:rsidRPr="000060CE">
        <w:rPr>
          <w:lang w:val="es-ES"/>
        </w:rPr>
        <w:t>e ha implantado un nuevo programa de formación para examinadores de patentes denominado Formación autogestiona</w:t>
      </w:r>
      <w:r w:rsidR="00BE4BE4" w:rsidRPr="000060CE">
        <w:rPr>
          <w:lang w:val="es-ES"/>
        </w:rPr>
        <w:t>ble</w:t>
      </w:r>
      <w:r w:rsidR="00851580" w:rsidRPr="000060CE">
        <w:rPr>
          <w:lang w:val="es-ES"/>
        </w:rPr>
        <w:t xml:space="preserve"> </w:t>
      </w:r>
      <w:r w:rsidR="0044115F" w:rsidRPr="000060CE">
        <w:rPr>
          <w:lang w:val="es-ES"/>
        </w:rPr>
        <w:t>para</w:t>
      </w:r>
      <w:r w:rsidR="00851580" w:rsidRPr="000060CE">
        <w:rPr>
          <w:lang w:val="es-ES"/>
        </w:rPr>
        <w:t xml:space="preserve"> el examen de patentes (SETP, </w:t>
      </w:r>
      <w:r w:rsidR="00851580" w:rsidRPr="000060CE">
        <w:rPr>
          <w:i/>
          <w:lang w:val="es-ES"/>
        </w:rPr>
        <w:t>Self-paced Training in Examining Patents</w:t>
      </w:r>
      <w:r w:rsidR="00851580" w:rsidRPr="000060CE">
        <w:rPr>
          <w:lang w:val="es-ES"/>
        </w:rPr>
        <w:t xml:space="preserve">).  Los nuevos módulos de aprendizaje en línea combinados permiten a los alumnos </w:t>
      </w:r>
      <w:r w:rsidR="002F79C9" w:rsidRPr="000060CE">
        <w:rPr>
          <w:lang w:val="es-ES"/>
        </w:rPr>
        <w:t xml:space="preserve">comenzar en </w:t>
      </w:r>
      <w:r w:rsidR="00D54411" w:rsidRPr="000060CE">
        <w:rPr>
          <w:lang w:val="es-ES"/>
        </w:rPr>
        <w:t>la</w:t>
      </w:r>
      <w:r w:rsidR="003B5694" w:rsidRPr="000060CE">
        <w:rPr>
          <w:lang w:val="es-ES"/>
        </w:rPr>
        <w:t xml:space="preserve"> sección</w:t>
      </w:r>
      <w:r w:rsidR="00D54411" w:rsidRPr="000060CE">
        <w:rPr>
          <w:lang w:val="es-ES"/>
        </w:rPr>
        <w:t xml:space="preserve"> de su elección</w:t>
      </w:r>
      <w:r w:rsidR="003B5694" w:rsidRPr="000060CE">
        <w:rPr>
          <w:lang w:val="es-ES"/>
        </w:rPr>
        <w:t xml:space="preserve">, en lugar de hacerlo </w:t>
      </w:r>
      <w:r w:rsidR="0044115F" w:rsidRPr="000060CE">
        <w:rPr>
          <w:lang w:val="es-ES"/>
        </w:rPr>
        <w:t>en</w:t>
      </w:r>
      <w:r w:rsidR="003B5694" w:rsidRPr="000060CE">
        <w:rPr>
          <w:lang w:val="es-ES"/>
        </w:rPr>
        <w:t xml:space="preserve"> un grupo de formación separado, sección que cuenta con </w:t>
      </w:r>
      <w:r w:rsidR="002F79C9" w:rsidRPr="000060CE">
        <w:rPr>
          <w:lang w:val="es-ES"/>
        </w:rPr>
        <w:t>un</w:t>
      </w:r>
      <w:r w:rsidR="003B5694" w:rsidRPr="000060CE">
        <w:rPr>
          <w:lang w:val="es-ES"/>
        </w:rPr>
        <w:t xml:space="preserve"> tutor que supervisa a sus alumnos desde el primer día y es responsable d</w:t>
      </w:r>
      <w:r w:rsidR="0044115F" w:rsidRPr="000060CE">
        <w:rPr>
          <w:lang w:val="es-ES"/>
        </w:rPr>
        <w:t>el</w:t>
      </w:r>
      <w:r w:rsidR="003B5694" w:rsidRPr="000060CE">
        <w:rPr>
          <w:lang w:val="es-ES"/>
        </w:rPr>
        <w:t xml:space="preserve"> desarroll</w:t>
      </w:r>
      <w:r w:rsidR="0044115F" w:rsidRPr="000060CE">
        <w:rPr>
          <w:lang w:val="es-ES"/>
        </w:rPr>
        <w:t>o del pl</w:t>
      </w:r>
      <w:r w:rsidR="003B5694" w:rsidRPr="000060CE">
        <w:rPr>
          <w:lang w:val="es-ES"/>
        </w:rPr>
        <w:t xml:space="preserve">an de formación y de </w:t>
      </w:r>
      <w:r w:rsidR="0044115F" w:rsidRPr="000060CE">
        <w:rPr>
          <w:lang w:val="es-ES"/>
        </w:rPr>
        <w:t xml:space="preserve">la </w:t>
      </w:r>
      <w:r w:rsidR="003B5694" w:rsidRPr="000060CE">
        <w:rPr>
          <w:lang w:val="es-ES"/>
        </w:rPr>
        <w:t>evaluación</w:t>
      </w:r>
      <w:r w:rsidR="006632A1" w:rsidRPr="000060CE">
        <w:rPr>
          <w:lang w:val="es-ES"/>
        </w:rPr>
        <w:t>.  L</w:t>
      </w:r>
      <w:r w:rsidR="003B5694" w:rsidRPr="000060CE">
        <w:rPr>
          <w:lang w:val="es-ES"/>
        </w:rPr>
        <w:t xml:space="preserve">os alumnos y los tutores </w:t>
      </w:r>
      <w:r w:rsidR="0044115F" w:rsidRPr="000060CE">
        <w:rPr>
          <w:lang w:val="es-ES"/>
        </w:rPr>
        <w:t>están apoyados por el F</w:t>
      </w:r>
      <w:r w:rsidR="00597D79" w:rsidRPr="000060CE">
        <w:rPr>
          <w:lang w:val="es-ES"/>
        </w:rPr>
        <w:t xml:space="preserve">acilitador de la comunidad de formación que </w:t>
      </w:r>
      <w:r w:rsidR="00D54411" w:rsidRPr="000060CE">
        <w:rPr>
          <w:lang w:val="es-ES"/>
        </w:rPr>
        <w:t>facilita</w:t>
      </w:r>
      <w:r w:rsidR="00597D79" w:rsidRPr="000060CE">
        <w:rPr>
          <w:lang w:val="es-ES"/>
        </w:rPr>
        <w:t xml:space="preserve"> y dirige a los nuevos examinadores en la Comunidad de aprendizaje; así como </w:t>
      </w:r>
      <w:r w:rsidR="002F79C9" w:rsidRPr="000060CE">
        <w:rPr>
          <w:lang w:val="es-ES"/>
        </w:rPr>
        <w:t>por un</w:t>
      </w:r>
      <w:r w:rsidR="00597D79" w:rsidRPr="000060CE">
        <w:rPr>
          <w:lang w:val="es-ES"/>
        </w:rPr>
        <w:t xml:space="preserve"> Coordinador de tutores, que </w:t>
      </w:r>
      <w:r w:rsidR="00D54411" w:rsidRPr="000060CE">
        <w:rPr>
          <w:lang w:val="es-ES"/>
        </w:rPr>
        <w:t>facilita</w:t>
      </w:r>
      <w:r w:rsidR="00597D79" w:rsidRPr="000060CE">
        <w:rPr>
          <w:lang w:val="es-ES"/>
        </w:rPr>
        <w:t xml:space="preserve"> y dirige a la comunidad de tutores, les apoya y modera sus evaluaciones. </w:t>
      </w:r>
      <w:r w:rsidR="006632A1" w:rsidRPr="000060CE">
        <w:rPr>
          <w:lang w:val="es-ES"/>
        </w:rPr>
        <w:t xml:space="preserve"> </w:t>
      </w:r>
      <w:r w:rsidR="00597D79" w:rsidRPr="000060CE">
        <w:rPr>
          <w:lang w:val="es-ES"/>
        </w:rPr>
        <w:t>Toda la formación está disponible en línea en forma de documentación autogestionable, comunidades de participación en línea y aulas virtuales</w:t>
      </w:r>
      <w:r w:rsidR="006632A1" w:rsidRPr="000060CE">
        <w:rPr>
          <w:lang w:val="es-ES"/>
        </w:rPr>
        <w:t>.  L</w:t>
      </w:r>
      <w:r w:rsidR="00597D79" w:rsidRPr="000060CE">
        <w:rPr>
          <w:lang w:val="es-ES"/>
        </w:rPr>
        <w:t xml:space="preserve">os estudiantes pueden </w:t>
      </w:r>
      <w:r w:rsidR="002F79C9" w:rsidRPr="000060CE">
        <w:rPr>
          <w:lang w:val="es-ES"/>
        </w:rPr>
        <w:t>comenzar</w:t>
      </w:r>
      <w:r w:rsidR="00597D79" w:rsidRPr="000060CE">
        <w:rPr>
          <w:lang w:val="es-ES"/>
        </w:rPr>
        <w:t xml:space="preserve"> en cualquier momento, desde cualquier lugar, </w:t>
      </w:r>
      <w:r w:rsidR="002F79C9" w:rsidRPr="000060CE">
        <w:rPr>
          <w:lang w:val="es-ES"/>
        </w:rPr>
        <w:t>sin</w:t>
      </w:r>
      <w:r w:rsidR="00597D79" w:rsidRPr="000060CE">
        <w:rPr>
          <w:lang w:val="es-ES"/>
        </w:rPr>
        <w:t xml:space="preserve"> tener que esperar a </w:t>
      </w:r>
      <w:r w:rsidR="0044115F" w:rsidRPr="000060CE">
        <w:rPr>
          <w:lang w:val="es-ES"/>
        </w:rPr>
        <w:t>la</w:t>
      </w:r>
      <w:r w:rsidR="00597D79" w:rsidRPr="000060CE">
        <w:rPr>
          <w:lang w:val="es-ES"/>
        </w:rPr>
        <w:t xml:space="preserve"> fecha de inicio de un </w:t>
      </w:r>
      <w:r w:rsidR="002F79C9" w:rsidRPr="000060CE">
        <w:rPr>
          <w:lang w:val="es-ES"/>
        </w:rPr>
        <w:t>grupo</w:t>
      </w:r>
      <w:r w:rsidR="00597D79" w:rsidRPr="000060CE">
        <w:rPr>
          <w:lang w:val="es-ES"/>
        </w:rPr>
        <w:t xml:space="preserve">. </w:t>
      </w:r>
      <w:r w:rsidR="006632A1" w:rsidRPr="000060CE">
        <w:rPr>
          <w:lang w:val="es-ES"/>
        </w:rPr>
        <w:t xml:space="preserve"> </w:t>
      </w:r>
      <w:r w:rsidR="00597D79" w:rsidRPr="000060CE">
        <w:rPr>
          <w:lang w:val="es-ES"/>
        </w:rPr>
        <w:t xml:space="preserve">Los examinadores en </w:t>
      </w:r>
      <w:r w:rsidR="002F79C9" w:rsidRPr="000060CE">
        <w:rPr>
          <w:lang w:val="es-ES"/>
        </w:rPr>
        <w:t xml:space="preserve">fase de </w:t>
      </w:r>
      <w:r w:rsidR="00597D79" w:rsidRPr="000060CE">
        <w:rPr>
          <w:lang w:val="es-ES"/>
        </w:rPr>
        <w:t xml:space="preserve">formación pueden </w:t>
      </w:r>
      <w:r w:rsidR="0044115F" w:rsidRPr="000060CE">
        <w:rPr>
          <w:lang w:val="es-ES"/>
        </w:rPr>
        <w:t>progresar</w:t>
      </w:r>
      <w:r w:rsidR="002F79C9" w:rsidRPr="000060CE">
        <w:rPr>
          <w:lang w:val="es-ES"/>
        </w:rPr>
        <w:t xml:space="preserve"> a su ritmo, sin tener que atenerse a un calendario preestablecido</w:t>
      </w:r>
      <w:r w:rsidR="006632A1" w:rsidRPr="000060CE">
        <w:rPr>
          <w:lang w:val="es-ES"/>
        </w:rPr>
        <w:t>.  A</w:t>
      </w:r>
      <w:r w:rsidR="002F79C9" w:rsidRPr="000060CE">
        <w:rPr>
          <w:lang w:val="es-ES"/>
        </w:rPr>
        <w:t xml:space="preserve">simismo, pueden retroceder y revisar </w:t>
      </w:r>
      <w:r w:rsidR="0044115F" w:rsidRPr="000060CE">
        <w:rPr>
          <w:lang w:val="es-ES"/>
        </w:rPr>
        <w:t>el</w:t>
      </w:r>
      <w:r w:rsidR="002F79C9" w:rsidRPr="000060CE">
        <w:rPr>
          <w:lang w:val="es-ES"/>
        </w:rPr>
        <w:t xml:space="preserve"> materia</w:t>
      </w:r>
      <w:r w:rsidR="0044115F" w:rsidRPr="000060CE">
        <w:rPr>
          <w:lang w:val="es-ES"/>
        </w:rPr>
        <w:t>l formativo</w:t>
      </w:r>
      <w:r w:rsidR="002F79C9" w:rsidRPr="000060CE">
        <w:rPr>
          <w:lang w:val="es-ES"/>
        </w:rPr>
        <w:t xml:space="preserve"> a su conveniencia. </w:t>
      </w:r>
      <w:r w:rsidR="006632A1" w:rsidRPr="000060CE">
        <w:rPr>
          <w:lang w:val="es-ES"/>
        </w:rPr>
        <w:t xml:space="preserve"> </w:t>
      </w:r>
      <w:r w:rsidR="002F79C9" w:rsidRPr="000060CE">
        <w:rPr>
          <w:lang w:val="es-ES"/>
        </w:rPr>
        <w:t xml:space="preserve">La previsión es que </w:t>
      </w:r>
      <w:r w:rsidR="0044115F" w:rsidRPr="000060CE">
        <w:rPr>
          <w:lang w:val="es-ES"/>
        </w:rPr>
        <w:t xml:space="preserve">los </w:t>
      </w:r>
      <w:r w:rsidR="002F79C9" w:rsidRPr="000060CE">
        <w:rPr>
          <w:lang w:val="es-ES"/>
        </w:rPr>
        <w:t>nuevos examinadores de patentes alcan</w:t>
      </w:r>
      <w:r w:rsidR="0044115F" w:rsidRPr="000060CE">
        <w:rPr>
          <w:lang w:val="es-ES"/>
        </w:rPr>
        <w:t xml:space="preserve">cen </w:t>
      </w:r>
      <w:r w:rsidR="002F79C9" w:rsidRPr="000060CE">
        <w:rPr>
          <w:lang w:val="es-ES"/>
        </w:rPr>
        <w:t xml:space="preserve">competencias de Delegación para la aceptación en dos años. </w:t>
      </w:r>
      <w:r w:rsidR="006632A1" w:rsidRPr="000060CE">
        <w:rPr>
          <w:lang w:val="es-ES"/>
        </w:rPr>
        <w:t xml:space="preserve"> </w:t>
      </w:r>
      <w:r w:rsidR="002F79C9" w:rsidRPr="000060CE">
        <w:rPr>
          <w:lang w:val="es-ES"/>
        </w:rPr>
        <w:t xml:space="preserve">En función de las capacidades, conocimientos y aplicación individuales, los examinadores pueden alcanzar </w:t>
      </w:r>
      <w:r w:rsidR="00D54411" w:rsidRPr="000060CE">
        <w:rPr>
          <w:lang w:val="es-ES"/>
        </w:rPr>
        <w:t>las</w:t>
      </w:r>
      <w:r w:rsidR="002F79C9" w:rsidRPr="000060CE">
        <w:rPr>
          <w:lang w:val="es-ES"/>
        </w:rPr>
        <w:t xml:space="preserve"> competencia</w:t>
      </w:r>
      <w:r w:rsidR="00D54411" w:rsidRPr="000060CE">
        <w:rPr>
          <w:lang w:val="es-ES"/>
        </w:rPr>
        <w:t>s</w:t>
      </w:r>
      <w:r w:rsidR="002F79C9" w:rsidRPr="000060CE">
        <w:rPr>
          <w:lang w:val="es-ES"/>
        </w:rPr>
        <w:t xml:space="preserve"> en un periodo más breve. </w:t>
      </w:r>
    </w:p>
    <w:p w14:paraId="0552B181" w14:textId="77777777" w:rsidR="002F79C9" w:rsidRPr="000060CE" w:rsidRDefault="002F79C9" w:rsidP="006720DC">
      <w:pPr>
        <w:rPr>
          <w:lang w:val="es-ES"/>
        </w:rPr>
      </w:pPr>
    </w:p>
    <w:p w14:paraId="50704BE6" w14:textId="77777777" w:rsidR="001009A0" w:rsidRPr="000060CE" w:rsidRDefault="002F79C9" w:rsidP="006720DC">
      <w:pPr>
        <w:rPr>
          <w:lang w:val="es-ES"/>
        </w:rPr>
      </w:pPr>
      <w:r w:rsidRPr="000060CE">
        <w:rPr>
          <w:lang w:val="es-ES"/>
        </w:rPr>
        <w:t xml:space="preserve">La APO dispone de un programa de formación continua denominado Programa de formación </w:t>
      </w:r>
      <w:r w:rsidR="001009A0" w:rsidRPr="000060CE">
        <w:rPr>
          <w:lang w:val="es-ES"/>
        </w:rPr>
        <w:t>para</w:t>
      </w:r>
      <w:r w:rsidRPr="000060CE">
        <w:rPr>
          <w:lang w:val="es-ES"/>
        </w:rPr>
        <w:t xml:space="preserve"> examinador</w:t>
      </w:r>
      <w:r w:rsidR="001009A0" w:rsidRPr="000060CE">
        <w:rPr>
          <w:lang w:val="es-ES"/>
        </w:rPr>
        <w:t>es</w:t>
      </w:r>
      <w:r w:rsidRPr="000060CE">
        <w:rPr>
          <w:lang w:val="es-ES"/>
        </w:rPr>
        <w:t xml:space="preserve"> técnico</w:t>
      </w:r>
      <w:r w:rsidR="001009A0" w:rsidRPr="000060CE">
        <w:rPr>
          <w:lang w:val="es-ES"/>
        </w:rPr>
        <w:t>s</w:t>
      </w:r>
      <w:r w:rsidRPr="000060CE">
        <w:rPr>
          <w:lang w:val="es-ES"/>
        </w:rPr>
        <w:t xml:space="preserve"> (TELP, </w:t>
      </w:r>
      <w:r w:rsidRPr="000060CE">
        <w:rPr>
          <w:i/>
          <w:lang w:val="es-ES"/>
        </w:rPr>
        <w:t>Technical Examiner Learning Program</w:t>
      </w:r>
      <w:r w:rsidRPr="000060CE">
        <w:rPr>
          <w:lang w:val="es-ES"/>
        </w:rPr>
        <w:t>), para ayudar a todo el pers</w:t>
      </w:r>
      <w:r w:rsidR="00012C07" w:rsidRPr="000060CE">
        <w:rPr>
          <w:lang w:val="es-ES"/>
        </w:rPr>
        <w:t>o</w:t>
      </w:r>
      <w:r w:rsidRPr="000060CE">
        <w:rPr>
          <w:lang w:val="es-ES"/>
        </w:rPr>
        <w:t xml:space="preserve">nal examinador </w:t>
      </w:r>
      <w:r w:rsidR="0044115F" w:rsidRPr="000060CE">
        <w:rPr>
          <w:lang w:val="es-ES"/>
        </w:rPr>
        <w:t>a mantener actualizado su</w:t>
      </w:r>
      <w:r w:rsidRPr="000060CE">
        <w:rPr>
          <w:lang w:val="es-ES"/>
        </w:rPr>
        <w:t xml:space="preserve"> nivel de cono</w:t>
      </w:r>
      <w:r w:rsidR="00012C07" w:rsidRPr="000060CE">
        <w:rPr>
          <w:lang w:val="es-ES"/>
        </w:rPr>
        <w:t>c</w:t>
      </w:r>
      <w:r w:rsidRPr="000060CE">
        <w:rPr>
          <w:lang w:val="es-ES"/>
        </w:rPr>
        <w:t xml:space="preserve">imientos </w:t>
      </w:r>
      <w:r w:rsidR="00012C07" w:rsidRPr="000060CE">
        <w:rPr>
          <w:lang w:val="es-ES"/>
        </w:rPr>
        <w:t>tecnológicos</w:t>
      </w:r>
      <w:r w:rsidR="006632A1" w:rsidRPr="000060CE">
        <w:rPr>
          <w:lang w:val="es-ES"/>
        </w:rPr>
        <w:t>.  E</w:t>
      </w:r>
      <w:r w:rsidR="00012C07" w:rsidRPr="000060CE">
        <w:rPr>
          <w:lang w:val="es-ES"/>
        </w:rPr>
        <w:t>l programa TELP se aplica a todos los ámbitos tecnológicos e incluye sesiones de for</w:t>
      </w:r>
      <w:r w:rsidR="00D54411" w:rsidRPr="000060CE">
        <w:rPr>
          <w:lang w:val="es-ES"/>
        </w:rPr>
        <w:t>mación técnica interna impartida</w:t>
      </w:r>
      <w:r w:rsidR="00012C07" w:rsidRPr="000060CE">
        <w:rPr>
          <w:lang w:val="es-ES"/>
        </w:rPr>
        <w:t>s por expertos en la materia, asistencia a conferencias o visita</w:t>
      </w:r>
      <w:r w:rsidR="0044115F" w:rsidRPr="000060CE">
        <w:rPr>
          <w:lang w:val="es-ES"/>
        </w:rPr>
        <w:t>s</w:t>
      </w:r>
      <w:r w:rsidR="00012C07" w:rsidRPr="000060CE">
        <w:rPr>
          <w:lang w:val="es-ES"/>
        </w:rPr>
        <w:t xml:space="preserve"> a empresas </w:t>
      </w:r>
      <w:r w:rsidR="0044115F" w:rsidRPr="000060CE">
        <w:rPr>
          <w:lang w:val="es-ES"/>
        </w:rPr>
        <w:t>de</w:t>
      </w:r>
      <w:r w:rsidR="00012C07" w:rsidRPr="000060CE">
        <w:rPr>
          <w:lang w:val="es-ES"/>
        </w:rPr>
        <w:t xml:space="preserve"> las industrias de interés</w:t>
      </w:r>
      <w:r w:rsidR="006632A1" w:rsidRPr="000060CE">
        <w:rPr>
          <w:lang w:val="es-ES"/>
        </w:rPr>
        <w:t>.  T</w:t>
      </w:r>
      <w:r w:rsidR="00012C07" w:rsidRPr="000060CE">
        <w:rPr>
          <w:lang w:val="es-ES"/>
        </w:rPr>
        <w:t xml:space="preserve">ambién se dispone de un programa basado en las competencias para examinadores con experiencia </w:t>
      </w:r>
      <w:r w:rsidR="00D54411" w:rsidRPr="000060CE">
        <w:rPr>
          <w:lang w:val="es-ES"/>
        </w:rPr>
        <w:t>a fin de</w:t>
      </w:r>
      <w:r w:rsidR="00012C07" w:rsidRPr="000060CE">
        <w:rPr>
          <w:lang w:val="es-ES"/>
        </w:rPr>
        <w:t xml:space="preserve"> acceder al puesto de Consejero Auditor (</w:t>
      </w:r>
      <w:r w:rsidR="00012C07" w:rsidRPr="000060CE">
        <w:rPr>
          <w:i/>
          <w:lang w:val="es-ES"/>
        </w:rPr>
        <w:t>Hearing Officer</w:t>
      </w:r>
      <w:r w:rsidR="00012C07" w:rsidRPr="000060CE">
        <w:rPr>
          <w:lang w:val="es-ES"/>
        </w:rPr>
        <w:t>).</w:t>
      </w:r>
      <w:r w:rsidR="001009A0" w:rsidRPr="000060CE">
        <w:rPr>
          <w:lang w:val="es-ES"/>
        </w:rPr>
        <w:t xml:space="preserve"> </w:t>
      </w:r>
    </w:p>
    <w:p w14:paraId="7F1C9811" w14:textId="77777777" w:rsidR="001009A0" w:rsidRPr="000060CE" w:rsidRDefault="001009A0" w:rsidP="006720DC">
      <w:pPr>
        <w:rPr>
          <w:lang w:val="es-ES"/>
        </w:rPr>
      </w:pPr>
    </w:p>
    <w:p w14:paraId="0702B925" w14:textId="77777777" w:rsidR="006720DC" w:rsidRPr="000060CE" w:rsidRDefault="001009A0" w:rsidP="00AD2807">
      <w:pPr>
        <w:rPr>
          <w:lang w:val="es-ES"/>
        </w:rPr>
      </w:pPr>
      <w:r w:rsidRPr="000060CE">
        <w:rPr>
          <w:lang w:val="es-ES"/>
        </w:rPr>
        <w:t xml:space="preserve">IP Australia ha creado el Centro de excelencia técnica en derechos de P.I. (IPTEC, </w:t>
      </w:r>
      <w:r w:rsidRPr="000060CE">
        <w:rPr>
          <w:i/>
          <w:lang w:val="es-ES"/>
        </w:rPr>
        <w:t>IP Rights Technical Excellence Centre</w:t>
      </w:r>
      <w:r w:rsidRPr="000060CE">
        <w:rPr>
          <w:lang w:val="es-ES"/>
        </w:rPr>
        <w:t xml:space="preserve">) que frece un punto único de acceso a todos los servicios de </w:t>
      </w:r>
      <w:r w:rsidR="0044115F" w:rsidRPr="000060CE">
        <w:rPr>
          <w:lang w:val="es-ES"/>
        </w:rPr>
        <w:t>aprendizaje y desarrollo en m</w:t>
      </w:r>
      <w:r w:rsidRPr="000060CE">
        <w:rPr>
          <w:lang w:val="es-ES"/>
        </w:rPr>
        <w:t>ater</w:t>
      </w:r>
      <w:r w:rsidR="0044115F" w:rsidRPr="000060CE">
        <w:rPr>
          <w:lang w:val="es-ES"/>
        </w:rPr>
        <w:t>i</w:t>
      </w:r>
      <w:r w:rsidRPr="000060CE">
        <w:rPr>
          <w:lang w:val="es-ES"/>
        </w:rPr>
        <w:t>a de derechos de P.I</w:t>
      </w:r>
      <w:r w:rsidR="006632A1" w:rsidRPr="000060CE">
        <w:rPr>
          <w:lang w:val="es-ES"/>
        </w:rPr>
        <w:t>.  I</w:t>
      </w:r>
      <w:r w:rsidRPr="000060CE">
        <w:rPr>
          <w:lang w:val="es-ES"/>
        </w:rPr>
        <w:t xml:space="preserve">PTEC abarca todos los aspectos del aprendizaje específico para el desempeño del puesto de trabajo, incluido el aprendizaje técnico </w:t>
      </w:r>
      <w:r w:rsidRPr="000060CE">
        <w:rPr>
          <w:lang w:val="es-ES"/>
        </w:rPr>
        <w:lastRenderedPageBreak/>
        <w:t>sobre patentes</w:t>
      </w:r>
      <w:r w:rsidR="006632A1" w:rsidRPr="000060CE">
        <w:rPr>
          <w:lang w:val="es-ES"/>
        </w:rPr>
        <w:t>.  D</w:t>
      </w:r>
      <w:r w:rsidRPr="000060CE">
        <w:rPr>
          <w:lang w:val="es-ES"/>
        </w:rPr>
        <w:t>esde julio de 2011 se han ofrecido una serie de cursos a examinadores de patentes en materia de búsqueda (incluidos los pasos esenciales, palabras clave y clasificación</w:t>
      </w:r>
      <w:r w:rsidR="006632A1" w:rsidRPr="000060CE">
        <w:rPr>
          <w:lang w:val="es-ES"/>
        </w:rPr>
        <w:t xml:space="preserve"> de marcas</w:t>
      </w:r>
      <w:r w:rsidRPr="000060CE">
        <w:rPr>
          <w:lang w:val="es-ES"/>
        </w:rPr>
        <w:t>), y técnicas de búsqueda avanzada (incluidas aplicaciones en nanotecnología)</w:t>
      </w:r>
      <w:r w:rsidR="006632A1" w:rsidRPr="000060CE">
        <w:rPr>
          <w:lang w:val="es-ES"/>
        </w:rPr>
        <w:t>.  D</w:t>
      </w:r>
      <w:r w:rsidR="00F82F97" w:rsidRPr="000060CE">
        <w:rPr>
          <w:lang w:val="es-ES"/>
        </w:rPr>
        <w:t>esde julio de 2013 s</w:t>
      </w:r>
      <w:r w:rsidRPr="000060CE">
        <w:rPr>
          <w:lang w:val="es-ES"/>
        </w:rPr>
        <w:t xml:space="preserve">e han desarrollado y realizado cursos adicionales </w:t>
      </w:r>
      <w:r w:rsidR="00F82F97" w:rsidRPr="000060CE">
        <w:rPr>
          <w:lang w:val="es-ES"/>
        </w:rPr>
        <w:t xml:space="preserve">incluyendo </w:t>
      </w:r>
      <w:r w:rsidR="00E145D3" w:rsidRPr="000060CE">
        <w:rPr>
          <w:lang w:val="es-ES"/>
        </w:rPr>
        <w:t>Advanced Furthers</w:t>
      </w:r>
      <w:r w:rsidR="00F82F97" w:rsidRPr="000060CE">
        <w:rPr>
          <w:lang w:val="es-ES"/>
        </w:rPr>
        <w:t xml:space="preserve">, </w:t>
      </w:r>
      <w:r w:rsidR="00E145D3" w:rsidRPr="000060CE">
        <w:rPr>
          <w:lang w:val="es-ES"/>
        </w:rPr>
        <w:t>f</w:t>
      </w:r>
      <w:r w:rsidR="00F82F97" w:rsidRPr="000060CE">
        <w:rPr>
          <w:lang w:val="es-ES"/>
        </w:rPr>
        <w:t xml:space="preserve">ormación </w:t>
      </w:r>
      <w:r w:rsidR="00E145D3" w:rsidRPr="000060CE">
        <w:rPr>
          <w:lang w:val="es-ES"/>
        </w:rPr>
        <w:t>sobre</w:t>
      </w:r>
      <w:r w:rsidR="00F82F97" w:rsidRPr="000060CE">
        <w:rPr>
          <w:lang w:val="es-ES"/>
        </w:rPr>
        <w:t xml:space="preserve"> el sistema EPOQUE, </w:t>
      </w:r>
      <w:r w:rsidR="00A1095E" w:rsidRPr="000060CE">
        <w:rPr>
          <w:lang w:val="es-ES"/>
        </w:rPr>
        <w:t>curso</w:t>
      </w:r>
      <w:r w:rsidR="00F82F97" w:rsidRPr="000060CE">
        <w:rPr>
          <w:lang w:val="es-ES"/>
        </w:rPr>
        <w:t xml:space="preserve"> </w:t>
      </w:r>
      <w:r w:rsidR="006632A1" w:rsidRPr="000060CE">
        <w:rPr>
          <w:lang w:val="es-ES"/>
        </w:rPr>
        <w:t>avanzada de</w:t>
      </w:r>
      <w:r w:rsidR="00F82F97" w:rsidRPr="000060CE">
        <w:rPr>
          <w:lang w:val="es-ES"/>
        </w:rPr>
        <w:t xml:space="preserve"> búsqueda</w:t>
      </w:r>
      <w:r w:rsidR="006632A1" w:rsidRPr="000060CE">
        <w:rPr>
          <w:lang w:val="es-ES"/>
        </w:rPr>
        <w:t>s</w:t>
      </w:r>
      <w:r w:rsidR="00E145D3" w:rsidRPr="000060CE">
        <w:rPr>
          <w:lang w:val="es-ES"/>
        </w:rPr>
        <w:t>, m</w:t>
      </w:r>
      <w:r w:rsidR="00F82F97" w:rsidRPr="000060CE">
        <w:rPr>
          <w:lang w:val="es-ES"/>
        </w:rPr>
        <w:t>ódulo en línea de revisión</w:t>
      </w:r>
      <w:r w:rsidR="006632A1" w:rsidRPr="000060CE">
        <w:rPr>
          <w:lang w:val="es-ES"/>
        </w:rPr>
        <w:t xml:space="preserve"> del examen</w:t>
      </w:r>
      <w:r w:rsidR="00E145D3" w:rsidRPr="000060CE">
        <w:rPr>
          <w:lang w:val="es-ES"/>
        </w:rPr>
        <w:t>, f</w:t>
      </w:r>
      <w:r w:rsidR="00F82F97" w:rsidRPr="000060CE">
        <w:rPr>
          <w:lang w:val="es-ES"/>
        </w:rPr>
        <w:t xml:space="preserve">ormación sobre la reforma del sistema de P.I. y </w:t>
      </w:r>
      <w:r w:rsidR="00E145D3" w:rsidRPr="000060CE">
        <w:rPr>
          <w:lang w:val="es-ES"/>
        </w:rPr>
        <w:t>b</w:t>
      </w:r>
      <w:r w:rsidR="00F82F97" w:rsidRPr="000060CE">
        <w:rPr>
          <w:lang w:val="es-ES"/>
        </w:rPr>
        <w:t xml:space="preserve">úsqueda de literatura distinta de la de patentes. </w:t>
      </w:r>
    </w:p>
    <w:p w14:paraId="0E856263" w14:textId="4EB0CD21" w:rsidR="006720DC" w:rsidRPr="000060CE" w:rsidRDefault="006720DC" w:rsidP="006632A1">
      <w:pPr>
        <w:tabs>
          <w:tab w:val="left" w:pos="6359"/>
        </w:tabs>
        <w:rPr>
          <w:szCs w:val="22"/>
          <w:lang w:val="es-ES"/>
        </w:rPr>
      </w:pPr>
    </w:p>
    <w:p w14:paraId="2E1C2E4E" w14:textId="77777777" w:rsidR="006720DC" w:rsidRPr="000060CE" w:rsidRDefault="005959CC" w:rsidP="00986536">
      <w:pPr>
        <w:rPr>
          <w:b/>
          <w:i/>
          <w:lang w:val="es-ES"/>
        </w:rPr>
      </w:pPr>
      <w:r w:rsidRPr="000060CE">
        <w:rPr>
          <w:b/>
          <w:i/>
          <w:lang w:val="es-ES"/>
        </w:rPr>
        <w:t>Reglas</w:t>
      </w:r>
      <w:r w:rsidR="006720DC" w:rsidRPr="000060CE">
        <w:rPr>
          <w:b/>
          <w:i/>
          <w:lang w:val="es-ES"/>
        </w:rPr>
        <w:t xml:space="preserve"> 36.1</w:t>
      </w:r>
      <w:r w:rsidR="000060CE">
        <w:rPr>
          <w:b/>
          <w:i/>
          <w:lang w:val="es-ES"/>
        </w:rPr>
        <w:t>.</w:t>
      </w:r>
      <w:r w:rsidR="006720DC" w:rsidRPr="000060CE">
        <w:rPr>
          <w:b/>
          <w:i/>
          <w:lang w:val="es-ES"/>
        </w:rPr>
        <w:t xml:space="preserve">ii) </w:t>
      </w:r>
      <w:r w:rsidRPr="000060CE">
        <w:rPr>
          <w:b/>
          <w:i/>
          <w:lang w:val="es-ES"/>
        </w:rPr>
        <w:t>y</w:t>
      </w:r>
      <w:r w:rsidR="006720DC" w:rsidRPr="000060CE">
        <w:rPr>
          <w:b/>
          <w:i/>
          <w:lang w:val="es-ES"/>
        </w:rPr>
        <w:t xml:space="preserve"> 63.1</w:t>
      </w:r>
      <w:r w:rsidR="000060CE">
        <w:rPr>
          <w:b/>
          <w:i/>
          <w:lang w:val="es-ES"/>
        </w:rPr>
        <w:t>.</w:t>
      </w:r>
      <w:r w:rsidR="006720DC" w:rsidRPr="000060CE">
        <w:rPr>
          <w:b/>
          <w:i/>
          <w:lang w:val="es-ES"/>
        </w:rPr>
        <w:t xml:space="preserve">ii):  </w:t>
      </w:r>
      <w:r w:rsidR="006632A1" w:rsidRPr="000060CE">
        <w:rPr>
          <w:b/>
          <w:i/>
          <w:lang w:val="es-ES"/>
        </w:rPr>
        <w:t>la</w:t>
      </w:r>
      <w:r w:rsidRPr="000060CE">
        <w:rPr>
          <w:b/>
          <w:i/>
          <w:lang w:val="es-ES"/>
        </w:rPr>
        <w:t xml:space="preserve"> Oficina u organización deberá poseer, por lo menos, la documentación mínima mencionada en la Regla 34, o tener acceso a esa documentación mínima, la cual deberá estar ordenada en forma adecuada a los fines de la búsqueda y presentarse en papel, en microformato o en soporte electrónico</w:t>
      </w:r>
      <w:r w:rsidR="006720DC" w:rsidRPr="000060CE">
        <w:rPr>
          <w:b/>
          <w:i/>
          <w:lang w:val="es-ES"/>
        </w:rPr>
        <w:t>.</w:t>
      </w:r>
    </w:p>
    <w:p w14:paraId="0A2944F9" w14:textId="77777777" w:rsidR="006720DC" w:rsidRPr="000060CE" w:rsidRDefault="006720DC" w:rsidP="00986536">
      <w:pPr>
        <w:rPr>
          <w:szCs w:val="22"/>
          <w:lang w:val="es-ES"/>
        </w:rPr>
      </w:pPr>
    </w:p>
    <w:p w14:paraId="6C47C7BE" w14:textId="77777777" w:rsidR="006720DC" w:rsidRPr="000060CE" w:rsidRDefault="006720DC" w:rsidP="00986536">
      <w:pPr>
        <w:rPr>
          <w:b/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>Acces</w:t>
      </w:r>
      <w:r w:rsidR="00B81C7E" w:rsidRPr="000060CE">
        <w:rPr>
          <w:b/>
          <w:bCs/>
          <w:szCs w:val="22"/>
          <w:lang w:val="es-ES"/>
        </w:rPr>
        <w:t>o a la documentación mínima necesaria con fines de búsqueda</w:t>
      </w:r>
      <w:r w:rsidRPr="000060CE">
        <w:rPr>
          <w:b/>
          <w:bCs/>
          <w:szCs w:val="22"/>
          <w:lang w:val="es-ES"/>
        </w:rPr>
        <w:t>:</w:t>
      </w:r>
      <w:r w:rsidRPr="000060CE">
        <w:rPr>
          <w:szCs w:val="22"/>
          <w:lang w:val="es-ES"/>
        </w:rPr>
        <w:t xml:space="preserve">  ( X ) </w:t>
      </w:r>
      <w:r w:rsidR="00B81C7E" w:rsidRPr="000060CE">
        <w:rPr>
          <w:szCs w:val="22"/>
          <w:lang w:val="es-ES"/>
        </w:rPr>
        <w:t>Acceso completo</w:t>
      </w:r>
      <w:r w:rsidRPr="000060CE">
        <w:rPr>
          <w:szCs w:val="22"/>
          <w:lang w:val="es-ES"/>
        </w:rPr>
        <w:t xml:space="preserve"> </w:t>
      </w:r>
    </w:p>
    <w:p w14:paraId="18C6A236" w14:textId="59FA7326" w:rsidR="006720DC" w:rsidRPr="000060CE" w:rsidRDefault="006720DC" w:rsidP="00986536">
      <w:pPr>
        <w:tabs>
          <w:tab w:val="left" w:pos="3195"/>
          <w:tab w:val="left" w:pos="5484"/>
        </w:tabs>
        <w:rPr>
          <w:szCs w:val="22"/>
          <w:lang w:val="es-ES"/>
        </w:rPr>
      </w:pPr>
    </w:p>
    <w:p w14:paraId="1749B189" w14:textId="77777777" w:rsidR="006720DC" w:rsidRPr="000060CE" w:rsidRDefault="00B81C7E" w:rsidP="006720DC">
      <w:pPr>
        <w:rPr>
          <w:rFonts w:eastAsiaTheme="minorHAnsi" w:cs="Times New Roman"/>
          <w:iCs/>
          <w:lang w:val="es-ES" w:eastAsia="en-US"/>
        </w:rPr>
      </w:pPr>
      <w:r w:rsidRPr="000060CE">
        <w:rPr>
          <w:b/>
          <w:bCs/>
          <w:szCs w:val="22"/>
          <w:lang w:val="es-ES"/>
        </w:rPr>
        <w:t>Sistemas de búsqueda</w:t>
      </w:r>
      <w:r w:rsidR="006720DC" w:rsidRPr="000060CE">
        <w:rPr>
          <w:b/>
          <w:bCs/>
          <w:szCs w:val="22"/>
          <w:lang w:val="es-ES"/>
        </w:rPr>
        <w:t>:</w:t>
      </w:r>
      <w:r w:rsidR="006720DC" w:rsidRPr="000060CE">
        <w:rPr>
          <w:szCs w:val="22"/>
          <w:lang w:val="es-ES"/>
        </w:rPr>
        <w:t xml:space="preserve">  </w:t>
      </w:r>
    </w:p>
    <w:p w14:paraId="012C85ED" w14:textId="1FF9722F" w:rsidR="0009094E" w:rsidRPr="000060CE" w:rsidRDefault="00940D24" w:rsidP="006720DC">
      <w:pPr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 xml:space="preserve">Nuestros examinadores utilizan un sistema </w:t>
      </w:r>
      <w:r w:rsidR="00A1095E" w:rsidRPr="000060CE">
        <w:rPr>
          <w:rFonts w:eastAsiaTheme="minorHAnsi" w:cs="Times New Roman"/>
          <w:iCs/>
          <w:lang w:val="es-ES" w:eastAsia="en-US"/>
        </w:rPr>
        <w:t xml:space="preserve">electrónico </w:t>
      </w:r>
      <w:r w:rsidRPr="000060CE">
        <w:rPr>
          <w:rFonts w:eastAsiaTheme="minorHAnsi" w:cs="Times New Roman"/>
          <w:iCs/>
          <w:lang w:val="es-ES" w:eastAsia="en-US"/>
        </w:rPr>
        <w:t xml:space="preserve">de gestión de documentos 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(PAMS, </w:t>
      </w:r>
      <w:r w:rsidR="00042284" w:rsidRPr="000060CE">
        <w:rPr>
          <w:rFonts w:eastAsiaTheme="minorHAnsi" w:cs="Times New Roman"/>
          <w:i/>
          <w:iCs/>
          <w:lang w:val="es-ES" w:eastAsia="en-US"/>
        </w:rPr>
        <w:t>Patent Administration Management System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) para procesar, almacenar, recuperar y examinar solicitudes de patentes nacionales. </w:t>
      </w:r>
      <w:r w:rsidR="006632A1" w:rsidRPr="000060CE">
        <w:rPr>
          <w:rFonts w:eastAsiaTheme="minorHAnsi" w:cs="Times New Roman"/>
          <w:iCs/>
          <w:lang w:val="es-ES" w:eastAsia="en-US"/>
        </w:rPr>
        <w:t xml:space="preserve"> </w:t>
      </w:r>
      <w:r w:rsidR="00042284" w:rsidRPr="000060CE">
        <w:rPr>
          <w:rFonts w:eastAsiaTheme="minorHAnsi" w:cs="Times New Roman"/>
          <w:iCs/>
          <w:lang w:val="es-ES" w:eastAsia="en-US"/>
        </w:rPr>
        <w:t>IP Australia también tiene un sistema electrónico de búsqueda internacional y para labores de examen (INTESS)</w:t>
      </w:r>
      <w:r w:rsidR="006632A1" w:rsidRPr="000060CE">
        <w:rPr>
          <w:rFonts w:eastAsiaTheme="minorHAnsi" w:cs="Times New Roman"/>
          <w:iCs/>
          <w:lang w:val="es-ES" w:eastAsia="en-US"/>
        </w:rPr>
        <w:t>.  S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e facilita a los examinadores </w:t>
      </w:r>
      <w:r w:rsidR="00D51155" w:rsidRPr="000060CE">
        <w:rPr>
          <w:rFonts w:eastAsiaTheme="minorHAnsi" w:cs="Times New Roman"/>
          <w:iCs/>
          <w:lang w:val="es-ES" w:eastAsia="en-US"/>
        </w:rPr>
        <w:t>un espacio de trabajo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 para el examen de patentes </w:t>
      </w:r>
      <w:r w:rsidR="0009094E" w:rsidRPr="000060CE">
        <w:rPr>
          <w:rFonts w:eastAsiaTheme="minorHAnsi" w:cs="Times New Roman"/>
          <w:iCs/>
          <w:lang w:val="es-ES" w:eastAsia="en-US"/>
        </w:rPr>
        <w:t>en el que disponen de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 un conjunto de recursos, </w:t>
      </w:r>
      <w:r w:rsidR="00A1095E" w:rsidRPr="000060CE">
        <w:rPr>
          <w:rFonts w:eastAsiaTheme="minorHAnsi" w:cs="Times New Roman"/>
          <w:iCs/>
          <w:lang w:val="es-ES" w:eastAsia="en-US"/>
        </w:rPr>
        <w:t>que incl</w:t>
      </w:r>
      <w:r w:rsidR="00E145D3" w:rsidRPr="000060CE">
        <w:rPr>
          <w:rFonts w:eastAsiaTheme="minorHAnsi" w:cs="Times New Roman"/>
          <w:iCs/>
          <w:lang w:val="es-ES" w:eastAsia="en-US"/>
        </w:rPr>
        <w:t>uye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 el acceso a herramientas de búsqueda de patentes (EPOQUE)</w:t>
      </w:r>
      <w:r w:rsidR="00D51155" w:rsidRPr="000060CE">
        <w:rPr>
          <w:rFonts w:eastAsiaTheme="minorHAnsi" w:cs="Times New Roman"/>
          <w:iCs/>
          <w:lang w:val="es-ES" w:eastAsia="en-US"/>
        </w:rPr>
        <w:t>,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 máquinas de búsqueda (STN) que abarcan </w:t>
      </w:r>
      <w:r w:rsidR="00505D88">
        <w:rPr>
          <w:rFonts w:eastAsiaTheme="minorHAnsi" w:cs="Times New Roman"/>
          <w:iCs/>
          <w:lang w:val="es-ES" w:eastAsia="en-US"/>
        </w:rPr>
        <w:t>al menos la</w:t>
      </w:r>
      <w:r w:rsidR="00D51155" w:rsidRPr="000060CE">
        <w:rPr>
          <w:rFonts w:eastAsiaTheme="minorHAnsi" w:cs="Times New Roman"/>
          <w:iCs/>
          <w:lang w:val="es-ES" w:eastAsia="en-US"/>
        </w:rPr>
        <w:t xml:space="preserve"> </w:t>
      </w:r>
      <w:r w:rsidR="00042284" w:rsidRPr="000060CE">
        <w:rPr>
          <w:rFonts w:eastAsiaTheme="minorHAnsi" w:cs="Times New Roman"/>
          <w:iCs/>
          <w:lang w:val="es-ES" w:eastAsia="en-US"/>
        </w:rPr>
        <w:t>documentaci</w:t>
      </w:r>
      <w:r w:rsidR="00D51155" w:rsidRPr="000060CE">
        <w:rPr>
          <w:rFonts w:eastAsiaTheme="minorHAnsi" w:cs="Times New Roman"/>
          <w:iCs/>
          <w:lang w:val="es-ES" w:eastAsia="en-US"/>
        </w:rPr>
        <w:t>ó</w:t>
      </w:r>
      <w:r w:rsidR="00042284" w:rsidRPr="000060CE">
        <w:rPr>
          <w:rFonts w:eastAsiaTheme="minorHAnsi" w:cs="Times New Roman"/>
          <w:iCs/>
          <w:lang w:val="es-ES" w:eastAsia="en-US"/>
        </w:rPr>
        <w:t>n</w:t>
      </w:r>
      <w:r w:rsidR="00A1095E" w:rsidRPr="000060CE">
        <w:rPr>
          <w:rFonts w:eastAsiaTheme="minorHAnsi" w:cs="Times New Roman"/>
          <w:iCs/>
          <w:lang w:val="es-ES" w:eastAsia="en-US"/>
        </w:rPr>
        <w:t xml:space="preserve"> mínima</w:t>
      </w:r>
      <w:r w:rsidR="00505D88">
        <w:rPr>
          <w:rFonts w:eastAsiaTheme="minorHAnsi" w:cs="Times New Roman"/>
          <w:iCs/>
          <w:lang w:val="es-ES" w:eastAsia="en-US"/>
        </w:rPr>
        <w:t xml:space="preserve"> necesaria</w:t>
      </w:r>
      <w:r w:rsidR="00E145D3" w:rsidRPr="000060CE">
        <w:rPr>
          <w:rFonts w:eastAsiaTheme="minorHAnsi" w:cs="Times New Roman"/>
          <w:iCs/>
          <w:lang w:val="es-ES" w:eastAsia="en-US"/>
        </w:rPr>
        <w:t xml:space="preserve">, </w:t>
      </w:r>
      <w:r w:rsidR="0009094E" w:rsidRPr="000060CE">
        <w:rPr>
          <w:rFonts w:eastAsiaTheme="minorHAnsi" w:cs="Times New Roman"/>
          <w:iCs/>
          <w:lang w:val="es-ES" w:eastAsia="en-US"/>
        </w:rPr>
        <w:t>m</w:t>
      </w:r>
      <w:r w:rsidR="00042284" w:rsidRPr="000060CE">
        <w:rPr>
          <w:rFonts w:eastAsiaTheme="minorHAnsi" w:cs="Times New Roman"/>
          <w:iCs/>
          <w:lang w:val="es-ES" w:eastAsia="en-US"/>
        </w:rPr>
        <w:t>a</w:t>
      </w:r>
      <w:r w:rsidR="00D51155" w:rsidRPr="000060CE">
        <w:rPr>
          <w:rFonts w:eastAsiaTheme="minorHAnsi" w:cs="Times New Roman"/>
          <w:iCs/>
          <w:lang w:val="es-ES" w:eastAsia="en-US"/>
        </w:rPr>
        <w:t>n</w:t>
      </w:r>
      <w:r w:rsidR="00042284" w:rsidRPr="000060CE">
        <w:rPr>
          <w:rFonts w:eastAsiaTheme="minorHAnsi" w:cs="Times New Roman"/>
          <w:iCs/>
          <w:lang w:val="es-ES" w:eastAsia="en-US"/>
        </w:rPr>
        <w:t>uales disponibles electr</w:t>
      </w:r>
      <w:r w:rsidR="00D51155" w:rsidRPr="000060CE">
        <w:rPr>
          <w:rFonts w:eastAsiaTheme="minorHAnsi" w:cs="Times New Roman"/>
          <w:iCs/>
          <w:lang w:val="es-ES" w:eastAsia="en-US"/>
        </w:rPr>
        <w:t>ónicamente (por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 ejemplo, el Manual de </w:t>
      </w:r>
      <w:r w:rsidR="00790EDC" w:rsidRPr="000060CE">
        <w:rPr>
          <w:rFonts w:eastAsiaTheme="minorHAnsi" w:cs="Times New Roman"/>
          <w:iCs/>
          <w:lang w:val="es-ES" w:eastAsia="en-US"/>
        </w:rPr>
        <w:t>P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rácticas y </w:t>
      </w:r>
      <w:r w:rsidR="00790EDC" w:rsidRPr="000060CE">
        <w:rPr>
          <w:rFonts w:eastAsiaTheme="minorHAnsi" w:cs="Times New Roman"/>
          <w:iCs/>
          <w:lang w:val="es-ES" w:eastAsia="en-US"/>
        </w:rPr>
        <w:t>P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rocedimientos </w:t>
      </w:r>
      <w:r w:rsidR="00D51155" w:rsidRPr="000060CE">
        <w:rPr>
          <w:rFonts w:eastAsiaTheme="minorHAnsi" w:cs="Times New Roman"/>
          <w:iCs/>
          <w:lang w:val="es-ES" w:eastAsia="en-US"/>
        </w:rPr>
        <w:t xml:space="preserve">en materia de </w:t>
      </w:r>
      <w:r w:rsidR="00790EDC" w:rsidRPr="000060CE">
        <w:rPr>
          <w:rFonts w:eastAsiaTheme="minorHAnsi" w:cs="Times New Roman"/>
          <w:iCs/>
          <w:lang w:val="es-ES" w:eastAsia="en-US"/>
        </w:rPr>
        <w:t>P</w:t>
      </w:r>
      <w:r w:rsidR="00D51155" w:rsidRPr="000060CE">
        <w:rPr>
          <w:rFonts w:eastAsiaTheme="minorHAnsi" w:cs="Times New Roman"/>
          <w:iCs/>
          <w:lang w:val="es-ES" w:eastAsia="en-US"/>
        </w:rPr>
        <w:t xml:space="preserve">atentes </w:t>
      </w:r>
      <w:r w:rsidR="00042284" w:rsidRPr="000060CE">
        <w:rPr>
          <w:rFonts w:eastAsiaTheme="minorHAnsi" w:cs="Times New Roman"/>
          <w:iCs/>
          <w:lang w:val="es-ES" w:eastAsia="en-US"/>
        </w:rPr>
        <w:t>y el Manual del si</w:t>
      </w:r>
      <w:r w:rsidR="00E145D3" w:rsidRPr="000060CE">
        <w:rPr>
          <w:rFonts w:eastAsiaTheme="minorHAnsi" w:cs="Times New Roman"/>
          <w:iCs/>
          <w:lang w:val="es-ES" w:eastAsia="en-US"/>
        </w:rPr>
        <w:t>stema de gestión de la calidad),</w:t>
      </w:r>
      <w:r w:rsidR="006632A1" w:rsidRPr="000060CE">
        <w:rPr>
          <w:rFonts w:eastAsiaTheme="minorHAnsi" w:cs="Times New Roman"/>
          <w:iCs/>
          <w:lang w:val="es-ES" w:eastAsia="en-US"/>
        </w:rPr>
        <w:t xml:space="preserve"> </w:t>
      </w:r>
      <w:r w:rsidR="00042284" w:rsidRPr="000060CE">
        <w:rPr>
          <w:rFonts w:eastAsiaTheme="minorHAnsi" w:cs="Times New Roman"/>
          <w:iCs/>
          <w:lang w:val="es-ES" w:eastAsia="en-US"/>
        </w:rPr>
        <w:t>documentación sobre derec</w:t>
      </w:r>
      <w:r w:rsidR="00D51155" w:rsidRPr="000060CE">
        <w:rPr>
          <w:rFonts w:eastAsiaTheme="minorHAnsi" w:cs="Times New Roman"/>
          <w:iCs/>
          <w:lang w:val="es-ES" w:eastAsia="en-US"/>
        </w:rPr>
        <w:t>h</w:t>
      </w:r>
      <w:r w:rsidR="00042284" w:rsidRPr="000060CE">
        <w:rPr>
          <w:rFonts w:eastAsiaTheme="minorHAnsi" w:cs="Times New Roman"/>
          <w:iCs/>
          <w:lang w:val="es-ES" w:eastAsia="en-US"/>
        </w:rPr>
        <w:t>o de paten</w:t>
      </w:r>
      <w:r w:rsidR="00D51155" w:rsidRPr="000060CE">
        <w:rPr>
          <w:rFonts w:eastAsiaTheme="minorHAnsi" w:cs="Times New Roman"/>
          <w:iCs/>
          <w:lang w:val="es-ES" w:eastAsia="en-US"/>
        </w:rPr>
        <w:t>tes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 , </w:t>
      </w:r>
      <w:r w:rsidR="00D51155" w:rsidRPr="000060CE">
        <w:rPr>
          <w:rFonts w:eastAsiaTheme="minorHAnsi" w:cs="Times New Roman"/>
          <w:iCs/>
          <w:lang w:val="es-ES" w:eastAsia="en-US"/>
        </w:rPr>
        <w:t>así como</w:t>
      </w:r>
      <w:r w:rsidR="00042284" w:rsidRPr="000060CE">
        <w:rPr>
          <w:rFonts w:eastAsiaTheme="minorHAnsi" w:cs="Times New Roman"/>
          <w:iCs/>
          <w:lang w:val="es-ES" w:eastAsia="en-US"/>
        </w:rPr>
        <w:t xml:space="preserve"> documentación de la OMPI y el PCT</w:t>
      </w:r>
      <w:r w:rsidR="00D51155" w:rsidRPr="000060CE">
        <w:rPr>
          <w:rFonts w:eastAsiaTheme="minorHAnsi" w:cs="Times New Roman"/>
          <w:iCs/>
          <w:lang w:val="es-ES" w:eastAsia="en-US"/>
        </w:rPr>
        <w:t xml:space="preserve">. </w:t>
      </w:r>
      <w:r w:rsidR="006632A1" w:rsidRPr="000060CE">
        <w:rPr>
          <w:rFonts w:eastAsiaTheme="minorHAnsi" w:cs="Times New Roman"/>
          <w:iCs/>
          <w:lang w:val="es-ES" w:eastAsia="en-US"/>
        </w:rPr>
        <w:t xml:space="preserve"> 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Se han implantado prácticas idóneas del PCT, que se han incorporado </w:t>
      </w:r>
      <w:r w:rsidR="00E145D3" w:rsidRPr="000060CE">
        <w:rPr>
          <w:rFonts w:eastAsiaTheme="minorHAnsi" w:cs="Times New Roman"/>
          <w:iCs/>
          <w:lang w:val="es-ES" w:eastAsia="en-US"/>
        </w:rPr>
        <w:t>en el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 Manual de prácticas </w:t>
      </w:r>
      <w:r w:rsidR="0009094E" w:rsidRPr="000060CE">
        <w:rPr>
          <w:rFonts w:eastAsiaTheme="minorHAnsi" w:cs="Times New Roman"/>
          <w:iCs/>
          <w:lang w:val="es-ES" w:eastAsia="en-US"/>
        </w:rPr>
        <w:t>y procedimientos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 y </w:t>
      </w:r>
      <w:r w:rsidR="0009094E" w:rsidRPr="000060CE">
        <w:rPr>
          <w:rFonts w:eastAsiaTheme="minorHAnsi" w:cs="Times New Roman"/>
          <w:iCs/>
          <w:lang w:val="es-ES" w:eastAsia="en-US"/>
        </w:rPr>
        <w:t xml:space="preserve">en </w:t>
      </w:r>
      <w:r w:rsidR="00F33F39" w:rsidRPr="000060CE">
        <w:rPr>
          <w:rFonts w:eastAsiaTheme="minorHAnsi" w:cs="Times New Roman"/>
          <w:iCs/>
          <w:lang w:val="es-ES" w:eastAsia="en-US"/>
        </w:rPr>
        <w:t>la formación del Programa del examinador de derechos de P.I. (IRPEP)</w:t>
      </w:r>
      <w:r w:rsidR="00E145D3" w:rsidRPr="000060CE">
        <w:rPr>
          <w:rFonts w:eastAsiaTheme="minorHAnsi" w:cs="Times New Roman"/>
          <w:iCs/>
          <w:lang w:val="es-ES" w:eastAsia="en-US"/>
        </w:rPr>
        <w:t xml:space="preserve">.  </w:t>
      </w:r>
      <w:r w:rsidR="006632A1" w:rsidRPr="000060CE">
        <w:rPr>
          <w:rFonts w:eastAsiaTheme="minorHAnsi" w:cs="Times New Roman"/>
          <w:iCs/>
          <w:lang w:val="es-ES" w:eastAsia="en-US"/>
        </w:rPr>
        <w:t>E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stas prácticas </w:t>
      </w:r>
      <w:r w:rsidR="00E145D3" w:rsidRPr="000060CE">
        <w:rPr>
          <w:rFonts w:eastAsiaTheme="minorHAnsi" w:cs="Times New Roman"/>
          <w:iCs/>
          <w:lang w:val="es-ES" w:eastAsia="en-US"/>
        </w:rPr>
        <w:t>se revisan periódicamente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. </w:t>
      </w:r>
      <w:r w:rsidR="006632A1" w:rsidRPr="000060CE">
        <w:rPr>
          <w:rFonts w:eastAsiaTheme="minorHAnsi" w:cs="Times New Roman"/>
          <w:iCs/>
          <w:lang w:val="es-ES" w:eastAsia="en-US"/>
        </w:rPr>
        <w:t xml:space="preserve"> 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Otras herramientas </w:t>
      </w:r>
      <w:r w:rsidR="00E145D3" w:rsidRPr="000060CE">
        <w:rPr>
          <w:rFonts w:eastAsiaTheme="minorHAnsi" w:cs="Times New Roman"/>
          <w:iCs/>
          <w:lang w:val="es-ES" w:eastAsia="en-US"/>
        </w:rPr>
        <w:t xml:space="preserve">disponibles 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para los examinadores incluyen el acceso a bases de datos internas y externas, libros técnicos, revistas y recursos técnicos sobre </w:t>
      </w:r>
      <w:r w:rsidR="00E145D3" w:rsidRPr="000060CE">
        <w:rPr>
          <w:rFonts w:eastAsiaTheme="minorHAnsi" w:cs="Times New Roman"/>
          <w:iCs/>
          <w:lang w:val="es-ES" w:eastAsia="en-US"/>
        </w:rPr>
        <w:t>los distintos ámbitos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 de trabajo del examen de patentes de Australia IP</w:t>
      </w:r>
      <w:r w:rsidR="006632A1" w:rsidRPr="000060CE">
        <w:rPr>
          <w:rFonts w:eastAsiaTheme="minorHAnsi" w:cs="Times New Roman"/>
          <w:iCs/>
          <w:lang w:val="es-ES" w:eastAsia="en-US"/>
        </w:rPr>
        <w:t>.  E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llo incluye, entre otras, </w:t>
      </w:r>
      <w:r w:rsidR="00A1095E" w:rsidRPr="000060CE">
        <w:rPr>
          <w:rFonts w:eastAsiaTheme="minorHAnsi" w:cs="Times New Roman"/>
          <w:iCs/>
          <w:lang w:val="es-ES" w:eastAsia="en-US"/>
        </w:rPr>
        <w:t>el</w:t>
      </w:r>
      <w:r w:rsidR="00F33F39" w:rsidRPr="000060CE">
        <w:rPr>
          <w:rFonts w:eastAsiaTheme="minorHAnsi" w:cs="Times New Roman"/>
          <w:iCs/>
          <w:lang w:val="es-ES" w:eastAsia="en-US"/>
        </w:rPr>
        <w:t xml:space="preserve"> IEEE, MEDLINE, Nature, PubMed, Questel-Orbit y WIPO </w:t>
      </w:r>
      <w:r w:rsidR="000864CE" w:rsidRPr="000060CE">
        <w:rPr>
          <w:rFonts w:eastAsiaTheme="minorHAnsi" w:cs="Times New Roman"/>
          <w:iCs/>
          <w:lang w:val="es-ES" w:eastAsia="en-US"/>
        </w:rPr>
        <w:t>CASE</w:t>
      </w:r>
      <w:r w:rsidR="00F33F39" w:rsidRPr="000060CE">
        <w:rPr>
          <w:rFonts w:eastAsiaTheme="minorHAnsi" w:cs="Times New Roman"/>
          <w:iCs/>
          <w:lang w:val="es-ES" w:eastAsia="en-US"/>
        </w:rPr>
        <w:t>.</w:t>
      </w:r>
      <w:r w:rsidR="0009094E" w:rsidRPr="000060CE">
        <w:rPr>
          <w:rFonts w:eastAsiaTheme="minorHAnsi" w:cs="Times New Roman"/>
          <w:iCs/>
          <w:lang w:val="es-ES" w:eastAsia="en-US"/>
        </w:rPr>
        <w:t xml:space="preserve"> </w:t>
      </w:r>
    </w:p>
    <w:p w14:paraId="241A8E92" w14:textId="77777777" w:rsidR="0009094E" w:rsidRPr="000060CE" w:rsidRDefault="0009094E" w:rsidP="006720DC">
      <w:pPr>
        <w:rPr>
          <w:rFonts w:eastAsiaTheme="minorHAnsi" w:cs="Times New Roman"/>
          <w:iCs/>
          <w:lang w:val="es-ES" w:eastAsia="en-US"/>
        </w:rPr>
      </w:pPr>
    </w:p>
    <w:p w14:paraId="002C720D" w14:textId="49462BFA" w:rsidR="006720DC" w:rsidRPr="00505D88" w:rsidRDefault="0009094E" w:rsidP="006720DC">
      <w:pPr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 xml:space="preserve">El Equipo técnico de búsqueda de la APO (STT) garantiza que </w:t>
      </w:r>
      <w:r w:rsidR="006B5BA0">
        <w:rPr>
          <w:rFonts w:eastAsiaTheme="minorHAnsi" w:cs="Times New Roman"/>
          <w:iCs/>
          <w:lang w:val="es-ES" w:eastAsia="en-US"/>
        </w:rPr>
        <w:t xml:space="preserve">se ponen a disposición de </w:t>
      </w:r>
      <w:r w:rsidRPr="000060CE">
        <w:rPr>
          <w:rFonts w:eastAsiaTheme="minorHAnsi" w:cs="Times New Roman"/>
          <w:iCs/>
          <w:lang w:val="es-ES" w:eastAsia="en-US"/>
        </w:rPr>
        <w:t>los examinadores</w:t>
      </w:r>
      <w:r w:rsidR="00E145D3" w:rsidRPr="000060CE">
        <w:rPr>
          <w:rFonts w:eastAsiaTheme="minorHAnsi" w:cs="Times New Roman"/>
          <w:iCs/>
          <w:lang w:val="es-ES" w:eastAsia="en-US"/>
        </w:rPr>
        <w:t xml:space="preserve"> técnicas</w:t>
      </w:r>
      <w:r w:rsidRPr="000060CE">
        <w:rPr>
          <w:rFonts w:eastAsiaTheme="minorHAnsi" w:cs="Times New Roman"/>
          <w:iCs/>
          <w:lang w:val="es-ES" w:eastAsia="en-US"/>
        </w:rPr>
        <w:t xml:space="preserve"> de búsqueda basadas en las mejores prácticas </w:t>
      </w:r>
      <w:r w:rsidR="00E145D3" w:rsidRPr="000060CE">
        <w:rPr>
          <w:rFonts w:eastAsiaTheme="minorHAnsi" w:cs="Times New Roman"/>
          <w:iCs/>
          <w:lang w:val="es-ES" w:eastAsia="en-US"/>
        </w:rPr>
        <w:t xml:space="preserve">así como el </w:t>
      </w:r>
      <w:r w:rsidRPr="000060CE">
        <w:rPr>
          <w:rFonts w:eastAsiaTheme="minorHAnsi" w:cs="Times New Roman"/>
          <w:iCs/>
          <w:lang w:val="es-ES" w:eastAsia="en-US"/>
        </w:rPr>
        <w:t xml:space="preserve">acceso a herramientas de búsqueda de alta calidad. </w:t>
      </w:r>
      <w:r w:rsidR="006632A1" w:rsidRPr="000060CE">
        <w:rPr>
          <w:rFonts w:eastAsiaTheme="minorHAnsi" w:cs="Times New Roman"/>
          <w:iCs/>
          <w:lang w:val="es-ES" w:eastAsia="en-US"/>
        </w:rPr>
        <w:t xml:space="preserve"> </w:t>
      </w:r>
      <w:r w:rsidRPr="000060CE">
        <w:rPr>
          <w:rFonts w:eastAsiaTheme="minorHAnsi" w:cs="Times New Roman"/>
          <w:iCs/>
          <w:lang w:val="es-ES" w:eastAsia="en-US"/>
        </w:rPr>
        <w:t xml:space="preserve">El STT proporciona dos capacidades </w:t>
      </w:r>
      <w:r w:rsidR="00A1095E" w:rsidRPr="000060CE">
        <w:rPr>
          <w:rFonts w:eastAsiaTheme="minorHAnsi" w:cs="Times New Roman"/>
          <w:iCs/>
          <w:lang w:val="es-ES" w:eastAsia="en-US"/>
        </w:rPr>
        <w:t>básicas</w:t>
      </w:r>
      <w:r w:rsidRPr="000060CE">
        <w:rPr>
          <w:rFonts w:eastAsiaTheme="minorHAnsi" w:cs="Times New Roman"/>
          <w:iCs/>
          <w:lang w:val="es-ES" w:eastAsia="en-US"/>
        </w:rPr>
        <w:t>:</w:t>
      </w:r>
    </w:p>
    <w:p w14:paraId="44200AD7" w14:textId="77777777" w:rsidR="0009094E" w:rsidRPr="000060CE" w:rsidRDefault="0009094E" w:rsidP="001D0D5B">
      <w:pPr>
        <w:pStyle w:val="ListParagraph"/>
        <w:numPr>
          <w:ilvl w:val="0"/>
          <w:numId w:val="11"/>
        </w:numPr>
        <w:ind w:left="1134" w:hanging="567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 xml:space="preserve">apoyo, formación y promoción </w:t>
      </w:r>
      <w:r w:rsidR="00E145D3" w:rsidRPr="000060CE">
        <w:rPr>
          <w:rFonts w:eastAsiaTheme="minorHAnsi" w:cs="Times New Roman"/>
          <w:iCs/>
          <w:lang w:val="es-ES" w:eastAsia="en-US"/>
        </w:rPr>
        <w:t>interna</w:t>
      </w:r>
      <w:r w:rsidRPr="000060CE">
        <w:rPr>
          <w:rFonts w:eastAsiaTheme="minorHAnsi" w:cs="Times New Roman"/>
          <w:iCs/>
          <w:lang w:val="es-ES" w:eastAsia="en-US"/>
        </w:rPr>
        <w:t xml:space="preserve"> de técnicas de búsqueda </w:t>
      </w:r>
      <w:r w:rsidR="00E145D3" w:rsidRPr="000060CE">
        <w:rPr>
          <w:rFonts w:eastAsiaTheme="minorHAnsi" w:cs="Times New Roman"/>
          <w:iCs/>
          <w:lang w:val="es-ES" w:eastAsia="en-US"/>
        </w:rPr>
        <w:t>b</w:t>
      </w:r>
      <w:r w:rsidRPr="000060CE">
        <w:rPr>
          <w:rFonts w:eastAsiaTheme="minorHAnsi" w:cs="Times New Roman"/>
          <w:iCs/>
          <w:lang w:val="es-ES" w:eastAsia="en-US"/>
        </w:rPr>
        <w:t xml:space="preserve">asadas en las mejores prácticas; y </w:t>
      </w:r>
    </w:p>
    <w:p w14:paraId="1C4CBF73" w14:textId="77777777" w:rsidR="0009094E" w:rsidRPr="000060CE" w:rsidRDefault="0009094E" w:rsidP="001D0D5B">
      <w:pPr>
        <w:pStyle w:val="ListParagraph"/>
        <w:numPr>
          <w:ilvl w:val="0"/>
          <w:numId w:val="11"/>
        </w:numPr>
        <w:ind w:left="1134" w:hanging="567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>evaluación de herramientas de búsqueda y bases de datos para el examen de patentes.</w:t>
      </w:r>
    </w:p>
    <w:p w14:paraId="47596715" w14:textId="77777777" w:rsidR="006720DC" w:rsidRPr="000060CE" w:rsidRDefault="006720DC" w:rsidP="001D0D5B">
      <w:pPr>
        <w:ind w:left="1134" w:hanging="567"/>
        <w:rPr>
          <w:rFonts w:eastAsiaTheme="minorHAnsi" w:cs="Times New Roman"/>
          <w:iCs/>
          <w:lang w:val="es-ES" w:eastAsia="en-US"/>
        </w:rPr>
      </w:pPr>
    </w:p>
    <w:p w14:paraId="4BD47555" w14:textId="77777777" w:rsidR="006720DC" w:rsidRPr="000060CE" w:rsidRDefault="0009094E" w:rsidP="001D0D5B">
      <w:pPr>
        <w:ind w:left="1134" w:hanging="567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>Además, las actividades del STT incluyen</w:t>
      </w:r>
      <w:r w:rsidR="006720DC" w:rsidRPr="000060CE">
        <w:rPr>
          <w:rFonts w:eastAsiaTheme="minorHAnsi" w:cs="Times New Roman"/>
          <w:iCs/>
          <w:lang w:val="es-ES" w:eastAsia="en-US"/>
        </w:rPr>
        <w:t>:</w:t>
      </w:r>
    </w:p>
    <w:p w14:paraId="30A61C84" w14:textId="77777777" w:rsidR="0009094E" w:rsidRPr="000060CE" w:rsidRDefault="0009094E" w:rsidP="0009094E">
      <w:pPr>
        <w:pStyle w:val="ListParagraph"/>
        <w:numPr>
          <w:ilvl w:val="0"/>
          <w:numId w:val="11"/>
        </w:numPr>
        <w:ind w:left="1134" w:hanging="567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>actividades de clasificación, incluida la Clasificación Internacional de Patentes (CIP) y la Clasificación de Patentes Cooperativa (CPC);</w:t>
      </w:r>
    </w:p>
    <w:p w14:paraId="6FA0B73C" w14:textId="77777777" w:rsidR="0009094E" w:rsidRPr="000060CE" w:rsidRDefault="00E145D3" w:rsidP="0009094E">
      <w:pPr>
        <w:pStyle w:val="ListParagraph"/>
        <w:numPr>
          <w:ilvl w:val="0"/>
          <w:numId w:val="11"/>
        </w:numPr>
        <w:ind w:left="1134" w:hanging="567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>actualización</w:t>
      </w:r>
      <w:r w:rsidR="0009094E" w:rsidRPr="000060CE">
        <w:rPr>
          <w:rFonts w:eastAsiaTheme="minorHAnsi" w:cs="Times New Roman"/>
          <w:iCs/>
          <w:lang w:val="es-ES" w:eastAsia="en-US"/>
        </w:rPr>
        <w:t xml:space="preserve"> </w:t>
      </w:r>
      <w:r w:rsidRPr="000060CE">
        <w:rPr>
          <w:rFonts w:eastAsiaTheme="minorHAnsi" w:cs="Times New Roman"/>
          <w:iCs/>
          <w:lang w:val="es-ES" w:eastAsia="en-US"/>
        </w:rPr>
        <w:t>de</w:t>
      </w:r>
      <w:r w:rsidR="0009094E" w:rsidRPr="000060CE">
        <w:rPr>
          <w:rFonts w:eastAsiaTheme="minorHAnsi" w:cs="Times New Roman"/>
          <w:iCs/>
          <w:lang w:val="es-ES" w:eastAsia="en-US"/>
        </w:rPr>
        <w:t xml:space="preserve"> conocimientos </w:t>
      </w:r>
      <w:r w:rsidRPr="000060CE">
        <w:rPr>
          <w:rFonts w:eastAsiaTheme="minorHAnsi" w:cs="Times New Roman"/>
          <w:iCs/>
          <w:lang w:val="es-ES" w:eastAsia="en-US"/>
        </w:rPr>
        <w:t>sobre</w:t>
      </w:r>
      <w:r w:rsidR="00A1095E" w:rsidRPr="000060CE">
        <w:rPr>
          <w:rFonts w:eastAsiaTheme="minorHAnsi" w:cs="Times New Roman"/>
          <w:iCs/>
          <w:lang w:val="es-ES" w:eastAsia="en-US"/>
        </w:rPr>
        <w:t xml:space="preserve"> EPOQUE y STN, entre otra</w:t>
      </w:r>
      <w:r w:rsidR="0009094E" w:rsidRPr="000060CE">
        <w:rPr>
          <w:rFonts w:eastAsiaTheme="minorHAnsi" w:cs="Times New Roman"/>
          <w:iCs/>
          <w:lang w:val="es-ES" w:eastAsia="en-US"/>
        </w:rPr>
        <w:t>s</w:t>
      </w:r>
      <w:r w:rsidR="00A1095E" w:rsidRPr="000060CE">
        <w:rPr>
          <w:rFonts w:eastAsiaTheme="minorHAnsi" w:cs="Times New Roman"/>
          <w:iCs/>
          <w:lang w:val="es-ES" w:eastAsia="en-US"/>
        </w:rPr>
        <w:t xml:space="preserve"> herramientas de búsqueda</w:t>
      </w:r>
      <w:r w:rsidR="0009094E" w:rsidRPr="000060CE">
        <w:rPr>
          <w:rFonts w:eastAsiaTheme="minorHAnsi" w:cs="Times New Roman"/>
          <w:iCs/>
          <w:lang w:val="es-ES" w:eastAsia="en-US"/>
        </w:rPr>
        <w:t>;</w:t>
      </w:r>
    </w:p>
    <w:p w14:paraId="03A27D59" w14:textId="5F54D5DE" w:rsidR="0009094E" w:rsidRPr="000060CE" w:rsidRDefault="00E145D3" w:rsidP="0009094E">
      <w:pPr>
        <w:pStyle w:val="ListParagraph"/>
        <w:numPr>
          <w:ilvl w:val="0"/>
          <w:numId w:val="11"/>
        </w:numPr>
        <w:ind w:left="1134" w:hanging="567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>presencia</w:t>
      </w:r>
      <w:r w:rsidR="00790EDC" w:rsidRPr="000060CE">
        <w:rPr>
          <w:rFonts w:eastAsiaTheme="minorHAnsi" w:cs="Times New Roman"/>
          <w:iCs/>
          <w:lang w:val="es-ES" w:eastAsia="en-US"/>
        </w:rPr>
        <w:t xml:space="preserve"> de expertos sobre materia</w:t>
      </w:r>
      <w:r w:rsidR="006B5BA0">
        <w:rPr>
          <w:rFonts w:eastAsiaTheme="minorHAnsi" w:cs="Times New Roman"/>
          <w:iCs/>
          <w:lang w:val="es-ES" w:eastAsia="en-US"/>
        </w:rPr>
        <w:t>s</w:t>
      </w:r>
      <w:r w:rsidR="00790EDC" w:rsidRPr="000060CE">
        <w:rPr>
          <w:rFonts w:eastAsiaTheme="minorHAnsi" w:cs="Times New Roman"/>
          <w:iCs/>
          <w:lang w:val="es-ES" w:eastAsia="en-US"/>
        </w:rPr>
        <w:t xml:space="preserve"> </w:t>
      </w:r>
      <w:r w:rsidR="00A1095E" w:rsidRPr="000060CE">
        <w:rPr>
          <w:rFonts w:eastAsiaTheme="minorHAnsi" w:cs="Times New Roman"/>
          <w:iCs/>
          <w:lang w:val="es-ES" w:eastAsia="en-US"/>
        </w:rPr>
        <w:t xml:space="preserve">de interés </w:t>
      </w:r>
      <w:r w:rsidRPr="000060CE">
        <w:rPr>
          <w:rFonts w:eastAsiaTheme="minorHAnsi" w:cs="Times New Roman"/>
          <w:iCs/>
          <w:lang w:val="es-ES" w:eastAsia="en-US"/>
        </w:rPr>
        <w:t>en</w:t>
      </w:r>
      <w:r w:rsidR="00790EDC" w:rsidRPr="000060CE">
        <w:rPr>
          <w:rFonts w:eastAsiaTheme="minorHAnsi" w:cs="Times New Roman"/>
          <w:iCs/>
          <w:lang w:val="es-ES" w:eastAsia="en-US"/>
        </w:rPr>
        <w:t xml:space="preserve"> los equipos de los proyectos de formación;</w:t>
      </w:r>
    </w:p>
    <w:p w14:paraId="0BAF7F40" w14:textId="549D85B5" w:rsidR="00790EDC" w:rsidRPr="000060CE" w:rsidRDefault="00790EDC" w:rsidP="00790EDC">
      <w:pPr>
        <w:pStyle w:val="ListParagraph"/>
        <w:numPr>
          <w:ilvl w:val="0"/>
          <w:numId w:val="11"/>
        </w:numPr>
        <w:ind w:left="1134" w:hanging="567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>mantenimiento del volumen de búsqueda</w:t>
      </w:r>
      <w:r w:rsidR="006B5BA0">
        <w:rPr>
          <w:rFonts w:eastAsiaTheme="minorHAnsi" w:cs="Times New Roman"/>
          <w:iCs/>
          <w:lang w:val="es-ES" w:eastAsia="en-US"/>
        </w:rPr>
        <w:t>s</w:t>
      </w:r>
      <w:r w:rsidRPr="000060CE">
        <w:rPr>
          <w:rFonts w:eastAsiaTheme="minorHAnsi" w:cs="Times New Roman"/>
          <w:iCs/>
          <w:lang w:val="es-ES" w:eastAsia="en-US"/>
        </w:rPr>
        <w:t xml:space="preserve"> del Manual de Práctica y Procedimiento en materia de Patentes; y</w:t>
      </w:r>
    </w:p>
    <w:p w14:paraId="66B16B67" w14:textId="77777777" w:rsidR="00790EDC" w:rsidRPr="000060CE" w:rsidRDefault="00853A33" w:rsidP="00790EDC">
      <w:pPr>
        <w:pStyle w:val="ListParagraph"/>
        <w:numPr>
          <w:ilvl w:val="0"/>
          <w:numId w:val="11"/>
        </w:numPr>
        <w:ind w:left="1134" w:hanging="567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 xml:space="preserve">responsabilidad </w:t>
      </w:r>
      <w:r w:rsidR="00B21329" w:rsidRPr="000060CE">
        <w:rPr>
          <w:rFonts w:eastAsiaTheme="minorHAnsi" w:cs="Times New Roman"/>
          <w:iCs/>
          <w:lang w:val="es-ES" w:eastAsia="en-US"/>
        </w:rPr>
        <w:t>de</w:t>
      </w:r>
      <w:r w:rsidRPr="000060CE">
        <w:rPr>
          <w:rFonts w:eastAsiaTheme="minorHAnsi" w:cs="Times New Roman"/>
          <w:iCs/>
          <w:lang w:val="es-ES" w:eastAsia="en-US"/>
        </w:rPr>
        <w:t xml:space="preserve"> la </w:t>
      </w:r>
      <w:r w:rsidR="00790EDC" w:rsidRPr="000060CE">
        <w:rPr>
          <w:rFonts w:eastAsiaTheme="minorHAnsi" w:cs="Times New Roman"/>
          <w:iCs/>
          <w:lang w:val="es-ES" w:eastAsia="en-US"/>
        </w:rPr>
        <w:t xml:space="preserve">gestión de contratación de herramientas de búsqueda comercial </w:t>
      </w:r>
      <w:r w:rsidRPr="000060CE">
        <w:rPr>
          <w:rFonts w:eastAsiaTheme="minorHAnsi" w:cs="Times New Roman"/>
          <w:iCs/>
          <w:lang w:val="es-ES" w:eastAsia="en-US"/>
        </w:rPr>
        <w:t>usadas</w:t>
      </w:r>
      <w:r w:rsidR="00790EDC" w:rsidRPr="000060CE">
        <w:rPr>
          <w:rFonts w:eastAsiaTheme="minorHAnsi" w:cs="Times New Roman"/>
          <w:iCs/>
          <w:lang w:val="es-ES" w:eastAsia="en-US"/>
        </w:rPr>
        <w:t xml:space="preserve"> por los examinadores.</w:t>
      </w:r>
    </w:p>
    <w:p w14:paraId="3F722E40" w14:textId="77777777" w:rsidR="006720DC" w:rsidRPr="000060CE" w:rsidRDefault="006720DC" w:rsidP="006720DC">
      <w:pPr>
        <w:rPr>
          <w:rFonts w:eastAsiaTheme="minorHAnsi" w:cs="Times New Roman"/>
          <w:iCs/>
          <w:lang w:val="es-ES" w:eastAsia="en-US"/>
        </w:rPr>
      </w:pPr>
    </w:p>
    <w:p w14:paraId="1A65334E" w14:textId="77777777" w:rsidR="006720DC" w:rsidRPr="000060CE" w:rsidRDefault="006720DC" w:rsidP="006720DC">
      <w:pPr>
        <w:rPr>
          <w:szCs w:val="22"/>
          <w:lang w:val="es-ES"/>
        </w:rPr>
      </w:pPr>
    </w:p>
    <w:p w14:paraId="376DF9F3" w14:textId="101A1853" w:rsidR="005959CC" w:rsidRPr="000060CE" w:rsidRDefault="005959CC" w:rsidP="00993A3A">
      <w:pPr>
        <w:rPr>
          <w:b/>
          <w:i/>
          <w:lang w:val="es-ES"/>
        </w:rPr>
      </w:pPr>
      <w:r w:rsidRPr="000060CE">
        <w:rPr>
          <w:b/>
          <w:i/>
          <w:lang w:val="es-ES"/>
        </w:rPr>
        <w:lastRenderedPageBreak/>
        <w:t>Reglas</w:t>
      </w:r>
      <w:r w:rsidR="000060CE">
        <w:rPr>
          <w:b/>
          <w:i/>
          <w:lang w:val="es-ES"/>
        </w:rPr>
        <w:t xml:space="preserve"> 36.1.</w:t>
      </w:r>
      <w:r w:rsidR="006720DC" w:rsidRPr="000060CE">
        <w:rPr>
          <w:b/>
          <w:i/>
          <w:lang w:val="es-ES"/>
        </w:rPr>
        <w:t xml:space="preserve">iii) </w:t>
      </w:r>
      <w:r w:rsidRPr="000060CE">
        <w:rPr>
          <w:b/>
          <w:i/>
          <w:lang w:val="es-ES"/>
        </w:rPr>
        <w:t>y</w:t>
      </w:r>
      <w:r w:rsidR="006720DC" w:rsidRPr="000060CE">
        <w:rPr>
          <w:b/>
          <w:i/>
          <w:lang w:val="es-ES"/>
        </w:rPr>
        <w:t xml:space="preserve"> 63.1</w:t>
      </w:r>
      <w:r w:rsidR="000060CE">
        <w:rPr>
          <w:b/>
          <w:i/>
          <w:lang w:val="es-ES"/>
        </w:rPr>
        <w:t>.</w:t>
      </w:r>
      <w:r w:rsidR="006720DC" w:rsidRPr="000060CE">
        <w:rPr>
          <w:b/>
          <w:i/>
          <w:lang w:val="es-ES"/>
        </w:rPr>
        <w:t xml:space="preserve">iii):  </w:t>
      </w:r>
      <w:r w:rsidR="00B21329" w:rsidRPr="000060CE">
        <w:rPr>
          <w:b/>
          <w:i/>
          <w:lang w:val="es-ES"/>
        </w:rPr>
        <w:t>la</w:t>
      </w:r>
      <w:r w:rsidRPr="000060CE">
        <w:rPr>
          <w:b/>
          <w:i/>
          <w:lang w:val="es-ES"/>
        </w:rPr>
        <w:t xml:space="preserve"> Oficina u organización deberá disponer de un personal capacitado para proceder a la búsqueda </w:t>
      </w:r>
      <w:r w:rsidR="00E82675">
        <w:rPr>
          <w:b/>
          <w:i/>
          <w:lang w:val="es-ES"/>
        </w:rPr>
        <w:t xml:space="preserve">y examen </w:t>
      </w:r>
      <w:r w:rsidRPr="000060CE">
        <w:rPr>
          <w:b/>
          <w:i/>
          <w:lang w:val="es-ES"/>
        </w:rPr>
        <w:t xml:space="preserve">en los </w:t>
      </w:r>
      <w:r w:rsidR="00E82675">
        <w:rPr>
          <w:b/>
          <w:i/>
          <w:lang w:val="es-ES"/>
        </w:rPr>
        <w:t xml:space="preserve">correspondientes </w:t>
      </w:r>
      <w:r w:rsidRPr="000060CE">
        <w:rPr>
          <w:b/>
          <w:i/>
          <w:lang w:val="es-ES"/>
        </w:rPr>
        <w:t xml:space="preserve">sectores técnicos y que posea los conocimientos lingüísticos necesarios para comprender, por lo menos, los idiomas en los que esté redactada o traducida la documentación mínima mencionada en la Regla 34 </w:t>
      </w:r>
    </w:p>
    <w:p w14:paraId="111AA51D" w14:textId="77777777" w:rsidR="006720DC" w:rsidRPr="000060CE" w:rsidRDefault="006720DC" w:rsidP="006720DC">
      <w:pPr>
        <w:rPr>
          <w:szCs w:val="22"/>
          <w:lang w:val="es-ES"/>
        </w:rPr>
      </w:pPr>
    </w:p>
    <w:p w14:paraId="463D081A" w14:textId="45B2589B" w:rsidR="006720DC" w:rsidRPr="000060CE" w:rsidRDefault="00790EDC" w:rsidP="006720DC">
      <w:pPr>
        <w:rPr>
          <w:b/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>Idioma</w:t>
      </w:r>
      <w:r w:rsidR="006720DC" w:rsidRPr="000060CE">
        <w:rPr>
          <w:b/>
          <w:bCs/>
          <w:szCs w:val="22"/>
          <w:lang w:val="es-ES"/>
        </w:rPr>
        <w:t xml:space="preserve">(s) </w:t>
      </w:r>
      <w:r w:rsidRPr="000060CE">
        <w:rPr>
          <w:b/>
          <w:bCs/>
          <w:szCs w:val="22"/>
          <w:lang w:val="es-ES"/>
        </w:rPr>
        <w:t xml:space="preserve">en los que las solicitudes pueden </w:t>
      </w:r>
      <w:r w:rsidR="0029755C">
        <w:rPr>
          <w:b/>
          <w:bCs/>
          <w:szCs w:val="22"/>
          <w:lang w:val="es-ES"/>
        </w:rPr>
        <w:t xml:space="preserve">ser </w:t>
      </w:r>
      <w:r w:rsidRPr="000060CE">
        <w:rPr>
          <w:b/>
          <w:bCs/>
          <w:szCs w:val="22"/>
          <w:lang w:val="es-ES"/>
        </w:rPr>
        <w:t>presenta</w:t>
      </w:r>
      <w:r w:rsidR="0029755C">
        <w:rPr>
          <w:b/>
          <w:bCs/>
          <w:szCs w:val="22"/>
          <w:lang w:val="es-ES"/>
        </w:rPr>
        <w:t>das</w:t>
      </w:r>
      <w:r w:rsidRPr="000060CE">
        <w:rPr>
          <w:b/>
          <w:bCs/>
          <w:szCs w:val="22"/>
          <w:lang w:val="es-ES"/>
        </w:rPr>
        <w:t xml:space="preserve"> y tramita</w:t>
      </w:r>
      <w:r w:rsidR="0029755C">
        <w:rPr>
          <w:b/>
          <w:bCs/>
          <w:szCs w:val="22"/>
          <w:lang w:val="es-ES"/>
        </w:rPr>
        <w:t>das</w:t>
      </w:r>
      <w:r w:rsidR="006720DC" w:rsidRPr="000060CE">
        <w:rPr>
          <w:b/>
          <w:bCs/>
          <w:szCs w:val="22"/>
          <w:lang w:val="es-ES"/>
        </w:rPr>
        <w:t>:</w:t>
      </w:r>
      <w:r w:rsidRPr="000060CE">
        <w:rPr>
          <w:szCs w:val="22"/>
          <w:lang w:val="es-ES"/>
        </w:rPr>
        <w:t xml:space="preserve">  inglés</w:t>
      </w:r>
    </w:p>
    <w:p w14:paraId="2E6C9A9F" w14:textId="77777777" w:rsidR="006720DC" w:rsidRPr="000060CE" w:rsidRDefault="006720DC" w:rsidP="006720DC">
      <w:pPr>
        <w:rPr>
          <w:szCs w:val="22"/>
          <w:lang w:val="es-ES"/>
        </w:rPr>
      </w:pPr>
    </w:p>
    <w:p w14:paraId="1774A30D" w14:textId="5E2BA516" w:rsidR="00E503D3" w:rsidRPr="000060CE" w:rsidRDefault="00790EDC" w:rsidP="006720DC">
      <w:pPr>
        <w:rPr>
          <w:rFonts w:eastAsiaTheme="minorHAnsi" w:cs="Times New Roman"/>
          <w:lang w:val="es-ES" w:eastAsia="en-US"/>
        </w:rPr>
      </w:pPr>
      <w:r w:rsidRPr="000060CE">
        <w:rPr>
          <w:b/>
          <w:bCs/>
          <w:szCs w:val="22"/>
          <w:lang w:val="es-ES"/>
        </w:rPr>
        <w:t xml:space="preserve">Otros idiomas </w:t>
      </w:r>
      <w:r w:rsidR="0029755C">
        <w:rPr>
          <w:b/>
          <w:bCs/>
          <w:szCs w:val="22"/>
          <w:lang w:val="es-ES"/>
        </w:rPr>
        <w:t>en</w:t>
      </w:r>
      <w:r w:rsidRPr="000060CE">
        <w:rPr>
          <w:b/>
          <w:bCs/>
          <w:szCs w:val="22"/>
          <w:lang w:val="es-ES"/>
        </w:rPr>
        <w:t xml:space="preserve"> los que un gran número de examinadores </w:t>
      </w:r>
      <w:r w:rsidR="0029755C">
        <w:rPr>
          <w:b/>
          <w:bCs/>
          <w:szCs w:val="22"/>
          <w:lang w:val="es-ES"/>
        </w:rPr>
        <w:t>son competentes</w:t>
      </w:r>
      <w:r w:rsidR="001D0D5B" w:rsidRPr="000060CE">
        <w:rPr>
          <w:b/>
          <w:bCs/>
          <w:szCs w:val="22"/>
          <w:lang w:val="es-ES"/>
        </w:rPr>
        <w:t xml:space="preserve">:  </w:t>
      </w:r>
      <w:r w:rsidRPr="000060CE">
        <w:rPr>
          <w:rFonts w:eastAsiaTheme="minorHAnsi" w:cs="Times New Roman"/>
          <w:lang w:val="es-ES" w:eastAsia="en-US"/>
        </w:rPr>
        <w:t xml:space="preserve">además de inglés, la APO </w:t>
      </w:r>
      <w:r w:rsidR="00E503D3" w:rsidRPr="000060CE">
        <w:rPr>
          <w:rFonts w:eastAsiaTheme="minorHAnsi" w:cs="Times New Roman"/>
          <w:lang w:val="es-ES" w:eastAsia="en-US"/>
        </w:rPr>
        <w:t>tiene una política destinada a preservar las competencias de los examinadores en otros idiomas.  Actualmente ello incluye francés, alemán, chino, japonés, ruso, español y coreano en</w:t>
      </w:r>
      <w:r w:rsidR="00B80C90" w:rsidRPr="000060CE">
        <w:rPr>
          <w:rFonts w:eastAsiaTheme="minorHAnsi" w:cs="Times New Roman"/>
          <w:lang w:val="es-ES" w:eastAsia="en-US"/>
        </w:rPr>
        <w:t xml:space="preserve"> todas</w:t>
      </w:r>
      <w:r w:rsidR="00E503D3" w:rsidRPr="000060CE">
        <w:rPr>
          <w:rFonts w:eastAsiaTheme="minorHAnsi" w:cs="Times New Roman"/>
          <w:lang w:val="es-ES" w:eastAsia="en-US"/>
        </w:rPr>
        <w:t xml:space="preserve"> las principales áreas tecnológicas.</w:t>
      </w:r>
    </w:p>
    <w:p w14:paraId="709FE2AA" w14:textId="77777777" w:rsidR="006720DC" w:rsidRPr="000060CE" w:rsidRDefault="006720DC" w:rsidP="006720DC">
      <w:pPr>
        <w:rPr>
          <w:szCs w:val="22"/>
          <w:lang w:val="es-ES"/>
        </w:rPr>
      </w:pPr>
    </w:p>
    <w:p w14:paraId="40C795C2" w14:textId="07971693" w:rsidR="006720DC" w:rsidRPr="000060CE" w:rsidRDefault="006720DC" w:rsidP="006720DC">
      <w:pPr>
        <w:rPr>
          <w:szCs w:val="22"/>
          <w:lang w:val="es-ES"/>
        </w:rPr>
      </w:pPr>
      <w:r w:rsidRPr="000060CE">
        <w:rPr>
          <w:b/>
          <w:bCs/>
          <w:szCs w:val="22"/>
          <w:lang w:val="es-ES"/>
        </w:rPr>
        <w:t>Servic</w:t>
      </w:r>
      <w:r w:rsidR="00464DE1" w:rsidRPr="000060CE">
        <w:rPr>
          <w:b/>
          <w:bCs/>
          <w:szCs w:val="22"/>
          <w:lang w:val="es-ES"/>
        </w:rPr>
        <w:t xml:space="preserve">ios disponibles </w:t>
      </w:r>
      <w:r w:rsidR="0029755C">
        <w:rPr>
          <w:b/>
          <w:bCs/>
          <w:szCs w:val="22"/>
          <w:lang w:val="es-ES"/>
        </w:rPr>
        <w:t>de</w:t>
      </w:r>
      <w:r w:rsidR="00464DE1" w:rsidRPr="000060CE">
        <w:rPr>
          <w:b/>
          <w:bCs/>
          <w:szCs w:val="22"/>
          <w:lang w:val="es-ES"/>
        </w:rPr>
        <w:t xml:space="preserve"> ayuda</w:t>
      </w:r>
      <w:r w:rsidR="0029755C">
        <w:rPr>
          <w:b/>
          <w:bCs/>
          <w:szCs w:val="22"/>
          <w:lang w:val="es-ES"/>
        </w:rPr>
        <w:t xml:space="preserve"> a</w:t>
      </w:r>
      <w:r w:rsidR="00464DE1" w:rsidRPr="000060CE">
        <w:rPr>
          <w:b/>
          <w:bCs/>
          <w:szCs w:val="22"/>
          <w:lang w:val="es-ES"/>
        </w:rPr>
        <w:t xml:space="preserve"> la búsqueda </w:t>
      </w:r>
      <w:r w:rsidR="0029755C">
        <w:rPr>
          <w:b/>
          <w:bCs/>
          <w:szCs w:val="22"/>
          <w:lang w:val="es-ES"/>
        </w:rPr>
        <w:t>y para la</w:t>
      </w:r>
      <w:r w:rsidR="00464DE1" w:rsidRPr="000060CE">
        <w:rPr>
          <w:b/>
          <w:bCs/>
          <w:szCs w:val="22"/>
          <w:lang w:val="es-ES"/>
        </w:rPr>
        <w:t xml:space="preserve"> comprensión de</w:t>
      </w:r>
      <w:r w:rsidR="0029755C">
        <w:rPr>
          <w:b/>
          <w:bCs/>
          <w:szCs w:val="22"/>
          <w:lang w:val="es-ES"/>
        </w:rPr>
        <w:t>l</w:t>
      </w:r>
      <w:r w:rsidR="00464DE1" w:rsidRPr="000060CE">
        <w:rPr>
          <w:b/>
          <w:bCs/>
          <w:szCs w:val="22"/>
          <w:lang w:val="es-ES"/>
        </w:rPr>
        <w:t xml:space="preserve"> estado de la técnica en otros idiomas</w:t>
      </w:r>
      <w:r w:rsidRPr="000060CE">
        <w:rPr>
          <w:b/>
          <w:bCs/>
          <w:szCs w:val="22"/>
          <w:lang w:val="es-ES"/>
        </w:rPr>
        <w:t>:</w:t>
      </w:r>
      <w:r w:rsidRPr="000060CE">
        <w:rPr>
          <w:szCs w:val="22"/>
          <w:lang w:val="es-ES"/>
        </w:rPr>
        <w:t xml:space="preserve">  </w:t>
      </w:r>
    </w:p>
    <w:p w14:paraId="43C91303" w14:textId="77777777" w:rsidR="00464DE1" w:rsidRPr="000060CE" w:rsidRDefault="00464DE1" w:rsidP="006720DC">
      <w:pPr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>Para ayudar en la búsqueda y comprensión del estado de la técnica en otros idiomas, los examinadores tienen acceso, entre otros, a los siguientes recursos:</w:t>
      </w:r>
    </w:p>
    <w:p w14:paraId="13EB2446" w14:textId="77777777" w:rsidR="006720DC" w:rsidRPr="000060CE" w:rsidRDefault="006720DC" w:rsidP="001D0D5B">
      <w:pPr>
        <w:pStyle w:val="ListParagraph"/>
        <w:numPr>
          <w:ilvl w:val="0"/>
          <w:numId w:val="8"/>
        </w:numPr>
        <w:ind w:left="1134" w:hanging="567"/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>WIPO Translate</w:t>
      </w:r>
    </w:p>
    <w:p w14:paraId="3EDB3E2A" w14:textId="77777777" w:rsidR="006720DC" w:rsidRPr="000060CE" w:rsidRDefault="006720DC" w:rsidP="001D0D5B">
      <w:pPr>
        <w:pStyle w:val="ListParagraph"/>
        <w:numPr>
          <w:ilvl w:val="0"/>
          <w:numId w:val="8"/>
        </w:numPr>
        <w:ind w:left="1134" w:hanging="567"/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>WIPO Pearl</w:t>
      </w:r>
    </w:p>
    <w:p w14:paraId="7BEC9597" w14:textId="77777777" w:rsidR="006720DC" w:rsidRPr="000060CE" w:rsidRDefault="00464DE1" w:rsidP="001D0D5B">
      <w:pPr>
        <w:pStyle w:val="ListParagraph"/>
        <w:numPr>
          <w:ilvl w:val="0"/>
          <w:numId w:val="8"/>
        </w:numPr>
        <w:ind w:left="1134" w:hanging="567"/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>Traductor de Google</w:t>
      </w:r>
    </w:p>
    <w:p w14:paraId="3E33B4DF" w14:textId="77777777" w:rsidR="006720DC" w:rsidRPr="000060CE" w:rsidRDefault="006720DC" w:rsidP="001D0D5B">
      <w:pPr>
        <w:pStyle w:val="ListParagraph"/>
        <w:numPr>
          <w:ilvl w:val="0"/>
          <w:numId w:val="8"/>
        </w:numPr>
        <w:ind w:left="1134" w:hanging="567"/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 xml:space="preserve">Esp@cenet – </w:t>
      </w:r>
      <w:r w:rsidR="00464DE1" w:rsidRPr="000060CE">
        <w:rPr>
          <w:rFonts w:eastAsiaTheme="minorHAnsi" w:cs="Times New Roman"/>
          <w:lang w:val="es-ES" w:eastAsia="en-US"/>
        </w:rPr>
        <w:t xml:space="preserve">Servicio de traducción de patentes </w:t>
      </w:r>
      <w:r w:rsidRPr="000060CE">
        <w:rPr>
          <w:rFonts w:eastAsiaTheme="minorHAnsi" w:cs="Times New Roman"/>
          <w:lang w:val="es-ES" w:eastAsia="en-US"/>
        </w:rPr>
        <w:t xml:space="preserve"> (</w:t>
      </w:r>
      <w:r w:rsidR="00464DE1" w:rsidRPr="000060CE">
        <w:rPr>
          <w:rFonts w:eastAsiaTheme="minorHAnsi" w:cs="Times New Roman"/>
          <w:lang w:val="es-ES" w:eastAsia="en-US"/>
        </w:rPr>
        <w:t>mediante</w:t>
      </w:r>
      <w:r w:rsidRPr="000060CE">
        <w:rPr>
          <w:rFonts w:eastAsiaTheme="minorHAnsi" w:cs="Times New Roman"/>
          <w:lang w:val="es-ES" w:eastAsia="en-US"/>
        </w:rPr>
        <w:t xml:space="preserve"> </w:t>
      </w:r>
      <w:r w:rsidR="00464DE1" w:rsidRPr="000060CE">
        <w:rPr>
          <w:rFonts w:eastAsiaTheme="minorHAnsi" w:cs="Times New Roman"/>
          <w:lang w:val="es-ES" w:eastAsia="en-US"/>
        </w:rPr>
        <w:t xml:space="preserve">el traductor de </w:t>
      </w:r>
      <w:r w:rsidRPr="000060CE">
        <w:rPr>
          <w:rFonts w:eastAsiaTheme="minorHAnsi" w:cs="Times New Roman"/>
          <w:lang w:val="es-ES" w:eastAsia="en-US"/>
        </w:rPr>
        <w:t>Google)</w:t>
      </w:r>
    </w:p>
    <w:p w14:paraId="60AEA1F5" w14:textId="77777777" w:rsidR="00B40E5F" w:rsidRPr="000060CE" w:rsidRDefault="00B40E5F" w:rsidP="00B40E5F">
      <w:pPr>
        <w:rPr>
          <w:rFonts w:eastAsiaTheme="minorHAnsi" w:cs="Times New Roman"/>
          <w:lang w:val="es-ES" w:eastAsia="en-US"/>
        </w:rPr>
      </w:pPr>
    </w:p>
    <w:p w14:paraId="268810C4" w14:textId="77777777" w:rsidR="006720DC" w:rsidRPr="000060CE" w:rsidRDefault="006720DC" w:rsidP="006720DC">
      <w:pPr>
        <w:pStyle w:val="SectionHeading"/>
        <w:rPr>
          <w:lang w:val="es-ES"/>
        </w:rPr>
      </w:pPr>
      <w:r w:rsidRPr="000060CE">
        <w:rPr>
          <w:lang w:val="es-ES"/>
        </w:rPr>
        <w:t>2.2</w:t>
      </w:r>
      <w:r w:rsidRPr="000060CE">
        <w:rPr>
          <w:rFonts w:ascii="Arial Bold" w:hAnsi="Arial Bold"/>
          <w:i/>
          <w:iCs/>
          <w:caps w:val="0"/>
          <w:lang w:val="es-ES"/>
        </w:rPr>
        <w:t xml:space="preserve"> </w:t>
      </w:r>
      <w:r w:rsidRPr="000060CE">
        <w:rPr>
          <w:lang w:val="es-ES"/>
        </w:rPr>
        <w:t xml:space="preserve">– </w:t>
      </w:r>
      <w:r w:rsidR="00AE6012" w:rsidRPr="000060CE">
        <w:rPr>
          <w:lang w:val="es-ES"/>
        </w:rPr>
        <w:t>gestión de la calidad</w:t>
      </w:r>
    </w:p>
    <w:p w14:paraId="4CF80419" w14:textId="77777777" w:rsidR="006720DC" w:rsidRPr="000060CE" w:rsidRDefault="003B25B5" w:rsidP="003B25B5">
      <w:pPr>
        <w:rPr>
          <w:b/>
          <w:i/>
          <w:lang w:val="es-ES"/>
        </w:rPr>
      </w:pPr>
      <w:r w:rsidRPr="000060CE">
        <w:rPr>
          <w:b/>
          <w:i/>
          <w:lang w:val="es-ES"/>
        </w:rPr>
        <w:t>Reglas</w:t>
      </w:r>
      <w:r w:rsidR="006720DC" w:rsidRPr="000060CE">
        <w:rPr>
          <w:b/>
          <w:i/>
          <w:lang w:val="es-ES"/>
        </w:rPr>
        <w:t xml:space="preserve"> 36.1</w:t>
      </w:r>
      <w:r w:rsidR="000060CE">
        <w:rPr>
          <w:b/>
          <w:i/>
          <w:lang w:val="es-ES"/>
        </w:rPr>
        <w:t>.</w:t>
      </w:r>
      <w:r w:rsidR="006720DC" w:rsidRPr="000060CE">
        <w:rPr>
          <w:b/>
          <w:i/>
          <w:lang w:val="es-ES"/>
        </w:rPr>
        <w:t xml:space="preserve">iv) </w:t>
      </w:r>
      <w:r w:rsidRPr="000060CE">
        <w:rPr>
          <w:b/>
          <w:i/>
          <w:lang w:val="es-ES"/>
        </w:rPr>
        <w:t>y</w:t>
      </w:r>
      <w:r w:rsidR="006720DC" w:rsidRPr="000060CE">
        <w:rPr>
          <w:b/>
          <w:i/>
          <w:lang w:val="es-ES"/>
        </w:rPr>
        <w:t xml:space="preserve"> 63.1</w:t>
      </w:r>
      <w:r w:rsidR="000060CE">
        <w:rPr>
          <w:b/>
          <w:i/>
          <w:lang w:val="es-ES"/>
        </w:rPr>
        <w:t>.</w:t>
      </w:r>
      <w:r w:rsidR="006720DC" w:rsidRPr="000060CE">
        <w:rPr>
          <w:b/>
          <w:i/>
          <w:lang w:val="es-ES"/>
        </w:rPr>
        <w:t xml:space="preserve">iv):  </w:t>
      </w:r>
      <w:r w:rsidR="00B21329" w:rsidRPr="000060CE">
        <w:rPr>
          <w:b/>
          <w:i/>
          <w:lang w:val="es-ES"/>
        </w:rPr>
        <w:t>la</w:t>
      </w:r>
      <w:r w:rsidRPr="000060CE">
        <w:rPr>
          <w:b/>
          <w:i/>
          <w:lang w:val="es-ES"/>
        </w:rPr>
        <w:t xml:space="preserve"> Oficina u organización deberá disponer de un sistema de gestión de calidad y un sistema de revisión interna, conforme a las reglas comunes de la búsqueda internacional</w:t>
      </w:r>
      <w:r w:rsidR="006720DC" w:rsidRPr="000060CE">
        <w:rPr>
          <w:b/>
          <w:i/>
          <w:lang w:val="es-ES"/>
        </w:rPr>
        <w:t>.</w:t>
      </w:r>
    </w:p>
    <w:p w14:paraId="61C20534" w14:textId="77777777" w:rsidR="006720DC" w:rsidRPr="000060CE" w:rsidRDefault="006720DC" w:rsidP="006720DC">
      <w:pPr>
        <w:rPr>
          <w:b/>
          <w:bCs/>
          <w:szCs w:val="22"/>
          <w:lang w:val="es-ES"/>
        </w:rPr>
      </w:pPr>
    </w:p>
    <w:p w14:paraId="6B4E78B9" w14:textId="42D91989" w:rsidR="00464DE1" w:rsidRPr="000060CE" w:rsidRDefault="008F2BAA" w:rsidP="006720DC">
      <w:pPr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 xml:space="preserve">La APO </w:t>
      </w:r>
      <w:r w:rsidR="00F05615" w:rsidRPr="000060CE">
        <w:rPr>
          <w:rFonts w:eastAsiaTheme="minorHAnsi" w:cs="Times New Roman"/>
          <w:lang w:val="es-ES" w:eastAsia="en-US"/>
        </w:rPr>
        <w:t>cumple</w:t>
      </w:r>
      <w:r w:rsidR="009B5BF9" w:rsidRPr="000060CE">
        <w:rPr>
          <w:rFonts w:eastAsiaTheme="minorHAnsi" w:cs="Times New Roman"/>
          <w:lang w:val="es-ES" w:eastAsia="en-US"/>
        </w:rPr>
        <w:t>,</w:t>
      </w:r>
      <w:r w:rsidR="00F05615" w:rsidRPr="000060CE">
        <w:rPr>
          <w:rFonts w:eastAsiaTheme="minorHAnsi" w:cs="Times New Roman"/>
          <w:lang w:val="es-ES" w:eastAsia="en-US"/>
        </w:rPr>
        <w:t xml:space="preserve"> </w:t>
      </w:r>
      <w:r w:rsidR="00B21329" w:rsidRPr="000060CE">
        <w:rPr>
          <w:rFonts w:eastAsiaTheme="minorHAnsi" w:cs="Times New Roman"/>
          <w:lang w:val="es-ES" w:eastAsia="en-US"/>
        </w:rPr>
        <w:t>al menos</w:t>
      </w:r>
      <w:r w:rsidR="009B5BF9" w:rsidRPr="000060CE">
        <w:rPr>
          <w:rFonts w:eastAsiaTheme="minorHAnsi" w:cs="Times New Roman"/>
          <w:lang w:val="es-ES" w:eastAsia="en-US"/>
        </w:rPr>
        <w:t>,</w:t>
      </w:r>
      <w:r w:rsidR="00F05615" w:rsidRPr="000060CE">
        <w:rPr>
          <w:rFonts w:eastAsiaTheme="minorHAnsi" w:cs="Times New Roman"/>
          <w:lang w:val="es-ES" w:eastAsia="en-US"/>
        </w:rPr>
        <w:t xml:space="preserve"> los requisitos establecidos en el Capítulo 21 de las directrices</w:t>
      </w:r>
      <w:r w:rsidR="006632A1" w:rsidRPr="000060CE">
        <w:rPr>
          <w:rFonts w:eastAsiaTheme="minorHAnsi" w:cs="Times New Roman"/>
          <w:lang w:val="es-ES" w:eastAsia="en-US"/>
        </w:rPr>
        <w:t>.  E</w:t>
      </w:r>
      <w:r w:rsidR="008F5CE0" w:rsidRPr="000060CE">
        <w:rPr>
          <w:rFonts w:eastAsiaTheme="minorHAnsi" w:cs="Times New Roman"/>
          <w:lang w:val="es-ES" w:eastAsia="en-US"/>
        </w:rPr>
        <w:t>st</w:t>
      </w:r>
      <w:r w:rsidR="00DD1A8D" w:rsidRPr="000060CE">
        <w:rPr>
          <w:rFonts w:eastAsiaTheme="minorHAnsi" w:cs="Times New Roman"/>
          <w:lang w:val="es-ES" w:eastAsia="en-US"/>
        </w:rPr>
        <w:t>amos</w:t>
      </w:r>
      <w:r w:rsidR="008F5CE0" w:rsidRPr="000060CE">
        <w:rPr>
          <w:rFonts w:eastAsiaTheme="minorHAnsi" w:cs="Times New Roman"/>
          <w:lang w:val="es-ES" w:eastAsia="en-US"/>
        </w:rPr>
        <w:t xml:space="preserve"> c</w:t>
      </w:r>
      <w:r w:rsidR="00DD1A8D" w:rsidRPr="000060CE">
        <w:rPr>
          <w:rFonts w:eastAsiaTheme="minorHAnsi" w:cs="Times New Roman"/>
          <w:lang w:val="es-ES" w:eastAsia="en-US"/>
        </w:rPr>
        <w:t>omprometidos con</w:t>
      </w:r>
      <w:r w:rsidR="00F05615" w:rsidRPr="000060CE">
        <w:rPr>
          <w:rFonts w:eastAsiaTheme="minorHAnsi" w:cs="Times New Roman"/>
          <w:lang w:val="es-ES" w:eastAsia="en-US"/>
        </w:rPr>
        <w:t xml:space="preserve"> la mejora continua de </w:t>
      </w:r>
      <w:r w:rsidR="00C82181">
        <w:rPr>
          <w:rFonts w:eastAsiaTheme="minorHAnsi" w:cs="Times New Roman"/>
          <w:lang w:val="es-ES" w:eastAsia="en-US"/>
        </w:rPr>
        <w:t>nuestras</w:t>
      </w:r>
      <w:r w:rsidR="00F05615" w:rsidRPr="000060CE">
        <w:rPr>
          <w:rFonts w:eastAsiaTheme="minorHAnsi" w:cs="Times New Roman"/>
          <w:lang w:val="es-ES" w:eastAsia="en-US"/>
        </w:rPr>
        <w:t xml:space="preserve"> actividades fundamentales y del correspondiente sistema de gestión de la calidad (QMS)</w:t>
      </w:r>
      <w:r w:rsidR="006632A1" w:rsidRPr="000060CE">
        <w:rPr>
          <w:rFonts w:eastAsiaTheme="minorHAnsi" w:cs="Times New Roman"/>
          <w:lang w:val="es-ES" w:eastAsia="en-US"/>
        </w:rPr>
        <w:t xml:space="preserve">.  </w:t>
      </w:r>
      <w:r w:rsidR="00DD1A8D" w:rsidRPr="000060CE">
        <w:rPr>
          <w:rFonts w:eastAsiaTheme="minorHAnsi" w:cs="Times New Roman"/>
          <w:lang w:val="es-ES" w:eastAsia="en-US"/>
        </w:rPr>
        <w:t>Nuestro informe</w:t>
      </w:r>
      <w:r w:rsidR="00F05615" w:rsidRPr="000060CE">
        <w:rPr>
          <w:rFonts w:eastAsiaTheme="minorHAnsi" w:cs="Times New Roman"/>
          <w:lang w:val="es-ES" w:eastAsia="en-US"/>
        </w:rPr>
        <w:t xml:space="preserve"> </w:t>
      </w:r>
      <w:r w:rsidR="008F5CE0" w:rsidRPr="000060CE">
        <w:rPr>
          <w:rFonts w:eastAsiaTheme="minorHAnsi" w:cs="Times New Roman"/>
          <w:lang w:val="es-ES" w:eastAsia="en-US"/>
        </w:rPr>
        <w:t xml:space="preserve">sobre el sistema de gestión de la calidad (QMS) </w:t>
      </w:r>
      <w:r w:rsidR="00F05615" w:rsidRPr="000060CE">
        <w:rPr>
          <w:rFonts w:eastAsiaTheme="minorHAnsi" w:cs="Times New Roman"/>
          <w:lang w:val="es-ES" w:eastAsia="en-US"/>
        </w:rPr>
        <w:t xml:space="preserve">cumple plenamente el Capítulo 21 de las </w:t>
      </w:r>
      <w:r w:rsidR="00DD1A8D" w:rsidRPr="000060CE">
        <w:rPr>
          <w:rFonts w:eastAsiaTheme="minorHAnsi" w:cs="Times New Roman"/>
          <w:lang w:val="es-ES" w:eastAsia="en-US"/>
        </w:rPr>
        <w:t xml:space="preserve">directrices de búsqueda internacional y de examen preliminar internacional del PCT </w:t>
      </w:r>
      <w:r w:rsidR="00F05615" w:rsidRPr="000060CE">
        <w:rPr>
          <w:rFonts w:eastAsiaTheme="minorHAnsi" w:cs="Times New Roman"/>
          <w:lang w:val="es-ES" w:eastAsia="en-US"/>
        </w:rPr>
        <w:t xml:space="preserve">y todos los informes anuales de la APO desde 2006 están disponibles en el sitio web de la OMPI en </w:t>
      </w:r>
      <w:hyperlink r:id="rId12" w:history="1">
        <w:r w:rsidR="00A60FFA" w:rsidRPr="000060CE">
          <w:rPr>
            <w:rStyle w:val="Hyperlink"/>
            <w:lang w:val="es-ES"/>
          </w:rPr>
          <w:t>http://www.wipo.int/pct/en/quality/authorities.html</w:t>
        </w:r>
      </w:hyperlink>
      <w:r w:rsidR="006632A1" w:rsidRPr="000060CE">
        <w:rPr>
          <w:rFonts w:eastAsiaTheme="minorHAnsi" w:cs="Times New Roman"/>
          <w:lang w:val="es-ES" w:eastAsia="en-US"/>
        </w:rPr>
        <w:t xml:space="preserve">.  </w:t>
      </w:r>
      <w:r w:rsidR="00DD1A8D" w:rsidRPr="000060CE">
        <w:rPr>
          <w:rFonts w:eastAsiaTheme="minorHAnsi" w:cs="Times New Roman"/>
          <w:lang w:val="es-ES" w:eastAsia="en-US"/>
        </w:rPr>
        <w:t xml:space="preserve">Nuestro QMS </w:t>
      </w:r>
      <w:r w:rsidR="00C82181">
        <w:rPr>
          <w:rFonts w:eastAsiaTheme="minorHAnsi" w:cs="Times New Roman"/>
          <w:lang w:val="es-ES" w:eastAsia="en-US"/>
        </w:rPr>
        <w:t>dispone de la certificación</w:t>
      </w:r>
      <w:r w:rsidR="00B80C90" w:rsidRPr="000060CE">
        <w:rPr>
          <w:rFonts w:eastAsiaTheme="minorHAnsi" w:cs="Times New Roman"/>
          <w:lang w:val="es-ES" w:eastAsia="en-US"/>
        </w:rPr>
        <w:t xml:space="preserve"> </w:t>
      </w:r>
      <w:r w:rsidR="00A60FFA" w:rsidRPr="000060CE">
        <w:rPr>
          <w:rFonts w:eastAsiaTheme="minorHAnsi" w:cs="Times New Roman"/>
          <w:lang w:val="es-ES" w:eastAsia="en-US"/>
        </w:rPr>
        <w:t xml:space="preserve">ISO 9001 desde 2006. </w:t>
      </w:r>
    </w:p>
    <w:p w14:paraId="3C7A536F" w14:textId="77777777" w:rsidR="006720DC" w:rsidRPr="000060CE" w:rsidRDefault="006720DC" w:rsidP="006720DC">
      <w:pPr>
        <w:rPr>
          <w:rFonts w:eastAsiaTheme="minorHAnsi" w:cs="Times New Roman"/>
          <w:lang w:val="es-ES" w:eastAsia="en-US"/>
        </w:rPr>
      </w:pPr>
    </w:p>
    <w:p w14:paraId="3BDF977A" w14:textId="77777777" w:rsidR="00A60FFA" w:rsidRPr="000060CE" w:rsidRDefault="00A60FFA" w:rsidP="006720DC">
      <w:pPr>
        <w:rPr>
          <w:rFonts w:eastAsiaTheme="minorHAnsi" w:cs="Times New Roman"/>
          <w:bCs/>
          <w:lang w:val="es-ES" w:eastAsia="en-US"/>
        </w:rPr>
      </w:pPr>
      <w:r w:rsidRPr="000060CE">
        <w:rPr>
          <w:b/>
          <w:bCs/>
          <w:szCs w:val="22"/>
          <w:lang w:val="es-ES"/>
        </w:rPr>
        <w:t>Calendario de la</w:t>
      </w:r>
      <w:r w:rsidRPr="000060CE">
        <w:rPr>
          <w:lang w:val="es-ES"/>
        </w:rPr>
        <w:t xml:space="preserve"> </w:t>
      </w:r>
      <w:r w:rsidRPr="000060CE">
        <w:rPr>
          <w:b/>
          <w:bCs/>
          <w:szCs w:val="22"/>
          <w:lang w:val="es-ES"/>
        </w:rPr>
        <w:t>Carta de Servicio al Cliente</w:t>
      </w:r>
      <w:r w:rsidR="001D0D5B" w:rsidRPr="000060CE">
        <w:rPr>
          <w:b/>
          <w:bCs/>
          <w:szCs w:val="22"/>
          <w:lang w:val="es-ES"/>
        </w:rPr>
        <w:t xml:space="preserve">:  </w:t>
      </w:r>
      <w:r w:rsidR="00DD1A8D" w:rsidRPr="000060CE">
        <w:rPr>
          <w:rFonts w:eastAsiaTheme="minorHAnsi" w:cs="Times New Roman"/>
          <w:bCs/>
          <w:lang w:val="es-ES" w:eastAsia="en-US"/>
        </w:rPr>
        <w:t>nuestro</w:t>
      </w:r>
      <w:r w:rsidR="00B244ED" w:rsidRPr="000060CE">
        <w:rPr>
          <w:rFonts w:eastAsiaTheme="minorHAnsi" w:cs="Times New Roman"/>
          <w:bCs/>
          <w:lang w:val="es-ES" w:eastAsia="en-US"/>
        </w:rPr>
        <w:t xml:space="preserve"> I</w:t>
      </w:r>
      <w:r w:rsidRPr="000060CE">
        <w:rPr>
          <w:rFonts w:eastAsiaTheme="minorHAnsi" w:cs="Times New Roman"/>
          <w:bCs/>
          <w:lang w:val="es-ES" w:eastAsia="en-US"/>
        </w:rPr>
        <w:t>nforme Carta de Servicio al Cliente se actualiza y publica trimestralmente en nuestro sitio web</w:t>
      </w:r>
      <w:r w:rsidR="006720DC" w:rsidRPr="000060CE">
        <w:rPr>
          <w:rFonts w:eastAsiaTheme="minorHAnsi" w:cs="Times New Roman"/>
          <w:bCs/>
          <w:vertAlign w:val="superscript"/>
          <w:lang w:val="es-ES" w:eastAsia="en-US"/>
        </w:rPr>
        <w:footnoteReference w:id="3"/>
      </w:r>
      <w:r w:rsidR="00DD1A8D" w:rsidRPr="000060CE">
        <w:rPr>
          <w:rFonts w:eastAsiaTheme="minorHAnsi" w:cs="Times New Roman"/>
          <w:bCs/>
          <w:lang w:val="es-ES" w:eastAsia="en-US"/>
        </w:rPr>
        <w:t xml:space="preserve"> </w:t>
      </w:r>
      <w:r w:rsidRPr="000060CE">
        <w:rPr>
          <w:rFonts w:eastAsiaTheme="minorHAnsi" w:cs="Times New Roman"/>
          <w:bCs/>
          <w:lang w:val="es-ES" w:eastAsia="en-US"/>
        </w:rPr>
        <w:t xml:space="preserve">y en él se establece, por ejemplo, cuál es </w:t>
      </w:r>
      <w:r w:rsidR="00DD1A8D" w:rsidRPr="000060CE">
        <w:rPr>
          <w:rFonts w:eastAsiaTheme="minorHAnsi" w:cs="Times New Roman"/>
          <w:bCs/>
          <w:lang w:val="es-ES" w:eastAsia="en-US"/>
        </w:rPr>
        <w:t>nuestro</w:t>
      </w:r>
      <w:r w:rsidRPr="000060CE">
        <w:rPr>
          <w:rFonts w:eastAsiaTheme="minorHAnsi" w:cs="Times New Roman"/>
          <w:bCs/>
          <w:lang w:val="es-ES" w:eastAsia="en-US"/>
        </w:rPr>
        <w:t xml:space="preserve"> estándar para la </w:t>
      </w:r>
      <w:r w:rsidR="00DD1A8D" w:rsidRPr="000060CE">
        <w:rPr>
          <w:rFonts w:eastAsiaTheme="minorHAnsi" w:cs="Times New Roman"/>
          <w:bCs/>
          <w:lang w:val="es-ES" w:eastAsia="en-US"/>
        </w:rPr>
        <w:t>publicación</w:t>
      </w:r>
      <w:r w:rsidRPr="000060CE">
        <w:rPr>
          <w:rFonts w:eastAsiaTheme="minorHAnsi" w:cs="Times New Roman"/>
          <w:bCs/>
          <w:lang w:val="es-ES" w:eastAsia="en-US"/>
        </w:rPr>
        <w:t xml:space="preserve"> </w:t>
      </w:r>
      <w:r w:rsidR="00B244ED" w:rsidRPr="000060CE">
        <w:rPr>
          <w:rFonts w:eastAsiaTheme="minorHAnsi" w:cs="Times New Roman"/>
          <w:bCs/>
          <w:lang w:val="es-ES" w:eastAsia="en-US"/>
        </w:rPr>
        <w:t>de</w:t>
      </w:r>
      <w:r w:rsidRPr="000060CE">
        <w:rPr>
          <w:rFonts w:eastAsiaTheme="minorHAnsi" w:cs="Times New Roman"/>
          <w:bCs/>
          <w:lang w:val="es-ES" w:eastAsia="en-US"/>
        </w:rPr>
        <w:t xml:space="preserve"> informe</w:t>
      </w:r>
      <w:r w:rsidR="00B244ED" w:rsidRPr="000060CE">
        <w:rPr>
          <w:rFonts w:eastAsiaTheme="minorHAnsi" w:cs="Times New Roman"/>
          <w:bCs/>
          <w:lang w:val="es-ES" w:eastAsia="en-US"/>
        </w:rPr>
        <w:t>s</w:t>
      </w:r>
      <w:r w:rsidRPr="000060CE">
        <w:rPr>
          <w:rFonts w:eastAsiaTheme="minorHAnsi" w:cs="Times New Roman"/>
          <w:bCs/>
          <w:lang w:val="es-ES" w:eastAsia="en-US"/>
        </w:rPr>
        <w:t xml:space="preserve"> de búsqueda internacio</w:t>
      </w:r>
      <w:r w:rsidR="00DD1A8D" w:rsidRPr="000060CE">
        <w:rPr>
          <w:rFonts w:eastAsiaTheme="minorHAnsi" w:cs="Times New Roman"/>
          <w:bCs/>
          <w:lang w:val="es-ES" w:eastAsia="en-US"/>
        </w:rPr>
        <w:t>nal en relación con el desempeño pro</w:t>
      </w:r>
      <w:r w:rsidRPr="000060CE">
        <w:rPr>
          <w:rFonts w:eastAsiaTheme="minorHAnsi" w:cs="Times New Roman"/>
          <w:bCs/>
          <w:lang w:val="es-ES" w:eastAsia="en-US"/>
        </w:rPr>
        <w:t>medio durante el último trimestre.</w:t>
      </w:r>
    </w:p>
    <w:p w14:paraId="0BC2E81C" w14:textId="77777777" w:rsidR="006720DC" w:rsidRPr="000060CE" w:rsidRDefault="00A60FFA" w:rsidP="00986536">
      <w:pPr>
        <w:shd w:val="clear" w:color="auto" w:fill="FFFFFF"/>
        <w:spacing w:before="300" w:after="225"/>
        <w:textAlignment w:val="top"/>
        <w:outlineLvl w:val="1"/>
        <w:rPr>
          <w:rFonts w:eastAsiaTheme="minorHAnsi"/>
          <w:bCs/>
          <w:i/>
          <w:iCs/>
          <w:caps/>
          <w:spacing w:val="-8"/>
          <w:szCs w:val="22"/>
          <w:lang w:val="es-ES" w:eastAsia="en-US"/>
        </w:rPr>
      </w:pPr>
      <w:r w:rsidRPr="000060CE">
        <w:rPr>
          <w:rFonts w:eastAsiaTheme="minorHAnsi"/>
          <w:bCs/>
          <w:i/>
          <w:iCs/>
          <w:caps/>
          <w:spacing w:val="-8"/>
          <w:szCs w:val="22"/>
          <w:lang w:val="es-ES" w:eastAsia="en-US"/>
        </w:rPr>
        <w:t xml:space="preserve">NORMAS PARA EL REGISTRO </w:t>
      </w:r>
      <w:r w:rsidR="00DD1A8D" w:rsidRPr="000060CE">
        <w:rPr>
          <w:rFonts w:eastAsiaTheme="minorHAnsi"/>
          <w:bCs/>
          <w:i/>
          <w:iCs/>
          <w:caps/>
          <w:spacing w:val="-8"/>
          <w:szCs w:val="22"/>
          <w:lang w:val="es-ES" w:eastAsia="en-US"/>
        </w:rPr>
        <w:t xml:space="preserve">y  examen </w:t>
      </w:r>
      <w:r w:rsidRPr="000060CE">
        <w:rPr>
          <w:rFonts w:eastAsiaTheme="minorHAnsi"/>
          <w:bCs/>
          <w:i/>
          <w:iCs/>
          <w:caps/>
          <w:spacing w:val="-8"/>
          <w:szCs w:val="22"/>
          <w:lang w:val="es-ES" w:eastAsia="en-US"/>
        </w:rPr>
        <w:t xml:space="preserve">DE PATENTES </w:t>
      </w:r>
    </w:p>
    <w:p w14:paraId="4F4F23E8" w14:textId="77777777" w:rsidR="00A60FFA" w:rsidRPr="000060CE" w:rsidRDefault="00A60FFA" w:rsidP="001D0D5B">
      <w:pPr>
        <w:numPr>
          <w:ilvl w:val="0"/>
          <w:numId w:val="9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/>
        <w:ind w:left="567" w:hanging="567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 xml:space="preserve">Publicamos informes de búsqueda internacional dentro de las </w:t>
      </w:r>
      <w:r w:rsidRPr="000060CE">
        <w:rPr>
          <w:rFonts w:eastAsiaTheme="minorHAnsi"/>
          <w:b/>
          <w:szCs w:val="22"/>
          <w:lang w:val="es-ES" w:eastAsia="en-US"/>
        </w:rPr>
        <w:t>diez semanas</w:t>
      </w:r>
      <w:r w:rsidRPr="000060CE">
        <w:rPr>
          <w:rFonts w:eastAsiaTheme="minorHAnsi"/>
          <w:szCs w:val="22"/>
          <w:lang w:val="es-ES" w:eastAsia="en-US"/>
        </w:rPr>
        <w:t xml:space="preserve"> siguientes a la recepción de la copia </w:t>
      </w:r>
      <w:r w:rsidR="00DD1A8D" w:rsidRPr="000060CE">
        <w:rPr>
          <w:rFonts w:eastAsiaTheme="minorHAnsi"/>
          <w:szCs w:val="22"/>
          <w:lang w:val="es-ES" w:eastAsia="en-US"/>
        </w:rPr>
        <w:t>para la</w:t>
      </w:r>
      <w:r w:rsidRPr="000060CE">
        <w:rPr>
          <w:rFonts w:eastAsiaTheme="minorHAnsi"/>
          <w:szCs w:val="22"/>
          <w:lang w:val="es-ES" w:eastAsia="en-US"/>
        </w:rPr>
        <w:t xml:space="preserve"> búsqueda de </w:t>
      </w:r>
      <w:r w:rsidR="00DD1A8D" w:rsidRPr="000060CE">
        <w:rPr>
          <w:rFonts w:eastAsiaTheme="minorHAnsi"/>
          <w:szCs w:val="22"/>
          <w:lang w:val="es-ES" w:eastAsia="en-US"/>
        </w:rPr>
        <w:t>la</w:t>
      </w:r>
      <w:r w:rsidR="00140C49" w:rsidRPr="000060CE">
        <w:rPr>
          <w:rFonts w:eastAsiaTheme="minorHAnsi"/>
          <w:szCs w:val="22"/>
          <w:lang w:val="es-ES" w:eastAsia="en-US"/>
        </w:rPr>
        <w:t xml:space="preserve"> solicitud</w:t>
      </w:r>
      <w:r w:rsidRPr="000060CE">
        <w:rPr>
          <w:rFonts w:eastAsiaTheme="minorHAnsi"/>
          <w:szCs w:val="22"/>
          <w:lang w:val="es-ES" w:eastAsia="en-US"/>
        </w:rPr>
        <w:t xml:space="preserve"> internacional salvo que </w:t>
      </w:r>
      <w:r w:rsidR="003E5FC0" w:rsidRPr="000060CE">
        <w:rPr>
          <w:rFonts w:eastAsiaTheme="minorHAnsi"/>
          <w:szCs w:val="22"/>
          <w:lang w:val="es-ES" w:eastAsia="en-US"/>
        </w:rPr>
        <w:t>la solicitud</w:t>
      </w:r>
      <w:r w:rsidRPr="000060CE">
        <w:rPr>
          <w:rFonts w:eastAsiaTheme="minorHAnsi"/>
          <w:szCs w:val="22"/>
          <w:lang w:val="es-ES" w:eastAsia="en-US"/>
        </w:rPr>
        <w:t xml:space="preserve"> sea para más de una invención</w:t>
      </w:r>
      <w:r w:rsidR="00140C49" w:rsidRPr="000060CE">
        <w:rPr>
          <w:rFonts w:eastAsiaTheme="minorHAnsi"/>
          <w:szCs w:val="22"/>
          <w:lang w:val="es-ES" w:eastAsia="en-US"/>
        </w:rPr>
        <w:t>.</w:t>
      </w:r>
    </w:p>
    <w:p w14:paraId="2A215BCA" w14:textId="77777777" w:rsidR="00140C49" w:rsidRPr="000060CE" w:rsidRDefault="00140C49" w:rsidP="001D0D5B">
      <w:pPr>
        <w:numPr>
          <w:ilvl w:val="0"/>
          <w:numId w:val="9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/>
        <w:ind w:left="567" w:hanging="567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>Publicamos informes de búsqueda internacional d</w:t>
      </w:r>
      <w:r w:rsidR="00DD1A8D" w:rsidRPr="000060CE">
        <w:rPr>
          <w:rFonts w:eastAsiaTheme="minorHAnsi"/>
          <w:szCs w:val="22"/>
          <w:lang w:val="es-ES" w:eastAsia="en-US"/>
        </w:rPr>
        <w:t>e</w:t>
      </w:r>
      <w:r w:rsidRPr="000060CE">
        <w:rPr>
          <w:rFonts w:eastAsiaTheme="minorHAnsi"/>
          <w:szCs w:val="22"/>
          <w:lang w:val="es-ES" w:eastAsia="en-US"/>
        </w:rPr>
        <w:t xml:space="preserve"> patentes dentro de las </w:t>
      </w:r>
      <w:r w:rsidRPr="000060CE">
        <w:rPr>
          <w:rFonts w:eastAsiaTheme="minorHAnsi"/>
          <w:b/>
          <w:szCs w:val="22"/>
          <w:lang w:val="es-ES" w:eastAsia="en-US"/>
        </w:rPr>
        <w:t>seis semanas</w:t>
      </w:r>
      <w:r w:rsidRPr="000060CE">
        <w:rPr>
          <w:rFonts w:eastAsiaTheme="minorHAnsi"/>
          <w:szCs w:val="22"/>
          <w:lang w:val="es-ES" w:eastAsia="en-US"/>
        </w:rPr>
        <w:t xml:space="preserve"> siguientes a la recepción </w:t>
      </w:r>
      <w:r w:rsidR="00674E2D" w:rsidRPr="000060CE">
        <w:rPr>
          <w:rFonts w:eastAsiaTheme="minorHAnsi"/>
          <w:szCs w:val="22"/>
          <w:lang w:val="es-ES" w:eastAsia="en-US"/>
        </w:rPr>
        <w:t>del petitorio</w:t>
      </w:r>
      <w:r w:rsidRPr="000060CE">
        <w:rPr>
          <w:rFonts w:eastAsiaTheme="minorHAnsi"/>
          <w:szCs w:val="22"/>
          <w:lang w:val="es-ES" w:eastAsia="en-US"/>
        </w:rPr>
        <w:t xml:space="preserve"> de búsqueda, salvo que </w:t>
      </w:r>
      <w:r w:rsidR="000060CE" w:rsidRPr="000060CE">
        <w:rPr>
          <w:rFonts w:eastAsiaTheme="minorHAnsi"/>
          <w:szCs w:val="22"/>
          <w:lang w:val="es-ES" w:eastAsia="en-US"/>
        </w:rPr>
        <w:t>el petitorio</w:t>
      </w:r>
      <w:r w:rsidR="003E5FC0" w:rsidRPr="000060CE">
        <w:rPr>
          <w:rFonts w:eastAsiaTheme="minorHAnsi"/>
          <w:szCs w:val="22"/>
          <w:lang w:val="es-ES" w:eastAsia="en-US"/>
        </w:rPr>
        <w:t xml:space="preserve"> de búsqueda</w:t>
      </w:r>
      <w:r w:rsidRPr="000060CE">
        <w:rPr>
          <w:rFonts w:eastAsiaTheme="minorHAnsi"/>
          <w:szCs w:val="22"/>
          <w:lang w:val="es-ES" w:eastAsia="en-US"/>
        </w:rPr>
        <w:t xml:space="preserve"> abarque más de una invención, o hayamos solicitado que se presente una declaración escrita relativa a  la búsqueda.</w:t>
      </w:r>
    </w:p>
    <w:p w14:paraId="5CCB2C6C" w14:textId="77777777" w:rsidR="00140C49" w:rsidRPr="000060CE" w:rsidRDefault="00140C49" w:rsidP="001D0D5B">
      <w:pPr>
        <w:numPr>
          <w:ilvl w:val="0"/>
          <w:numId w:val="9"/>
        </w:numPr>
        <w:shd w:val="clear" w:color="auto" w:fill="FFFFFF"/>
        <w:tabs>
          <w:tab w:val="clear" w:pos="360"/>
          <w:tab w:val="num" w:pos="567"/>
        </w:tabs>
        <w:spacing w:before="100" w:beforeAutospacing="1" w:after="100" w:afterAutospacing="1"/>
        <w:ind w:left="567" w:hanging="567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lastRenderedPageBreak/>
        <w:t xml:space="preserve">Respondemos a la correspondencia relativa al examen de su solicitud en un plazo de </w:t>
      </w:r>
      <w:r w:rsidRPr="000060CE">
        <w:rPr>
          <w:rFonts w:eastAsiaTheme="minorHAnsi"/>
          <w:b/>
          <w:szCs w:val="22"/>
          <w:lang w:val="es-ES" w:eastAsia="en-US"/>
        </w:rPr>
        <w:t>20 días</w:t>
      </w:r>
      <w:r w:rsidRPr="000060CE">
        <w:rPr>
          <w:rFonts w:eastAsiaTheme="minorHAnsi"/>
          <w:szCs w:val="22"/>
          <w:lang w:val="es-ES" w:eastAsia="en-US"/>
        </w:rPr>
        <w:t xml:space="preserve"> </w:t>
      </w:r>
      <w:r w:rsidRPr="000060CE">
        <w:rPr>
          <w:rFonts w:eastAsiaTheme="minorHAnsi"/>
          <w:b/>
          <w:szCs w:val="22"/>
          <w:lang w:val="es-ES" w:eastAsia="en-US"/>
        </w:rPr>
        <w:t>laborables</w:t>
      </w:r>
      <w:r w:rsidRPr="000060CE">
        <w:rPr>
          <w:rFonts w:eastAsiaTheme="minorHAnsi"/>
          <w:szCs w:val="22"/>
          <w:lang w:val="es-ES" w:eastAsia="en-US"/>
        </w:rPr>
        <w:t xml:space="preserve"> desde la recepción de la </w:t>
      </w:r>
      <w:r w:rsidR="00FE6A85" w:rsidRPr="000060CE">
        <w:rPr>
          <w:rFonts w:eastAsiaTheme="minorHAnsi"/>
          <w:szCs w:val="22"/>
          <w:lang w:val="es-ES" w:eastAsia="en-US"/>
        </w:rPr>
        <w:t>correspondencia</w:t>
      </w:r>
    </w:p>
    <w:p w14:paraId="7974157B" w14:textId="087970B9" w:rsidR="000A289D" w:rsidRPr="000060CE" w:rsidRDefault="000A289D" w:rsidP="00986536">
      <w:pPr>
        <w:shd w:val="clear" w:color="auto" w:fill="FFFFFF"/>
        <w:spacing w:after="225"/>
        <w:textAlignment w:val="top"/>
        <w:outlineLvl w:val="1"/>
        <w:rPr>
          <w:rFonts w:eastAsiaTheme="minorHAnsi"/>
          <w:i/>
          <w:szCs w:val="22"/>
          <w:lang w:val="es-ES" w:eastAsia="en-US"/>
        </w:rPr>
      </w:pPr>
      <w:r w:rsidRPr="000060CE">
        <w:rPr>
          <w:rFonts w:eastAsiaTheme="minorHAnsi"/>
          <w:i/>
          <w:szCs w:val="22"/>
          <w:lang w:val="es-ES" w:eastAsia="en-US"/>
        </w:rPr>
        <w:t xml:space="preserve">Nivel 1 de las normas </w:t>
      </w:r>
      <w:r w:rsidR="00B556AF">
        <w:rPr>
          <w:rFonts w:eastAsiaTheme="minorHAnsi"/>
          <w:i/>
          <w:szCs w:val="22"/>
          <w:lang w:val="es-ES" w:eastAsia="en-US"/>
        </w:rPr>
        <w:t>de</w:t>
      </w:r>
      <w:r w:rsidR="00F04DB8" w:rsidRPr="000060CE">
        <w:rPr>
          <w:rFonts w:eastAsiaTheme="minorHAnsi"/>
          <w:i/>
          <w:szCs w:val="22"/>
          <w:lang w:val="es-ES" w:eastAsia="en-US"/>
        </w:rPr>
        <w:t xml:space="preserve"> </w:t>
      </w:r>
      <w:r w:rsidRPr="000060CE">
        <w:rPr>
          <w:rFonts w:eastAsiaTheme="minorHAnsi"/>
          <w:i/>
          <w:szCs w:val="22"/>
          <w:lang w:val="es-ES" w:eastAsia="en-US"/>
        </w:rPr>
        <w:t>calidad del producto en materia de patentes</w:t>
      </w:r>
    </w:p>
    <w:p w14:paraId="7568FF40" w14:textId="39C73918" w:rsidR="000A289D" w:rsidRPr="000060CE" w:rsidRDefault="00A779D2" w:rsidP="00986536">
      <w:pPr>
        <w:shd w:val="clear" w:color="auto" w:fill="FFFFFF"/>
        <w:spacing w:after="225"/>
        <w:textAlignment w:val="top"/>
        <w:outlineLvl w:val="1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>N</w:t>
      </w:r>
      <w:r w:rsidR="000A289D" w:rsidRPr="000060CE">
        <w:rPr>
          <w:rFonts w:eastAsiaTheme="minorHAnsi"/>
          <w:szCs w:val="22"/>
          <w:lang w:val="es-ES" w:eastAsia="en-US"/>
        </w:rPr>
        <w:t xml:space="preserve">ormas </w:t>
      </w:r>
      <w:r w:rsidR="006615D9">
        <w:rPr>
          <w:rFonts w:eastAsiaTheme="minorHAnsi"/>
          <w:szCs w:val="22"/>
          <w:lang w:val="es-ES" w:eastAsia="en-US"/>
        </w:rPr>
        <w:t>sobre</w:t>
      </w:r>
      <w:r w:rsidR="000A289D" w:rsidRPr="000060CE">
        <w:rPr>
          <w:rFonts w:eastAsiaTheme="minorHAnsi"/>
          <w:szCs w:val="22"/>
          <w:lang w:val="es-ES" w:eastAsia="en-US"/>
        </w:rPr>
        <w:t xml:space="preserve"> la calidad del producto </w:t>
      </w:r>
      <w:r w:rsidRPr="000060CE">
        <w:rPr>
          <w:rFonts w:eastAsiaTheme="minorHAnsi"/>
          <w:szCs w:val="22"/>
          <w:lang w:val="es-ES" w:eastAsia="en-US"/>
        </w:rPr>
        <w:t>relativas a</w:t>
      </w:r>
      <w:r w:rsidR="000A289D" w:rsidRPr="000060CE">
        <w:rPr>
          <w:rFonts w:eastAsiaTheme="minorHAnsi"/>
          <w:szCs w:val="22"/>
          <w:lang w:val="es-ES" w:eastAsia="en-US"/>
        </w:rPr>
        <w:t xml:space="preserve"> las cuestiones </w:t>
      </w:r>
      <w:r w:rsidRPr="000060CE">
        <w:rPr>
          <w:rFonts w:eastAsiaTheme="minorHAnsi"/>
          <w:szCs w:val="22"/>
          <w:lang w:val="es-ES" w:eastAsia="en-US"/>
        </w:rPr>
        <w:t>que</w:t>
      </w:r>
      <w:r w:rsidR="000A289D" w:rsidRPr="000060CE">
        <w:rPr>
          <w:rFonts w:eastAsiaTheme="minorHAnsi"/>
          <w:szCs w:val="22"/>
          <w:lang w:val="es-ES" w:eastAsia="en-US"/>
        </w:rPr>
        <w:t xml:space="preserve"> pueden afectar adversamente (o </w:t>
      </w:r>
      <w:r w:rsidRPr="000060CE">
        <w:rPr>
          <w:rFonts w:eastAsiaTheme="minorHAnsi"/>
          <w:szCs w:val="22"/>
          <w:lang w:val="es-ES" w:eastAsia="en-US"/>
        </w:rPr>
        <w:t>pueden afectar potencialmente</w:t>
      </w:r>
      <w:r w:rsidR="000A289D" w:rsidRPr="000060CE">
        <w:rPr>
          <w:rFonts w:eastAsiaTheme="minorHAnsi"/>
          <w:szCs w:val="22"/>
          <w:lang w:val="es-ES" w:eastAsia="en-US"/>
        </w:rPr>
        <w:t xml:space="preserve">) a la </w:t>
      </w:r>
      <w:r w:rsidRPr="000060CE">
        <w:rPr>
          <w:rFonts w:eastAsiaTheme="minorHAnsi"/>
          <w:szCs w:val="22"/>
          <w:lang w:val="es-ES" w:eastAsia="en-US"/>
        </w:rPr>
        <w:t>v</w:t>
      </w:r>
      <w:r w:rsidR="000A289D" w:rsidRPr="000060CE">
        <w:rPr>
          <w:rFonts w:eastAsiaTheme="minorHAnsi"/>
          <w:szCs w:val="22"/>
          <w:lang w:val="es-ES" w:eastAsia="en-US"/>
        </w:rPr>
        <w:t>alidez del derecho de propiedad intelect</w:t>
      </w:r>
      <w:r w:rsidRPr="000060CE">
        <w:rPr>
          <w:rFonts w:eastAsiaTheme="minorHAnsi"/>
          <w:szCs w:val="22"/>
          <w:lang w:val="es-ES" w:eastAsia="en-US"/>
        </w:rPr>
        <w:t>u</w:t>
      </w:r>
      <w:r w:rsidR="000A289D" w:rsidRPr="000060CE">
        <w:rPr>
          <w:rFonts w:eastAsiaTheme="minorHAnsi"/>
          <w:szCs w:val="22"/>
          <w:lang w:val="es-ES" w:eastAsia="en-US"/>
        </w:rPr>
        <w:t xml:space="preserve">al (P.I.): </w:t>
      </w:r>
    </w:p>
    <w:p w14:paraId="581525EC" w14:textId="77777777" w:rsidR="006720DC" w:rsidRPr="000060CE" w:rsidRDefault="00FE6A85" w:rsidP="00986536">
      <w:pPr>
        <w:pStyle w:val="ListParagraph"/>
        <w:numPr>
          <w:ilvl w:val="0"/>
          <w:numId w:val="15"/>
        </w:numPr>
        <w:shd w:val="clear" w:color="auto" w:fill="FFFFFF"/>
        <w:spacing w:after="225"/>
        <w:ind w:left="567" w:hanging="567"/>
        <w:textAlignment w:val="top"/>
        <w:outlineLvl w:val="1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>el</w:t>
      </w:r>
      <w:r w:rsidR="00A779D2" w:rsidRPr="000060CE">
        <w:rPr>
          <w:rFonts w:eastAsiaTheme="minorHAnsi"/>
          <w:szCs w:val="22"/>
          <w:lang w:val="es-ES" w:eastAsia="en-US"/>
        </w:rPr>
        <w:t xml:space="preserve"> procedimiento de búsqueda </w:t>
      </w:r>
      <w:r w:rsidR="00F04DB8" w:rsidRPr="000060CE">
        <w:rPr>
          <w:rFonts w:eastAsiaTheme="minorHAnsi"/>
          <w:szCs w:val="22"/>
          <w:lang w:val="es-ES" w:eastAsia="en-US"/>
        </w:rPr>
        <w:t>aplicado a</w:t>
      </w:r>
      <w:r w:rsidR="00A779D2" w:rsidRPr="000060CE">
        <w:rPr>
          <w:rFonts w:eastAsiaTheme="minorHAnsi"/>
          <w:szCs w:val="22"/>
          <w:lang w:val="es-ES" w:eastAsia="en-US"/>
        </w:rPr>
        <w:t xml:space="preserve"> todas las búsquedas</w:t>
      </w:r>
      <w:r w:rsidRPr="000060CE">
        <w:rPr>
          <w:rFonts w:eastAsiaTheme="minorHAnsi"/>
          <w:szCs w:val="22"/>
          <w:lang w:val="es-ES" w:eastAsia="en-US"/>
        </w:rPr>
        <w:t xml:space="preserve"> es correcto</w:t>
      </w:r>
    </w:p>
    <w:p w14:paraId="3E5CA953" w14:textId="77777777" w:rsidR="00A779D2" w:rsidRPr="000060CE" w:rsidRDefault="00A779D2" w:rsidP="00986536">
      <w:pPr>
        <w:pStyle w:val="ListParagraph"/>
        <w:numPr>
          <w:ilvl w:val="0"/>
          <w:numId w:val="15"/>
        </w:numPr>
        <w:shd w:val="clear" w:color="auto" w:fill="FFFFFF"/>
        <w:spacing w:after="225"/>
        <w:ind w:left="567" w:hanging="567"/>
        <w:textAlignment w:val="top"/>
        <w:outlineLvl w:val="1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 xml:space="preserve">todas las objeciones/consideraciones pertinentes que afectan adversamente (o </w:t>
      </w:r>
      <w:r w:rsidR="00F04DB8" w:rsidRPr="000060CE">
        <w:rPr>
          <w:rFonts w:eastAsiaTheme="minorHAnsi"/>
          <w:szCs w:val="22"/>
          <w:lang w:val="es-ES" w:eastAsia="en-US"/>
        </w:rPr>
        <w:t xml:space="preserve">que potencialmente </w:t>
      </w:r>
      <w:r w:rsidRPr="000060CE">
        <w:rPr>
          <w:rFonts w:eastAsiaTheme="minorHAnsi"/>
          <w:szCs w:val="22"/>
          <w:lang w:val="es-ES" w:eastAsia="en-US"/>
        </w:rPr>
        <w:t>pueden afectar) a la validez de la patente</w:t>
      </w:r>
      <w:r w:rsidR="00FE6A85" w:rsidRPr="000060CE">
        <w:rPr>
          <w:rFonts w:eastAsiaTheme="minorHAnsi"/>
          <w:szCs w:val="22"/>
          <w:lang w:val="es-ES" w:eastAsia="en-US"/>
        </w:rPr>
        <w:t xml:space="preserve"> son tenidas en cuenta</w:t>
      </w:r>
      <w:r w:rsidRPr="000060CE">
        <w:rPr>
          <w:rFonts w:eastAsiaTheme="minorHAnsi"/>
          <w:szCs w:val="22"/>
          <w:lang w:val="es-ES" w:eastAsia="en-US"/>
        </w:rPr>
        <w:t>.</w:t>
      </w:r>
    </w:p>
    <w:p w14:paraId="03D89FC9" w14:textId="5B09332A" w:rsidR="006720DC" w:rsidRPr="000060CE" w:rsidRDefault="00A779D2" w:rsidP="00986536">
      <w:pPr>
        <w:shd w:val="clear" w:color="auto" w:fill="FFFFFF"/>
        <w:spacing w:after="225"/>
        <w:textAlignment w:val="top"/>
        <w:outlineLvl w:val="1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i/>
          <w:szCs w:val="22"/>
          <w:lang w:val="es-ES" w:eastAsia="en-US"/>
        </w:rPr>
        <w:t xml:space="preserve">Nivel 2 de las normas </w:t>
      </w:r>
      <w:r w:rsidR="00B556AF">
        <w:rPr>
          <w:rFonts w:eastAsiaTheme="minorHAnsi"/>
          <w:i/>
          <w:szCs w:val="22"/>
          <w:lang w:val="es-ES" w:eastAsia="en-US"/>
        </w:rPr>
        <w:t>de</w:t>
      </w:r>
      <w:r w:rsidR="00F04DB8" w:rsidRPr="000060CE">
        <w:rPr>
          <w:rFonts w:eastAsiaTheme="minorHAnsi"/>
          <w:i/>
          <w:szCs w:val="22"/>
          <w:lang w:val="es-ES" w:eastAsia="en-US"/>
        </w:rPr>
        <w:t xml:space="preserve"> </w:t>
      </w:r>
      <w:r w:rsidRPr="000060CE">
        <w:rPr>
          <w:rFonts w:eastAsiaTheme="minorHAnsi"/>
          <w:i/>
          <w:szCs w:val="22"/>
          <w:lang w:val="es-ES" w:eastAsia="en-US"/>
        </w:rPr>
        <w:t>calidad del producto en materia de patentes</w:t>
      </w:r>
    </w:p>
    <w:p w14:paraId="28769233" w14:textId="77777777" w:rsidR="005B325B" w:rsidRPr="000060CE" w:rsidRDefault="005B325B" w:rsidP="006720DC">
      <w:pPr>
        <w:shd w:val="clear" w:color="auto" w:fill="FFFFFF"/>
        <w:autoSpaceDE w:val="0"/>
        <w:autoSpaceDN w:val="0"/>
        <w:spacing w:line="240" w:lineRule="atLeast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>Normas sobre la calidad del producto relativas a las cuestiones que pueden requerir una cantidad considerable de reelaboración del trabajo y/o inconveniente</w:t>
      </w:r>
      <w:r w:rsidR="00FE6A85" w:rsidRPr="000060CE">
        <w:rPr>
          <w:rFonts w:eastAsiaTheme="minorHAnsi"/>
          <w:szCs w:val="22"/>
          <w:lang w:val="es-ES" w:eastAsia="en-US"/>
        </w:rPr>
        <w:t xml:space="preserve">s para el </w:t>
      </w:r>
      <w:r w:rsidRPr="000060CE">
        <w:rPr>
          <w:rFonts w:eastAsiaTheme="minorHAnsi"/>
          <w:szCs w:val="22"/>
          <w:lang w:val="es-ES" w:eastAsia="en-US"/>
        </w:rPr>
        <w:t xml:space="preserve">solicitante o </w:t>
      </w:r>
      <w:r w:rsidR="00FE6A85" w:rsidRPr="000060CE">
        <w:rPr>
          <w:rFonts w:eastAsiaTheme="minorHAnsi"/>
          <w:szCs w:val="22"/>
          <w:lang w:val="es-ES" w:eastAsia="en-US"/>
        </w:rPr>
        <w:t>para</w:t>
      </w:r>
      <w:r w:rsidRPr="000060CE">
        <w:rPr>
          <w:rFonts w:eastAsiaTheme="minorHAnsi"/>
          <w:szCs w:val="22"/>
          <w:lang w:val="es-ES" w:eastAsia="en-US"/>
        </w:rPr>
        <w:t xml:space="preserve"> IP Australia:</w:t>
      </w:r>
    </w:p>
    <w:p w14:paraId="67D3807F" w14:textId="77777777" w:rsidR="005B325B" w:rsidRPr="000060CE" w:rsidRDefault="005B325B" w:rsidP="006720DC">
      <w:pPr>
        <w:shd w:val="clear" w:color="auto" w:fill="FFFFFF"/>
        <w:autoSpaceDE w:val="0"/>
        <w:autoSpaceDN w:val="0"/>
        <w:spacing w:line="240" w:lineRule="atLeast"/>
        <w:rPr>
          <w:rFonts w:eastAsiaTheme="minorHAnsi"/>
          <w:szCs w:val="22"/>
          <w:lang w:val="es-ES" w:eastAsia="en-US"/>
        </w:rPr>
      </w:pPr>
    </w:p>
    <w:p w14:paraId="37F57D66" w14:textId="77777777" w:rsidR="005B325B" w:rsidRPr="000060CE" w:rsidRDefault="005B325B" w:rsidP="001D0D5B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spacing w:line="240" w:lineRule="atLeast"/>
        <w:ind w:left="567" w:hanging="567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>todas las demás objeciones/consideraciones importantes</w:t>
      </w:r>
      <w:r w:rsidR="00FE6A85" w:rsidRPr="000060CE">
        <w:rPr>
          <w:rFonts w:eastAsiaTheme="minorHAnsi"/>
          <w:szCs w:val="22"/>
          <w:lang w:val="es-ES" w:eastAsia="en-US"/>
        </w:rPr>
        <w:t xml:space="preserve"> se tienen en cuenta</w:t>
      </w:r>
    </w:p>
    <w:p w14:paraId="5FD89628" w14:textId="77777777" w:rsidR="005B325B" w:rsidRPr="000060CE" w:rsidRDefault="005B325B" w:rsidP="001D0D5B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spacing w:line="240" w:lineRule="atLeast"/>
        <w:ind w:left="567" w:hanging="567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>el informe/dictamen no tiene objeciones/consideraciones inválidas</w:t>
      </w:r>
    </w:p>
    <w:p w14:paraId="13057026" w14:textId="77777777" w:rsidR="005B325B" w:rsidRPr="000060CE" w:rsidRDefault="005B325B" w:rsidP="001D0D5B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spacing w:line="240" w:lineRule="atLeast"/>
        <w:ind w:left="567" w:hanging="567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 xml:space="preserve">todos los informes y dictámenes son exhaustivos e informativos </w:t>
      </w:r>
    </w:p>
    <w:p w14:paraId="52AC1FB2" w14:textId="77777777" w:rsidR="006720DC" w:rsidRPr="000060CE" w:rsidRDefault="006720DC" w:rsidP="006720DC">
      <w:pPr>
        <w:shd w:val="clear" w:color="auto" w:fill="FFFFFF"/>
        <w:autoSpaceDE w:val="0"/>
        <w:autoSpaceDN w:val="0"/>
        <w:spacing w:line="240" w:lineRule="atLeast"/>
        <w:rPr>
          <w:rFonts w:eastAsiaTheme="minorHAnsi"/>
          <w:szCs w:val="22"/>
          <w:lang w:val="es-ES" w:eastAsia="en-US"/>
        </w:rPr>
      </w:pPr>
    </w:p>
    <w:p w14:paraId="3048CADA" w14:textId="753FFE4E" w:rsidR="006720DC" w:rsidRPr="000060CE" w:rsidRDefault="00A779D2" w:rsidP="00986536">
      <w:pPr>
        <w:shd w:val="clear" w:color="auto" w:fill="FFFFFF"/>
        <w:autoSpaceDE w:val="0"/>
        <w:autoSpaceDN w:val="0"/>
        <w:spacing w:line="240" w:lineRule="atLeast"/>
        <w:rPr>
          <w:rFonts w:eastAsiaTheme="minorHAnsi"/>
          <w:i/>
          <w:szCs w:val="22"/>
          <w:lang w:val="es-ES" w:eastAsia="en-US"/>
        </w:rPr>
      </w:pPr>
      <w:r w:rsidRPr="000060CE">
        <w:rPr>
          <w:rFonts w:eastAsiaTheme="minorHAnsi"/>
          <w:i/>
          <w:szCs w:val="22"/>
          <w:lang w:val="es-ES" w:eastAsia="en-US"/>
        </w:rPr>
        <w:t xml:space="preserve">Nivel </w:t>
      </w:r>
      <w:r w:rsidR="00D50417" w:rsidRPr="000060CE">
        <w:rPr>
          <w:rFonts w:eastAsiaTheme="minorHAnsi"/>
          <w:i/>
          <w:szCs w:val="22"/>
          <w:lang w:val="es-ES" w:eastAsia="en-US"/>
        </w:rPr>
        <w:t>3</w:t>
      </w:r>
      <w:r w:rsidRPr="000060CE">
        <w:rPr>
          <w:rFonts w:eastAsiaTheme="minorHAnsi"/>
          <w:i/>
          <w:szCs w:val="22"/>
          <w:lang w:val="es-ES" w:eastAsia="en-US"/>
        </w:rPr>
        <w:t xml:space="preserve"> de las normas </w:t>
      </w:r>
      <w:r w:rsidR="006615D9">
        <w:rPr>
          <w:rFonts w:eastAsiaTheme="minorHAnsi"/>
          <w:i/>
          <w:szCs w:val="22"/>
          <w:lang w:val="es-ES" w:eastAsia="en-US"/>
        </w:rPr>
        <w:t>de</w:t>
      </w:r>
      <w:r w:rsidR="00F04DB8" w:rsidRPr="000060CE">
        <w:rPr>
          <w:rFonts w:eastAsiaTheme="minorHAnsi"/>
          <w:i/>
          <w:szCs w:val="22"/>
          <w:lang w:val="es-ES" w:eastAsia="en-US"/>
        </w:rPr>
        <w:t xml:space="preserve"> </w:t>
      </w:r>
      <w:r w:rsidRPr="000060CE">
        <w:rPr>
          <w:rFonts w:eastAsiaTheme="minorHAnsi"/>
          <w:i/>
          <w:szCs w:val="22"/>
          <w:lang w:val="es-ES" w:eastAsia="en-US"/>
        </w:rPr>
        <w:t>calidad del producto en materia de patentes</w:t>
      </w:r>
    </w:p>
    <w:p w14:paraId="739AE934" w14:textId="77777777" w:rsidR="006720DC" w:rsidRPr="000060CE" w:rsidRDefault="006720DC" w:rsidP="00986536">
      <w:pPr>
        <w:shd w:val="clear" w:color="auto" w:fill="FFFFFF"/>
        <w:autoSpaceDE w:val="0"/>
        <w:autoSpaceDN w:val="0"/>
        <w:spacing w:line="240" w:lineRule="atLeast"/>
        <w:rPr>
          <w:rFonts w:eastAsiaTheme="minorHAnsi"/>
          <w:i/>
          <w:szCs w:val="22"/>
          <w:lang w:val="es-ES" w:eastAsia="en-US"/>
        </w:rPr>
      </w:pPr>
    </w:p>
    <w:p w14:paraId="18F17232" w14:textId="77777777" w:rsidR="00D50417" w:rsidRPr="000060CE" w:rsidRDefault="00D50417" w:rsidP="00986536">
      <w:pPr>
        <w:shd w:val="clear" w:color="auto" w:fill="FFFFFF"/>
        <w:autoSpaceDE w:val="0"/>
        <w:autoSpaceDN w:val="0"/>
        <w:spacing w:line="240" w:lineRule="atLeast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>Normas sobre la calidad del producto relativas a otros procedimientos importantes necesarios según el manual de patentes:</w:t>
      </w:r>
    </w:p>
    <w:p w14:paraId="01B696D9" w14:textId="77777777" w:rsidR="00D50417" w:rsidRPr="000060CE" w:rsidRDefault="00D50417" w:rsidP="00986536">
      <w:pPr>
        <w:shd w:val="clear" w:color="auto" w:fill="FFFFFF"/>
        <w:autoSpaceDE w:val="0"/>
        <w:autoSpaceDN w:val="0"/>
        <w:spacing w:line="240" w:lineRule="atLeast"/>
        <w:rPr>
          <w:rFonts w:eastAsiaTheme="minorHAnsi"/>
          <w:szCs w:val="22"/>
          <w:lang w:val="es-ES" w:eastAsia="en-US"/>
        </w:rPr>
      </w:pPr>
    </w:p>
    <w:p w14:paraId="54C5BC87" w14:textId="77777777" w:rsidR="00D50417" w:rsidRPr="000060CE" w:rsidRDefault="00D50417" w:rsidP="00986536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spacing w:line="240" w:lineRule="atLeast"/>
        <w:ind w:left="567" w:hanging="567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>los resultado</w:t>
      </w:r>
      <w:r w:rsidR="00F04DB8" w:rsidRPr="000060CE">
        <w:rPr>
          <w:rFonts w:eastAsiaTheme="minorHAnsi"/>
          <w:szCs w:val="22"/>
          <w:lang w:val="es-ES" w:eastAsia="en-US"/>
        </w:rPr>
        <w:t>s</w:t>
      </w:r>
      <w:r w:rsidRPr="000060CE">
        <w:rPr>
          <w:rFonts w:eastAsiaTheme="minorHAnsi"/>
          <w:szCs w:val="22"/>
          <w:lang w:val="es-ES" w:eastAsia="en-US"/>
        </w:rPr>
        <w:t xml:space="preserve"> de las búsquedas se almacenan y comunican correctamente</w:t>
      </w:r>
    </w:p>
    <w:p w14:paraId="40DE5BA4" w14:textId="77777777" w:rsidR="00D50417" w:rsidRPr="000060CE" w:rsidRDefault="00D50417" w:rsidP="00986536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spacing w:line="240" w:lineRule="atLeast"/>
        <w:ind w:left="567" w:hanging="567"/>
        <w:rPr>
          <w:rFonts w:eastAsiaTheme="minorHAnsi"/>
          <w:szCs w:val="22"/>
          <w:lang w:val="es-ES" w:eastAsia="en-US"/>
        </w:rPr>
      </w:pPr>
      <w:r w:rsidRPr="000060CE">
        <w:rPr>
          <w:rFonts w:eastAsiaTheme="minorHAnsi"/>
          <w:szCs w:val="22"/>
          <w:lang w:val="es-ES" w:eastAsia="en-US"/>
        </w:rPr>
        <w:t xml:space="preserve">las formalidades por escrito son completas y correctas </w:t>
      </w:r>
    </w:p>
    <w:p w14:paraId="2D6E6FD5" w14:textId="66CBE722" w:rsidR="006720DC" w:rsidRPr="000060CE" w:rsidRDefault="006720DC" w:rsidP="00986536">
      <w:pPr>
        <w:pStyle w:val="SectionHeading"/>
        <w:keepNext w:val="0"/>
        <w:rPr>
          <w:lang w:val="es-ES"/>
        </w:rPr>
      </w:pPr>
      <w:r w:rsidRPr="000060CE">
        <w:rPr>
          <w:lang w:val="es-ES"/>
        </w:rPr>
        <w:t xml:space="preserve">3 – </w:t>
      </w:r>
      <w:r w:rsidR="0029755C">
        <w:rPr>
          <w:lang w:val="es-ES"/>
        </w:rPr>
        <w:t xml:space="preserve">Ámbito de aplicación </w:t>
      </w:r>
      <w:r w:rsidR="00AE6012" w:rsidRPr="000060CE">
        <w:rPr>
          <w:lang w:val="es-ES"/>
        </w:rPr>
        <w:t>previsto</w:t>
      </w:r>
    </w:p>
    <w:p w14:paraId="00C4FC46" w14:textId="34F754A8" w:rsidR="006720DC" w:rsidRPr="000060CE" w:rsidRDefault="007326A9" w:rsidP="00986536">
      <w:pPr>
        <w:rPr>
          <w:szCs w:val="22"/>
          <w:lang w:val="es-ES"/>
        </w:rPr>
      </w:pPr>
      <w:r w:rsidRPr="000060CE">
        <w:rPr>
          <w:b/>
          <w:bCs/>
          <w:szCs w:val="22"/>
          <w:lang w:val="es-ES"/>
        </w:rPr>
        <w:t>Idioma</w:t>
      </w:r>
      <w:r w:rsidR="006720DC" w:rsidRPr="000060CE">
        <w:rPr>
          <w:b/>
          <w:bCs/>
          <w:szCs w:val="22"/>
          <w:lang w:val="es-ES"/>
        </w:rPr>
        <w:t xml:space="preserve"> </w:t>
      </w:r>
      <w:r w:rsidRPr="000060CE">
        <w:rPr>
          <w:b/>
          <w:bCs/>
          <w:szCs w:val="22"/>
          <w:lang w:val="es-ES"/>
        </w:rPr>
        <w:t>en el que se ofrecen los servicios</w:t>
      </w:r>
      <w:r w:rsidR="001D0D5B" w:rsidRPr="000060CE">
        <w:rPr>
          <w:b/>
          <w:bCs/>
          <w:szCs w:val="22"/>
          <w:lang w:val="es-ES"/>
        </w:rPr>
        <w:t xml:space="preserve">:  </w:t>
      </w:r>
      <w:r w:rsidRPr="000060CE">
        <w:rPr>
          <w:szCs w:val="22"/>
          <w:lang w:val="es-ES"/>
        </w:rPr>
        <w:t>inglés</w:t>
      </w:r>
    </w:p>
    <w:p w14:paraId="200EBE42" w14:textId="77777777" w:rsidR="006720DC" w:rsidRPr="000060CE" w:rsidRDefault="006720DC" w:rsidP="00986536">
      <w:pPr>
        <w:rPr>
          <w:b/>
          <w:bCs/>
          <w:szCs w:val="22"/>
          <w:lang w:val="es-ES"/>
        </w:rPr>
      </w:pPr>
    </w:p>
    <w:p w14:paraId="70A59FA0" w14:textId="57EA1B69" w:rsidR="006720DC" w:rsidRPr="000060CE" w:rsidRDefault="007326A9" w:rsidP="00986536">
      <w:pPr>
        <w:rPr>
          <w:szCs w:val="22"/>
          <w:lang w:val="es-ES"/>
        </w:rPr>
      </w:pPr>
      <w:r w:rsidRPr="000060CE">
        <w:rPr>
          <w:b/>
          <w:bCs/>
          <w:szCs w:val="22"/>
          <w:lang w:val="es-ES"/>
        </w:rPr>
        <w:t>Estado</w:t>
      </w:r>
      <w:r w:rsidR="006720DC" w:rsidRPr="000060CE">
        <w:rPr>
          <w:b/>
          <w:bCs/>
          <w:szCs w:val="22"/>
          <w:lang w:val="es-ES"/>
        </w:rPr>
        <w:t xml:space="preserve">s </w:t>
      </w:r>
      <w:r w:rsidR="0029755C">
        <w:rPr>
          <w:b/>
          <w:bCs/>
          <w:szCs w:val="22"/>
          <w:lang w:val="es-ES"/>
        </w:rPr>
        <w:t>u Oficina</w:t>
      </w:r>
      <w:r w:rsidRPr="000060CE">
        <w:rPr>
          <w:b/>
          <w:bCs/>
          <w:szCs w:val="22"/>
          <w:lang w:val="es-ES"/>
        </w:rPr>
        <w:t>s receptoras para las</w:t>
      </w:r>
      <w:r w:rsidR="0029755C">
        <w:rPr>
          <w:b/>
          <w:bCs/>
          <w:szCs w:val="22"/>
          <w:lang w:val="es-ES"/>
        </w:rPr>
        <w:t xml:space="preserve"> cuales</w:t>
      </w:r>
      <w:r w:rsidRPr="000060CE">
        <w:rPr>
          <w:b/>
          <w:bCs/>
          <w:szCs w:val="22"/>
          <w:lang w:val="es-ES"/>
        </w:rPr>
        <w:t xml:space="preserve"> la</w:t>
      </w:r>
      <w:r w:rsidR="0029755C">
        <w:rPr>
          <w:b/>
          <w:bCs/>
          <w:szCs w:val="22"/>
          <w:lang w:val="es-ES"/>
        </w:rPr>
        <w:t xml:space="preserve"> Oficina se ofrecería como</w:t>
      </w:r>
      <w:r w:rsidRPr="000060CE">
        <w:rPr>
          <w:b/>
          <w:bCs/>
          <w:szCs w:val="22"/>
          <w:lang w:val="es-ES"/>
        </w:rPr>
        <w:t xml:space="preserve"> Administración competente</w:t>
      </w:r>
      <w:r w:rsidR="001D0D5B" w:rsidRPr="000060CE">
        <w:rPr>
          <w:b/>
          <w:bCs/>
          <w:szCs w:val="22"/>
          <w:lang w:val="es-ES"/>
        </w:rPr>
        <w:t xml:space="preserve">:  </w:t>
      </w:r>
      <w:r w:rsidRPr="000060CE">
        <w:rPr>
          <w:szCs w:val="22"/>
          <w:lang w:val="es-ES"/>
        </w:rPr>
        <w:t>la</w:t>
      </w:r>
      <w:r w:rsidR="006720DC" w:rsidRPr="000060CE">
        <w:rPr>
          <w:szCs w:val="22"/>
          <w:lang w:val="es-ES"/>
        </w:rPr>
        <w:t xml:space="preserve"> APO </w:t>
      </w:r>
      <w:r w:rsidRPr="000060CE">
        <w:rPr>
          <w:szCs w:val="22"/>
          <w:lang w:val="es-ES"/>
        </w:rPr>
        <w:t xml:space="preserve">actúa como Administración encargada de la búsqueda para </w:t>
      </w:r>
      <w:r w:rsidR="006720DC" w:rsidRPr="000060CE">
        <w:rPr>
          <w:szCs w:val="22"/>
          <w:lang w:val="es-ES"/>
        </w:rPr>
        <w:t xml:space="preserve">Australia, Brunei, Ghana, Indonesia, India, </w:t>
      </w:r>
      <w:r w:rsidRPr="000060CE">
        <w:rPr>
          <w:szCs w:val="22"/>
          <w:lang w:val="es-ES"/>
        </w:rPr>
        <w:t xml:space="preserve">Oficina Internacional (para nacionales y residentes de </w:t>
      </w:r>
      <w:r w:rsidR="006720DC" w:rsidRPr="000060CE">
        <w:rPr>
          <w:szCs w:val="22"/>
          <w:lang w:val="es-ES"/>
        </w:rPr>
        <w:t>Nigeria, Sa</w:t>
      </w:r>
      <w:r w:rsidRPr="000060CE">
        <w:rPr>
          <w:szCs w:val="22"/>
          <w:lang w:val="es-ES"/>
        </w:rPr>
        <w:t>nta Lucí</w:t>
      </w:r>
      <w:r w:rsidR="006720DC" w:rsidRPr="000060CE">
        <w:rPr>
          <w:szCs w:val="22"/>
          <w:lang w:val="es-ES"/>
        </w:rPr>
        <w:t xml:space="preserve">a, </w:t>
      </w:r>
      <w:r w:rsidRPr="000060CE">
        <w:rPr>
          <w:szCs w:val="22"/>
          <w:lang w:val="es-ES"/>
        </w:rPr>
        <w:t>San Vicente y las Granadinas</w:t>
      </w:r>
      <w:r w:rsidR="006720DC" w:rsidRPr="000060CE">
        <w:rPr>
          <w:szCs w:val="22"/>
          <w:lang w:val="es-ES"/>
        </w:rPr>
        <w:t xml:space="preserve">, Sri Lanka </w:t>
      </w:r>
      <w:r w:rsidRPr="000060CE">
        <w:rPr>
          <w:szCs w:val="22"/>
          <w:lang w:val="es-ES"/>
        </w:rPr>
        <w:t>y Emiratos Árabes Unidos</w:t>
      </w:r>
      <w:r w:rsidR="006720DC" w:rsidRPr="000060CE">
        <w:rPr>
          <w:szCs w:val="22"/>
          <w:lang w:val="es-ES"/>
        </w:rPr>
        <w:t>), Ken</w:t>
      </w:r>
      <w:r w:rsidR="00533E17">
        <w:rPr>
          <w:szCs w:val="22"/>
          <w:lang w:val="es-ES"/>
        </w:rPr>
        <w:t>y</w:t>
      </w:r>
      <w:r w:rsidR="006720DC" w:rsidRPr="000060CE">
        <w:rPr>
          <w:szCs w:val="22"/>
          <w:lang w:val="es-ES"/>
        </w:rPr>
        <w:t>a, Rep</w:t>
      </w:r>
      <w:r w:rsidRPr="000060CE">
        <w:rPr>
          <w:szCs w:val="22"/>
          <w:lang w:val="es-ES"/>
        </w:rPr>
        <w:t>ública de Corea, Liberia, Mala</w:t>
      </w:r>
      <w:r w:rsidR="006720DC" w:rsidRPr="000060CE">
        <w:rPr>
          <w:szCs w:val="22"/>
          <w:lang w:val="es-ES"/>
        </w:rPr>
        <w:t xml:space="preserve">sia, </w:t>
      </w:r>
      <w:r w:rsidRPr="000060CE">
        <w:rPr>
          <w:szCs w:val="22"/>
          <w:lang w:val="es-ES"/>
        </w:rPr>
        <w:t>Nueva Ze</w:t>
      </w:r>
      <w:r w:rsidR="006720DC" w:rsidRPr="000060CE">
        <w:rPr>
          <w:szCs w:val="22"/>
          <w:lang w:val="es-ES"/>
        </w:rPr>
        <w:t>land</w:t>
      </w:r>
      <w:r w:rsidR="00533E17">
        <w:rPr>
          <w:szCs w:val="22"/>
          <w:lang w:val="es-ES"/>
        </w:rPr>
        <w:t>ia, Papu</w:t>
      </w:r>
      <w:r w:rsidR="006720DC" w:rsidRPr="000060CE">
        <w:rPr>
          <w:szCs w:val="22"/>
          <w:lang w:val="es-ES"/>
        </w:rPr>
        <w:t xml:space="preserve">a </w:t>
      </w:r>
      <w:r w:rsidRPr="000060CE">
        <w:rPr>
          <w:szCs w:val="22"/>
          <w:lang w:val="es-ES"/>
        </w:rPr>
        <w:t>Nueva</w:t>
      </w:r>
      <w:r w:rsidR="006720DC" w:rsidRPr="000060CE">
        <w:rPr>
          <w:szCs w:val="22"/>
          <w:lang w:val="es-ES"/>
        </w:rPr>
        <w:t xml:space="preserve"> Guinea, </w:t>
      </w:r>
      <w:r w:rsidRPr="000060CE">
        <w:rPr>
          <w:szCs w:val="22"/>
          <w:lang w:val="es-ES"/>
        </w:rPr>
        <w:t>Filipinas, Singapur, T</w:t>
      </w:r>
      <w:r w:rsidR="006720DC" w:rsidRPr="000060CE">
        <w:rPr>
          <w:szCs w:val="22"/>
          <w:lang w:val="es-ES"/>
        </w:rPr>
        <w:t>ailand</w:t>
      </w:r>
      <w:r w:rsidRPr="000060CE">
        <w:rPr>
          <w:szCs w:val="22"/>
          <w:lang w:val="es-ES"/>
        </w:rPr>
        <w:t>ia</w:t>
      </w:r>
      <w:r w:rsidR="006720DC" w:rsidRPr="000060CE">
        <w:rPr>
          <w:szCs w:val="22"/>
          <w:lang w:val="es-ES"/>
        </w:rPr>
        <w:t xml:space="preserve">, </w:t>
      </w:r>
      <w:r w:rsidRPr="000060CE">
        <w:rPr>
          <w:szCs w:val="22"/>
          <w:lang w:val="es-ES"/>
        </w:rPr>
        <w:t xml:space="preserve">Estados Unidos de América, </w:t>
      </w:r>
      <w:r w:rsidR="006720DC" w:rsidRPr="000060CE">
        <w:rPr>
          <w:szCs w:val="22"/>
          <w:lang w:val="es-ES"/>
        </w:rPr>
        <w:t xml:space="preserve">Viet Nam, </w:t>
      </w:r>
      <w:r w:rsidR="00495F69" w:rsidRPr="000060CE">
        <w:rPr>
          <w:szCs w:val="22"/>
          <w:lang w:val="es-ES"/>
        </w:rPr>
        <w:t xml:space="preserve">Sudáfrica y </w:t>
      </w:r>
      <w:r w:rsidR="006720DC" w:rsidRPr="000060CE">
        <w:rPr>
          <w:szCs w:val="22"/>
          <w:lang w:val="es-ES"/>
        </w:rPr>
        <w:t>Zimbabwe</w:t>
      </w:r>
      <w:r w:rsidR="00533E17">
        <w:rPr>
          <w:szCs w:val="22"/>
          <w:lang w:val="es-ES"/>
        </w:rPr>
        <w:t>.</w:t>
      </w:r>
    </w:p>
    <w:p w14:paraId="1CE9A491" w14:textId="77777777" w:rsidR="006720DC" w:rsidRPr="000060CE" w:rsidRDefault="006720DC" w:rsidP="007326A9">
      <w:pPr>
        <w:jc w:val="center"/>
        <w:rPr>
          <w:szCs w:val="22"/>
          <w:lang w:val="es-ES"/>
        </w:rPr>
      </w:pPr>
    </w:p>
    <w:p w14:paraId="4A5B0C0B" w14:textId="395106CF" w:rsidR="00495F69" w:rsidRPr="000060CE" w:rsidRDefault="006720DC" w:rsidP="00495F69">
      <w:pPr>
        <w:rPr>
          <w:szCs w:val="22"/>
          <w:lang w:val="es-ES"/>
        </w:rPr>
      </w:pPr>
      <w:r w:rsidRPr="000060CE">
        <w:rPr>
          <w:b/>
          <w:bCs/>
          <w:szCs w:val="22"/>
          <w:lang w:val="es-ES"/>
        </w:rPr>
        <w:t>Limita</w:t>
      </w:r>
      <w:r w:rsidR="00495F69" w:rsidRPr="000060CE">
        <w:rPr>
          <w:b/>
          <w:bCs/>
          <w:szCs w:val="22"/>
          <w:lang w:val="es-ES"/>
        </w:rPr>
        <w:t xml:space="preserve">ciones </w:t>
      </w:r>
      <w:r w:rsidR="00533E17">
        <w:rPr>
          <w:b/>
          <w:bCs/>
          <w:szCs w:val="22"/>
          <w:lang w:val="es-ES"/>
        </w:rPr>
        <w:t>en el ámbito de aplicación</w:t>
      </w:r>
      <w:r w:rsidR="001D0D5B" w:rsidRPr="000060CE">
        <w:rPr>
          <w:b/>
          <w:bCs/>
          <w:szCs w:val="22"/>
          <w:lang w:val="es-ES"/>
        </w:rPr>
        <w:t xml:space="preserve">:  </w:t>
      </w:r>
      <w:r w:rsidR="005C770E" w:rsidRPr="000060CE">
        <w:rPr>
          <w:szCs w:val="22"/>
          <w:lang w:val="es-ES"/>
        </w:rPr>
        <w:t xml:space="preserve">la APO no tiene limitaciones </w:t>
      </w:r>
      <w:r w:rsidR="00495F69" w:rsidRPr="000060CE">
        <w:rPr>
          <w:szCs w:val="22"/>
          <w:lang w:val="es-ES"/>
        </w:rPr>
        <w:t>en relación con el alcance operacional excepto en lo que se refiere a los Estados para los que actúa como administración competente.</w:t>
      </w:r>
      <w:r w:rsidR="00495F69" w:rsidRPr="000060CE">
        <w:rPr>
          <w:szCs w:val="22"/>
          <w:lang w:val="es-ES"/>
        </w:rPr>
        <w:tab/>
      </w:r>
    </w:p>
    <w:p w14:paraId="21E9D2C5" w14:textId="77777777" w:rsidR="006720DC" w:rsidRPr="000060CE" w:rsidRDefault="006720DC" w:rsidP="006720DC">
      <w:pPr>
        <w:pStyle w:val="SectionHeading"/>
        <w:rPr>
          <w:lang w:val="es-ES"/>
        </w:rPr>
      </w:pPr>
      <w:r w:rsidRPr="000060CE">
        <w:rPr>
          <w:lang w:val="es-ES"/>
        </w:rPr>
        <w:t xml:space="preserve">4 – </w:t>
      </w:r>
      <w:r w:rsidR="003B25B5" w:rsidRPr="000060CE">
        <w:rPr>
          <w:lang w:val="es-ES"/>
        </w:rPr>
        <w:t>DECLARACIÓN DE MOTIVOS</w:t>
      </w:r>
      <w:r w:rsidRPr="000060CE">
        <w:rPr>
          <w:lang w:val="es-ES"/>
        </w:rPr>
        <w:t xml:space="preserve"> </w:t>
      </w:r>
    </w:p>
    <w:p w14:paraId="2247A211" w14:textId="6A3CF7D2" w:rsidR="004D1961" w:rsidRPr="000060CE" w:rsidRDefault="004D1961" w:rsidP="006720DC">
      <w:pPr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IP Australia reconoce que la OMPI es el foro principal para promover los intereses de IP Australia a nivel internacional y </w:t>
      </w:r>
      <w:r w:rsidR="009C5EF6" w:rsidRPr="000060CE">
        <w:rPr>
          <w:szCs w:val="22"/>
          <w:lang w:val="es-ES"/>
        </w:rPr>
        <w:t xml:space="preserve">desea seguir jugando un papel </w:t>
      </w:r>
      <w:r w:rsidR="00386C3B" w:rsidRPr="000060CE">
        <w:rPr>
          <w:szCs w:val="22"/>
          <w:lang w:val="es-ES"/>
        </w:rPr>
        <w:t>de construcción de</w:t>
      </w:r>
      <w:r w:rsidR="006D4663" w:rsidRPr="000060CE">
        <w:rPr>
          <w:szCs w:val="22"/>
          <w:lang w:val="es-ES"/>
        </w:rPr>
        <w:t xml:space="preserve"> puentes</w:t>
      </w:r>
      <w:r w:rsidR="009C5EF6" w:rsidRPr="000060CE">
        <w:rPr>
          <w:szCs w:val="22"/>
          <w:lang w:val="es-ES"/>
        </w:rPr>
        <w:t xml:space="preserve">, </w:t>
      </w:r>
      <w:r w:rsidR="006D4663" w:rsidRPr="000060CE">
        <w:rPr>
          <w:szCs w:val="22"/>
          <w:lang w:val="es-ES"/>
        </w:rPr>
        <w:t>brindando su apoyo</w:t>
      </w:r>
      <w:r w:rsidR="009C5EF6" w:rsidRPr="000060CE">
        <w:rPr>
          <w:szCs w:val="22"/>
          <w:lang w:val="es-ES"/>
        </w:rPr>
        <w:t xml:space="preserve"> a la OMPI </w:t>
      </w:r>
      <w:r w:rsidR="006D4663" w:rsidRPr="000060CE">
        <w:rPr>
          <w:szCs w:val="22"/>
          <w:lang w:val="es-ES"/>
        </w:rPr>
        <w:t>para</w:t>
      </w:r>
      <w:r w:rsidR="009C5EF6" w:rsidRPr="000060CE">
        <w:rPr>
          <w:szCs w:val="22"/>
          <w:lang w:val="es-ES"/>
        </w:rPr>
        <w:t xml:space="preserve"> garantizar </w:t>
      </w:r>
      <w:r w:rsidR="00386C3B" w:rsidRPr="000060CE">
        <w:rPr>
          <w:szCs w:val="22"/>
          <w:lang w:val="es-ES"/>
        </w:rPr>
        <w:t xml:space="preserve">que </w:t>
      </w:r>
      <w:r w:rsidR="002A4CC3">
        <w:rPr>
          <w:szCs w:val="22"/>
          <w:lang w:val="es-ES"/>
        </w:rPr>
        <w:t xml:space="preserve">ésta </w:t>
      </w:r>
      <w:r w:rsidR="00386C3B" w:rsidRPr="000060CE">
        <w:rPr>
          <w:szCs w:val="22"/>
          <w:lang w:val="es-ES"/>
        </w:rPr>
        <w:t>sea</w:t>
      </w:r>
      <w:r w:rsidR="009C5EF6" w:rsidRPr="000060CE">
        <w:rPr>
          <w:szCs w:val="22"/>
          <w:lang w:val="es-ES"/>
        </w:rPr>
        <w:t xml:space="preserve"> una organización internacional eficaz y eficiente</w:t>
      </w:r>
      <w:r w:rsidR="00256CDD" w:rsidRPr="000060CE">
        <w:rPr>
          <w:szCs w:val="22"/>
          <w:lang w:val="es-ES"/>
        </w:rPr>
        <w:t>.  C</w:t>
      </w:r>
      <w:r w:rsidR="009C5EF6" w:rsidRPr="000060CE">
        <w:rPr>
          <w:szCs w:val="22"/>
          <w:lang w:val="es-ES"/>
        </w:rPr>
        <w:t xml:space="preserve">omo consecuencia de sucesivos acuerdos entre el Gobierno de Australia y la Oficina Internacional, la APO ha sido la Administración encargada de la búsqueda internacional y la Administración encargada del examen preliminar internacional desde el 31 de marzo de 1980 y </w:t>
      </w:r>
      <w:r w:rsidR="006D4663" w:rsidRPr="000060CE">
        <w:rPr>
          <w:szCs w:val="22"/>
          <w:lang w:val="es-ES"/>
        </w:rPr>
        <w:t xml:space="preserve">se </w:t>
      </w:r>
      <w:r w:rsidR="009C5EF6" w:rsidRPr="000060CE">
        <w:rPr>
          <w:szCs w:val="22"/>
          <w:lang w:val="es-ES"/>
        </w:rPr>
        <w:t xml:space="preserve">ha </w:t>
      </w:r>
      <w:r w:rsidR="006D4663" w:rsidRPr="000060CE">
        <w:rPr>
          <w:szCs w:val="22"/>
          <w:lang w:val="es-ES"/>
        </w:rPr>
        <w:t>forjado</w:t>
      </w:r>
      <w:r w:rsidR="009C5EF6" w:rsidRPr="000060CE">
        <w:rPr>
          <w:szCs w:val="22"/>
          <w:lang w:val="es-ES"/>
        </w:rPr>
        <w:t xml:space="preserve"> una sólida reputación en la comunidad del PCT</w:t>
      </w:r>
      <w:r w:rsidR="006632A1" w:rsidRPr="000060CE">
        <w:rPr>
          <w:szCs w:val="22"/>
          <w:lang w:val="es-ES"/>
        </w:rPr>
        <w:t>.  L</w:t>
      </w:r>
      <w:r w:rsidR="009C5EF6" w:rsidRPr="000060CE">
        <w:rPr>
          <w:szCs w:val="22"/>
          <w:lang w:val="es-ES"/>
        </w:rPr>
        <w:t xml:space="preserve">a APO </w:t>
      </w:r>
      <w:r w:rsidR="006D4663" w:rsidRPr="000060CE">
        <w:rPr>
          <w:szCs w:val="22"/>
          <w:lang w:val="es-ES"/>
        </w:rPr>
        <w:t>desea seguir apoyando a la OMPI</w:t>
      </w:r>
      <w:r w:rsidR="009C5EF6" w:rsidRPr="000060CE">
        <w:rPr>
          <w:szCs w:val="22"/>
          <w:lang w:val="es-ES"/>
        </w:rPr>
        <w:t xml:space="preserve">, </w:t>
      </w:r>
      <w:r w:rsidR="002A4CC3">
        <w:rPr>
          <w:szCs w:val="22"/>
          <w:lang w:val="es-ES"/>
        </w:rPr>
        <w:t>también en relación con</w:t>
      </w:r>
      <w:r w:rsidR="009C5EF6" w:rsidRPr="000060CE">
        <w:rPr>
          <w:szCs w:val="22"/>
          <w:lang w:val="es-ES"/>
        </w:rPr>
        <w:t xml:space="preserve"> la priorización de las reformas del PCT, ya </w:t>
      </w:r>
      <w:r w:rsidR="009C5EF6" w:rsidRPr="000060CE">
        <w:rPr>
          <w:szCs w:val="22"/>
          <w:lang w:val="es-ES"/>
        </w:rPr>
        <w:lastRenderedPageBreak/>
        <w:t xml:space="preserve">que es el órgano más </w:t>
      </w:r>
      <w:r w:rsidR="006D4663" w:rsidRPr="000060CE">
        <w:rPr>
          <w:szCs w:val="22"/>
          <w:lang w:val="es-ES"/>
        </w:rPr>
        <w:t>importante</w:t>
      </w:r>
      <w:r w:rsidR="009C5EF6" w:rsidRPr="000060CE">
        <w:rPr>
          <w:szCs w:val="22"/>
          <w:lang w:val="es-ES"/>
        </w:rPr>
        <w:t xml:space="preserve"> para la elaboración de legislación y </w:t>
      </w:r>
      <w:r w:rsidR="002A4CC3">
        <w:rPr>
          <w:szCs w:val="22"/>
          <w:lang w:val="es-ES"/>
        </w:rPr>
        <w:t xml:space="preserve">la </w:t>
      </w:r>
      <w:r w:rsidR="009C5EF6" w:rsidRPr="000060CE">
        <w:rPr>
          <w:szCs w:val="22"/>
          <w:lang w:val="es-ES"/>
        </w:rPr>
        <w:t>práctica en materia de P.I. internacional</w:t>
      </w:r>
      <w:r w:rsidR="006632A1" w:rsidRPr="000060CE">
        <w:rPr>
          <w:szCs w:val="22"/>
          <w:lang w:val="es-ES"/>
        </w:rPr>
        <w:t>.  N</w:t>
      </w:r>
      <w:r w:rsidR="009C5EF6" w:rsidRPr="000060CE">
        <w:rPr>
          <w:szCs w:val="22"/>
          <w:lang w:val="es-ES"/>
        </w:rPr>
        <w:t xml:space="preserve">uestra participación en reuniones </w:t>
      </w:r>
      <w:r w:rsidR="00640408" w:rsidRPr="000060CE">
        <w:rPr>
          <w:szCs w:val="22"/>
          <w:lang w:val="es-ES"/>
        </w:rPr>
        <w:t xml:space="preserve">y comités de carácter </w:t>
      </w:r>
      <w:r w:rsidR="009C5EF6" w:rsidRPr="000060CE">
        <w:rPr>
          <w:szCs w:val="22"/>
          <w:lang w:val="es-ES"/>
        </w:rPr>
        <w:t>técnic</w:t>
      </w:r>
      <w:r w:rsidR="00640408" w:rsidRPr="000060CE">
        <w:rPr>
          <w:szCs w:val="22"/>
          <w:lang w:val="es-ES"/>
        </w:rPr>
        <w:t>o</w:t>
      </w:r>
      <w:r w:rsidR="009C5EF6" w:rsidRPr="000060CE">
        <w:rPr>
          <w:szCs w:val="22"/>
          <w:lang w:val="es-ES"/>
        </w:rPr>
        <w:t xml:space="preserve"> y polític</w:t>
      </w:r>
      <w:r w:rsidR="00640408" w:rsidRPr="000060CE">
        <w:rPr>
          <w:szCs w:val="22"/>
          <w:lang w:val="es-ES"/>
        </w:rPr>
        <w:t>o</w:t>
      </w:r>
      <w:r w:rsidR="009C5EF6" w:rsidRPr="000060CE">
        <w:rPr>
          <w:szCs w:val="22"/>
          <w:lang w:val="es-ES"/>
        </w:rPr>
        <w:t xml:space="preserve"> </w:t>
      </w:r>
      <w:r w:rsidR="006D4663" w:rsidRPr="000060CE">
        <w:rPr>
          <w:szCs w:val="22"/>
          <w:lang w:val="es-ES"/>
        </w:rPr>
        <w:t>sirve de ayuda para</w:t>
      </w:r>
      <w:r w:rsidR="00640408" w:rsidRPr="000060CE">
        <w:rPr>
          <w:szCs w:val="22"/>
          <w:lang w:val="es-ES"/>
        </w:rPr>
        <w:t xml:space="preserve"> la presentación de solicitudes australianas </w:t>
      </w:r>
      <w:r w:rsidR="00253F79" w:rsidRPr="000060CE">
        <w:rPr>
          <w:szCs w:val="22"/>
          <w:lang w:val="es-ES"/>
        </w:rPr>
        <w:t>en</w:t>
      </w:r>
      <w:r w:rsidR="00640408" w:rsidRPr="000060CE">
        <w:rPr>
          <w:szCs w:val="22"/>
          <w:lang w:val="es-ES"/>
        </w:rPr>
        <w:t xml:space="preserve"> sistemas de P.I. internacionales racionalizados</w:t>
      </w:r>
      <w:r w:rsidR="00253F79" w:rsidRPr="000060CE">
        <w:rPr>
          <w:szCs w:val="22"/>
          <w:lang w:val="es-ES"/>
        </w:rPr>
        <w:t xml:space="preserve">, </w:t>
      </w:r>
      <w:r w:rsidR="00E73BA2">
        <w:rPr>
          <w:szCs w:val="22"/>
          <w:lang w:val="es-ES"/>
        </w:rPr>
        <w:t xml:space="preserve">lo que </w:t>
      </w:r>
      <w:r w:rsidR="00662BD1" w:rsidRPr="000060CE">
        <w:rPr>
          <w:szCs w:val="22"/>
          <w:lang w:val="es-ES"/>
        </w:rPr>
        <w:t xml:space="preserve">permite </w:t>
      </w:r>
      <w:r w:rsidR="006D4663" w:rsidRPr="000060CE">
        <w:rPr>
          <w:szCs w:val="22"/>
          <w:lang w:val="es-ES"/>
        </w:rPr>
        <w:t>mejorar la</w:t>
      </w:r>
      <w:r w:rsidR="00640408" w:rsidRPr="000060CE">
        <w:rPr>
          <w:szCs w:val="22"/>
          <w:lang w:val="es-ES"/>
        </w:rPr>
        <w:t xml:space="preserve"> calidad </w:t>
      </w:r>
      <w:r w:rsidR="006D4663" w:rsidRPr="000060CE">
        <w:rPr>
          <w:szCs w:val="22"/>
          <w:lang w:val="es-ES"/>
        </w:rPr>
        <w:t>mediante</w:t>
      </w:r>
      <w:r w:rsidR="00640408" w:rsidRPr="000060CE">
        <w:rPr>
          <w:szCs w:val="22"/>
          <w:lang w:val="es-ES"/>
        </w:rPr>
        <w:t xml:space="preserve"> iniciativas de trabajo compartido </w:t>
      </w:r>
      <w:r w:rsidR="006D4663" w:rsidRPr="000060CE">
        <w:rPr>
          <w:szCs w:val="22"/>
          <w:lang w:val="es-ES"/>
        </w:rPr>
        <w:t>entre o</w:t>
      </w:r>
      <w:r w:rsidR="00640408" w:rsidRPr="000060CE">
        <w:rPr>
          <w:szCs w:val="22"/>
          <w:lang w:val="es-ES"/>
        </w:rPr>
        <w:t>ficina</w:t>
      </w:r>
      <w:r w:rsidR="006D4663" w:rsidRPr="000060CE">
        <w:rPr>
          <w:szCs w:val="22"/>
          <w:lang w:val="es-ES"/>
        </w:rPr>
        <w:t>s</w:t>
      </w:r>
      <w:r w:rsidR="00253F79" w:rsidRPr="000060CE">
        <w:rPr>
          <w:szCs w:val="22"/>
          <w:lang w:val="es-ES"/>
        </w:rPr>
        <w:t>,</w:t>
      </w:r>
      <w:r w:rsidR="00640408" w:rsidRPr="000060CE">
        <w:rPr>
          <w:szCs w:val="22"/>
          <w:lang w:val="es-ES"/>
        </w:rPr>
        <w:t xml:space="preserve"> </w:t>
      </w:r>
      <w:r w:rsidR="00253F79" w:rsidRPr="000060CE">
        <w:rPr>
          <w:szCs w:val="22"/>
          <w:lang w:val="es-ES"/>
        </w:rPr>
        <w:t>así como la</w:t>
      </w:r>
      <w:r w:rsidR="00640408" w:rsidRPr="000060CE">
        <w:rPr>
          <w:szCs w:val="22"/>
          <w:lang w:val="es-ES"/>
        </w:rPr>
        <w:t xml:space="preserve"> usabilidad del PCT</w:t>
      </w:r>
      <w:r w:rsidR="006632A1" w:rsidRPr="000060CE">
        <w:rPr>
          <w:szCs w:val="22"/>
          <w:lang w:val="es-ES"/>
        </w:rPr>
        <w:t>.  L</w:t>
      </w:r>
      <w:r w:rsidR="00640408" w:rsidRPr="000060CE">
        <w:rPr>
          <w:szCs w:val="22"/>
          <w:lang w:val="es-ES"/>
        </w:rPr>
        <w:t>a continuidad de nuestra designaci</w:t>
      </w:r>
      <w:r w:rsidR="00662BD1" w:rsidRPr="000060CE">
        <w:rPr>
          <w:szCs w:val="22"/>
          <w:lang w:val="es-ES"/>
        </w:rPr>
        <w:t>ón como A</w:t>
      </w:r>
      <w:r w:rsidR="00640408" w:rsidRPr="000060CE">
        <w:rPr>
          <w:szCs w:val="22"/>
          <w:lang w:val="es-ES"/>
        </w:rPr>
        <w:t xml:space="preserve">dministración internacional </w:t>
      </w:r>
      <w:r w:rsidR="006D4663" w:rsidRPr="000060CE">
        <w:rPr>
          <w:szCs w:val="22"/>
          <w:lang w:val="es-ES"/>
        </w:rPr>
        <w:t>refuerza</w:t>
      </w:r>
      <w:r w:rsidR="00640408" w:rsidRPr="000060CE">
        <w:rPr>
          <w:szCs w:val="22"/>
          <w:lang w:val="es-ES"/>
        </w:rPr>
        <w:t xml:space="preserve"> nuestro compromiso internacional: como organización que trabaja para eliminar la brecha entre países en desarr</w:t>
      </w:r>
      <w:r w:rsidR="00662BD1" w:rsidRPr="000060CE">
        <w:rPr>
          <w:szCs w:val="22"/>
          <w:lang w:val="es-ES"/>
        </w:rPr>
        <w:t>ollo y desarrollados en la OMPI</w:t>
      </w:r>
      <w:r w:rsidR="00640408" w:rsidRPr="000060CE">
        <w:rPr>
          <w:szCs w:val="22"/>
          <w:lang w:val="es-ES"/>
        </w:rPr>
        <w:t xml:space="preserve"> mediante </w:t>
      </w:r>
      <w:r w:rsidR="00662BD1" w:rsidRPr="000060CE">
        <w:rPr>
          <w:szCs w:val="22"/>
          <w:lang w:val="es-ES"/>
        </w:rPr>
        <w:t>una oferta</w:t>
      </w:r>
      <w:r w:rsidR="00640408" w:rsidRPr="000060CE">
        <w:rPr>
          <w:szCs w:val="22"/>
          <w:lang w:val="es-ES"/>
        </w:rPr>
        <w:t xml:space="preserve"> de productos internacionales innovadores y la creación de capacidad en la región Asia-Pacífico</w:t>
      </w:r>
      <w:r w:rsidR="006632A1" w:rsidRPr="000060CE">
        <w:rPr>
          <w:szCs w:val="22"/>
          <w:lang w:val="es-ES"/>
        </w:rPr>
        <w:t>.  E</w:t>
      </w:r>
      <w:r w:rsidR="00640408" w:rsidRPr="000060CE">
        <w:rPr>
          <w:szCs w:val="22"/>
          <w:lang w:val="es-ES"/>
        </w:rPr>
        <w:t xml:space="preserve">sta actividad se realiza a través de </w:t>
      </w:r>
      <w:r w:rsidR="00253F79" w:rsidRPr="000060CE">
        <w:rPr>
          <w:szCs w:val="22"/>
          <w:lang w:val="es-ES"/>
        </w:rPr>
        <w:t xml:space="preserve">diversas </w:t>
      </w:r>
      <w:r w:rsidR="00640408" w:rsidRPr="000060CE">
        <w:rPr>
          <w:szCs w:val="22"/>
          <w:lang w:val="es-ES"/>
        </w:rPr>
        <w:t>actividades de colaboración y un liderazgo basado en el ejemplo.</w:t>
      </w:r>
    </w:p>
    <w:p w14:paraId="31211921" w14:textId="77777777" w:rsidR="00E2700D" w:rsidRPr="000060CE" w:rsidRDefault="00E2700D" w:rsidP="006720DC">
      <w:pPr>
        <w:rPr>
          <w:szCs w:val="22"/>
          <w:lang w:val="es-ES"/>
        </w:rPr>
      </w:pPr>
    </w:p>
    <w:p w14:paraId="3B6E16C3" w14:textId="3FFC1CCA" w:rsidR="006720DC" w:rsidRPr="000060CE" w:rsidRDefault="00E2700D" w:rsidP="006720DC">
      <w:pPr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Por ejemplo, el Programa regional de formación sobre el examen de patentes (RPET) ha sido una actividad continua merecedora de </w:t>
      </w:r>
      <w:r w:rsidR="006D4663" w:rsidRPr="000060CE">
        <w:rPr>
          <w:szCs w:val="22"/>
          <w:lang w:val="es-ES"/>
        </w:rPr>
        <w:t>varios</w:t>
      </w:r>
      <w:r w:rsidRPr="000060CE">
        <w:rPr>
          <w:szCs w:val="22"/>
          <w:lang w:val="es-ES"/>
        </w:rPr>
        <w:t xml:space="preserve"> reconocimientos y que ha recibido opiniones positivas de los participantes y de la comunidad mundial de P.I</w:t>
      </w:r>
      <w:r w:rsidR="00256CDD" w:rsidRPr="000060CE">
        <w:rPr>
          <w:szCs w:val="22"/>
          <w:lang w:val="es-ES"/>
        </w:rPr>
        <w:t>.  C</w:t>
      </w:r>
      <w:r w:rsidRPr="000060CE">
        <w:rPr>
          <w:szCs w:val="22"/>
          <w:lang w:val="es-ES"/>
        </w:rPr>
        <w:t>omo iniciativa líder mundial en formación virtual, el RPET sigue proporcionando un mecanismo fundamental para mejorar las prácticas de búsqueda y examen en la región</w:t>
      </w:r>
      <w:r w:rsidR="006632A1" w:rsidRPr="000060CE">
        <w:rPr>
          <w:szCs w:val="22"/>
          <w:lang w:val="es-ES"/>
        </w:rPr>
        <w:t>.  E</w:t>
      </w:r>
      <w:r w:rsidRPr="000060CE">
        <w:rPr>
          <w:szCs w:val="22"/>
          <w:lang w:val="es-ES"/>
        </w:rPr>
        <w:t>l RPET ofrece infraestructura y un programa de formación extremo a extremo exhaustivo que:</w:t>
      </w:r>
    </w:p>
    <w:p w14:paraId="096C0272" w14:textId="77777777" w:rsidR="006720DC" w:rsidRPr="000060CE" w:rsidRDefault="00E2700D" w:rsidP="006720DC">
      <w:pPr>
        <w:pStyle w:val="ListParagraph"/>
        <w:numPr>
          <w:ilvl w:val="0"/>
          <w:numId w:val="18"/>
        </w:numPr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proporciona </w:t>
      </w:r>
      <w:r w:rsidR="006D4663" w:rsidRPr="000060CE">
        <w:rPr>
          <w:szCs w:val="22"/>
          <w:lang w:val="es-ES"/>
        </w:rPr>
        <w:t xml:space="preserve">una </w:t>
      </w:r>
      <w:r w:rsidRPr="000060CE">
        <w:rPr>
          <w:szCs w:val="22"/>
          <w:lang w:val="es-ES"/>
        </w:rPr>
        <w:t>formación más sostenible sobre el examen de patentes a oficinas de otros países</w:t>
      </w:r>
      <w:r w:rsidR="006720DC" w:rsidRPr="000060CE">
        <w:rPr>
          <w:szCs w:val="22"/>
          <w:lang w:val="es-ES"/>
        </w:rPr>
        <w:t xml:space="preserve">; </w:t>
      </w:r>
      <w:r w:rsidRPr="000060CE">
        <w:rPr>
          <w:szCs w:val="22"/>
          <w:lang w:val="es-ES"/>
        </w:rPr>
        <w:t>y</w:t>
      </w:r>
    </w:p>
    <w:p w14:paraId="0FA68D75" w14:textId="77777777" w:rsidR="00E2700D" w:rsidRPr="000060CE" w:rsidRDefault="00E2700D" w:rsidP="006720DC">
      <w:pPr>
        <w:pStyle w:val="ListParagraph"/>
        <w:numPr>
          <w:ilvl w:val="0"/>
          <w:numId w:val="18"/>
        </w:numPr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puede </w:t>
      </w:r>
      <w:r w:rsidR="006D4663" w:rsidRPr="000060CE">
        <w:rPr>
          <w:szCs w:val="22"/>
          <w:lang w:val="es-ES"/>
        </w:rPr>
        <w:t>aprovecharse para</w:t>
      </w:r>
      <w:r w:rsidRPr="000060CE">
        <w:rPr>
          <w:szCs w:val="22"/>
          <w:lang w:val="es-ES"/>
        </w:rPr>
        <w:t xml:space="preserve"> apoyar in</w:t>
      </w:r>
      <w:r w:rsidR="0041497C" w:rsidRPr="000060CE">
        <w:rPr>
          <w:szCs w:val="22"/>
          <w:lang w:val="es-ES"/>
        </w:rPr>
        <w:t>i</w:t>
      </w:r>
      <w:r w:rsidRPr="000060CE">
        <w:rPr>
          <w:szCs w:val="22"/>
          <w:lang w:val="es-ES"/>
        </w:rPr>
        <w:t>ci</w:t>
      </w:r>
      <w:r w:rsidR="0041497C" w:rsidRPr="000060CE">
        <w:rPr>
          <w:szCs w:val="22"/>
          <w:lang w:val="es-ES"/>
        </w:rPr>
        <w:t>a</w:t>
      </w:r>
      <w:r w:rsidRPr="000060CE">
        <w:rPr>
          <w:szCs w:val="22"/>
          <w:lang w:val="es-ES"/>
        </w:rPr>
        <w:t xml:space="preserve">tivas de trabajo </w:t>
      </w:r>
      <w:r w:rsidR="0041497C" w:rsidRPr="000060CE">
        <w:rPr>
          <w:szCs w:val="22"/>
          <w:lang w:val="es-ES"/>
        </w:rPr>
        <w:t>en cooperación</w:t>
      </w:r>
      <w:r w:rsidRPr="000060CE">
        <w:rPr>
          <w:szCs w:val="22"/>
          <w:lang w:val="es-ES"/>
        </w:rPr>
        <w:t xml:space="preserve"> y compartido con otras oficinas de P.I.</w:t>
      </w:r>
    </w:p>
    <w:p w14:paraId="038D8445" w14:textId="77777777" w:rsidR="006720DC" w:rsidRPr="000060CE" w:rsidRDefault="006720DC" w:rsidP="006720DC">
      <w:pPr>
        <w:pStyle w:val="ListParagraph"/>
        <w:rPr>
          <w:szCs w:val="22"/>
          <w:lang w:val="es-ES"/>
        </w:rPr>
      </w:pPr>
    </w:p>
    <w:p w14:paraId="6717F879" w14:textId="77777777" w:rsidR="00213C33" w:rsidRPr="000060CE" w:rsidRDefault="004E7C57" w:rsidP="006720DC">
      <w:pPr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A través del RPET se mejoran las normas </w:t>
      </w:r>
      <w:r w:rsidR="00AB2A4A" w:rsidRPr="000060CE">
        <w:rPr>
          <w:szCs w:val="22"/>
          <w:lang w:val="es-ES"/>
        </w:rPr>
        <w:t>para el</w:t>
      </w:r>
      <w:r w:rsidRPr="000060CE">
        <w:rPr>
          <w:szCs w:val="22"/>
          <w:lang w:val="es-ES"/>
        </w:rPr>
        <w:t xml:space="preserve"> examen de patentes de las oficinas participan</w:t>
      </w:r>
      <w:r w:rsidR="00213C33" w:rsidRPr="000060CE">
        <w:rPr>
          <w:szCs w:val="22"/>
          <w:lang w:val="es-ES"/>
        </w:rPr>
        <w:t>tes</w:t>
      </w:r>
      <w:r w:rsidRPr="000060CE">
        <w:rPr>
          <w:szCs w:val="22"/>
          <w:lang w:val="es-ES"/>
        </w:rPr>
        <w:t xml:space="preserve">, lo que </w:t>
      </w:r>
      <w:r w:rsidR="00D26235">
        <w:rPr>
          <w:szCs w:val="22"/>
          <w:lang w:val="es-ES"/>
        </w:rPr>
        <w:t>permite disponer de procesos</w:t>
      </w:r>
      <w:r w:rsidR="00344193" w:rsidRPr="000060CE">
        <w:rPr>
          <w:szCs w:val="22"/>
          <w:lang w:val="es-ES"/>
        </w:rPr>
        <w:t xml:space="preserve"> </w:t>
      </w:r>
      <w:r w:rsidR="00D26235" w:rsidRPr="000060CE">
        <w:rPr>
          <w:szCs w:val="22"/>
          <w:lang w:val="es-ES"/>
        </w:rPr>
        <w:t xml:space="preserve">de concesión de patentes </w:t>
      </w:r>
      <w:r w:rsidR="00D26235">
        <w:rPr>
          <w:szCs w:val="22"/>
          <w:lang w:val="es-ES"/>
        </w:rPr>
        <w:t>de mayor</w:t>
      </w:r>
      <w:r w:rsidR="00344193" w:rsidRPr="000060CE">
        <w:rPr>
          <w:szCs w:val="22"/>
          <w:lang w:val="es-ES"/>
        </w:rPr>
        <w:t xml:space="preserve"> calidad </w:t>
      </w:r>
      <w:r w:rsidRPr="000060CE">
        <w:rPr>
          <w:szCs w:val="22"/>
          <w:lang w:val="es-ES"/>
        </w:rPr>
        <w:t xml:space="preserve">y </w:t>
      </w:r>
      <w:r w:rsidR="00AB2A4A" w:rsidRPr="000060CE">
        <w:rPr>
          <w:szCs w:val="22"/>
          <w:lang w:val="es-ES"/>
        </w:rPr>
        <w:t xml:space="preserve">aumenta la </w:t>
      </w:r>
      <w:r w:rsidRPr="000060CE">
        <w:rPr>
          <w:szCs w:val="22"/>
          <w:lang w:val="es-ES"/>
        </w:rPr>
        <w:t xml:space="preserve">confianza </w:t>
      </w:r>
      <w:r w:rsidR="00344193" w:rsidRPr="000060CE">
        <w:rPr>
          <w:szCs w:val="22"/>
          <w:lang w:val="es-ES"/>
        </w:rPr>
        <w:t>empresarial</w:t>
      </w:r>
      <w:r w:rsidRPr="000060CE">
        <w:rPr>
          <w:szCs w:val="22"/>
          <w:lang w:val="es-ES"/>
        </w:rPr>
        <w:t xml:space="preserve"> en toda la región ASEAN</w:t>
      </w:r>
      <w:r w:rsidR="006632A1" w:rsidRPr="000060CE">
        <w:rPr>
          <w:szCs w:val="22"/>
          <w:lang w:val="es-ES"/>
        </w:rPr>
        <w:t>.  U</w:t>
      </w:r>
      <w:r w:rsidRPr="000060CE">
        <w:rPr>
          <w:szCs w:val="22"/>
          <w:lang w:val="es-ES"/>
        </w:rPr>
        <w:t xml:space="preserve">na colaboración eficaz refuerza nuestra reputación como proveedor de calidad </w:t>
      </w:r>
      <w:r w:rsidR="00344193" w:rsidRPr="000060CE">
        <w:rPr>
          <w:szCs w:val="22"/>
          <w:lang w:val="es-ES"/>
        </w:rPr>
        <w:t xml:space="preserve">y </w:t>
      </w:r>
      <w:r w:rsidRPr="000060CE">
        <w:rPr>
          <w:szCs w:val="22"/>
          <w:lang w:val="es-ES"/>
        </w:rPr>
        <w:t xml:space="preserve">comprometido en la formación y el desarrollo en materia de P.I., al tiempo que fortalece las relaciones entre responsables </w:t>
      </w:r>
      <w:r w:rsidR="00344193" w:rsidRPr="000060CE">
        <w:rPr>
          <w:szCs w:val="22"/>
          <w:lang w:val="es-ES"/>
        </w:rPr>
        <w:t xml:space="preserve">y a nivel de trabajo </w:t>
      </w:r>
      <w:r w:rsidR="00AB2A4A" w:rsidRPr="000060CE">
        <w:rPr>
          <w:szCs w:val="22"/>
          <w:lang w:val="es-ES"/>
        </w:rPr>
        <w:t>con</w:t>
      </w:r>
      <w:r w:rsidRPr="000060CE">
        <w:rPr>
          <w:szCs w:val="22"/>
          <w:lang w:val="es-ES"/>
        </w:rPr>
        <w:t xml:space="preserve"> </w:t>
      </w:r>
      <w:r w:rsidR="00213C33" w:rsidRPr="000060CE">
        <w:rPr>
          <w:szCs w:val="22"/>
          <w:lang w:val="es-ES"/>
        </w:rPr>
        <w:t xml:space="preserve">las </w:t>
      </w:r>
      <w:r w:rsidR="00AB2A4A" w:rsidRPr="000060CE">
        <w:rPr>
          <w:szCs w:val="22"/>
          <w:lang w:val="es-ES"/>
        </w:rPr>
        <w:t>oficinas participantes</w:t>
      </w:r>
      <w:r w:rsidRPr="000060CE">
        <w:rPr>
          <w:szCs w:val="22"/>
          <w:lang w:val="es-ES"/>
        </w:rPr>
        <w:t xml:space="preserve"> y los asociados al programa.</w:t>
      </w:r>
    </w:p>
    <w:p w14:paraId="1DA416A5" w14:textId="3C10B567" w:rsidR="00213C33" w:rsidRPr="000060CE" w:rsidRDefault="00213C33" w:rsidP="00344193">
      <w:pPr>
        <w:tabs>
          <w:tab w:val="left" w:pos="7557"/>
        </w:tabs>
        <w:rPr>
          <w:szCs w:val="22"/>
          <w:lang w:val="es-ES"/>
        </w:rPr>
      </w:pPr>
    </w:p>
    <w:p w14:paraId="3B0585DE" w14:textId="1C42F801" w:rsidR="00B47AF9" w:rsidRPr="000060CE" w:rsidRDefault="00213C33" w:rsidP="006720DC">
      <w:pPr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Otro ejemplo de nuestro compromiso regional, el Fondo fiduciario de Australia en la OMPI, se estableció en 2012. Hemos trabajado estrechamente con la OMPI y con Estados miembros receptores para </w:t>
      </w:r>
      <w:r w:rsidR="000E55F8" w:rsidRPr="000060CE">
        <w:rPr>
          <w:szCs w:val="22"/>
          <w:lang w:val="es-ES"/>
        </w:rPr>
        <w:t>obtener</w:t>
      </w:r>
      <w:r w:rsidRPr="000060CE">
        <w:rPr>
          <w:szCs w:val="22"/>
          <w:lang w:val="es-ES"/>
        </w:rPr>
        <w:t xml:space="preserve"> resultados prácticos </w:t>
      </w:r>
      <w:r w:rsidR="00E73BA2">
        <w:rPr>
          <w:szCs w:val="22"/>
          <w:lang w:val="es-ES"/>
        </w:rPr>
        <w:t>para</w:t>
      </w:r>
      <w:r w:rsidR="000E55F8" w:rsidRPr="000060CE">
        <w:rPr>
          <w:szCs w:val="22"/>
          <w:lang w:val="es-ES"/>
        </w:rPr>
        <w:t xml:space="preserve"> la</w:t>
      </w:r>
      <w:r w:rsidRPr="000060CE">
        <w:rPr>
          <w:szCs w:val="22"/>
          <w:lang w:val="es-ES"/>
        </w:rPr>
        <w:t xml:space="preserve"> mejora de los sistemas de P.I. a </w:t>
      </w:r>
      <w:r w:rsidR="00E73BA2">
        <w:rPr>
          <w:szCs w:val="22"/>
          <w:lang w:val="es-ES"/>
        </w:rPr>
        <w:t>escala</w:t>
      </w:r>
      <w:r w:rsidRPr="000060CE">
        <w:rPr>
          <w:szCs w:val="22"/>
          <w:lang w:val="es-ES"/>
        </w:rPr>
        <w:t xml:space="preserve"> mundial, pero principalmente en la región del Índico-Pacifico</w:t>
      </w:r>
      <w:r w:rsidR="006632A1" w:rsidRPr="000060CE">
        <w:rPr>
          <w:szCs w:val="22"/>
          <w:lang w:val="es-ES"/>
        </w:rPr>
        <w:t>.  L</w:t>
      </w:r>
      <w:r w:rsidR="00212BB9" w:rsidRPr="000060CE">
        <w:rPr>
          <w:szCs w:val="22"/>
          <w:lang w:val="es-ES"/>
        </w:rPr>
        <w:t>a iniciativa</w:t>
      </w:r>
      <w:r w:rsidRPr="000060CE">
        <w:rPr>
          <w:szCs w:val="22"/>
          <w:lang w:val="es-ES"/>
        </w:rPr>
        <w:t xml:space="preserve"> WIPO Re:search ha sido especialmente exitosa, y ha facilitado </w:t>
      </w:r>
      <w:r w:rsidR="00212BB9" w:rsidRPr="000060CE">
        <w:rPr>
          <w:szCs w:val="22"/>
          <w:lang w:val="es-ES"/>
        </w:rPr>
        <w:t>la</w:t>
      </w:r>
      <w:r w:rsidRPr="000060CE">
        <w:rPr>
          <w:szCs w:val="22"/>
          <w:lang w:val="es-ES"/>
        </w:rPr>
        <w:t xml:space="preserve"> investigación en colaboración sobre enfermedades tropicales </w:t>
      </w:r>
      <w:r w:rsidR="00212BB9" w:rsidRPr="000060CE">
        <w:rPr>
          <w:szCs w:val="22"/>
          <w:lang w:val="es-ES"/>
        </w:rPr>
        <w:t>desatendidas</w:t>
      </w:r>
      <w:r w:rsidR="006632A1" w:rsidRPr="000060CE">
        <w:rPr>
          <w:szCs w:val="22"/>
          <w:lang w:val="es-ES"/>
        </w:rPr>
        <w:t xml:space="preserve">.  </w:t>
      </w:r>
      <w:r w:rsidR="004C230C">
        <w:rPr>
          <w:szCs w:val="22"/>
          <w:lang w:val="es-ES"/>
        </w:rPr>
        <w:t xml:space="preserve">La mejora de los sistemas, la </w:t>
      </w:r>
      <w:r w:rsidR="00212BB9" w:rsidRPr="000060CE">
        <w:rPr>
          <w:szCs w:val="22"/>
          <w:lang w:val="es-ES"/>
        </w:rPr>
        <w:t>administración y</w:t>
      </w:r>
      <w:r w:rsidR="004C230C">
        <w:rPr>
          <w:szCs w:val="22"/>
          <w:lang w:val="es-ES"/>
        </w:rPr>
        <w:t xml:space="preserve"> la</w:t>
      </w:r>
      <w:r w:rsidR="00212BB9" w:rsidRPr="000060CE">
        <w:rPr>
          <w:szCs w:val="22"/>
          <w:lang w:val="es-ES"/>
        </w:rPr>
        <w:t xml:space="preserve"> transferencia de tecnología </w:t>
      </w:r>
      <w:r w:rsidR="004C230C">
        <w:rPr>
          <w:szCs w:val="22"/>
          <w:lang w:val="es-ES"/>
        </w:rPr>
        <w:t xml:space="preserve">en materia de P.I. </w:t>
      </w:r>
      <w:r w:rsidR="00212BB9" w:rsidRPr="000060CE">
        <w:rPr>
          <w:szCs w:val="22"/>
          <w:lang w:val="es-ES"/>
        </w:rPr>
        <w:t xml:space="preserve">en la región también benefician a los australianos que desean </w:t>
      </w:r>
      <w:r w:rsidR="004C230C">
        <w:rPr>
          <w:szCs w:val="22"/>
          <w:lang w:val="es-ES"/>
        </w:rPr>
        <w:t>establecer relaciones comerciales</w:t>
      </w:r>
      <w:r w:rsidR="00212BB9" w:rsidRPr="000060CE">
        <w:rPr>
          <w:szCs w:val="22"/>
          <w:lang w:val="es-ES"/>
        </w:rPr>
        <w:t xml:space="preserve"> con esos países</w:t>
      </w:r>
      <w:r w:rsidR="006632A1" w:rsidRPr="000060CE">
        <w:rPr>
          <w:szCs w:val="22"/>
          <w:lang w:val="es-ES"/>
        </w:rPr>
        <w:t>.  E</w:t>
      </w:r>
      <w:r w:rsidR="000E55F8" w:rsidRPr="000060CE">
        <w:rPr>
          <w:szCs w:val="22"/>
          <w:lang w:val="es-ES"/>
        </w:rPr>
        <w:t>l F</w:t>
      </w:r>
      <w:r w:rsidR="00212BB9" w:rsidRPr="000060CE">
        <w:rPr>
          <w:szCs w:val="22"/>
          <w:lang w:val="es-ES"/>
        </w:rPr>
        <w:t>ondo fiduciario también proporciona una amplia gama de beneficios humanitarios coherentes con otras prioridades de mayor alcance del Gobierno de Australia (por ejemplo, el acceso a libros por personas con discapacidad visual en países en desarrollo)</w:t>
      </w:r>
      <w:r w:rsidR="006632A1" w:rsidRPr="000060CE">
        <w:rPr>
          <w:szCs w:val="22"/>
          <w:lang w:val="es-ES"/>
        </w:rPr>
        <w:t>.  E</w:t>
      </w:r>
      <w:r w:rsidR="00212BB9" w:rsidRPr="000060CE">
        <w:rPr>
          <w:szCs w:val="22"/>
          <w:lang w:val="es-ES"/>
        </w:rPr>
        <w:t xml:space="preserve">l </w:t>
      </w:r>
      <w:r w:rsidR="00FB7F04" w:rsidRPr="000060CE">
        <w:rPr>
          <w:szCs w:val="22"/>
          <w:lang w:val="es-ES"/>
        </w:rPr>
        <w:t>F</w:t>
      </w:r>
      <w:r w:rsidR="00212BB9" w:rsidRPr="000060CE">
        <w:rPr>
          <w:szCs w:val="22"/>
          <w:lang w:val="es-ES"/>
        </w:rPr>
        <w:t xml:space="preserve">ondo también ha </w:t>
      </w:r>
      <w:r w:rsidR="00FB7F04" w:rsidRPr="000060CE">
        <w:rPr>
          <w:szCs w:val="22"/>
          <w:lang w:val="es-ES"/>
        </w:rPr>
        <w:t>reforzado</w:t>
      </w:r>
      <w:r w:rsidR="00212BB9" w:rsidRPr="000060CE">
        <w:rPr>
          <w:szCs w:val="22"/>
          <w:lang w:val="es-ES"/>
        </w:rPr>
        <w:t xml:space="preserve"> el perfil, la credibilidad y la</w:t>
      </w:r>
      <w:r w:rsidR="00FB7F04" w:rsidRPr="000060CE">
        <w:rPr>
          <w:szCs w:val="22"/>
          <w:lang w:val="es-ES"/>
        </w:rPr>
        <w:t xml:space="preserve"> imagen de Australia en la OMPI, </w:t>
      </w:r>
      <w:r w:rsidR="00212BB9" w:rsidRPr="000060CE">
        <w:rPr>
          <w:szCs w:val="22"/>
          <w:lang w:val="es-ES"/>
        </w:rPr>
        <w:t xml:space="preserve">entre los Estados miembros y </w:t>
      </w:r>
      <w:r w:rsidR="00E73BA2">
        <w:rPr>
          <w:szCs w:val="22"/>
          <w:lang w:val="es-ES"/>
        </w:rPr>
        <w:t xml:space="preserve">ante </w:t>
      </w:r>
      <w:r w:rsidR="00212BB9" w:rsidRPr="000060CE">
        <w:rPr>
          <w:szCs w:val="22"/>
          <w:lang w:val="es-ES"/>
        </w:rPr>
        <w:t>la Secretaría de la OMPI</w:t>
      </w:r>
      <w:r w:rsidR="006632A1" w:rsidRPr="000060CE">
        <w:rPr>
          <w:szCs w:val="22"/>
          <w:lang w:val="es-ES"/>
        </w:rPr>
        <w:t>.  T</w:t>
      </w:r>
      <w:r w:rsidR="00212BB9" w:rsidRPr="000060CE">
        <w:rPr>
          <w:szCs w:val="22"/>
          <w:lang w:val="es-ES"/>
        </w:rPr>
        <w:t>odo ello fortalece nuestra reputación co</w:t>
      </w:r>
      <w:r w:rsidR="000E55F8" w:rsidRPr="000060CE">
        <w:rPr>
          <w:szCs w:val="22"/>
          <w:lang w:val="es-ES"/>
        </w:rPr>
        <w:t>mo</w:t>
      </w:r>
      <w:r w:rsidR="00212BB9" w:rsidRPr="000060CE">
        <w:rPr>
          <w:szCs w:val="22"/>
          <w:lang w:val="es-ES"/>
        </w:rPr>
        <w:t xml:space="preserve"> contribuyente constructivo a la agenda normativa de </w:t>
      </w:r>
      <w:r w:rsidR="000E55F8" w:rsidRPr="000060CE">
        <w:rPr>
          <w:szCs w:val="22"/>
          <w:lang w:val="es-ES"/>
        </w:rPr>
        <w:t>la OMPI</w:t>
      </w:r>
      <w:r w:rsidR="00B47AF9" w:rsidRPr="000060CE">
        <w:rPr>
          <w:szCs w:val="22"/>
          <w:lang w:val="es-ES"/>
        </w:rPr>
        <w:t xml:space="preserve"> y a un mayor alcance geográfico de los sistemas y servicios </w:t>
      </w:r>
      <w:r w:rsidR="000E55F8" w:rsidRPr="000060CE">
        <w:rPr>
          <w:szCs w:val="22"/>
          <w:lang w:val="es-ES"/>
        </w:rPr>
        <w:t>mundiales</w:t>
      </w:r>
      <w:r w:rsidR="00B47AF9" w:rsidRPr="000060CE">
        <w:rPr>
          <w:szCs w:val="22"/>
          <w:lang w:val="es-ES"/>
        </w:rPr>
        <w:t xml:space="preserve"> de la OMPI para partes interesadas </w:t>
      </w:r>
      <w:r w:rsidR="000E55F8" w:rsidRPr="000060CE">
        <w:rPr>
          <w:szCs w:val="22"/>
          <w:lang w:val="es-ES"/>
        </w:rPr>
        <w:t>empresariales</w:t>
      </w:r>
      <w:r w:rsidR="00B47AF9" w:rsidRPr="000060CE">
        <w:rPr>
          <w:szCs w:val="22"/>
          <w:lang w:val="es-ES"/>
        </w:rPr>
        <w:t xml:space="preserve">. </w:t>
      </w:r>
    </w:p>
    <w:p w14:paraId="5DED6BE4" w14:textId="77777777" w:rsidR="00B47AF9" w:rsidRPr="000060CE" w:rsidRDefault="00B47AF9" w:rsidP="006720DC">
      <w:pPr>
        <w:rPr>
          <w:szCs w:val="22"/>
          <w:lang w:val="es-ES"/>
        </w:rPr>
      </w:pPr>
    </w:p>
    <w:p w14:paraId="7850E649" w14:textId="5F2FD997" w:rsidR="006720DC" w:rsidRPr="000060CE" w:rsidRDefault="00B47AF9" w:rsidP="006720DC">
      <w:pPr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IP Australia tiene interés en </w:t>
      </w:r>
      <w:r w:rsidR="009C0C9E" w:rsidRPr="000060CE">
        <w:rPr>
          <w:szCs w:val="22"/>
          <w:lang w:val="es-ES"/>
        </w:rPr>
        <w:t>promover</w:t>
      </w:r>
      <w:r w:rsidRPr="000060CE">
        <w:rPr>
          <w:szCs w:val="22"/>
          <w:lang w:val="es-ES"/>
        </w:rPr>
        <w:t xml:space="preserve"> el desarrollo del sistema de P.I</w:t>
      </w:r>
      <w:r w:rsidR="009C0C9E" w:rsidRPr="000060CE">
        <w:rPr>
          <w:szCs w:val="22"/>
          <w:lang w:val="es-ES"/>
        </w:rPr>
        <w:t>. e</w:t>
      </w:r>
      <w:r w:rsidRPr="000060CE">
        <w:rPr>
          <w:szCs w:val="22"/>
          <w:lang w:val="es-ES"/>
        </w:rPr>
        <w:t>n beneficio de nuestros usuarios</w:t>
      </w:r>
      <w:r w:rsidR="00FB7F04" w:rsidRPr="000060CE">
        <w:rPr>
          <w:szCs w:val="22"/>
          <w:lang w:val="es-ES"/>
        </w:rPr>
        <w:t xml:space="preserve">, </w:t>
      </w:r>
      <w:r w:rsidRPr="000060CE">
        <w:rPr>
          <w:szCs w:val="22"/>
          <w:lang w:val="es-ES"/>
        </w:rPr>
        <w:t xml:space="preserve">trabajando en colaboración con otras oficinas de P.I. </w:t>
      </w:r>
      <w:r w:rsidR="009F16BE">
        <w:rPr>
          <w:szCs w:val="22"/>
          <w:lang w:val="es-ES"/>
        </w:rPr>
        <w:t>para</w:t>
      </w:r>
      <w:r w:rsidRPr="000060CE">
        <w:rPr>
          <w:szCs w:val="22"/>
          <w:lang w:val="es-ES"/>
        </w:rPr>
        <w:t xml:space="preserve"> influir en el desarrollo del sistema de P.I. a nivel regional y mundial</w:t>
      </w:r>
      <w:r w:rsidR="006632A1" w:rsidRPr="000060CE">
        <w:rPr>
          <w:szCs w:val="22"/>
          <w:lang w:val="es-ES"/>
        </w:rPr>
        <w:t>.  A</w:t>
      </w:r>
      <w:r w:rsidRPr="000060CE">
        <w:rPr>
          <w:szCs w:val="22"/>
          <w:lang w:val="es-ES"/>
        </w:rPr>
        <w:t xml:space="preserve"> tal fin</w:t>
      </w:r>
      <w:r w:rsidR="009C0C9E" w:rsidRPr="000060CE">
        <w:rPr>
          <w:szCs w:val="22"/>
          <w:lang w:val="es-ES"/>
        </w:rPr>
        <w:t>,</w:t>
      </w:r>
      <w:r w:rsidRPr="000060CE">
        <w:rPr>
          <w:szCs w:val="22"/>
          <w:lang w:val="es-ES"/>
        </w:rPr>
        <w:t xml:space="preserve"> trabajamos conjuntamente con oficinas de P.I. de tamaño medio, como la UK-IPO</w:t>
      </w:r>
      <w:r w:rsidR="009C0C9E" w:rsidRPr="000060CE">
        <w:rPr>
          <w:szCs w:val="22"/>
          <w:lang w:val="es-ES"/>
        </w:rPr>
        <w:t xml:space="preserve"> (Reino Unido) </w:t>
      </w:r>
      <w:r w:rsidRPr="000060CE">
        <w:rPr>
          <w:szCs w:val="22"/>
          <w:lang w:val="es-ES"/>
        </w:rPr>
        <w:t>y la CIPO</w:t>
      </w:r>
      <w:r w:rsidR="009C0C9E" w:rsidRPr="000060CE">
        <w:rPr>
          <w:szCs w:val="22"/>
          <w:lang w:val="es-ES"/>
        </w:rPr>
        <w:t xml:space="preserve"> (Canadá)</w:t>
      </w:r>
      <w:r w:rsidRPr="000060CE">
        <w:rPr>
          <w:szCs w:val="22"/>
          <w:lang w:val="es-ES"/>
        </w:rPr>
        <w:t xml:space="preserve">, </w:t>
      </w:r>
      <w:r w:rsidR="00FB7F04" w:rsidRPr="000060CE">
        <w:rPr>
          <w:szCs w:val="22"/>
          <w:lang w:val="es-ES"/>
        </w:rPr>
        <w:t>para</w:t>
      </w:r>
      <w:r w:rsidRPr="000060CE">
        <w:rPr>
          <w:szCs w:val="22"/>
          <w:lang w:val="es-ES"/>
        </w:rPr>
        <w:t xml:space="preserve"> comparti</w:t>
      </w:r>
      <w:r w:rsidR="00FB7F04" w:rsidRPr="000060CE">
        <w:rPr>
          <w:szCs w:val="22"/>
          <w:lang w:val="es-ES"/>
        </w:rPr>
        <w:t xml:space="preserve">r </w:t>
      </w:r>
      <w:r w:rsidRPr="000060CE">
        <w:rPr>
          <w:szCs w:val="22"/>
          <w:lang w:val="es-ES"/>
        </w:rPr>
        <w:t>estrategias de búsqueda así como con otros donantes en materia de creación de capacidad</w:t>
      </w:r>
      <w:r w:rsidR="00256CDD" w:rsidRPr="000060CE">
        <w:rPr>
          <w:szCs w:val="22"/>
          <w:lang w:val="es-ES"/>
        </w:rPr>
        <w:t>.  C</w:t>
      </w:r>
      <w:r w:rsidRPr="000060CE">
        <w:rPr>
          <w:szCs w:val="22"/>
          <w:lang w:val="es-ES"/>
        </w:rPr>
        <w:t>omo Administración encargada de la búsqueda internacional y Administración encargada del examen preliminar internacional podemos seguir influyendo en el desarrollo del sistema de P.I. internacional desde una posición d</w:t>
      </w:r>
      <w:r w:rsidR="009C0C9E" w:rsidRPr="000060CE">
        <w:rPr>
          <w:szCs w:val="22"/>
          <w:lang w:val="es-ES"/>
        </w:rPr>
        <w:t>e</w:t>
      </w:r>
      <w:r w:rsidRPr="000060CE">
        <w:rPr>
          <w:szCs w:val="22"/>
          <w:lang w:val="es-ES"/>
        </w:rPr>
        <w:t xml:space="preserve"> credibilidad operacional, </w:t>
      </w:r>
      <w:r w:rsidR="009C0C9E" w:rsidRPr="000060CE">
        <w:rPr>
          <w:szCs w:val="22"/>
          <w:lang w:val="es-ES"/>
        </w:rPr>
        <w:t>a</w:t>
      </w:r>
      <w:r w:rsidRPr="000060CE">
        <w:rPr>
          <w:szCs w:val="22"/>
          <w:lang w:val="es-ES"/>
        </w:rPr>
        <w:t>poyando a otros sistemas y oficinas de P.I</w:t>
      </w:r>
      <w:r w:rsidR="009C0C9E" w:rsidRPr="000060CE">
        <w:rPr>
          <w:szCs w:val="22"/>
          <w:lang w:val="es-ES"/>
        </w:rPr>
        <w:t>. de</w:t>
      </w:r>
      <w:r w:rsidRPr="000060CE">
        <w:rPr>
          <w:szCs w:val="22"/>
          <w:lang w:val="es-ES"/>
        </w:rPr>
        <w:t xml:space="preserve"> la región Asia-Pacífico</w:t>
      </w:r>
      <w:r w:rsidR="006632A1" w:rsidRPr="000060CE">
        <w:rPr>
          <w:szCs w:val="22"/>
          <w:lang w:val="es-ES"/>
        </w:rPr>
        <w:t>.  L</w:t>
      </w:r>
      <w:r w:rsidRPr="000060CE">
        <w:rPr>
          <w:szCs w:val="22"/>
          <w:lang w:val="es-ES"/>
        </w:rPr>
        <w:t xml:space="preserve">os servicios que proporcionamos como Administración encargada de la búsqueda internacional y Administración encargada del examen preliminar internacional </w:t>
      </w:r>
      <w:r w:rsidR="00E9342B" w:rsidRPr="000060CE">
        <w:rPr>
          <w:szCs w:val="22"/>
          <w:lang w:val="es-ES"/>
        </w:rPr>
        <w:t xml:space="preserve">son muy bien valorados y </w:t>
      </w:r>
      <w:r w:rsidR="009C0C9E" w:rsidRPr="000060CE">
        <w:rPr>
          <w:szCs w:val="22"/>
          <w:lang w:val="es-ES"/>
        </w:rPr>
        <w:t>reclamados</w:t>
      </w:r>
      <w:r w:rsidR="00E9342B" w:rsidRPr="000060CE">
        <w:rPr>
          <w:szCs w:val="22"/>
          <w:lang w:val="es-ES"/>
        </w:rPr>
        <w:t xml:space="preserve"> por innovadores australianos: la inmensa mayoría de </w:t>
      </w:r>
      <w:r w:rsidR="009C0C9E" w:rsidRPr="000060CE">
        <w:rPr>
          <w:szCs w:val="22"/>
          <w:lang w:val="es-ES"/>
        </w:rPr>
        <w:t>los solicitantes</w:t>
      </w:r>
      <w:r w:rsidR="00E9342B" w:rsidRPr="000060CE">
        <w:rPr>
          <w:szCs w:val="22"/>
          <w:lang w:val="es-ES"/>
        </w:rPr>
        <w:t xml:space="preserve"> australian</w:t>
      </w:r>
      <w:r w:rsidR="009C0C9E" w:rsidRPr="000060CE">
        <w:rPr>
          <w:szCs w:val="22"/>
          <w:lang w:val="es-ES"/>
        </w:rPr>
        <w:t>o</w:t>
      </w:r>
      <w:r w:rsidR="00E9342B" w:rsidRPr="000060CE">
        <w:rPr>
          <w:szCs w:val="22"/>
          <w:lang w:val="es-ES"/>
        </w:rPr>
        <w:t xml:space="preserve">s elijen Australia como su </w:t>
      </w:r>
      <w:r w:rsidR="00E9342B" w:rsidRPr="000060CE">
        <w:rPr>
          <w:szCs w:val="22"/>
          <w:lang w:val="es-ES"/>
        </w:rPr>
        <w:lastRenderedPageBreak/>
        <w:t>Administración encargada de la búsqueda internacional, e igualmente solicitantes de otras jurisdicciones, incluidos los Estados Unidos de América, Nueva Zelandia, Singapur, Malasia y la República de Corea, utilizan nuestros servicios como Administración encargada de la búsqueda internacional</w:t>
      </w:r>
      <w:r w:rsidR="006632A1" w:rsidRPr="000060CE">
        <w:rPr>
          <w:szCs w:val="22"/>
          <w:lang w:val="es-ES"/>
        </w:rPr>
        <w:t>.  P</w:t>
      </w:r>
      <w:r w:rsidR="00E9342B" w:rsidRPr="000060CE">
        <w:rPr>
          <w:szCs w:val="22"/>
          <w:lang w:val="es-ES"/>
        </w:rPr>
        <w:t xml:space="preserve">roporcionamos servicios de búsqueda y examen de patentes de categoría mundial en una </w:t>
      </w:r>
      <w:r w:rsidR="002667D1" w:rsidRPr="000060CE">
        <w:rPr>
          <w:szCs w:val="22"/>
          <w:lang w:val="es-ES"/>
        </w:rPr>
        <w:t>fase</w:t>
      </w:r>
      <w:r w:rsidR="00E9342B" w:rsidRPr="000060CE">
        <w:rPr>
          <w:szCs w:val="22"/>
          <w:lang w:val="es-ES"/>
        </w:rPr>
        <w:t xml:space="preserve"> temprana del proceso de solicitud de patente internacional</w:t>
      </w:r>
      <w:r w:rsidR="006632A1" w:rsidRPr="000060CE">
        <w:rPr>
          <w:szCs w:val="22"/>
          <w:lang w:val="es-ES"/>
        </w:rPr>
        <w:t>.  E</w:t>
      </w:r>
      <w:r w:rsidR="00E9342B" w:rsidRPr="000060CE">
        <w:rPr>
          <w:szCs w:val="22"/>
          <w:lang w:val="es-ES"/>
        </w:rPr>
        <w:t>llo supone un importante beneficio para la industria y la tecnología en Australia, en buena medida por la accesibilidad del personal de examen y apoyo para los solicitantes y/o sus asesores jurídicos</w:t>
      </w:r>
      <w:r w:rsidR="006632A1" w:rsidRPr="000060CE">
        <w:rPr>
          <w:szCs w:val="22"/>
          <w:lang w:val="es-ES"/>
        </w:rPr>
        <w:t>.  E</w:t>
      </w:r>
      <w:r w:rsidR="00E9342B" w:rsidRPr="000060CE">
        <w:rPr>
          <w:szCs w:val="22"/>
          <w:lang w:val="es-ES"/>
        </w:rPr>
        <w:t xml:space="preserve">llo significa la puesta a disposición de empresas y </w:t>
      </w:r>
      <w:r w:rsidR="002667D1" w:rsidRPr="000060CE">
        <w:rPr>
          <w:szCs w:val="22"/>
          <w:lang w:val="es-ES"/>
        </w:rPr>
        <w:t>d</w:t>
      </w:r>
      <w:r w:rsidR="00E9342B" w:rsidRPr="000060CE">
        <w:rPr>
          <w:szCs w:val="22"/>
          <w:lang w:val="es-ES"/>
        </w:rPr>
        <w:t xml:space="preserve">el sector de </w:t>
      </w:r>
      <w:r w:rsidR="009C0C9E" w:rsidRPr="000060CE">
        <w:rPr>
          <w:szCs w:val="22"/>
          <w:lang w:val="es-ES"/>
        </w:rPr>
        <w:t xml:space="preserve">la </w:t>
      </w:r>
      <w:r w:rsidR="00E9342B" w:rsidRPr="000060CE">
        <w:rPr>
          <w:szCs w:val="22"/>
          <w:lang w:val="es-ES"/>
        </w:rPr>
        <w:t xml:space="preserve">investigación </w:t>
      </w:r>
      <w:r w:rsidR="009C0C9E" w:rsidRPr="000060CE">
        <w:rPr>
          <w:szCs w:val="22"/>
          <w:lang w:val="es-ES"/>
        </w:rPr>
        <w:t xml:space="preserve">de </w:t>
      </w:r>
      <w:r w:rsidR="00E9342B" w:rsidRPr="000060CE">
        <w:rPr>
          <w:szCs w:val="22"/>
          <w:lang w:val="es-ES"/>
        </w:rPr>
        <w:t>una gran base de capacidades y conocimientos</w:t>
      </w:r>
      <w:r w:rsidR="006632A1" w:rsidRPr="000060CE">
        <w:rPr>
          <w:szCs w:val="22"/>
          <w:lang w:val="es-ES"/>
        </w:rPr>
        <w:t>.  E</w:t>
      </w:r>
      <w:r w:rsidR="0011224E" w:rsidRPr="000060CE">
        <w:rPr>
          <w:szCs w:val="22"/>
          <w:lang w:val="es-ES"/>
        </w:rPr>
        <w:t>s una</w:t>
      </w:r>
      <w:r w:rsidR="00E9342B" w:rsidRPr="000060CE">
        <w:rPr>
          <w:szCs w:val="22"/>
          <w:lang w:val="es-ES"/>
        </w:rPr>
        <w:t xml:space="preserve"> ayuda para </w:t>
      </w:r>
      <w:r w:rsidR="0011224E" w:rsidRPr="000060CE">
        <w:rPr>
          <w:szCs w:val="22"/>
          <w:lang w:val="es-ES"/>
        </w:rPr>
        <w:t xml:space="preserve">que </w:t>
      </w:r>
      <w:r w:rsidR="00E9342B" w:rsidRPr="000060CE">
        <w:rPr>
          <w:szCs w:val="22"/>
          <w:lang w:val="es-ES"/>
        </w:rPr>
        <w:t xml:space="preserve">los innovadores australianos </w:t>
      </w:r>
      <w:r w:rsidR="0011224E" w:rsidRPr="000060CE">
        <w:rPr>
          <w:szCs w:val="22"/>
          <w:lang w:val="es-ES"/>
        </w:rPr>
        <w:t>puedan</w:t>
      </w:r>
      <w:r w:rsidR="00E9342B" w:rsidRPr="000060CE">
        <w:rPr>
          <w:szCs w:val="22"/>
          <w:lang w:val="es-ES"/>
        </w:rPr>
        <w:t xml:space="preserve"> tomar decisiones tempranas </w:t>
      </w:r>
      <w:r w:rsidR="0011224E" w:rsidRPr="000060CE">
        <w:rPr>
          <w:szCs w:val="22"/>
          <w:lang w:val="es-ES"/>
        </w:rPr>
        <w:t>en relación con</w:t>
      </w:r>
      <w:r w:rsidR="00E9342B" w:rsidRPr="000060CE">
        <w:rPr>
          <w:szCs w:val="22"/>
          <w:lang w:val="es-ES"/>
        </w:rPr>
        <w:t xml:space="preserve"> sus solicitudes de patentes, </w:t>
      </w:r>
      <w:r w:rsidR="007238F2" w:rsidRPr="000060CE">
        <w:rPr>
          <w:szCs w:val="22"/>
          <w:lang w:val="es-ES"/>
        </w:rPr>
        <w:t xml:space="preserve">potencialmente </w:t>
      </w:r>
      <w:r w:rsidR="00E9342B" w:rsidRPr="000060CE">
        <w:rPr>
          <w:szCs w:val="22"/>
          <w:lang w:val="es-ES"/>
        </w:rPr>
        <w:t>ahorrándoles tiempo y dinero.</w:t>
      </w:r>
    </w:p>
    <w:p w14:paraId="529F8444" w14:textId="557CBF15" w:rsidR="006720DC" w:rsidRPr="000060CE" w:rsidRDefault="006720DC" w:rsidP="006720DC">
      <w:pPr>
        <w:pStyle w:val="SectionHeading"/>
        <w:rPr>
          <w:lang w:val="es-ES"/>
        </w:rPr>
      </w:pPr>
      <w:r w:rsidRPr="000060CE">
        <w:rPr>
          <w:lang w:val="es-ES"/>
        </w:rPr>
        <w:t xml:space="preserve">5 – </w:t>
      </w:r>
      <w:r w:rsidR="00E50F50" w:rsidRPr="000060CE">
        <w:rPr>
          <w:lang w:val="es-ES"/>
        </w:rPr>
        <w:t>PERFIL DE LAS SOLICITUDES DE PATENTE</w:t>
      </w:r>
      <w:r w:rsidR="008D50E6">
        <w:rPr>
          <w:lang w:val="es-ES"/>
        </w:rPr>
        <w:t>S</w:t>
      </w:r>
    </w:p>
    <w:p w14:paraId="4CA20762" w14:textId="77777777" w:rsidR="006720DC" w:rsidRPr="000060CE" w:rsidRDefault="00E50F50" w:rsidP="00B40E5F">
      <w:pPr>
        <w:rPr>
          <w:i/>
          <w:lang w:val="es-ES"/>
        </w:rPr>
      </w:pPr>
      <w:r w:rsidRPr="000060CE">
        <w:rPr>
          <w:i/>
          <w:lang w:val="es-ES"/>
        </w:rPr>
        <w:t>Fuente</w:t>
      </w:r>
      <w:r w:rsidR="006720DC" w:rsidRPr="000060CE">
        <w:rPr>
          <w:i/>
          <w:lang w:val="es-ES"/>
        </w:rPr>
        <w:t xml:space="preserve">: </w:t>
      </w:r>
      <w:r w:rsidR="009C0C9E" w:rsidRPr="000060CE">
        <w:rPr>
          <w:i/>
          <w:lang w:val="es-ES"/>
        </w:rPr>
        <w:t>e</w:t>
      </w:r>
      <w:r w:rsidRPr="000060CE">
        <w:rPr>
          <w:i/>
          <w:lang w:val="es-ES"/>
        </w:rPr>
        <w:t xml:space="preserve">quipo </w:t>
      </w:r>
      <w:r w:rsidR="002667D1" w:rsidRPr="000060CE">
        <w:rPr>
          <w:i/>
          <w:lang w:val="es-ES"/>
        </w:rPr>
        <w:t xml:space="preserve">interno </w:t>
      </w:r>
      <w:r w:rsidRPr="000060CE">
        <w:rPr>
          <w:i/>
          <w:lang w:val="es-ES"/>
        </w:rPr>
        <w:t xml:space="preserve">de </w:t>
      </w:r>
      <w:r w:rsidR="009C0C9E" w:rsidRPr="000060CE">
        <w:rPr>
          <w:i/>
          <w:lang w:val="es-ES"/>
        </w:rPr>
        <w:t>elaboración de informes</w:t>
      </w:r>
      <w:r w:rsidRPr="000060CE">
        <w:rPr>
          <w:i/>
          <w:lang w:val="es-ES"/>
        </w:rPr>
        <w:t xml:space="preserve"> de IP Australia </w:t>
      </w:r>
    </w:p>
    <w:p w14:paraId="7F021CE7" w14:textId="77777777" w:rsidR="006720DC" w:rsidRPr="000060CE" w:rsidRDefault="006720DC" w:rsidP="006720DC">
      <w:pPr>
        <w:rPr>
          <w:szCs w:val="22"/>
          <w:lang w:val="es-ES"/>
        </w:rPr>
      </w:pPr>
    </w:p>
    <w:p w14:paraId="0F1BD61D" w14:textId="6C1E9952" w:rsidR="006720DC" w:rsidRPr="000060CE" w:rsidRDefault="004F71B9" w:rsidP="006720DC">
      <w:pPr>
        <w:rPr>
          <w:rFonts w:eastAsiaTheme="minorHAnsi" w:cs="Times New Roman"/>
          <w:b/>
          <w:bCs/>
          <w:lang w:val="es-ES" w:eastAsia="en-US"/>
        </w:rPr>
      </w:pPr>
      <w:r w:rsidRPr="000060CE">
        <w:rPr>
          <w:rFonts w:eastAsiaTheme="minorHAnsi" w:cs="Times New Roman"/>
          <w:b/>
          <w:bCs/>
          <w:lang w:val="es-ES" w:eastAsia="en-US"/>
        </w:rPr>
        <w:t xml:space="preserve">Número de solicitudes </w:t>
      </w:r>
      <w:r w:rsidR="00533E17">
        <w:rPr>
          <w:rFonts w:eastAsiaTheme="minorHAnsi" w:cs="Times New Roman"/>
          <w:b/>
          <w:bCs/>
          <w:lang w:val="es-ES" w:eastAsia="en-US"/>
        </w:rPr>
        <w:t xml:space="preserve">de patente </w:t>
      </w:r>
      <w:r w:rsidRPr="000060CE">
        <w:rPr>
          <w:rFonts w:eastAsiaTheme="minorHAnsi" w:cs="Times New Roman"/>
          <w:b/>
          <w:bCs/>
          <w:lang w:val="es-ES" w:eastAsia="en-US"/>
        </w:rPr>
        <w:t>nacional recibidas</w:t>
      </w:r>
      <w:r w:rsidR="00533E17">
        <w:rPr>
          <w:rFonts w:eastAsiaTheme="minorHAnsi" w:cs="Times New Roman"/>
          <w:b/>
          <w:bCs/>
          <w:lang w:val="es-ES" w:eastAsia="en-US"/>
        </w:rPr>
        <w:t xml:space="preserve"> - por campo</w:t>
      </w:r>
      <w:r w:rsidRPr="000060CE">
        <w:rPr>
          <w:rFonts w:eastAsiaTheme="minorHAnsi" w:cs="Times New Roman"/>
          <w:b/>
          <w:bCs/>
          <w:lang w:val="es-ES" w:eastAsia="en-US"/>
        </w:rPr>
        <w:t xml:space="preserve"> técnico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276"/>
        <w:gridCol w:w="1276"/>
        <w:gridCol w:w="1276"/>
        <w:gridCol w:w="1275"/>
        <w:gridCol w:w="993"/>
      </w:tblGrid>
      <w:tr w:rsidR="00AD2807" w:rsidRPr="000060CE" w14:paraId="15F826CD" w14:textId="77777777" w:rsidTr="00694B84">
        <w:trPr>
          <w:trHeight w:val="292"/>
        </w:trPr>
        <w:tc>
          <w:tcPr>
            <w:tcW w:w="2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1C451" w14:textId="77777777" w:rsidR="006720DC" w:rsidRPr="000060CE" w:rsidRDefault="006720DC" w:rsidP="00694B84">
            <w:pPr>
              <w:rPr>
                <w:rFonts w:ascii="Times New Roman" w:eastAsia="Times New Roman" w:hAnsi="Times New Roman" w:cs="Times New Roman"/>
                <w:sz w:val="20"/>
                <w:lang w:val="es-ES" w:eastAsia="en-AU"/>
              </w:rPr>
            </w:pP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53098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2012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5F08A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2013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9B641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2014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1801A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2015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C50E5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2016</w:t>
            </w:r>
          </w:p>
        </w:tc>
      </w:tr>
      <w:tr w:rsidR="00AD2807" w:rsidRPr="000060CE" w14:paraId="699CF331" w14:textId="77777777" w:rsidTr="00694B84">
        <w:trPr>
          <w:trHeight w:val="292"/>
        </w:trPr>
        <w:tc>
          <w:tcPr>
            <w:tcW w:w="2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5567E" w14:textId="77777777" w:rsidR="006720DC" w:rsidRPr="000060CE" w:rsidRDefault="004F71B9" w:rsidP="00694B84">
            <w:pPr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No indexado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41FAD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4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00C16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4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C7279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05490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5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8F287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12</w:t>
            </w:r>
          </w:p>
        </w:tc>
      </w:tr>
      <w:tr w:rsidR="00AD2807" w:rsidRPr="000060CE" w14:paraId="5BF133C1" w14:textId="77777777" w:rsidTr="00694B84">
        <w:trPr>
          <w:trHeight w:val="292"/>
        </w:trPr>
        <w:tc>
          <w:tcPr>
            <w:tcW w:w="2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A89F3" w14:textId="5AC344C0" w:rsidR="006720DC" w:rsidRPr="000060CE" w:rsidRDefault="00533E17" w:rsidP="00694B84">
            <w:pPr>
              <w:rPr>
                <w:rFonts w:ascii="Calibri" w:eastAsiaTheme="minorHAnsi" w:hAnsi="Calibri" w:cs="Calibri"/>
                <w:szCs w:val="22"/>
                <w:lang w:val="es-ES"/>
              </w:rPr>
            </w:pPr>
            <w:r>
              <w:rPr>
                <w:rFonts w:eastAsiaTheme="minorHAnsi" w:cs="Times New Roman"/>
                <w:lang w:val="es-ES"/>
              </w:rPr>
              <w:t>Química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AFF61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8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881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3E662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10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144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A15A4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8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395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D1ED3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9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354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47460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9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205</w:t>
            </w:r>
          </w:p>
        </w:tc>
      </w:tr>
      <w:tr w:rsidR="00AD2807" w:rsidRPr="000060CE" w14:paraId="076D94D5" w14:textId="77777777" w:rsidTr="00694B84">
        <w:trPr>
          <w:trHeight w:val="292"/>
        </w:trPr>
        <w:tc>
          <w:tcPr>
            <w:tcW w:w="2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B6BBF" w14:textId="37B84E45" w:rsidR="006720DC" w:rsidRPr="000060CE" w:rsidRDefault="009C0C9E" w:rsidP="00533E17">
            <w:pPr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El</w:t>
            </w:r>
            <w:r w:rsidR="00533E17">
              <w:rPr>
                <w:rFonts w:eastAsiaTheme="minorHAnsi" w:cs="Times New Roman"/>
                <w:lang w:val="es-ES"/>
              </w:rPr>
              <w:t>e</w:t>
            </w:r>
            <w:r w:rsidRPr="000060CE">
              <w:rPr>
                <w:rFonts w:eastAsiaTheme="minorHAnsi" w:cs="Times New Roman"/>
                <w:lang w:val="es-ES"/>
              </w:rPr>
              <w:t>ctric</w:t>
            </w:r>
            <w:r w:rsidR="00533E17">
              <w:rPr>
                <w:rFonts w:eastAsiaTheme="minorHAnsi" w:cs="Times New Roman"/>
                <w:lang w:val="es-ES"/>
              </w:rPr>
              <w:t>idad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1692A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6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977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C1D84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625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51FB4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071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E1E06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943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299A7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979</w:t>
            </w:r>
          </w:p>
        </w:tc>
      </w:tr>
      <w:tr w:rsidR="00AD2807" w:rsidRPr="000060CE" w14:paraId="5FC648ED" w14:textId="77777777" w:rsidTr="00694B84">
        <w:trPr>
          <w:trHeight w:val="292"/>
        </w:trPr>
        <w:tc>
          <w:tcPr>
            <w:tcW w:w="2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357D8" w14:textId="653878C6" w:rsidR="006720DC" w:rsidRPr="000060CE" w:rsidRDefault="006720DC" w:rsidP="009C0C9E">
            <w:pPr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Mec</w:t>
            </w:r>
            <w:r w:rsidR="0044115F" w:rsidRPr="000060CE">
              <w:rPr>
                <w:rFonts w:eastAsiaTheme="minorHAnsi" w:cs="Times New Roman"/>
                <w:lang w:val="es-ES"/>
              </w:rPr>
              <w:t>ánic</w:t>
            </w:r>
            <w:r w:rsidR="00533E17">
              <w:rPr>
                <w:rFonts w:eastAsiaTheme="minorHAnsi" w:cs="Times New Roman"/>
                <w:lang w:val="es-ES"/>
              </w:rPr>
              <w:t>a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DB03E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10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477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F0BE5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883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83412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10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469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27540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326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8E280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227</w:t>
            </w:r>
          </w:p>
        </w:tc>
      </w:tr>
      <w:tr w:rsidR="00AD2807" w:rsidRPr="000060CE" w14:paraId="6E488773" w14:textId="77777777" w:rsidTr="00694B84">
        <w:trPr>
          <w:trHeight w:val="292"/>
        </w:trPr>
        <w:tc>
          <w:tcPr>
            <w:tcW w:w="22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892D3" w14:textId="77777777" w:rsidR="006720DC" w:rsidRPr="000060CE" w:rsidRDefault="006720DC" w:rsidP="00694B84">
            <w:pPr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Total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5839D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26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339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70B81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29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656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13C3E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25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937</w:t>
            </w:r>
          </w:p>
        </w:tc>
        <w:tc>
          <w:tcPr>
            <w:tcW w:w="1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0CAFA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28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628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791FE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28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423</w:t>
            </w:r>
          </w:p>
        </w:tc>
      </w:tr>
    </w:tbl>
    <w:p w14:paraId="6F81403C" w14:textId="155BBEB4" w:rsidR="006720DC" w:rsidRPr="000060CE" w:rsidRDefault="006720DC" w:rsidP="004F71B9">
      <w:pPr>
        <w:tabs>
          <w:tab w:val="left" w:pos="3364"/>
        </w:tabs>
        <w:rPr>
          <w:rFonts w:eastAsiaTheme="minorHAnsi" w:cs="Times New Roman"/>
          <w:lang w:val="es-ES" w:eastAsia="en-US"/>
        </w:rPr>
      </w:pPr>
    </w:p>
    <w:p w14:paraId="4C8A2892" w14:textId="427E28A2" w:rsidR="006720DC" w:rsidRPr="000060CE" w:rsidRDefault="004F71B9" w:rsidP="006720DC">
      <w:pPr>
        <w:rPr>
          <w:rFonts w:eastAsiaTheme="minorHAnsi" w:cs="Times New Roman"/>
          <w:b/>
          <w:bCs/>
          <w:lang w:val="es-ES" w:eastAsia="en-US"/>
        </w:rPr>
      </w:pPr>
      <w:r w:rsidRPr="000060CE">
        <w:rPr>
          <w:rFonts w:eastAsiaTheme="minorHAnsi" w:cs="Times New Roman"/>
          <w:b/>
          <w:bCs/>
          <w:lang w:val="es-ES" w:eastAsia="en-US"/>
        </w:rPr>
        <w:t xml:space="preserve">Número de solicitudes nacionales recibidas </w:t>
      </w:r>
      <w:r w:rsidR="006720DC" w:rsidRPr="000060CE">
        <w:rPr>
          <w:rFonts w:eastAsiaTheme="minorHAnsi" w:cs="Times New Roman"/>
          <w:b/>
          <w:bCs/>
          <w:lang w:val="es-ES" w:eastAsia="en-US"/>
        </w:rPr>
        <w:t xml:space="preserve">– </w:t>
      </w:r>
      <w:r w:rsidRPr="000060CE">
        <w:rPr>
          <w:rFonts w:eastAsiaTheme="minorHAnsi" w:cs="Times New Roman"/>
          <w:b/>
          <w:bCs/>
          <w:lang w:val="es-ES" w:eastAsia="en-US"/>
        </w:rPr>
        <w:t>según la vía</w:t>
      </w:r>
      <w:r w:rsidR="00533E17">
        <w:rPr>
          <w:rFonts w:eastAsiaTheme="minorHAnsi" w:cs="Times New Roman"/>
          <w:b/>
          <w:bCs/>
          <w:lang w:val="es-ES" w:eastAsia="en-US"/>
        </w:rPr>
        <w:t xml:space="preserve"> utilizada</w:t>
      </w:r>
    </w:p>
    <w:tbl>
      <w:tblPr>
        <w:tblW w:w="86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134"/>
        <w:gridCol w:w="1134"/>
        <w:gridCol w:w="993"/>
        <w:gridCol w:w="1134"/>
        <w:gridCol w:w="1134"/>
      </w:tblGrid>
      <w:tr w:rsidR="00AD2807" w:rsidRPr="000060CE" w14:paraId="69FAD38D" w14:textId="77777777" w:rsidTr="0003677B">
        <w:trPr>
          <w:trHeight w:val="312"/>
        </w:trPr>
        <w:tc>
          <w:tcPr>
            <w:tcW w:w="3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33CBB" w14:textId="77777777" w:rsidR="006720DC" w:rsidRPr="000060CE" w:rsidRDefault="006720DC" w:rsidP="00694B84">
            <w:pPr>
              <w:rPr>
                <w:rFonts w:ascii="Times New Roman" w:eastAsia="Times New Roman" w:hAnsi="Times New Roman" w:cs="Times New Roman"/>
                <w:sz w:val="20"/>
                <w:lang w:val="es-ES"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DCE05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2012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54180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2013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EA15F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17323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2015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AACF9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2016</w:t>
            </w:r>
          </w:p>
        </w:tc>
      </w:tr>
      <w:tr w:rsidR="00AD2807" w:rsidRPr="000060CE" w14:paraId="4AE20359" w14:textId="77777777" w:rsidTr="0003677B">
        <w:trPr>
          <w:trHeight w:val="312"/>
        </w:trPr>
        <w:tc>
          <w:tcPr>
            <w:tcW w:w="3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2B53E" w14:textId="335629C7" w:rsidR="006720DC" w:rsidRPr="000060CE" w:rsidRDefault="00BA3614" w:rsidP="00BA3614">
            <w:pPr>
              <w:rPr>
                <w:rFonts w:eastAsiaTheme="minorHAnsi" w:cs="Times New Roman"/>
                <w:lang w:val="es-ES"/>
              </w:rPr>
            </w:pPr>
            <w:r>
              <w:rPr>
                <w:rFonts w:eastAsiaTheme="minorHAnsi" w:cs="Times New Roman"/>
                <w:lang w:val="es-ES"/>
              </w:rPr>
              <w:t>Normalizada d</w:t>
            </w:r>
            <w:r w:rsidR="004F71B9" w:rsidRPr="000060CE">
              <w:rPr>
                <w:rFonts w:eastAsiaTheme="minorHAnsi" w:cs="Times New Roman"/>
                <w:lang w:val="es-ES"/>
              </w:rPr>
              <w:t xml:space="preserve">irecta </w:t>
            </w:r>
            <w:r w:rsidR="006720DC" w:rsidRPr="000060CE">
              <w:rPr>
                <w:rFonts w:eastAsiaTheme="minorHAnsi" w:cs="Times New Roman"/>
                <w:lang w:val="es-ES"/>
              </w:rPr>
              <w:t>(AU)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F060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553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7F73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776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19D2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223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6C39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371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A5DE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620</w:t>
            </w:r>
          </w:p>
        </w:tc>
      </w:tr>
      <w:tr w:rsidR="00AD2807" w:rsidRPr="000060CE" w14:paraId="7320E1E0" w14:textId="77777777" w:rsidTr="0003677B">
        <w:trPr>
          <w:trHeight w:val="312"/>
        </w:trPr>
        <w:tc>
          <w:tcPr>
            <w:tcW w:w="3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75508" w14:textId="4D7E2600" w:rsidR="006720DC" w:rsidRPr="000060CE" w:rsidRDefault="00BA3614" w:rsidP="00533E17">
            <w:pPr>
              <w:rPr>
                <w:rFonts w:eastAsiaTheme="minorHAnsi" w:cs="Times New Roman"/>
                <w:lang w:val="es-ES"/>
              </w:rPr>
            </w:pPr>
            <w:r>
              <w:rPr>
                <w:rFonts w:eastAsiaTheme="minorHAnsi" w:cs="Times New Roman"/>
                <w:lang w:val="es-ES"/>
              </w:rPr>
              <w:t>Normalizada d</w:t>
            </w:r>
            <w:r w:rsidR="004F71B9" w:rsidRPr="000060CE">
              <w:rPr>
                <w:rFonts w:eastAsiaTheme="minorHAnsi" w:cs="Times New Roman"/>
                <w:lang w:val="es-ES"/>
              </w:rPr>
              <w:t>irecta (</w:t>
            </w:r>
            <w:r w:rsidR="00533E17">
              <w:rPr>
                <w:rFonts w:eastAsiaTheme="minorHAnsi" w:cs="Times New Roman"/>
                <w:lang w:val="es-ES"/>
              </w:rPr>
              <w:t>no</w:t>
            </w:r>
            <w:r w:rsidR="006720DC" w:rsidRPr="000060CE">
              <w:rPr>
                <w:rFonts w:eastAsiaTheme="minorHAnsi" w:cs="Times New Roman"/>
                <w:lang w:val="es-ES"/>
              </w:rPr>
              <w:t xml:space="preserve"> AU)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FCBB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5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678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7031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179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F4F8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5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520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C0F6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6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193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6260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400</w:t>
            </w:r>
          </w:p>
        </w:tc>
      </w:tr>
      <w:tr w:rsidR="00AD2807" w:rsidRPr="000060CE" w14:paraId="17888C04" w14:textId="77777777" w:rsidTr="0003677B">
        <w:trPr>
          <w:trHeight w:val="312"/>
        </w:trPr>
        <w:tc>
          <w:tcPr>
            <w:tcW w:w="3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648E2" w14:textId="77777777" w:rsidR="006720DC" w:rsidRPr="000060CE" w:rsidRDefault="004F71B9" w:rsidP="004F71B9">
            <w:pPr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 xml:space="preserve">Entrada en la fase nacional 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6DF57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19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108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2F342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701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AFF1E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19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194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A216E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21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064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1326D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19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403</w:t>
            </w:r>
          </w:p>
        </w:tc>
      </w:tr>
      <w:tr w:rsidR="00AD2807" w:rsidRPr="000060CE" w14:paraId="717935BB" w14:textId="77777777" w:rsidTr="0003677B">
        <w:trPr>
          <w:trHeight w:val="312"/>
        </w:trPr>
        <w:tc>
          <w:tcPr>
            <w:tcW w:w="3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03836" w14:textId="77777777" w:rsidR="006720DC" w:rsidRPr="000060CE" w:rsidRDefault="006720DC" w:rsidP="00694B84">
            <w:pPr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Total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969C1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26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339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AC796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29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656</w:t>
            </w:r>
          </w:p>
        </w:tc>
        <w:tc>
          <w:tcPr>
            <w:tcW w:w="9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7A15B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25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937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5EE0F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28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628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A92AA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28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423</w:t>
            </w:r>
          </w:p>
        </w:tc>
      </w:tr>
    </w:tbl>
    <w:p w14:paraId="520F4D0E" w14:textId="7BAFAC0B" w:rsidR="006720DC" w:rsidRPr="000060CE" w:rsidRDefault="006720DC" w:rsidP="004F71B9">
      <w:pPr>
        <w:tabs>
          <w:tab w:val="left" w:pos="2085"/>
        </w:tabs>
        <w:rPr>
          <w:rFonts w:eastAsiaTheme="minorHAnsi" w:cs="Times New Roman"/>
          <w:lang w:val="es-ES" w:eastAsia="en-US"/>
        </w:rPr>
      </w:pPr>
    </w:p>
    <w:p w14:paraId="300BF152" w14:textId="5306775C" w:rsidR="006720DC" w:rsidRPr="000060CE" w:rsidRDefault="004F71B9" w:rsidP="006720DC">
      <w:pPr>
        <w:rPr>
          <w:rFonts w:eastAsiaTheme="minorHAnsi" w:cs="Times New Roman"/>
          <w:b/>
          <w:bCs/>
          <w:lang w:val="es-ES" w:eastAsia="en-US"/>
        </w:rPr>
      </w:pPr>
      <w:r w:rsidRPr="000060CE">
        <w:rPr>
          <w:rFonts w:eastAsiaTheme="minorHAnsi" w:cs="Times New Roman"/>
          <w:b/>
          <w:bCs/>
          <w:lang w:val="es-ES" w:eastAsia="en-US"/>
        </w:rPr>
        <w:t>Número de solicitudes internacionales recibidas como</w:t>
      </w:r>
      <w:r w:rsidR="008740AF" w:rsidRPr="000060CE">
        <w:rPr>
          <w:rFonts w:eastAsiaTheme="minorHAnsi" w:cs="Times New Roman"/>
          <w:b/>
          <w:bCs/>
          <w:lang w:val="es-ES" w:eastAsia="en-US"/>
        </w:rPr>
        <w:t xml:space="preserve"> </w:t>
      </w:r>
      <w:r w:rsidR="00533E17" w:rsidRPr="000060CE">
        <w:rPr>
          <w:rFonts w:eastAsiaTheme="minorHAnsi" w:cs="Times New Roman"/>
          <w:b/>
          <w:bCs/>
          <w:lang w:val="es-ES" w:eastAsia="en-US"/>
        </w:rPr>
        <w:t xml:space="preserve">Oficina </w:t>
      </w:r>
      <w:r w:rsidR="008740AF" w:rsidRPr="000060CE">
        <w:rPr>
          <w:rFonts w:eastAsiaTheme="minorHAnsi" w:cs="Times New Roman"/>
          <w:b/>
          <w:bCs/>
          <w:lang w:val="es-ES" w:eastAsia="en-US"/>
        </w:rPr>
        <w:t>receptora</w:t>
      </w:r>
      <w:r w:rsidR="00533E17">
        <w:rPr>
          <w:rFonts w:eastAsiaTheme="minorHAnsi" w:cs="Times New Roman"/>
          <w:b/>
          <w:bCs/>
          <w:lang w:val="es-ES" w:eastAsia="en-US"/>
        </w:rPr>
        <w:t xml:space="preserve"> PCT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418"/>
        <w:gridCol w:w="1417"/>
        <w:gridCol w:w="1276"/>
        <w:gridCol w:w="1134"/>
        <w:gridCol w:w="1276"/>
      </w:tblGrid>
      <w:tr w:rsidR="00AD2807" w:rsidRPr="000060CE" w14:paraId="00A14D64" w14:textId="77777777" w:rsidTr="00694B84">
        <w:trPr>
          <w:trHeight w:val="305"/>
        </w:trPr>
        <w:tc>
          <w:tcPr>
            <w:tcW w:w="18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5AB75" w14:textId="77777777" w:rsidR="006720DC" w:rsidRPr="000060CE" w:rsidRDefault="006720DC" w:rsidP="00694B84">
            <w:pPr>
              <w:rPr>
                <w:rFonts w:ascii="Times New Roman" w:eastAsia="Times New Roman" w:hAnsi="Times New Roman" w:cs="Times New Roman"/>
                <w:sz w:val="20"/>
                <w:lang w:val="es-ES" w:eastAsia="en-AU"/>
              </w:rPr>
            </w:pP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F8B16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2012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78DD5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2013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8D8C1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03CAD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2015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4AD84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2016</w:t>
            </w:r>
          </w:p>
        </w:tc>
      </w:tr>
      <w:tr w:rsidR="00AD2807" w:rsidRPr="000060CE" w14:paraId="482618E5" w14:textId="77777777" w:rsidTr="00694B84">
        <w:trPr>
          <w:trHeight w:val="305"/>
        </w:trPr>
        <w:tc>
          <w:tcPr>
            <w:tcW w:w="18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29DCA" w14:textId="77777777" w:rsidR="006720DC" w:rsidRPr="000060CE" w:rsidRDefault="008740AF" w:rsidP="00694B84">
            <w:pPr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No registradas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C2B86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32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E6A26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B3608" w14:textId="77777777" w:rsidR="006720DC" w:rsidRPr="000060CE" w:rsidRDefault="006720DC" w:rsidP="00694B84">
            <w:pPr>
              <w:rPr>
                <w:rFonts w:ascii="Times New Roman" w:eastAsia="Times New Roman" w:hAnsi="Times New Roman" w:cs="Times New Roman"/>
                <w:sz w:val="20"/>
                <w:lang w:val="es-ES" w:eastAsia="en-AU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49F0F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6C73C" w14:textId="77777777" w:rsidR="006720DC" w:rsidRPr="000060CE" w:rsidRDefault="006720DC" w:rsidP="00694B84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6</w:t>
            </w:r>
          </w:p>
        </w:tc>
      </w:tr>
      <w:tr w:rsidR="009C0C9E" w:rsidRPr="000060CE" w14:paraId="5EEF3903" w14:textId="77777777" w:rsidTr="00694B84">
        <w:trPr>
          <w:trHeight w:val="305"/>
        </w:trPr>
        <w:tc>
          <w:tcPr>
            <w:tcW w:w="18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5E9B2" w14:textId="488B7750" w:rsidR="009C0C9E" w:rsidRPr="000060CE" w:rsidRDefault="00533E17" w:rsidP="009C0C9E">
            <w:pPr>
              <w:rPr>
                <w:rFonts w:ascii="Calibri" w:eastAsiaTheme="minorHAnsi" w:hAnsi="Calibri" w:cs="Calibri"/>
                <w:szCs w:val="22"/>
                <w:lang w:val="es-ES"/>
              </w:rPr>
            </w:pPr>
            <w:r>
              <w:rPr>
                <w:rFonts w:eastAsiaTheme="minorHAnsi" w:cs="Times New Roman"/>
                <w:lang w:val="es-ES"/>
              </w:rPr>
              <w:t>Química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35012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753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38681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744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BACAC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744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C29F6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669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2965D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595</w:t>
            </w:r>
          </w:p>
        </w:tc>
      </w:tr>
      <w:tr w:rsidR="009C0C9E" w:rsidRPr="000060CE" w14:paraId="3DBAB587" w14:textId="77777777" w:rsidTr="00694B84">
        <w:trPr>
          <w:trHeight w:val="305"/>
        </w:trPr>
        <w:tc>
          <w:tcPr>
            <w:tcW w:w="18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B1005" w14:textId="75DD0509" w:rsidR="009C0C9E" w:rsidRPr="000060CE" w:rsidRDefault="009C0C9E" w:rsidP="00533E17">
            <w:pPr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El</w:t>
            </w:r>
            <w:r w:rsidR="00533E17">
              <w:rPr>
                <w:rFonts w:eastAsiaTheme="minorHAnsi" w:cs="Times New Roman"/>
                <w:lang w:val="es-ES"/>
              </w:rPr>
              <w:t>e</w:t>
            </w:r>
            <w:r w:rsidRPr="000060CE">
              <w:rPr>
                <w:rFonts w:eastAsiaTheme="minorHAnsi" w:cs="Times New Roman"/>
                <w:lang w:val="es-ES"/>
              </w:rPr>
              <w:t>ctric</w:t>
            </w:r>
            <w:r w:rsidR="00533E17">
              <w:rPr>
                <w:rFonts w:eastAsiaTheme="minorHAnsi" w:cs="Times New Roman"/>
                <w:lang w:val="es-ES"/>
              </w:rPr>
              <w:t>idad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240D2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920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D8A30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828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B1B5F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832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5CD60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877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4A8C0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774</w:t>
            </w:r>
          </w:p>
        </w:tc>
      </w:tr>
      <w:tr w:rsidR="009C0C9E" w:rsidRPr="000060CE" w14:paraId="76219361" w14:textId="77777777" w:rsidTr="00694B84">
        <w:trPr>
          <w:trHeight w:val="305"/>
        </w:trPr>
        <w:tc>
          <w:tcPr>
            <w:tcW w:w="18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2C579" w14:textId="729BE9E6" w:rsidR="009C0C9E" w:rsidRPr="000060CE" w:rsidRDefault="00533E17" w:rsidP="009C0C9E">
            <w:pPr>
              <w:rPr>
                <w:rFonts w:ascii="Calibri" w:eastAsiaTheme="minorHAnsi" w:hAnsi="Calibri" w:cs="Calibri"/>
                <w:szCs w:val="22"/>
                <w:lang w:val="es-ES"/>
              </w:rPr>
            </w:pPr>
            <w:r>
              <w:rPr>
                <w:rFonts w:eastAsiaTheme="minorHAnsi" w:cs="Times New Roman"/>
                <w:lang w:val="es-ES"/>
              </w:rPr>
              <w:t>Mecánica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E8D19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1.208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7BF43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1.113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15C9B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1.167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A9C78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1.120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19298" w14:textId="77777777" w:rsidR="009C0C9E" w:rsidRPr="000060CE" w:rsidRDefault="009C0C9E" w:rsidP="009C0C9E">
            <w:pPr>
              <w:jc w:val="right"/>
              <w:rPr>
                <w:rFonts w:ascii="Calibri" w:eastAsiaTheme="minorHAnsi" w:hAnsi="Calibri" w:cs="Calibri"/>
                <w:szCs w:val="22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1.081</w:t>
            </w:r>
          </w:p>
        </w:tc>
      </w:tr>
      <w:tr w:rsidR="00AD2807" w:rsidRPr="000060CE" w14:paraId="3F0BD7C6" w14:textId="77777777" w:rsidTr="00694B84">
        <w:trPr>
          <w:trHeight w:val="305"/>
        </w:trPr>
        <w:tc>
          <w:tcPr>
            <w:tcW w:w="18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FD8FE" w14:textId="77777777" w:rsidR="006720DC" w:rsidRPr="000060CE" w:rsidRDefault="006720DC" w:rsidP="00694B84">
            <w:pPr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Total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D4395A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913</w:t>
            </w: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90A91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687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70597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743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E2C13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667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DB3E9" w14:textId="77777777" w:rsidR="006720DC" w:rsidRPr="000060CE" w:rsidRDefault="006720DC" w:rsidP="00694B84">
            <w:pPr>
              <w:jc w:val="right"/>
              <w:rPr>
                <w:rFonts w:eastAsiaTheme="minorHAnsi" w:cs="Times New Roman"/>
                <w:lang w:val="es-ES"/>
              </w:rPr>
            </w:pPr>
            <w:r w:rsidRPr="000060CE">
              <w:rPr>
                <w:rFonts w:eastAsiaTheme="minorHAnsi" w:cs="Times New Roman"/>
                <w:lang w:val="es-ES"/>
              </w:rPr>
              <w:t>2</w:t>
            </w:r>
            <w:r w:rsidR="00E90B20" w:rsidRPr="000060CE">
              <w:rPr>
                <w:rFonts w:eastAsiaTheme="minorHAnsi" w:cs="Times New Roman"/>
                <w:lang w:val="es-ES"/>
              </w:rPr>
              <w:t>.</w:t>
            </w:r>
            <w:r w:rsidRPr="000060CE">
              <w:rPr>
                <w:rFonts w:eastAsiaTheme="minorHAnsi" w:cs="Times New Roman"/>
                <w:lang w:val="es-ES"/>
              </w:rPr>
              <w:t>456</w:t>
            </w:r>
          </w:p>
        </w:tc>
      </w:tr>
    </w:tbl>
    <w:p w14:paraId="44619082" w14:textId="77777777" w:rsidR="006720DC" w:rsidRPr="000060CE" w:rsidRDefault="006720DC" w:rsidP="006720DC">
      <w:pPr>
        <w:rPr>
          <w:szCs w:val="22"/>
          <w:lang w:val="es-ES"/>
        </w:rPr>
      </w:pPr>
    </w:p>
    <w:p w14:paraId="6DF1B34D" w14:textId="77777777" w:rsidR="006720DC" w:rsidRPr="000060CE" w:rsidRDefault="008740AF" w:rsidP="001D0D5B">
      <w:pPr>
        <w:keepNext/>
        <w:rPr>
          <w:b/>
          <w:lang w:val="es-ES"/>
        </w:rPr>
      </w:pPr>
      <w:r w:rsidRPr="000060CE">
        <w:rPr>
          <w:b/>
          <w:lang w:val="es-ES"/>
        </w:rPr>
        <w:t xml:space="preserve">Diez principales países de origen, presentaciones o entradas en la fase nacional durante el año 2016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D2807" w:rsidRPr="000060CE" w14:paraId="10814389" w14:textId="77777777" w:rsidTr="00694B84">
        <w:tc>
          <w:tcPr>
            <w:tcW w:w="4261" w:type="dxa"/>
            <w:shd w:val="clear" w:color="auto" w:fill="auto"/>
          </w:tcPr>
          <w:p w14:paraId="6C787646" w14:textId="77777777" w:rsidR="006720DC" w:rsidRPr="000060CE" w:rsidRDefault="008740AF" w:rsidP="008740AF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Estados Unidos de América</w:t>
            </w:r>
          </w:p>
        </w:tc>
        <w:tc>
          <w:tcPr>
            <w:tcW w:w="4261" w:type="dxa"/>
            <w:shd w:val="clear" w:color="auto" w:fill="auto"/>
          </w:tcPr>
          <w:p w14:paraId="645E4B72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12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922</w:t>
            </w:r>
          </w:p>
        </w:tc>
      </w:tr>
      <w:tr w:rsidR="00AD2807" w:rsidRPr="000060CE" w14:paraId="6911E474" w14:textId="77777777" w:rsidTr="00694B84">
        <w:tc>
          <w:tcPr>
            <w:tcW w:w="4261" w:type="dxa"/>
            <w:shd w:val="clear" w:color="auto" w:fill="auto"/>
          </w:tcPr>
          <w:p w14:paraId="4A08A08E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Australia</w:t>
            </w:r>
          </w:p>
        </w:tc>
        <w:tc>
          <w:tcPr>
            <w:tcW w:w="4261" w:type="dxa"/>
            <w:shd w:val="clear" w:color="auto" w:fill="auto"/>
          </w:tcPr>
          <w:p w14:paraId="480453DB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2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620</w:t>
            </w:r>
          </w:p>
        </w:tc>
      </w:tr>
      <w:tr w:rsidR="00AD2807" w:rsidRPr="000060CE" w14:paraId="1CCF889D" w14:textId="77777777" w:rsidTr="00694B84">
        <w:tc>
          <w:tcPr>
            <w:tcW w:w="4261" w:type="dxa"/>
            <w:shd w:val="clear" w:color="auto" w:fill="auto"/>
          </w:tcPr>
          <w:p w14:paraId="6E76258E" w14:textId="77777777" w:rsidR="006720DC" w:rsidRPr="000060CE" w:rsidRDefault="006720DC" w:rsidP="008740AF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Jap</w:t>
            </w:r>
            <w:r w:rsidR="008740AF" w:rsidRPr="000060CE">
              <w:rPr>
                <w:lang w:val="es-ES"/>
              </w:rPr>
              <w:t>ó</w:t>
            </w:r>
            <w:r w:rsidRPr="000060CE">
              <w:rPr>
                <w:lang w:val="es-ES"/>
              </w:rPr>
              <w:t>n</w:t>
            </w:r>
          </w:p>
        </w:tc>
        <w:tc>
          <w:tcPr>
            <w:tcW w:w="4261" w:type="dxa"/>
            <w:shd w:val="clear" w:color="auto" w:fill="auto"/>
          </w:tcPr>
          <w:p w14:paraId="458BBC9C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1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610</w:t>
            </w:r>
          </w:p>
        </w:tc>
      </w:tr>
      <w:tr w:rsidR="00AD2807" w:rsidRPr="000060CE" w14:paraId="65A2F9D6" w14:textId="77777777" w:rsidTr="00694B84">
        <w:tc>
          <w:tcPr>
            <w:tcW w:w="4261" w:type="dxa"/>
            <w:shd w:val="clear" w:color="auto" w:fill="auto"/>
          </w:tcPr>
          <w:p w14:paraId="60B89DA4" w14:textId="77777777" w:rsidR="006720DC" w:rsidRPr="000060CE" w:rsidRDefault="008740AF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Alemania</w:t>
            </w:r>
          </w:p>
        </w:tc>
        <w:tc>
          <w:tcPr>
            <w:tcW w:w="4261" w:type="dxa"/>
            <w:shd w:val="clear" w:color="auto" w:fill="auto"/>
          </w:tcPr>
          <w:p w14:paraId="258475AB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1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395</w:t>
            </w:r>
          </w:p>
        </w:tc>
      </w:tr>
      <w:tr w:rsidR="00AD2807" w:rsidRPr="000060CE" w14:paraId="55B59F5D" w14:textId="77777777" w:rsidTr="00694B84">
        <w:tc>
          <w:tcPr>
            <w:tcW w:w="4261" w:type="dxa"/>
            <w:shd w:val="clear" w:color="auto" w:fill="auto"/>
          </w:tcPr>
          <w:p w14:paraId="385762FB" w14:textId="77777777" w:rsidR="006720DC" w:rsidRPr="000060CE" w:rsidRDefault="008740AF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Reino Unido</w:t>
            </w:r>
          </w:p>
        </w:tc>
        <w:tc>
          <w:tcPr>
            <w:tcW w:w="4261" w:type="dxa"/>
            <w:shd w:val="clear" w:color="auto" w:fill="auto"/>
          </w:tcPr>
          <w:p w14:paraId="0B7D01AA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1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180</w:t>
            </w:r>
          </w:p>
        </w:tc>
      </w:tr>
      <w:tr w:rsidR="00AD2807" w:rsidRPr="000060CE" w14:paraId="383C27F4" w14:textId="77777777" w:rsidTr="00694B84">
        <w:tc>
          <w:tcPr>
            <w:tcW w:w="4261" w:type="dxa"/>
            <w:shd w:val="clear" w:color="auto" w:fill="auto"/>
          </w:tcPr>
          <w:p w14:paraId="33AF8D00" w14:textId="77777777" w:rsidR="006720DC" w:rsidRPr="000060CE" w:rsidRDefault="008740AF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Suiza</w:t>
            </w:r>
          </w:p>
        </w:tc>
        <w:tc>
          <w:tcPr>
            <w:tcW w:w="4261" w:type="dxa"/>
            <w:shd w:val="clear" w:color="auto" w:fill="auto"/>
          </w:tcPr>
          <w:p w14:paraId="70C10726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1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149</w:t>
            </w:r>
          </w:p>
        </w:tc>
      </w:tr>
      <w:tr w:rsidR="00AD2807" w:rsidRPr="000060CE" w14:paraId="1D72C798" w14:textId="77777777" w:rsidTr="00694B84">
        <w:tc>
          <w:tcPr>
            <w:tcW w:w="4261" w:type="dxa"/>
            <w:shd w:val="clear" w:color="auto" w:fill="auto"/>
          </w:tcPr>
          <w:p w14:paraId="76D58BE3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China</w:t>
            </w:r>
          </w:p>
        </w:tc>
        <w:tc>
          <w:tcPr>
            <w:tcW w:w="4261" w:type="dxa"/>
            <w:shd w:val="clear" w:color="auto" w:fill="auto"/>
          </w:tcPr>
          <w:p w14:paraId="796471E8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892</w:t>
            </w:r>
          </w:p>
        </w:tc>
      </w:tr>
      <w:tr w:rsidR="00AD2807" w:rsidRPr="000060CE" w14:paraId="51354226" w14:textId="77777777" w:rsidTr="00694B84">
        <w:tc>
          <w:tcPr>
            <w:tcW w:w="4261" w:type="dxa"/>
            <w:shd w:val="clear" w:color="auto" w:fill="auto"/>
          </w:tcPr>
          <w:p w14:paraId="575FE4DD" w14:textId="77777777" w:rsidR="006720DC" w:rsidRPr="000060CE" w:rsidRDefault="006720DC" w:rsidP="008740AF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Franc</w:t>
            </w:r>
            <w:r w:rsidR="008740AF" w:rsidRPr="000060CE">
              <w:rPr>
                <w:lang w:val="es-ES"/>
              </w:rPr>
              <w:t>ia</w:t>
            </w:r>
          </w:p>
        </w:tc>
        <w:tc>
          <w:tcPr>
            <w:tcW w:w="4261" w:type="dxa"/>
            <w:shd w:val="clear" w:color="auto" w:fill="auto"/>
          </w:tcPr>
          <w:p w14:paraId="14DBD98A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808</w:t>
            </w:r>
          </w:p>
        </w:tc>
      </w:tr>
      <w:tr w:rsidR="00AD2807" w:rsidRPr="000060CE" w14:paraId="4D5D6BE0" w14:textId="77777777" w:rsidTr="00694B84">
        <w:tc>
          <w:tcPr>
            <w:tcW w:w="4261" w:type="dxa"/>
            <w:shd w:val="clear" w:color="auto" w:fill="auto"/>
          </w:tcPr>
          <w:p w14:paraId="03377C6E" w14:textId="77777777" w:rsidR="006720DC" w:rsidRPr="000060CE" w:rsidRDefault="008740AF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Países Bajos</w:t>
            </w:r>
          </w:p>
        </w:tc>
        <w:tc>
          <w:tcPr>
            <w:tcW w:w="4261" w:type="dxa"/>
            <w:shd w:val="clear" w:color="auto" w:fill="auto"/>
          </w:tcPr>
          <w:p w14:paraId="02AD4C86" w14:textId="77777777" w:rsidR="006720DC" w:rsidRPr="000060CE" w:rsidRDefault="006720DC" w:rsidP="001D0D5B">
            <w:pPr>
              <w:keepNext/>
              <w:rPr>
                <w:lang w:val="es-ES"/>
              </w:rPr>
            </w:pPr>
            <w:r w:rsidRPr="000060CE">
              <w:rPr>
                <w:lang w:val="es-ES"/>
              </w:rPr>
              <w:t>609</w:t>
            </w:r>
          </w:p>
        </w:tc>
      </w:tr>
      <w:tr w:rsidR="00AD2807" w:rsidRPr="000060CE" w14:paraId="4777C11B" w14:textId="77777777" w:rsidTr="00694B84">
        <w:tc>
          <w:tcPr>
            <w:tcW w:w="4261" w:type="dxa"/>
            <w:shd w:val="clear" w:color="auto" w:fill="auto"/>
          </w:tcPr>
          <w:p w14:paraId="14004DE2" w14:textId="77777777" w:rsidR="006720DC" w:rsidRPr="000060CE" w:rsidRDefault="008740AF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Canadá</w:t>
            </w:r>
          </w:p>
        </w:tc>
        <w:tc>
          <w:tcPr>
            <w:tcW w:w="4261" w:type="dxa"/>
            <w:shd w:val="clear" w:color="auto" w:fill="auto"/>
          </w:tcPr>
          <w:p w14:paraId="6AB89D4F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547</w:t>
            </w:r>
          </w:p>
        </w:tc>
      </w:tr>
    </w:tbl>
    <w:p w14:paraId="583807BE" w14:textId="77777777" w:rsidR="006720DC" w:rsidRPr="000060CE" w:rsidRDefault="006720DC" w:rsidP="006720DC">
      <w:pPr>
        <w:rPr>
          <w:szCs w:val="22"/>
          <w:lang w:val="es-ES"/>
        </w:rPr>
      </w:pPr>
    </w:p>
    <w:p w14:paraId="788DE32E" w14:textId="5D1CBE12" w:rsidR="006720DC" w:rsidRPr="000060CE" w:rsidRDefault="008740AF" w:rsidP="001D0D5B">
      <w:pPr>
        <w:rPr>
          <w:lang w:val="es-ES"/>
        </w:rPr>
      </w:pPr>
      <w:r w:rsidRPr="000060CE">
        <w:rPr>
          <w:b/>
          <w:bCs/>
          <w:szCs w:val="22"/>
          <w:lang w:val="es-ES"/>
        </w:rPr>
        <w:lastRenderedPageBreak/>
        <w:t xml:space="preserve">Tiempo medio </w:t>
      </w:r>
      <w:r w:rsidR="00533E17">
        <w:rPr>
          <w:b/>
          <w:bCs/>
          <w:szCs w:val="22"/>
          <w:lang w:val="es-ES"/>
        </w:rPr>
        <w:t>d</w:t>
      </w:r>
      <w:r w:rsidRPr="000060CE">
        <w:rPr>
          <w:b/>
          <w:bCs/>
          <w:szCs w:val="22"/>
          <w:lang w:val="es-ES"/>
        </w:rPr>
        <w:t xml:space="preserve">e tramitación de una patente nacional </w:t>
      </w:r>
      <w:r w:rsidR="006720DC" w:rsidRPr="000060CE">
        <w:rPr>
          <w:b/>
          <w:bCs/>
          <w:szCs w:val="22"/>
          <w:lang w:val="es-ES"/>
        </w:rPr>
        <w:t>(</w:t>
      </w:r>
      <w:r w:rsidRPr="000060CE">
        <w:rPr>
          <w:lang w:val="es-ES"/>
        </w:rPr>
        <w:t>primer informe</w:t>
      </w:r>
      <w:r w:rsidR="00712372" w:rsidRPr="000060CE">
        <w:rPr>
          <w:lang w:val="es-ES"/>
        </w:rPr>
        <w:t>/</w:t>
      </w:r>
      <w:r w:rsidRPr="000060CE">
        <w:rPr>
          <w:lang w:val="es-ES"/>
        </w:rPr>
        <w:t xml:space="preserve"> </w:t>
      </w:r>
      <w:r w:rsidR="00712372" w:rsidRPr="000060CE">
        <w:rPr>
          <w:lang w:val="es-ES"/>
        </w:rPr>
        <w:t xml:space="preserve">fecha de </w:t>
      </w:r>
      <w:r w:rsidRPr="000060CE">
        <w:rPr>
          <w:lang w:val="es-ES"/>
        </w:rPr>
        <w:t>concesión durante 2016)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384"/>
        <w:gridCol w:w="2742"/>
        <w:gridCol w:w="1444"/>
      </w:tblGrid>
      <w:tr w:rsidR="00AD2807" w:rsidRPr="000060CE" w14:paraId="476F6015" w14:textId="77777777" w:rsidTr="00694B84">
        <w:trPr>
          <w:cantSplit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4FC6" w14:textId="77777777" w:rsidR="006720DC" w:rsidRPr="000060CE" w:rsidRDefault="006720DC" w:rsidP="008740AF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Indica</w:t>
            </w:r>
            <w:r w:rsidR="008740AF" w:rsidRPr="000060CE">
              <w:rPr>
                <w:b/>
                <w:bCs/>
                <w:lang w:val="es-ES"/>
              </w:rPr>
              <w:t>d</w:t>
            </w:r>
            <w:r w:rsidRPr="000060CE">
              <w:rPr>
                <w:b/>
                <w:bCs/>
                <w:lang w:val="es-ES"/>
              </w:rPr>
              <w:t>or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46B5" w14:textId="77777777" w:rsidR="006720DC" w:rsidRPr="000060CE" w:rsidRDefault="008740AF" w:rsidP="00694B84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Medido desde</w:t>
            </w:r>
          </w:p>
        </w:tc>
        <w:tc>
          <w:tcPr>
            <w:tcW w:w="4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5743" w14:textId="77777777" w:rsidR="006720DC" w:rsidRPr="000060CE" w:rsidRDefault="008740AF" w:rsidP="008740AF">
            <w:pPr>
              <w:tabs>
                <w:tab w:val="left" w:pos="2097"/>
              </w:tabs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Tiempo</w:t>
            </w:r>
            <w:r w:rsidR="006720DC" w:rsidRPr="000060CE">
              <w:rPr>
                <w:b/>
                <w:bCs/>
                <w:lang w:val="es-ES"/>
              </w:rPr>
              <w:t xml:space="preserve"> (</w:t>
            </w:r>
            <w:r w:rsidRPr="000060CE">
              <w:rPr>
                <w:b/>
                <w:bCs/>
                <w:lang w:val="es-ES"/>
              </w:rPr>
              <w:t>meses</w:t>
            </w:r>
            <w:r w:rsidR="006720DC" w:rsidRPr="000060CE">
              <w:rPr>
                <w:b/>
                <w:bCs/>
                <w:lang w:val="es-ES"/>
              </w:rPr>
              <w:t xml:space="preserve">) </w:t>
            </w:r>
            <w:r w:rsidRPr="000060CE">
              <w:rPr>
                <w:b/>
                <w:bCs/>
                <w:lang w:val="es-ES"/>
              </w:rPr>
              <w:tab/>
            </w:r>
          </w:p>
        </w:tc>
      </w:tr>
      <w:tr w:rsidR="00AD2807" w:rsidRPr="00986536" w14:paraId="5C89831E" w14:textId="77777777" w:rsidTr="00694B84">
        <w:trPr>
          <w:cantSplit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EF0E" w14:textId="77777777" w:rsidR="006720DC" w:rsidRPr="000060CE" w:rsidRDefault="008740AF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Hasta la búsqueda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B55E" w14:textId="77777777" w:rsidR="006720DC" w:rsidRPr="000060CE" w:rsidRDefault="00712372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n.d.</w:t>
            </w:r>
          </w:p>
        </w:tc>
        <w:tc>
          <w:tcPr>
            <w:tcW w:w="4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A359" w14:textId="77777777" w:rsidR="006720DC" w:rsidRPr="000060CE" w:rsidRDefault="003354FD" w:rsidP="00712372">
            <w:pPr>
              <w:rPr>
                <w:lang w:val="es-ES"/>
              </w:rPr>
            </w:pPr>
            <w:r w:rsidRPr="000060CE">
              <w:rPr>
                <w:lang w:val="es-ES"/>
              </w:rPr>
              <w:t xml:space="preserve">Las labores de búsqueda y examen las realiza el mismo examinador cuando éste </w:t>
            </w:r>
            <w:r w:rsidR="00712372" w:rsidRPr="000060CE">
              <w:rPr>
                <w:lang w:val="es-ES"/>
              </w:rPr>
              <w:t>inicia</w:t>
            </w:r>
            <w:r w:rsidRPr="000060CE">
              <w:rPr>
                <w:lang w:val="es-ES"/>
              </w:rPr>
              <w:t xml:space="preserve"> el examen</w:t>
            </w:r>
          </w:p>
        </w:tc>
      </w:tr>
      <w:tr w:rsidR="00AD2807" w:rsidRPr="000060CE" w14:paraId="393F24B6" w14:textId="77777777" w:rsidTr="003354FD">
        <w:trPr>
          <w:cantSplit/>
          <w:trHeight w:val="123"/>
        </w:trPr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046B" w14:textId="77777777" w:rsidR="006720DC" w:rsidRPr="000060CE" w:rsidRDefault="008740AF" w:rsidP="008740AF">
            <w:pPr>
              <w:rPr>
                <w:lang w:val="es-ES"/>
              </w:rPr>
            </w:pPr>
            <w:r w:rsidRPr="000060CE">
              <w:rPr>
                <w:lang w:val="es-ES"/>
              </w:rPr>
              <w:t>Hasta el primer examen</w:t>
            </w:r>
            <w:r w:rsidR="006720DC" w:rsidRPr="000060CE">
              <w:rPr>
                <w:lang w:val="es-ES"/>
              </w:rPr>
              <w:t xml:space="preserve"> </w:t>
            </w:r>
          </w:p>
        </w:tc>
        <w:tc>
          <w:tcPr>
            <w:tcW w:w="238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53A3" w14:textId="77777777" w:rsidR="006720DC" w:rsidRPr="000060CE" w:rsidRDefault="006361B1" w:rsidP="008740AF">
            <w:pPr>
              <w:rPr>
                <w:lang w:val="es-ES"/>
              </w:rPr>
            </w:pPr>
            <w:r w:rsidRPr="000060CE">
              <w:rPr>
                <w:lang w:val="es-ES"/>
              </w:rPr>
              <w:t>Solicitud</w:t>
            </w:r>
            <w:r w:rsidR="008740AF" w:rsidRPr="000060CE">
              <w:rPr>
                <w:lang w:val="es-ES"/>
              </w:rPr>
              <w:t xml:space="preserve"> de examen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7B17" w14:textId="77777777" w:rsidR="006720DC" w:rsidRPr="000060CE" w:rsidRDefault="003354FD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Varía según la disciplina, pero en promedio</w:t>
            </w:r>
            <w:r w:rsidR="006720DC" w:rsidRPr="000060CE">
              <w:rPr>
                <w:lang w:val="es-ES"/>
              </w:rPr>
              <w:t xml:space="preserve">: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0A55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6</w:t>
            </w:r>
            <w:r w:rsidR="00E90B20" w:rsidRPr="000060CE">
              <w:rPr>
                <w:lang w:val="es-ES"/>
              </w:rPr>
              <w:t>,</w:t>
            </w:r>
            <w:r w:rsidRPr="000060CE">
              <w:rPr>
                <w:lang w:val="es-ES"/>
              </w:rPr>
              <w:t>9</w:t>
            </w:r>
          </w:p>
        </w:tc>
      </w:tr>
      <w:tr w:rsidR="00AD2807" w:rsidRPr="000060CE" w14:paraId="0CF2CF55" w14:textId="77777777" w:rsidTr="003354FD">
        <w:trPr>
          <w:cantSplit/>
          <w:trHeight w:val="1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703F0C" w14:textId="77777777" w:rsidR="006720DC" w:rsidRPr="000060CE" w:rsidRDefault="006720DC" w:rsidP="00694B84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2F7C89" w14:textId="77777777" w:rsidR="006720DC" w:rsidRPr="000060CE" w:rsidRDefault="006720DC" w:rsidP="00694B84">
            <w:pPr>
              <w:rPr>
                <w:lang w:val="es-ES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710E" w14:textId="77777777" w:rsidR="006720DC" w:rsidRPr="000060CE" w:rsidRDefault="009C0C9E" w:rsidP="009C0C9E">
            <w:pPr>
              <w:rPr>
                <w:lang w:val="es-ES"/>
              </w:rPr>
            </w:pPr>
            <w:r w:rsidRPr="000060CE">
              <w:rPr>
                <w:lang w:val="es-ES"/>
              </w:rPr>
              <w:t>M</w:t>
            </w:r>
            <w:r w:rsidR="006720DC" w:rsidRPr="000060CE">
              <w:rPr>
                <w:lang w:val="es-ES"/>
              </w:rPr>
              <w:t>ec</w:t>
            </w:r>
            <w:r w:rsidR="003354FD" w:rsidRPr="000060CE">
              <w:rPr>
                <w:lang w:val="es-ES"/>
              </w:rPr>
              <w:t>ánico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0566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6</w:t>
            </w:r>
            <w:r w:rsidR="00E90B20" w:rsidRPr="000060CE">
              <w:rPr>
                <w:lang w:val="es-ES"/>
              </w:rPr>
              <w:t>,</w:t>
            </w:r>
            <w:r w:rsidRPr="000060CE">
              <w:rPr>
                <w:lang w:val="es-ES"/>
              </w:rPr>
              <w:t>1</w:t>
            </w:r>
          </w:p>
        </w:tc>
      </w:tr>
      <w:tr w:rsidR="00AD2807" w:rsidRPr="000060CE" w14:paraId="2D1A61AB" w14:textId="77777777" w:rsidTr="003354FD">
        <w:trPr>
          <w:cantSplit/>
          <w:trHeight w:val="1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8A8F9" w14:textId="77777777" w:rsidR="006720DC" w:rsidRPr="000060CE" w:rsidRDefault="006720DC" w:rsidP="00694B84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474209" w14:textId="77777777" w:rsidR="006720DC" w:rsidRPr="000060CE" w:rsidRDefault="006720DC" w:rsidP="00694B84">
            <w:pPr>
              <w:rPr>
                <w:lang w:val="es-ES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041F" w14:textId="77777777" w:rsidR="006720DC" w:rsidRPr="000060CE" w:rsidRDefault="006720DC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>El</w:t>
            </w:r>
            <w:r w:rsidR="003354FD" w:rsidRPr="000060CE">
              <w:rPr>
                <w:lang w:val="es-ES"/>
              </w:rPr>
              <w:t xml:space="preserve">éctrico/electrónico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0396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7</w:t>
            </w:r>
            <w:r w:rsidR="00E90B20" w:rsidRPr="000060CE">
              <w:rPr>
                <w:lang w:val="es-ES"/>
              </w:rPr>
              <w:t>,</w:t>
            </w:r>
            <w:r w:rsidRPr="000060CE">
              <w:rPr>
                <w:lang w:val="es-ES"/>
              </w:rPr>
              <w:t>9</w:t>
            </w:r>
          </w:p>
        </w:tc>
      </w:tr>
      <w:tr w:rsidR="00AD2807" w:rsidRPr="000060CE" w14:paraId="12E4E7A4" w14:textId="77777777" w:rsidTr="003354FD">
        <w:trPr>
          <w:cantSplit/>
          <w:trHeight w:val="1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19E3B" w14:textId="77777777" w:rsidR="006720DC" w:rsidRPr="000060CE" w:rsidRDefault="006720DC" w:rsidP="00694B84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C037B7" w14:textId="77777777" w:rsidR="006720DC" w:rsidRPr="000060CE" w:rsidRDefault="006720DC" w:rsidP="00694B84">
            <w:pPr>
              <w:rPr>
                <w:lang w:val="es-ES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521B" w14:textId="77777777" w:rsidR="006720DC" w:rsidRPr="000060CE" w:rsidRDefault="003354FD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Químico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9B91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7</w:t>
            </w:r>
            <w:r w:rsidR="00E90B20" w:rsidRPr="000060CE">
              <w:rPr>
                <w:lang w:val="es-ES"/>
              </w:rPr>
              <w:t>,</w:t>
            </w:r>
            <w:r w:rsidRPr="000060CE">
              <w:rPr>
                <w:lang w:val="es-ES"/>
              </w:rPr>
              <w:t>3</w:t>
            </w:r>
          </w:p>
        </w:tc>
      </w:tr>
      <w:tr w:rsidR="003354FD" w:rsidRPr="000060CE" w14:paraId="2807E637" w14:textId="77777777" w:rsidTr="003354FD">
        <w:trPr>
          <w:cantSplit/>
          <w:trHeight w:val="123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72982" w14:textId="77777777" w:rsidR="003354FD" w:rsidRPr="000060CE" w:rsidRDefault="003354FD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>Hasta la concesión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6381" w14:textId="77777777" w:rsidR="003354FD" w:rsidRPr="000060CE" w:rsidRDefault="006361B1" w:rsidP="006361B1">
            <w:pPr>
              <w:rPr>
                <w:lang w:val="es-ES"/>
              </w:rPr>
            </w:pPr>
            <w:r w:rsidRPr="000060CE">
              <w:rPr>
                <w:lang w:val="es-ES"/>
              </w:rPr>
              <w:t>Solicitud</w:t>
            </w:r>
            <w:r w:rsidR="003354FD" w:rsidRPr="000060CE">
              <w:rPr>
                <w:lang w:val="es-ES"/>
              </w:rPr>
              <w:t xml:space="preserve"> de examen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0854" w14:textId="77777777" w:rsidR="003354FD" w:rsidRPr="000060CE" w:rsidRDefault="003354FD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 xml:space="preserve">Varía según la disciplina, pero en promedio: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6EC3" w14:textId="77777777" w:rsidR="003354FD" w:rsidRPr="000060CE" w:rsidRDefault="003354FD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>23,0</w:t>
            </w:r>
          </w:p>
        </w:tc>
      </w:tr>
      <w:tr w:rsidR="003354FD" w:rsidRPr="000060CE" w14:paraId="4FAF8D21" w14:textId="77777777" w:rsidTr="003354FD">
        <w:trPr>
          <w:cantSplit/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7885F" w14:textId="77777777" w:rsidR="003354FD" w:rsidRPr="000060CE" w:rsidRDefault="003354FD" w:rsidP="003354FD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D78DC9" w14:textId="77777777" w:rsidR="003354FD" w:rsidRPr="000060CE" w:rsidRDefault="003354FD" w:rsidP="003354FD">
            <w:pPr>
              <w:rPr>
                <w:lang w:val="es-ES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39BA" w14:textId="77777777" w:rsidR="003354FD" w:rsidRPr="000060CE" w:rsidRDefault="009C0C9E" w:rsidP="009C0C9E">
            <w:pPr>
              <w:rPr>
                <w:lang w:val="es-ES"/>
              </w:rPr>
            </w:pPr>
            <w:r w:rsidRPr="000060CE">
              <w:rPr>
                <w:lang w:val="es-ES"/>
              </w:rPr>
              <w:t>M</w:t>
            </w:r>
            <w:r w:rsidR="003354FD" w:rsidRPr="000060CE">
              <w:rPr>
                <w:lang w:val="es-ES"/>
              </w:rPr>
              <w:t>ecánico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6903" w14:textId="77777777" w:rsidR="003354FD" w:rsidRPr="000060CE" w:rsidRDefault="003354FD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>22,7</w:t>
            </w:r>
          </w:p>
        </w:tc>
      </w:tr>
      <w:tr w:rsidR="003354FD" w:rsidRPr="000060CE" w14:paraId="013AF541" w14:textId="77777777" w:rsidTr="003354FD">
        <w:trPr>
          <w:cantSplit/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5FA31" w14:textId="77777777" w:rsidR="003354FD" w:rsidRPr="000060CE" w:rsidRDefault="003354FD" w:rsidP="003354FD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1BDD0D" w14:textId="77777777" w:rsidR="003354FD" w:rsidRPr="000060CE" w:rsidRDefault="003354FD" w:rsidP="003354FD">
            <w:pPr>
              <w:rPr>
                <w:lang w:val="es-ES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C1EDB" w14:textId="77777777" w:rsidR="003354FD" w:rsidRPr="000060CE" w:rsidRDefault="003354FD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 xml:space="preserve">Eléctrico/electrónico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7706" w14:textId="77777777" w:rsidR="003354FD" w:rsidRPr="000060CE" w:rsidRDefault="003354FD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>21,6</w:t>
            </w:r>
          </w:p>
        </w:tc>
      </w:tr>
      <w:tr w:rsidR="003354FD" w:rsidRPr="000060CE" w14:paraId="55072E1C" w14:textId="77777777" w:rsidTr="003354FD">
        <w:trPr>
          <w:cantSplit/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DF6A72" w14:textId="77777777" w:rsidR="003354FD" w:rsidRPr="000060CE" w:rsidRDefault="003354FD" w:rsidP="003354FD">
            <w:pPr>
              <w:rPr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37B39" w14:textId="77777777" w:rsidR="003354FD" w:rsidRPr="000060CE" w:rsidRDefault="003354FD" w:rsidP="003354FD">
            <w:pPr>
              <w:rPr>
                <w:lang w:val="es-ES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F68D" w14:textId="77777777" w:rsidR="003354FD" w:rsidRPr="000060CE" w:rsidRDefault="003354FD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>Químico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4595" w14:textId="77777777" w:rsidR="003354FD" w:rsidRPr="000060CE" w:rsidRDefault="003354FD" w:rsidP="003354FD">
            <w:pPr>
              <w:rPr>
                <w:lang w:val="es-ES"/>
              </w:rPr>
            </w:pPr>
            <w:r w:rsidRPr="000060CE">
              <w:rPr>
                <w:lang w:val="es-ES"/>
              </w:rPr>
              <w:t>24,5</w:t>
            </w:r>
          </w:p>
        </w:tc>
      </w:tr>
    </w:tbl>
    <w:p w14:paraId="0F80BEDE" w14:textId="77777777" w:rsidR="006720DC" w:rsidRPr="000060CE" w:rsidRDefault="006720DC" w:rsidP="00357995">
      <w:pPr>
        <w:rPr>
          <w:b/>
          <w:bCs/>
          <w:szCs w:val="22"/>
          <w:lang w:val="es-ES"/>
        </w:rPr>
      </w:pPr>
    </w:p>
    <w:p w14:paraId="59270431" w14:textId="77777777" w:rsidR="006720DC" w:rsidRPr="000060CE" w:rsidRDefault="00FC3A9B" w:rsidP="006720DC">
      <w:pPr>
        <w:rPr>
          <w:lang w:val="es-ES"/>
        </w:rPr>
      </w:pPr>
      <w:r w:rsidRPr="000060CE">
        <w:rPr>
          <w:b/>
          <w:bCs/>
          <w:lang w:val="es-ES"/>
        </w:rPr>
        <w:t>Datos anteriores</w:t>
      </w:r>
      <w:r w:rsidR="006720DC" w:rsidRPr="000060CE">
        <w:rPr>
          <w:b/>
          <w:bCs/>
          <w:lang w:val="es-ES"/>
        </w:rPr>
        <w:t xml:space="preserve">: </w:t>
      </w:r>
      <w:r w:rsidR="006720DC" w:rsidRPr="000060CE">
        <w:rPr>
          <w:lang w:val="es-ES"/>
        </w:rPr>
        <w:t>(</w:t>
      </w:r>
      <w:r w:rsidRPr="000060CE">
        <w:rPr>
          <w:lang w:val="es-ES"/>
        </w:rPr>
        <w:t>para demos</w:t>
      </w:r>
      <w:r w:rsidR="00712372" w:rsidRPr="000060CE">
        <w:rPr>
          <w:lang w:val="es-ES"/>
        </w:rPr>
        <w:t>trar la reducción del tiempo de</w:t>
      </w:r>
      <w:r w:rsidR="006720DC" w:rsidRPr="000060CE">
        <w:rPr>
          <w:lang w:val="es-ES"/>
        </w:rPr>
        <w:t xml:space="preserve"> </w:t>
      </w:r>
      <w:r w:rsidRPr="000060CE">
        <w:rPr>
          <w:lang w:val="es-ES"/>
        </w:rPr>
        <w:t xml:space="preserve">tramitación y las </w:t>
      </w:r>
      <w:r w:rsidR="00712372" w:rsidRPr="000060CE">
        <w:rPr>
          <w:lang w:val="es-ES"/>
        </w:rPr>
        <w:t xml:space="preserve">fluctuaciones de los </w:t>
      </w:r>
      <w:r w:rsidRPr="000060CE">
        <w:rPr>
          <w:lang w:val="es-ES"/>
        </w:rPr>
        <w:t>resultados</w:t>
      </w:r>
      <w:r w:rsidR="006720DC" w:rsidRPr="000060CE">
        <w:rPr>
          <w:lang w:val="es-ES"/>
        </w:rPr>
        <w:t>)</w:t>
      </w:r>
    </w:p>
    <w:tbl>
      <w:tblPr>
        <w:tblW w:w="8379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708"/>
        <w:gridCol w:w="709"/>
        <w:gridCol w:w="709"/>
        <w:gridCol w:w="709"/>
      </w:tblGrid>
      <w:tr w:rsidR="00AD2807" w:rsidRPr="00986536" w14:paraId="3D373525" w14:textId="77777777" w:rsidTr="00694B84">
        <w:trPr>
          <w:trHeight w:val="530"/>
        </w:trPr>
        <w:tc>
          <w:tcPr>
            <w:tcW w:w="8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B8D2" w14:textId="77777777" w:rsidR="006720DC" w:rsidRPr="000060CE" w:rsidRDefault="00FC3A9B" w:rsidP="00FC3A9B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 xml:space="preserve">Tiempos de tramitación de una patente </w:t>
            </w:r>
          </w:p>
        </w:tc>
      </w:tr>
      <w:tr w:rsidR="00AD2807" w:rsidRPr="000060CE" w14:paraId="58F71CCF" w14:textId="77777777" w:rsidTr="00694B84">
        <w:trPr>
          <w:trHeight w:val="1029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92A7" w14:textId="77777777" w:rsidR="006720DC" w:rsidRPr="000060CE" w:rsidRDefault="00FC3A9B" w:rsidP="00694B84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Tiempo de tramitación</w:t>
            </w:r>
          </w:p>
          <w:p w14:paraId="064CCBB7" w14:textId="77777777" w:rsidR="006720DC" w:rsidRPr="000060CE" w:rsidRDefault="006720DC" w:rsidP="00674E2D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(</w:t>
            </w:r>
            <w:r w:rsidR="00FC3A9B" w:rsidRPr="000060CE">
              <w:rPr>
                <w:b/>
                <w:bCs/>
                <w:lang w:val="es-ES"/>
              </w:rPr>
              <w:t xml:space="preserve">desde </w:t>
            </w:r>
            <w:r w:rsidR="00674E2D" w:rsidRPr="000060CE">
              <w:rPr>
                <w:b/>
                <w:bCs/>
                <w:lang w:val="es-ES"/>
              </w:rPr>
              <w:t>el petitorio</w:t>
            </w:r>
            <w:r w:rsidR="00FC3A9B" w:rsidRPr="000060CE">
              <w:rPr>
                <w:b/>
                <w:bCs/>
                <w:lang w:val="es-ES"/>
              </w:rPr>
              <w:t xml:space="preserve"> de examen a la concesión, en meses)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E40D" w14:textId="77777777" w:rsidR="006720DC" w:rsidRPr="000060CE" w:rsidRDefault="006720DC" w:rsidP="00694B84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A5E3" w14:textId="77777777" w:rsidR="006720DC" w:rsidRPr="000060CE" w:rsidRDefault="006720DC" w:rsidP="00694B84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9CCE" w14:textId="77777777" w:rsidR="006720DC" w:rsidRPr="000060CE" w:rsidRDefault="006720DC" w:rsidP="00694B84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4C2C" w14:textId="77777777" w:rsidR="006720DC" w:rsidRPr="000060CE" w:rsidRDefault="006720DC" w:rsidP="00694B84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2016</w:t>
            </w:r>
          </w:p>
        </w:tc>
      </w:tr>
      <w:tr w:rsidR="00AD2807" w:rsidRPr="000060CE" w14:paraId="1206D09E" w14:textId="77777777" w:rsidTr="00694B84">
        <w:trPr>
          <w:trHeight w:val="471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0F76" w14:textId="77777777" w:rsidR="006720DC" w:rsidRPr="000060CE" w:rsidRDefault="006720DC" w:rsidP="00694B84">
            <w:pPr>
              <w:rPr>
                <w:lang w:val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E8AD" w14:textId="77777777" w:rsidR="006720DC" w:rsidRPr="000060CE" w:rsidRDefault="00E90B20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24,</w:t>
            </w:r>
            <w:r w:rsidR="006720DC" w:rsidRPr="000060CE">
              <w:rPr>
                <w:lang w:val="es-E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0146" w14:textId="77777777" w:rsidR="006720DC" w:rsidRPr="000060CE" w:rsidRDefault="00E90B20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23,</w:t>
            </w:r>
            <w:r w:rsidR="006720DC" w:rsidRPr="000060CE">
              <w:rPr>
                <w:lang w:val="es-E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BEC2" w14:textId="77777777" w:rsidR="006720DC" w:rsidRPr="000060CE" w:rsidRDefault="00E90B20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24,</w:t>
            </w:r>
            <w:r w:rsidR="006720DC" w:rsidRPr="000060CE">
              <w:rPr>
                <w:lang w:val="es-E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FAB5" w14:textId="77777777" w:rsidR="006720DC" w:rsidRPr="000060CE" w:rsidRDefault="00E90B20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23,</w:t>
            </w:r>
            <w:r w:rsidR="006720DC" w:rsidRPr="000060CE">
              <w:rPr>
                <w:lang w:val="es-ES"/>
              </w:rPr>
              <w:t>0</w:t>
            </w:r>
          </w:p>
        </w:tc>
      </w:tr>
    </w:tbl>
    <w:p w14:paraId="2A7DEF3A" w14:textId="77777777" w:rsidR="006720DC" w:rsidRPr="000060CE" w:rsidRDefault="006720DC" w:rsidP="00357995">
      <w:pPr>
        <w:rPr>
          <w:b/>
          <w:bCs/>
          <w:szCs w:val="22"/>
          <w:lang w:val="es-ES"/>
        </w:rPr>
      </w:pPr>
    </w:p>
    <w:p w14:paraId="3C4F55E4" w14:textId="77777777" w:rsidR="006720DC" w:rsidRPr="000060CE" w:rsidRDefault="00FC3A9B" w:rsidP="00357995">
      <w:pPr>
        <w:rPr>
          <w:b/>
          <w:bCs/>
          <w:szCs w:val="22"/>
          <w:lang w:val="es-ES"/>
        </w:rPr>
      </w:pPr>
      <w:r w:rsidRPr="000060CE">
        <w:rPr>
          <w:b/>
          <w:bCs/>
          <w:szCs w:val="22"/>
          <w:lang w:val="es-ES"/>
        </w:rPr>
        <w:t>Retrasos a nivel nacional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536"/>
      </w:tblGrid>
      <w:tr w:rsidR="00AD2807" w:rsidRPr="000060CE" w14:paraId="773D9374" w14:textId="77777777" w:rsidTr="00694B84">
        <w:trPr>
          <w:cantSplit/>
        </w:trPr>
        <w:tc>
          <w:tcPr>
            <w:tcW w:w="3936" w:type="dxa"/>
            <w:shd w:val="clear" w:color="auto" w:fill="auto"/>
          </w:tcPr>
          <w:p w14:paraId="4A9EF327" w14:textId="77777777" w:rsidR="006720DC" w:rsidRPr="000060CE" w:rsidRDefault="00FC3A9B" w:rsidP="00694B84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Medición</w:t>
            </w:r>
          </w:p>
        </w:tc>
        <w:tc>
          <w:tcPr>
            <w:tcW w:w="4536" w:type="dxa"/>
            <w:shd w:val="clear" w:color="auto" w:fill="auto"/>
          </w:tcPr>
          <w:p w14:paraId="4EE30B84" w14:textId="77777777" w:rsidR="006720DC" w:rsidRPr="000060CE" w:rsidRDefault="00FC3A9B" w:rsidP="00FC3A9B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Núme</w:t>
            </w:r>
            <w:r w:rsidR="00254D8B" w:rsidRPr="000060CE">
              <w:rPr>
                <w:b/>
                <w:bCs/>
                <w:lang w:val="es-ES"/>
              </w:rPr>
              <w:t>r</w:t>
            </w:r>
            <w:r w:rsidRPr="000060CE">
              <w:rPr>
                <w:b/>
                <w:bCs/>
                <w:lang w:val="es-ES"/>
              </w:rPr>
              <w:t>o de solicitudes</w:t>
            </w:r>
            <w:r w:rsidR="006720DC" w:rsidRPr="000060CE">
              <w:rPr>
                <w:b/>
                <w:bCs/>
                <w:lang w:val="es-ES"/>
              </w:rPr>
              <w:t xml:space="preserve"> (</w:t>
            </w:r>
            <w:r w:rsidRPr="000060CE">
              <w:rPr>
                <w:b/>
                <w:bCs/>
                <w:lang w:val="es-ES"/>
              </w:rPr>
              <w:t>a 14-2-2017</w:t>
            </w:r>
            <w:r w:rsidR="006720DC" w:rsidRPr="000060CE">
              <w:rPr>
                <w:b/>
                <w:bCs/>
                <w:lang w:val="es-ES"/>
              </w:rPr>
              <w:t>)</w:t>
            </w:r>
          </w:p>
        </w:tc>
      </w:tr>
      <w:tr w:rsidR="00AD2807" w:rsidRPr="000060CE" w14:paraId="1041337A" w14:textId="77777777" w:rsidTr="00694B84">
        <w:trPr>
          <w:cantSplit/>
        </w:trPr>
        <w:tc>
          <w:tcPr>
            <w:tcW w:w="3936" w:type="dxa"/>
            <w:shd w:val="clear" w:color="auto" w:fill="auto"/>
          </w:tcPr>
          <w:p w14:paraId="104EB471" w14:textId="77777777" w:rsidR="006720DC" w:rsidRPr="000060CE" w:rsidRDefault="00FC3A9B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Total de solicitudes pendientes</w:t>
            </w:r>
          </w:p>
        </w:tc>
        <w:tc>
          <w:tcPr>
            <w:tcW w:w="4536" w:type="dxa"/>
            <w:shd w:val="clear" w:color="auto" w:fill="auto"/>
          </w:tcPr>
          <w:p w14:paraId="366D0AB9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42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082</w:t>
            </w:r>
          </w:p>
        </w:tc>
      </w:tr>
      <w:tr w:rsidR="00AD2807" w:rsidRPr="00986536" w14:paraId="1C861094" w14:textId="77777777" w:rsidTr="00694B84">
        <w:trPr>
          <w:cantSplit/>
        </w:trPr>
        <w:tc>
          <w:tcPr>
            <w:tcW w:w="3936" w:type="dxa"/>
            <w:shd w:val="clear" w:color="auto" w:fill="auto"/>
          </w:tcPr>
          <w:p w14:paraId="306081C0" w14:textId="4BBD1CCA" w:rsidR="006720DC" w:rsidRPr="000060CE" w:rsidRDefault="00FC3A9B" w:rsidP="00BB07D1">
            <w:pPr>
              <w:rPr>
                <w:lang w:val="es-ES"/>
              </w:rPr>
            </w:pPr>
            <w:r w:rsidRPr="000060CE">
              <w:rPr>
                <w:lang w:val="es-ES"/>
              </w:rPr>
              <w:t xml:space="preserve">Solicitudes a la espera de búsqueda </w:t>
            </w:r>
            <w:r w:rsidR="006720DC" w:rsidRPr="000060CE">
              <w:rPr>
                <w:lang w:val="es-ES"/>
              </w:rPr>
              <w:t>(</w:t>
            </w:r>
            <w:r w:rsidR="0080063E">
              <w:rPr>
                <w:lang w:val="es-ES"/>
              </w:rPr>
              <w:t xml:space="preserve">las </w:t>
            </w:r>
            <w:r w:rsidRPr="000060CE">
              <w:rPr>
                <w:lang w:val="es-ES"/>
              </w:rPr>
              <w:t xml:space="preserve">tasas </w:t>
            </w:r>
            <w:r w:rsidR="0080063E">
              <w:rPr>
                <w:lang w:val="es-ES"/>
              </w:rPr>
              <w:t xml:space="preserve">pertinentes han sido </w:t>
            </w:r>
            <w:r w:rsidR="00BB07D1">
              <w:rPr>
                <w:lang w:val="es-ES"/>
              </w:rPr>
              <w:t>abonadas</w:t>
            </w:r>
            <w:r w:rsidR="006720DC" w:rsidRPr="000060CE">
              <w:rPr>
                <w:lang w:val="es-ES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015E5F99" w14:textId="77777777" w:rsidR="006720DC" w:rsidRPr="000060CE" w:rsidRDefault="00FC3A9B" w:rsidP="0044115F">
            <w:pPr>
              <w:rPr>
                <w:lang w:val="es-ES"/>
              </w:rPr>
            </w:pPr>
            <w:r w:rsidRPr="000060CE">
              <w:rPr>
                <w:lang w:val="es-ES"/>
              </w:rPr>
              <w:t>Dado que las tareas de búsqueda y examen las realiza</w:t>
            </w:r>
            <w:r w:rsidR="0044115F" w:rsidRPr="000060CE">
              <w:rPr>
                <w:lang w:val="es-ES"/>
              </w:rPr>
              <w:t xml:space="preserve"> simultáneamente</w:t>
            </w:r>
            <w:r w:rsidRPr="000060CE">
              <w:rPr>
                <w:lang w:val="es-ES"/>
              </w:rPr>
              <w:t xml:space="preserve"> el mismo examinador, no existen datos separados y específicos para cada una de ellas.</w:t>
            </w:r>
          </w:p>
        </w:tc>
      </w:tr>
      <w:tr w:rsidR="00AD2807" w:rsidRPr="000060CE" w14:paraId="458C6F5C" w14:textId="77777777" w:rsidTr="00694B84">
        <w:trPr>
          <w:cantSplit/>
        </w:trPr>
        <w:tc>
          <w:tcPr>
            <w:tcW w:w="3936" w:type="dxa"/>
            <w:shd w:val="clear" w:color="auto" w:fill="auto"/>
          </w:tcPr>
          <w:p w14:paraId="5E36C6BF" w14:textId="7B09F481" w:rsidR="006720DC" w:rsidRPr="000060CE" w:rsidRDefault="00FC3A9B" w:rsidP="00BB07D1">
            <w:pPr>
              <w:rPr>
                <w:lang w:val="es-ES"/>
              </w:rPr>
            </w:pPr>
            <w:r w:rsidRPr="000060CE">
              <w:rPr>
                <w:lang w:val="es-ES"/>
              </w:rPr>
              <w:t>Solicitudes a la espera del primer examen (</w:t>
            </w:r>
            <w:r w:rsidR="0080063E">
              <w:rPr>
                <w:lang w:val="es-ES"/>
              </w:rPr>
              <w:t xml:space="preserve">las </w:t>
            </w:r>
            <w:r w:rsidR="0080063E" w:rsidRPr="000060CE">
              <w:rPr>
                <w:lang w:val="es-ES"/>
              </w:rPr>
              <w:t xml:space="preserve">tasas </w:t>
            </w:r>
            <w:r w:rsidR="0080063E">
              <w:rPr>
                <w:lang w:val="es-ES"/>
              </w:rPr>
              <w:t>pertinentes han sido abonadas</w:t>
            </w:r>
            <w:r w:rsidRPr="000060CE">
              <w:rPr>
                <w:lang w:val="es-ES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736F94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18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031</w:t>
            </w:r>
          </w:p>
        </w:tc>
      </w:tr>
    </w:tbl>
    <w:p w14:paraId="3798FA28" w14:textId="77777777" w:rsidR="006720DC" w:rsidRPr="000060CE" w:rsidRDefault="006720DC" w:rsidP="006720DC">
      <w:pPr>
        <w:rPr>
          <w:lang w:val="es-ES"/>
        </w:rPr>
      </w:pPr>
    </w:p>
    <w:p w14:paraId="02C1B34A" w14:textId="77777777" w:rsidR="006720DC" w:rsidRPr="000060CE" w:rsidRDefault="00FC3A9B" w:rsidP="00357995">
      <w:pPr>
        <w:rPr>
          <w:b/>
          <w:bCs/>
          <w:lang w:val="es-ES"/>
        </w:rPr>
      </w:pPr>
      <w:r w:rsidRPr="000060CE">
        <w:rPr>
          <w:b/>
          <w:bCs/>
          <w:lang w:val="es-ES"/>
        </w:rPr>
        <w:t>Datos anteriores</w:t>
      </w:r>
      <w:r w:rsidR="006720DC" w:rsidRPr="000060CE">
        <w:rPr>
          <w:b/>
          <w:bCs/>
          <w:lang w:val="es-ES"/>
        </w:rPr>
        <w:t>:</w:t>
      </w:r>
    </w:p>
    <w:tbl>
      <w:tblPr>
        <w:tblW w:w="8379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992"/>
        <w:gridCol w:w="992"/>
        <w:gridCol w:w="992"/>
        <w:gridCol w:w="993"/>
      </w:tblGrid>
      <w:tr w:rsidR="00AD2807" w:rsidRPr="00986536" w14:paraId="3547AD75" w14:textId="77777777" w:rsidTr="00694B84">
        <w:trPr>
          <w:trHeight w:val="530"/>
        </w:trPr>
        <w:tc>
          <w:tcPr>
            <w:tcW w:w="8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E0CB" w14:textId="77777777" w:rsidR="006720DC" w:rsidRPr="000060CE" w:rsidRDefault="00FC3A9B" w:rsidP="00357995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 xml:space="preserve">Inventario de patentes </w:t>
            </w:r>
            <w:r w:rsidR="006720DC" w:rsidRPr="000060CE">
              <w:rPr>
                <w:b/>
                <w:bCs/>
                <w:lang w:val="es-ES"/>
              </w:rPr>
              <w:t>(</w:t>
            </w:r>
            <w:r w:rsidRPr="000060CE">
              <w:rPr>
                <w:b/>
                <w:bCs/>
                <w:lang w:val="es-ES"/>
              </w:rPr>
              <w:t>a diciembre de</w:t>
            </w:r>
            <w:r w:rsidR="006720DC" w:rsidRPr="000060CE">
              <w:rPr>
                <w:b/>
                <w:bCs/>
                <w:lang w:val="es-ES"/>
              </w:rPr>
              <w:t xml:space="preserve"> 2016)</w:t>
            </w:r>
          </w:p>
        </w:tc>
      </w:tr>
      <w:tr w:rsidR="00AD2807" w:rsidRPr="000060CE" w14:paraId="7780D2F1" w14:textId="77777777" w:rsidTr="00694B84">
        <w:trPr>
          <w:trHeight w:val="901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2697" w14:textId="77777777" w:rsidR="006720DC" w:rsidRPr="000060CE" w:rsidRDefault="00FC3A9B" w:rsidP="00357995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Inventario</w:t>
            </w:r>
            <w:r w:rsidR="006720DC" w:rsidRPr="000060CE">
              <w:rPr>
                <w:b/>
                <w:bCs/>
                <w:lang w:val="es-ES"/>
              </w:rPr>
              <w:t xml:space="preserve"> </w:t>
            </w:r>
          </w:p>
          <w:p w14:paraId="47933477" w14:textId="562EEAAD" w:rsidR="006720DC" w:rsidRPr="000060CE" w:rsidRDefault="006720DC" w:rsidP="00357995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(</w:t>
            </w:r>
            <w:r w:rsidR="00FC3A9B" w:rsidRPr="000060CE">
              <w:rPr>
                <w:b/>
                <w:bCs/>
                <w:lang w:val="es-ES"/>
              </w:rPr>
              <w:t xml:space="preserve">número de solicitudes a la espera de la primera </w:t>
            </w:r>
            <w:r w:rsidR="00BB07D1">
              <w:rPr>
                <w:b/>
                <w:bCs/>
                <w:lang w:val="es-ES"/>
              </w:rPr>
              <w:t>acción</w:t>
            </w:r>
            <w:r w:rsidRPr="000060CE">
              <w:rPr>
                <w:b/>
                <w:bCs/>
                <w:lang w:val="es-E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8940" w14:textId="77777777" w:rsidR="006720DC" w:rsidRPr="000060CE" w:rsidRDefault="006720DC" w:rsidP="00357995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5C27" w14:textId="77777777" w:rsidR="006720DC" w:rsidRPr="000060CE" w:rsidRDefault="006720DC" w:rsidP="00357995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2068" w14:textId="77777777" w:rsidR="006720DC" w:rsidRPr="000060CE" w:rsidRDefault="006720DC" w:rsidP="00357995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0042" w14:textId="77777777" w:rsidR="006720DC" w:rsidRPr="000060CE" w:rsidRDefault="006720DC" w:rsidP="00357995">
            <w:pPr>
              <w:rPr>
                <w:b/>
                <w:bCs/>
                <w:lang w:val="es-ES"/>
              </w:rPr>
            </w:pPr>
            <w:r w:rsidRPr="000060CE">
              <w:rPr>
                <w:b/>
                <w:bCs/>
                <w:lang w:val="es-ES"/>
              </w:rPr>
              <w:t>2016</w:t>
            </w:r>
          </w:p>
        </w:tc>
      </w:tr>
      <w:tr w:rsidR="00AD2807" w:rsidRPr="000060CE" w14:paraId="7F1727A2" w14:textId="77777777" w:rsidTr="00694B84">
        <w:trPr>
          <w:trHeight w:val="471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6834" w14:textId="77777777" w:rsidR="006720DC" w:rsidRPr="000060CE" w:rsidRDefault="006720DC" w:rsidP="00694B84">
            <w:pPr>
              <w:rPr>
                <w:lang w:val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6815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59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DBA0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51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5579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47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06AE" w14:textId="77777777" w:rsidR="006720DC" w:rsidRPr="000060CE" w:rsidRDefault="006720DC" w:rsidP="00694B84">
            <w:pPr>
              <w:rPr>
                <w:lang w:val="es-ES"/>
              </w:rPr>
            </w:pPr>
            <w:r w:rsidRPr="000060CE">
              <w:rPr>
                <w:lang w:val="es-ES"/>
              </w:rPr>
              <w:t>42</w:t>
            </w:r>
            <w:r w:rsidR="00E90B20" w:rsidRPr="000060CE">
              <w:rPr>
                <w:lang w:val="es-ES"/>
              </w:rPr>
              <w:t>.</w:t>
            </w:r>
            <w:r w:rsidRPr="000060CE">
              <w:rPr>
                <w:lang w:val="es-ES"/>
              </w:rPr>
              <w:t>206</w:t>
            </w:r>
          </w:p>
        </w:tc>
      </w:tr>
    </w:tbl>
    <w:p w14:paraId="36587DAB" w14:textId="38B95773" w:rsidR="006720DC" w:rsidRPr="000060CE" w:rsidRDefault="006720DC" w:rsidP="001D0D5B">
      <w:pPr>
        <w:pStyle w:val="SectionHeading"/>
        <w:rPr>
          <w:lang w:val="es-ES"/>
        </w:rPr>
      </w:pPr>
      <w:r w:rsidRPr="000060CE">
        <w:rPr>
          <w:lang w:val="es-ES"/>
        </w:rPr>
        <w:t xml:space="preserve">6 – </w:t>
      </w:r>
      <w:r w:rsidR="003B25B5" w:rsidRPr="000060CE">
        <w:rPr>
          <w:lang w:val="es-ES"/>
        </w:rPr>
        <w:t xml:space="preserve">APOYO </w:t>
      </w:r>
      <w:r w:rsidR="00533E17">
        <w:rPr>
          <w:lang w:val="es-ES"/>
        </w:rPr>
        <w:t>requerid</w:t>
      </w:r>
      <w:r w:rsidR="003B25B5" w:rsidRPr="000060CE">
        <w:rPr>
          <w:lang w:val="es-ES"/>
        </w:rPr>
        <w:t>O</w:t>
      </w:r>
    </w:p>
    <w:p w14:paraId="7BD9E0DC" w14:textId="77777777" w:rsidR="002E5092" w:rsidRPr="000060CE" w:rsidRDefault="002E5092" w:rsidP="006720DC">
      <w:pPr>
        <w:rPr>
          <w:lang w:val="es-ES"/>
        </w:rPr>
      </w:pPr>
      <w:r w:rsidRPr="000060CE">
        <w:rPr>
          <w:lang w:val="es-ES"/>
        </w:rPr>
        <w:t>La</w:t>
      </w:r>
      <w:r w:rsidR="006720DC" w:rsidRPr="000060CE">
        <w:rPr>
          <w:lang w:val="es-ES"/>
        </w:rPr>
        <w:t xml:space="preserve"> APO </w:t>
      </w:r>
      <w:r w:rsidRPr="000060CE">
        <w:rPr>
          <w:lang w:val="es-ES"/>
        </w:rPr>
        <w:t>necesitará el apoyo nominal continuo de la Oficina Internacional.</w:t>
      </w:r>
    </w:p>
    <w:p w14:paraId="70944CA8" w14:textId="77777777" w:rsidR="006720DC" w:rsidRPr="000060CE" w:rsidRDefault="006720DC" w:rsidP="006720DC">
      <w:pPr>
        <w:pStyle w:val="SectionHeading"/>
        <w:rPr>
          <w:lang w:val="es-ES"/>
        </w:rPr>
      </w:pPr>
      <w:r w:rsidRPr="000060CE">
        <w:rPr>
          <w:lang w:val="es-ES"/>
        </w:rPr>
        <w:lastRenderedPageBreak/>
        <w:t xml:space="preserve">7 – </w:t>
      </w:r>
      <w:r w:rsidR="00E90B20" w:rsidRPr="000060CE">
        <w:rPr>
          <w:lang w:val="es-ES"/>
        </w:rPr>
        <w:t>OTROS</w:t>
      </w:r>
    </w:p>
    <w:p w14:paraId="044DC93D" w14:textId="77777777" w:rsidR="006720DC" w:rsidRPr="000060CE" w:rsidRDefault="00627C32" w:rsidP="006720DC">
      <w:pPr>
        <w:rPr>
          <w:i/>
          <w:szCs w:val="22"/>
          <w:lang w:val="es-ES"/>
        </w:rPr>
      </w:pPr>
      <w:r w:rsidRPr="000060CE">
        <w:rPr>
          <w:i/>
          <w:szCs w:val="22"/>
          <w:lang w:val="es-ES"/>
        </w:rPr>
        <w:t>Agenda Nacional de</w:t>
      </w:r>
      <w:r w:rsidR="004902B5" w:rsidRPr="000060CE">
        <w:rPr>
          <w:i/>
          <w:szCs w:val="22"/>
          <w:lang w:val="es-ES"/>
        </w:rPr>
        <w:t xml:space="preserve"> la</w:t>
      </w:r>
      <w:r w:rsidRPr="000060CE">
        <w:rPr>
          <w:i/>
          <w:szCs w:val="22"/>
          <w:lang w:val="es-ES"/>
        </w:rPr>
        <w:t xml:space="preserve"> Ciencia </w:t>
      </w:r>
      <w:r w:rsidR="004902B5" w:rsidRPr="000060CE">
        <w:rPr>
          <w:i/>
          <w:szCs w:val="22"/>
          <w:lang w:val="es-ES"/>
        </w:rPr>
        <w:t>y la</w:t>
      </w:r>
      <w:r w:rsidRPr="000060CE">
        <w:rPr>
          <w:i/>
          <w:szCs w:val="22"/>
          <w:lang w:val="es-ES"/>
        </w:rPr>
        <w:t xml:space="preserve"> Innovación </w:t>
      </w:r>
      <w:r w:rsidR="006720DC" w:rsidRPr="000060CE">
        <w:rPr>
          <w:i/>
          <w:szCs w:val="22"/>
          <w:lang w:val="es-ES"/>
        </w:rPr>
        <w:t>(NISA</w:t>
      </w:r>
      <w:r w:rsidRPr="000060CE">
        <w:rPr>
          <w:i/>
          <w:szCs w:val="22"/>
          <w:lang w:val="es-ES"/>
        </w:rPr>
        <w:t xml:space="preserve">)  </w:t>
      </w:r>
    </w:p>
    <w:p w14:paraId="372DD48B" w14:textId="77777777" w:rsidR="006720DC" w:rsidRPr="000060CE" w:rsidRDefault="006720DC" w:rsidP="006720DC">
      <w:pPr>
        <w:rPr>
          <w:i/>
          <w:szCs w:val="22"/>
          <w:lang w:val="es-ES"/>
        </w:rPr>
      </w:pPr>
    </w:p>
    <w:p w14:paraId="743FB8DA" w14:textId="7B8100AF" w:rsidR="00C01AA7" w:rsidRPr="000060CE" w:rsidRDefault="004902B5" w:rsidP="006720DC">
      <w:pPr>
        <w:spacing w:after="120"/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 xml:space="preserve">El 7 de diciembre de 2015, el gobierno de Australia publicó la Agenda Nacional de la Ciencia y la Innovación (NISA).  La NISA </w:t>
      </w:r>
      <w:r w:rsidR="0080063E">
        <w:rPr>
          <w:rFonts w:eastAsiaTheme="minorHAnsi" w:cs="Times New Roman"/>
          <w:lang w:val="es-ES" w:eastAsia="en-AU"/>
        </w:rPr>
        <w:t>es</w:t>
      </w:r>
      <w:r w:rsidRPr="000060CE">
        <w:rPr>
          <w:rFonts w:eastAsiaTheme="minorHAnsi" w:cs="Times New Roman"/>
          <w:lang w:val="es-ES" w:eastAsia="en-AU"/>
        </w:rPr>
        <w:t xml:space="preserve"> parte del compromiso del gobierno para lograr </w:t>
      </w:r>
      <w:r w:rsidR="00712372" w:rsidRPr="000060CE">
        <w:rPr>
          <w:rFonts w:eastAsiaTheme="minorHAnsi" w:cs="Times New Roman"/>
          <w:lang w:val="es-ES" w:eastAsia="en-AU"/>
        </w:rPr>
        <w:t>el liderazgo de</w:t>
      </w:r>
      <w:r w:rsidRPr="000060CE">
        <w:rPr>
          <w:rFonts w:eastAsiaTheme="minorHAnsi" w:cs="Times New Roman"/>
          <w:lang w:val="es-ES" w:eastAsia="en-AU"/>
        </w:rPr>
        <w:t xml:space="preserve"> Australia en innovación</w:t>
      </w:r>
      <w:r w:rsidR="006632A1" w:rsidRPr="000060CE">
        <w:rPr>
          <w:rFonts w:eastAsiaTheme="minorHAnsi" w:cs="Times New Roman"/>
          <w:lang w:val="es-ES" w:eastAsia="en-AU"/>
        </w:rPr>
        <w:t>.  I</w:t>
      </w:r>
      <w:r w:rsidRPr="000060CE">
        <w:rPr>
          <w:rFonts w:eastAsiaTheme="minorHAnsi" w:cs="Times New Roman"/>
          <w:lang w:val="es-ES" w:eastAsia="en-AU"/>
        </w:rPr>
        <w:t xml:space="preserve">P Australia está bien situada para prestar su apoyo a los cambios </w:t>
      </w:r>
      <w:r w:rsidR="00382CBA">
        <w:rPr>
          <w:rFonts w:eastAsiaTheme="minorHAnsi" w:cs="Times New Roman"/>
          <w:lang w:val="es-ES" w:eastAsia="en-AU"/>
        </w:rPr>
        <w:t>pertinentes en</w:t>
      </w:r>
      <w:r w:rsidRPr="000060CE">
        <w:rPr>
          <w:rFonts w:eastAsiaTheme="minorHAnsi" w:cs="Times New Roman"/>
          <w:lang w:val="es-ES" w:eastAsia="en-AU"/>
        </w:rPr>
        <w:t xml:space="preserve"> el marco de la NISA, incluidos los relacionados con la compartición de datos. </w:t>
      </w:r>
    </w:p>
    <w:p w14:paraId="4BA373AA" w14:textId="5C549870" w:rsidR="00C01AA7" w:rsidRPr="000060CE" w:rsidRDefault="004902B5" w:rsidP="006720DC">
      <w:pPr>
        <w:spacing w:after="120"/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 xml:space="preserve">La NISA se centra en la </w:t>
      </w:r>
      <w:r w:rsidR="006E4F21">
        <w:rPr>
          <w:rFonts w:eastAsiaTheme="minorHAnsi" w:cs="Times New Roman"/>
          <w:lang w:val="es-ES" w:eastAsia="en-AU"/>
        </w:rPr>
        <w:t>creación de un entorno que ofrece</w:t>
      </w:r>
      <w:r w:rsidRPr="000060CE">
        <w:rPr>
          <w:rFonts w:eastAsiaTheme="minorHAnsi" w:cs="Times New Roman"/>
          <w:lang w:val="es-ES" w:eastAsia="en-AU"/>
        </w:rPr>
        <w:t xml:space="preserve"> vías e incentivos claros para que personas y empresas innoven</w:t>
      </w:r>
      <w:r w:rsidR="006632A1" w:rsidRPr="000060CE">
        <w:rPr>
          <w:rFonts w:eastAsiaTheme="minorHAnsi" w:cs="Times New Roman"/>
          <w:lang w:val="es-ES" w:eastAsia="en-AU"/>
        </w:rPr>
        <w:t>.  E</w:t>
      </w:r>
      <w:r w:rsidRPr="000060CE">
        <w:rPr>
          <w:rFonts w:eastAsiaTheme="minorHAnsi" w:cs="Times New Roman"/>
          <w:lang w:val="es-ES" w:eastAsia="en-AU"/>
        </w:rPr>
        <w:t xml:space="preserve">llo incluye </w:t>
      </w:r>
      <w:r w:rsidR="00C01AA7" w:rsidRPr="000060CE">
        <w:rPr>
          <w:rFonts w:eastAsiaTheme="minorHAnsi" w:cs="Times New Roman"/>
          <w:lang w:val="es-ES" w:eastAsia="en-AU"/>
        </w:rPr>
        <w:t>la inversión</w:t>
      </w:r>
      <w:r w:rsidRPr="000060CE">
        <w:rPr>
          <w:rFonts w:eastAsiaTheme="minorHAnsi" w:cs="Times New Roman"/>
          <w:lang w:val="es-ES" w:eastAsia="en-AU"/>
        </w:rPr>
        <w:t xml:space="preserve"> en elementos habilitantes claves para la innovación como la ciencia, la investigación, la educación y las infraestructuras, así como </w:t>
      </w:r>
      <w:r w:rsidR="006E4F21">
        <w:rPr>
          <w:rFonts w:eastAsiaTheme="minorHAnsi" w:cs="Times New Roman"/>
          <w:lang w:val="es-ES" w:eastAsia="en-AU"/>
        </w:rPr>
        <w:t>la oferta de</w:t>
      </w:r>
      <w:r w:rsidRPr="000060CE">
        <w:rPr>
          <w:rFonts w:eastAsiaTheme="minorHAnsi" w:cs="Times New Roman"/>
          <w:lang w:val="es-ES" w:eastAsia="en-AU"/>
        </w:rPr>
        <w:t xml:space="preserve"> condiciones financieras, reglamentarias y fiscales que </w:t>
      </w:r>
      <w:r w:rsidR="006E4F21">
        <w:rPr>
          <w:rFonts w:eastAsiaTheme="minorHAnsi" w:cs="Times New Roman"/>
          <w:lang w:val="es-ES" w:eastAsia="en-AU"/>
        </w:rPr>
        <w:t>permitan a las empresas experimentar</w:t>
      </w:r>
      <w:r w:rsidRPr="000060CE">
        <w:rPr>
          <w:rFonts w:eastAsiaTheme="minorHAnsi" w:cs="Times New Roman"/>
          <w:lang w:val="es-ES" w:eastAsia="en-AU"/>
        </w:rPr>
        <w:t>, pr</w:t>
      </w:r>
      <w:r w:rsidR="006E4F21">
        <w:rPr>
          <w:rFonts w:eastAsiaTheme="minorHAnsi" w:cs="Times New Roman"/>
          <w:lang w:val="es-ES" w:eastAsia="en-AU"/>
        </w:rPr>
        <w:t>obar</w:t>
      </w:r>
      <w:r w:rsidRPr="000060CE">
        <w:rPr>
          <w:rFonts w:eastAsiaTheme="minorHAnsi" w:cs="Times New Roman"/>
          <w:lang w:val="es-ES" w:eastAsia="en-AU"/>
        </w:rPr>
        <w:t xml:space="preserve"> y </w:t>
      </w:r>
      <w:r w:rsidR="006E4F21">
        <w:rPr>
          <w:rFonts w:eastAsiaTheme="minorHAnsi" w:cs="Times New Roman"/>
          <w:lang w:val="es-ES" w:eastAsia="en-AU"/>
        </w:rPr>
        <w:t xml:space="preserve">trasladar nuevas ideas al </w:t>
      </w:r>
      <w:r w:rsidR="00C01AA7" w:rsidRPr="000060CE">
        <w:rPr>
          <w:rFonts w:eastAsiaTheme="minorHAnsi" w:cs="Times New Roman"/>
          <w:lang w:val="es-ES" w:eastAsia="en-AU"/>
        </w:rPr>
        <w:t xml:space="preserve">mercado. </w:t>
      </w:r>
    </w:p>
    <w:p w14:paraId="58990CF5" w14:textId="5902CFDD" w:rsidR="004902B5" w:rsidRPr="000060CE" w:rsidRDefault="00C01AA7" w:rsidP="006720DC">
      <w:pPr>
        <w:spacing w:after="120"/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 xml:space="preserve">IP Australia ofrece actualmente una serie de servicios </w:t>
      </w:r>
      <w:r w:rsidR="00074125">
        <w:rPr>
          <w:rFonts w:eastAsiaTheme="minorHAnsi" w:cs="Times New Roman"/>
          <w:lang w:val="es-ES" w:eastAsia="en-AU"/>
        </w:rPr>
        <w:t>que</w:t>
      </w:r>
      <w:r w:rsidR="00320A62" w:rsidRPr="000060CE">
        <w:rPr>
          <w:rFonts w:eastAsiaTheme="minorHAnsi" w:cs="Times New Roman"/>
          <w:lang w:val="es-ES" w:eastAsia="en-AU"/>
        </w:rPr>
        <w:t xml:space="preserve"> apoy</w:t>
      </w:r>
      <w:r w:rsidR="00074125">
        <w:rPr>
          <w:rFonts w:eastAsiaTheme="minorHAnsi" w:cs="Times New Roman"/>
          <w:lang w:val="es-ES" w:eastAsia="en-AU"/>
        </w:rPr>
        <w:t xml:space="preserve">an </w:t>
      </w:r>
      <w:r w:rsidRPr="000060CE">
        <w:rPr>
          <w:rFonts w:eastAsiaTheme="minorHAnsi" w:cs="Times New Roman"/>
          <w:lang w:val="es-ES" w:eastAsia="en-AU"/>
        </w:rPr>
        <w:t xml:space="preserve">la </w:t>
      </w:r>
      <w:r w:rsidR="00712372" w:rsidRPr="000060CE">
        <w:rPr>
          <w:rFonts w:eastAsiaTheme="minorHAnsi" w:cs="Times New Roman"/>
          <w:lang w:val="es-ES" w:eastAsia="en-AU"/>
        </w:rPr>
        <w:t>Agenda (</w:t>
      </w:r>
      <w:r w:rsidRPr="000060CE">
        <w:rPr>
          <w:rFonts w:eastAsiaTheme="minorHAnsi" w:cs="Times New Roman"/>
          <w:lang w:val="es-ES" w:eastAsia="en-AU"/>
        </w:rPr>
        <w:t>NISA</w:t>
      </w:r>
      <w:r w:rsidR="00712372" w:rsidRPr="000060CE">
        <w:rPr>
          <w:rFonts w:eastAsiaTheme="minorHAnsi" w:cs="Times New Roman"/>
          <w:lang w:val="es-ES" w:eastAsia="en-AU"/>
        </w:rPr>
        <w:t>)</w:t>
      </w:r>
      <w:r w:rsidR="006632A1" w:rsidRPr="000060CE">
        <w:rPr>
          <w:rFonts w:eastAsiaTheme="minorHAnsi" w:cs="Times New Roman"/>
          <w:lang w:val="es-ES" w:eastAsia="en-AU"/>
        </w:rPr>
        <w:t>.  P</w:t>
      </w:r>
      <w:r w:rsidRPr="000060CE">
        <w:rPr>
          <w:rFonts w:eastAsiaTheme="minorHAnsi" w:cs="Times New Roman"/>
          <w:lang w:val="es-ES" w:eastAsia="en-AU"/>
        </w:rPr>
        <w:t xml:space="preserve">rincipalmente están destinados a promover la comercialización de la investigación </w:t>
      </w:r>
      <w:r w:rsidR="00712372" w:rsidRPr="000060CE">
        <w:rPr>
          <w:rFonts w:eastAsiaTheme="minorHAnsi" w:cs="Times New Roman"/>
          <w:lang w:val="es-ES" w:eastAsia="en-AU"/>
        </w:rPr>
        <w:t>realizada en</w:t>
      </w:r>
      <w:r w:rsidRPr="000060CE">
        <w:rPr>
          <w:rFonts w:eastAsiaTheme="minorHAnsi" w:cs="Times New Roman"/>
          <w:lang w:val="es-ES" w:eastAsia="en-AU"/>
        </w:rPr>
        <w:t xml:space="preserve"> el sector público y la colaboración entre las comunidades de la innovación y </w:t>
      </w:r>
      <w:r w:rsidR="00320A62" w:rsidRPr="000060CE">
        <w:rPr>
          <w:rFonts w:eastAsiaTheme="minorHAnsi" w:cs="Times New Roman"/>
          <w:lang w:val="es-ES" w:eastAsia="en-AU"/>
        </w:rPr>
        <w:t>el tejido</w:t>
      </w:r>
      <w:r w:rsidRPr="000060CE">
        <w:rPr>
          <w:rFonts w:eastAsiaTheme="minorHAnsi" w:cs="Times New Roman"/>
          <w:lang w:val="es-ES" w:eastAsia="en-AU"/>
        </w:rPr>
        <w:t xml:space="preserve"> empresa</w:t>
      </w:r>
      <w:r w:rsidR="00320A62" w:rsidRPr="000060CE">
        <w:rPr>
          <w:rFonts w:eastAsiaTheme="minorHAnsi" w:cs="Times New Roman"/>
          <w:lang w:val="es-ES" w:eastAsia="en-AU"/>
        </w:rPr>
        <w:t>rial</w:t>
      </w:r>
      <w:r w:rsidRPr="000060CE">
        <w:rPr>
          <w:rFonts w:eastAsiaTheme="minorHAnsi" w:cs="Times New Roman"/>
          <w:lang w:val="es-ES" w:eastAsia="en-AU"/>
        </w:rPr>
        <w:t xml:space="preserve">, </w:t>
      </w:r>
      <w:r w:rsidR="00712372" w:rsidRPr="000060CE">
        <w:rPr>
          <w:rFonts w:eastAsiaTheme="minorHAnsi" w:cs="Times New Roman"/>
          <w:lang w:val="es-ES" w:eastAsia="en-AU"/>
        </w:rPr>
        <w:t>donde</w:t>
      </w:r>
      <w:r w:rsidRPr="000060CE">
        <w:rPr>
          <w:rFonts w:eastAsiaTheme="minorHAnsi" w:cs="Times New Roman"/>
          <w:lang w:val="es-ES" w:eastAsia="en-AU"/>
        </w:rPr>
        <w:t xml:space="preserve"> la P.I. puede ser un asunto controvertido</w:t>
      </w:r>
      <w:r w:rsidR="006632A1" w:rsidRPr="000060CE">
        <w:rPr>
          <w:rFonts w:eastAsiaTheme="minorHAnsi" w:cs="Times New Roman"/>
          <w:lang w:val="es-ES" w:eastAsia="en-AU"/>
        </w:rPr>
        <w:t>.  D</w:t>
      </w:r>
      <w:r w:rsidRPr="000060CE">
        <w:rPr>
          <w:rFonts w:eastAsiaTheme="minorHAnsi" w:cs="Times New Roman"/>
          <w:lang w:val="es-ES" w:eastAsia="en-AU"/>
        </w:rPr>
        <w:t>ichos servicios incluyen los siguientes:</w:t>
      </w:r>
    </w:p>
    <w:p w14:paraId="029308CC" w14:textId="77777777" w:rsidR="009A5A5A" w:rsidRPr="000060CE" w:rsidRDefault="004D1DB2" w:rsidP="006720DC">
      <w:pPr>
        <w:pStyle w:val="ListParagraph"/>
        <w:numPr>
          <w:ilvl w:val="0"/>
          <w:numId w:val="13"/>
        </w:numPr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La</w:t>
      </w:r>
      <w:r w:rsidR="009A5A5A" w:rsidRPr="000060CE">
        <w:rPr>
          <w:rFonts w:eastAsiaTheme="minorHAnsi" w:cs="Times New Roman"/>
          <w:lang w:val="es-ES" w:eastAsia="en-AU"/>
        </w:rPr>
        <w:t xml:space="preserve"> herramienta para la colaboración en materia de P.I. desarrollada conjuntamente con el Ministerio de Industria, Innovación y Ciencia (DIIS) </w:t>
      </w:r>
      <w:r w:rsidR="00FA0A9F" w:rsidRPr="000060CE">
        <w:rPr>
          <w:rFonts w:eastAsiaTheme="minorHAnsi" w:cs="Times New Roman"/>
          <w:lang w:val="es-ES" w:eastAsia="en-AU"/>
        </w:rPr>
        <w:t>lanzada</w:t>
      </w:r>
      <w:r w:rsidR="009A5A5A" w:rsidRPr="000060CE">
        <w:rPr>
          <w:rFonts w:eastAsiaTheme="minorHAnsi" w:cs="Times New Roman"/>
          <w:lang w:val="es-ES" w:eastAsia="en-AU"/>
        </w:rPr>
        <w:t xml:space="preserve"> el 10 de septiembre</w:t>
      </w:r>
      <w:r w:rsidR="00FA0A9F" w:rsidRPr="000060CE">
        <w:rPr>
          <w:rFonts w:eastAsiaTheme="minorHAnsi" w:cs="Times New Roman"/>
          <w:lang w:val="es-ES" w:eastAsia="en-AU"/>
        </w:rPr>
        <w:t xml:space="preserve"> de 2015 </w:t>
      </w:r>
      <w:r w:rsidRPr="000060CE">
        <w:rPr>
          <w:rFonts w:eastAsiaTheme="minorHAnsi" w:cs="Times New Roman"/>
          <w:lang w:val="es-ES" w:eastAsia="en-AU"/>
        </w:rPr>
        <w:t>que constituye</w:t>
      </w:r>
      <w:r w:rsidR="00FA0A9F" w:rsidRPr="000060CE">
        <w:rPr>
          <w:rFonts w:eastAsiaTheme="minorHAnsi" w:cs="Times New Roman"/>
          <w:lang w:val="es-ES" w:eastAsia="en-AU"/>
        </w:rPr>
        <w:t xml:space="preserve"> un recurso</w:t>
      </w:r>
      <w:r w:rsidR="009A5A5A" w:rsidRPr="000060CE">
        <w:rPr>
          <w:rFonts w:eastAsiaTheme="minorHAnsi" w:cs="Times New Roman"/>
          <w:lang w:val="es-ES" w:eastAsia="en-AU"/>
        </w:rPr>
        <w:t xml:space="preserve"> en línea para mejorar la colaboración entre </w:t>
      </w:r>
      <w:r w:rsidR="00FA0A9F" w:rsidRPr="000060CE">
        <w:rPr>
          <w:rFonts w:eastAsiaTheme="minorHAnsi" w:cs="Times New Roman"/>
          <w:lang w:val="es-ES" w:eastAsia="en-AU"/>
        </w:rPr>
        <w:t xml:space="preserve">los </w:t>
      </w:r>
      <w:r w:rsidR="009A5A5A" w:rsidRPr="000060CE">
        <w:rPr>
          <w:rFonts w:eastAsiaTheme="minorHAnsi" w:cs="Times New Roman"/>
          <w:lang w:val="es-ES" w:eastAsia="en-AU"/>
        </w:rPr>
        <w:t>investigadores y la comunidad empresarial</w:t>
      </w:r>
      <w:r w:rsidR="006632A1" w:rsidRPr="000060CE">
        <w:rPr>
          <w:rFonts w:eastAsiaTheme="minorHAnsi" w:cs="Times New Roman"/>
          <w:lang w:val="es-ES" w:eastAsia="en-AU"/>
        </w:rPr>
        <w:t>.  I</w:t>
      </w:r>
      <w:r w:rsidR="009A5A5A" w:rsidRPr="000060CE">
        <w:rPr>
          <w:rFonts w:eastAsiaTheme="minorHAnsi" w:cs="Times New Roman"/>
          <w:lang w:val="es-ES" w:eastAsia="en-AU"/>
        </w:rPr>
        <w:t xml:space="preserve">P Australia </w:t>
      </w:r>
      <w:r w:rsidR="00FA0A9F" w:rsidRPr="000060CE">
        <w:rPr>
          <w:rFonts w:eastAsiaTheme="minorHAnsi" w:cs="Times New Roman"/>
          <w:lang w:val="es-ES" w:eastAsia="en-AU"/>
        </w:rPr>
        <w:t xml:space="preserve">recabó el examen de </w:t>
      </w:r>
      <w:r w:rsidR="009A5A5A" w:rsidRPr="000060CE">
        <w:rPr>
          <w:rFonts w:eastAsiaTheme="minorHAnsi" w:cs="Times New Roman"/>
          <w:lang w:val="es-ES" w:eastAsia="en-AU"/>
        </w:rPr>
        <w:t xml:space="preserve">consultores </w:t>
      </w:r>
      <w:r w:rsidRPr="000060CE">
        <w:rPr>
          <w:rFonts w:eastAsiaTheme="minorHAnsi" w:cs="Times New Roman"/>
          <w:lang w:val="es-ES" w:eastAsia="en-AU"/>
        </w:rPr>
        <w:t xml:space="preserve">con relación a la </w:t>
      </w:r>
      <w:r w:rsidR="009A5A5A" w:rsidRPr="000060CE">
        <w:rPr>
          <w:rFonts w:eastAsiaTheme="minorHAnsi" w:cs="Times New Roman"/>
          <w:lang w:val="es-ES" w:eastAsia="en-AU"/>
        </w:rPr>
        <w:t xml:space="preserve">herramienta de P.I. </w:t>
      </w:r>
      <w:r w:rsidR="00FA0A9F" w:rsidRPr="000060CE">
        <w:rPr>
          <w:rFonts w:eastAsiaTheme="minorHAnsi" w:cs="Times New Roman"/>
          <w:lang w:val="es-ES" w:eastAsia="en-AU"/>
        </w:rPr>
        <w:t>a fin de</w:t>
      </w:r>
      <w:r w:rsidR="009A5A5A" w:rsidRPr="000060CE">
        <w:rPr>
          <w:rFonts w:eastAsiaTheme="minorHAnsi" w:cs="Times New Roman"/>
          <w:lang w:val="es-ES" w:eastAsia="en-AU"/>
        </w:rPr>
        <w:t xml:space="preserve"> que identificaran posibles mejoras en accesibilidad y funcionalidad</w:t>
      </w:r>
      <w:r w:rsidR="006632A1" w:rsidRPr="000060CE">
        <w:rPr>
          <w:rFonts w:eastAsiaTheme="minorHAnsi" w:cs="Times New Roman"/>
          <w:lang w:val="es-ES" w:eastAsia="en-AU"/>
        </w:rPr>
        <w:t>.  I</w:t>
      </w:r>
      <w:r w:rsidR="00FA0A9F" w:rsidRPr="000060CE">
        <w:rPr>
          <w:rFonts w:eastAsiaTheme="minorHAnsi" w:cs="Times New Roman"/>
          <w:lang w:val="es-ES" w:eastAsia="en-AU"/>
        </w:rPr>
        <w:t>P Australia y el DII</w:t>
      </w:r>
      <w:r w:rsidR="009A5A5A" w:rsidRPr="000060CE">
        <w:rPr>
          <w:rFonts w:eastAsiaTheme="minorHAnsi" w:cs="Times New Roman"/>
          <w:lang w:val="es-ES" w:eastAsia="en-AU"/>
        </w:rPr>
        <w:t xml:space="preserve">S están trabajando conjuntamente para el lanzamiento de una versión beta de la herramienta </w:t>
      </w:r>
      <w:r w:rsidRPr="000060CE">
        <w:rPr>
          <w:rFonts w:eastAsiaTheme="minorHAnsi" w:cs="Times New Roman"/>
          <w:lang w:val="es-ES" w:eastAsia="en-AU"/>
        </w:rPr>
        <w:t xml:space="preserve">mejorada </w:t>
      </w:r>
      <w:r w:rsidR="009A5A5A" w:rsidRPr="000060CE">
        <w:rPr>
          <w:rFonts w:eastAsiaTheme="minorHAnsi" w:cs="Times New Roman"/>
          <w:lang w:val="es-ES" w:eastAsia="en-AU"/>
        </w:rPr>
        <w:t>durante la primera mitad de 2017.</w:t>
      </w:r>
    </w:p>
    <w:p w14:paraId="5DC51BE7" w14:textId="426E65F3" w:rsidR="009A5A5A" w:rsidRPr="000060CE" w:rsidRDefault="009A5A5A" w:rsidP="006720DC">
      <w:pPr>
        <w:pStyle w:val="ListParagraph"/>
        <w:numPr>
          <w:ilvl w:val="0"/>
          <w:numId w:val="13"/>
        </w:numPr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Source IP (lanz</w:t>
      </w:r>
      <w:r w:rsidR="007D7FD7">
        <w:rPr>
          <w:rFonts w:eastAsiaTheme="minorHAnsi" w:cs="Times New Roman"/>
          <w:lang w:val="es-ES" w:eastAsia="en-AU"/>
        </w:rPr>
        <w:t xml:space="preserve">ada el 23 de noviembre de 2015), que </w:t>
      </w:r>
      <w:r w:rsidRPr="000060CE">
        <w:rPr>
          <w:rFonts w:eastAsiaTheme="minorHAnsi" w:cs="Times New Roman"/>
          <w:lang w:val="es-ES" w:eastAsia="en-AU"/>
        </w:rPr>
        <w:t xml:space="preserve">proporciona un mercado en Internet </w:t>
      </w:r>
      <w:r w:rsidR="0034281C" w:rsidRPr="000060CE">
        <w:rPr>
          <w:rFonts w:eastAsiaTheme="minorHAnsi" w:cs="Times New Roman"/>
          <w:lang w:val="es-ES" w:eastAsia="en-AU"/>
        </w:rPr>
        <w:t>para conectar a la comunidad empresarial con la P.I. generada por los organismos de investigación del sector público y las universidades en Australia</w:t>
      </w:r>
      <w:r w:rsidR="006632A1" w:rsidRPr="000060CE">
        <w:rPr>
          <w:rFonts w:eastAsiaTheme="minorHAnsi" w:cs="Times New Roman"/>
          <w:lang w:val="es-ES" w:eastAsia="en-AU"/>
        </w:rPr>
        <w:t>.  D</w:t>
      </w:r>
      <w:r w:rsidR="0034281C" w:rsidRPr="000060CE">
        <w:rPr>
          <w:rFonts w:eastAsiaTheme="minorHAnsi" w:cs="Times New Roman"/>
          <w:lang w:val="es-ES" w:eastAsia="en-AU"/>
        </w:rPr>
        <w:t xml:space="preserve">esarrollos recientes han </w:t>
      </w:r>
      <w:r w:rsidR="006632A1" w:rsidRPr="000060CE">
        <w:rPr>
          <w:rFonts w:eastAsiaTheme="minorHAnsi" w:cs="Times New Roman"/>
          <w:lang w:val="es-ES" w:eastAsia="en-AU"/>
        </w:rPr>
        <w:t>permitido mejorar</w:t>
      </w:r>
      <w:r w:rsidR="0034281C" w:rsidRPr="000060CE">
        <w:rPr>
          <w:rFonts w:eastAsiaTheme="minorHAnsi" w:cs="Times New Roman"/>
          <w:lang w:val="es-ES" w:eastAsia="en-AU"/>
        </w:rPr>
        <w:t xml:space="preserve"> la experiencia de usuario y </w:t>
      </w:r>
      <w:r w:rsidR="006632A1" w:rsidRPr="000060CE">
        <w:rPr>
          <w:rFonts w:eastAsiaTheme="minorHAnsi" w:cs="Times New Roman"/>
          <w:lang w:val="es-ES" w:eastAsia="en-AU"/>
        </w:rPr>
        <w:t>resaltan</w:t>
      </w:r>
      <w:r w:rsidR="0034281C" w:rsidRPr="000060CE">
        <w:rPr>
          <w:rFonts w:eastAsiaTheme="minorHAnsi" w:cs="Times New Roman"/>
          <w:lang w:val="es-ES" w:eastAsia="en-AU"/>
        </w:rPr>
        <w:t xml:space="preserve"> más </w:t>
      </w:r>
      <w:r w:rsidR="000A417B" w:rsidRPr="000060CE">
        <w:rPr>
          <w:rFonts w:eastAsiaTheme="minorHAnsi" w:cs="Times New Roman"/>
          <w:lang w:val="es-ES" w:eastAsia="en-AU"/>
        </w:rPr>
        <w:t>nítidamente</w:t>
      </w:r>
      <w:r w:rsidR="0034281C" w:rsidRPr="000060CE">
        <w:rPr>
          <w:rFonts w:eastAsiaTheme="minorHAnsi" w:cs="Times New Roman"/>
          <w:lang w:val="es-ES" w:eastAsia="en-AU"/>
        </w:rPr>
        <w:t xml:space="preserve"> </w:t>
      </w:r>
      <w:r w:rsidR="000A417B" w:rsidRPr="000060CE">
        <w:rPr>
          <w:rFonts w:eastAsiaTheme="minorHAnsi" w:cs="Times New Roman"/>
          <w:lang w:val="es-ES" w:eastAsia="en-AU"/>
        </w:rPr>
        <w:t>el enfoque</w:t>
      </w:r>
      <w:r w:rsidR="0034281C" w:rsidRPr="000060CE">
        <w:rPr>
          <w:rFonts w:eastAsiaTheme="minorHAnsi" w:cs="Times New Roman"/>
          <w:lang w:val="es-ES" w:eastAsia="en-AU"/>
        </w:rPr>
        <w:t xml:space="preserve"> comercial del sitio.</w:t>
      </w:r>
    </w:p>
    <w:p w14:paraId="6DCC43AF" w14:textId="3DB48F2C" w:rsidR="009A5A5A" w:rsidRPr="000060CE" w:rsidRDefault="0034281C" w:rsidP="0034281C">
      <w:pPr>
        <w:pStyle w:val="ListParagraph"/>
        <w:numPr>
          <w:ilvl w:val="0"/>
          <w:numId w:val="13"/>
        </w:numPr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El 22 de octubre de 20</w:t>
      </w:r>
      <w:r w:rsidR="005C7C39" w:rsidRPr="000060CE">
        <w:rPr>
          <w:rFonts w:eastAsiaTheme="minorHAnsi" w:cs="Times New Roman"/>
          <w:lang w:val="es-ES" w:eastAsia="en-AU"/>
        </w:rPr>
        <w:t>1</w:t>
      </w:r>
      <w:r w:rsidRPr="000060CE">
        <w:rPr>
          <w:rFonts w:eastAsiaTheme="minorHAnsi" w:cs="Times New Roman"/>
          <w:lang w:val="es-ES" w:eastAsia="en-AU"/>
        </w:rPr>
        <w:t>6 se puso en marcha la herramienta Intellectual Property Neural Open-data Visualisation and Analysis (IP NOVA)</w:t>
      </w:r>
      <w:r w:rsidR="005C7C39" w:rsidRPr="000060CE">
        <w:rPr>
          <w:rFonts w:eastAsiaTheme="minorHAnsi" w:cs="Times New Roman"/>
          <w:lang w:val="es-ES" w:eastAsia="en-AU"/>
        </w:rPr>
        <w:t xml:space="preserve">, </w:t>
      </w:r>
      <w:r w:rsidRPr="000060CE">
        <w:rPr>
          <w:rFonts w:eastAsiaTheme="minorHAnsi" w:cs="Times New Roman"/>
          <w:lang w:val="es-ES" w:eastAsia="en-AU"/>
        </w:rPr>
        <w:t>desarrollada en virtud de una alianza entre IP Australia y pequeñas y medianas empresas (pymes)</w:t>
      </w:r>
      <w:r w:rsidR="006632A1" w:rsidRPr="000060CE">
        <w:rPr>
          <w:rFonts w:eastAsiaTheme="minorHAnsi" w:cs="Times New Roman"/>
          <w:lang w:val="es-ES" w:eastAsia="en-AU"/>
        </w:rPr>
        <w:t>.  E</w:t>
      </w:r>
      <w:r w:rsidRPr="000060CE">
        <w:rPr>
          <w:rFonts w:eastAsiaTheme="minorHAnsi" w:cs="Times New Roman"/>
          <w:lang w:val="es-ES" w:eastAsia="en-AU"/>
        </w:rPr>
        <w:t xml:space="preserve">s una herramienta de visualización de datos en la nube de uso libre que permite </w:t>
      </w:r>
      <w:r w:rsidR="008459E9" w:rsidRPr="000060CE">
        <w:rPr>
          <w:rFonts w:eastAsiaTheme="minorHAnsi" w:cs="Times New Roman"/>
          <w:lang w:val="es-ES" w:eastAsia="en-AU"/>
        </w:rPr>
        <w:t>a cualquier persona explorar el entorno de la P.I</w:t>
      </w:r>
      <w:r w:rsidR="005C7C39" w:rsidRPr="000060CE">
        <w:rPr>
          <w:rFonts w:eastAsiaTheme="minorHAnsi" w:cs="Times New Roman"/>
          <w:lang w:val="es-ES" w:eastAsia="en-AU"/>
        </w:rPr>
        <w:t>. mediante la</w:t>
      </w:r>
      <w:r w:rsidR="008459E9" w:rsidRPr="000060CE">
        <w:rPr>
          <w:rFonts w:eastAsiaTheme="minorHAnsi" w:cs="Times New Roman"/>
          <w:lang w:val="es-ES" w:eastAsia="en-AU"/>
        </w:rPr>
        <w:t xml:space="preserve"> búsqueda de derechos de P.I</w:t>
      </w:r>
      <w:r w:rsidR="006632A1" w:rsidRPr="000060CE">
        <w:rPr>
          <w:rFonts w:eastAsiaTheme="minorHAnsi" w:cs="Times New Roman"/>
          <w:lang w:val="es-ES" w:eastAsia="en-AU"/>
        </w:rPr>
        <w:t xml:space="preserve">.  </w:t>
      </w:r>
      <w:r w:rsidR="005C7C39" w:rsidRPr="000060CE">
        <w:rPr>
          <w:rFonts w:eastAsiaTheme="minorHAnsi" w:cs="Times New Roman"/>
          <w:lang w:val="es-ES" w:eastAsia="en-AU"/>
        </w:rPr>
        <w:t>e</w:t>
      </w:r>
      <w:r w:rsidR="008459E9" w:rsidRPr="000060CE">
        <w:rPr>
          <w:rFonts w:eastAsiaTheme="minorHAnsi" w:cs="Times New Roman"/>
          <w:lang w:val="es-ES" w:eastAsia="en-AU"/>
        </w:rPr>
        <w:t>n función de la tecnología, áreas de actividad, ubicación o nombres de empresas</w:t>
      </w:r>
      <w:r w:rsidR="007D7FD7">
        <w:rPr>
          <w:rFonts w:eastAsiaTheme="minorHAnsi" w:cs="Times New Roman"/>
          <w:lang w:val="es-ES" w:eastAsia="en-AU"/>
        </w:rPr>
        <w:t>.</w:t>
      </w:r>
    </w:p>
    <w:p w14:paraId="504D8E74" w14:textId="24534CAC" w:rsidR="0034281C" w:rsidRPr="000060CE" w:rsidRDefault="008459E9" w:rsidP="008459E9">
      <w:pPr>
        <w:pStyle w:val="ListParagraph"/>
        <w:numPr>
          <w:ilvl w:val="0"/>
          <w:numId w:val="13"/>
        </w:numPr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Patent Analytics Hub</w:t>
      </w:r>
      <w:r w:rsidR="007D7FD7">
        <w:rPr>
          <w:rFonts w:eastAsiaTheme="minorHAnsi" w:cs="Times New Roman"/>
          <w:lang w:val="es-ES" w:eastAsia="en-AU"/>
        </w:rPr>
        <w:t>, que</w:t>
      </w:r>
      <w:r w:rsidRPr="000060CE">
        <w:rPr>
          <w:rFonts w:eastAsiaTheme="minorHAnsi" w:cs="Times New Roman"/>
          <w:lang w:val="es-ES" w:eastAsia="en-AU"/>
        </w:rPr>
        <w:t xml:space="preserve"> proporciona servicios de búsqueda </w:t>
      </w:r>
      <w:r w:rsidR="00000D7B" w:rsidRPr="000060CE">
        <w:rPr>
          <w:rFonts w:eastAsiaTheme="minorHAnsi" w:cs="Times New Roman"/>
          <w:lang w:val="es-ES" w:eastAsia="en-AU"/>
        </w:rPr>
        <w:t>para</w:t>
      </w:r>
      <w:r w:rsidRPr="000060CE">
        <w:rPr>
          <w:rFonts w:eastAsiaTheme="minorHAnsi" w:cs="Times New Roman"/>
          <w:lang w:val="es-ES" w:eastAsia="en-AU"/>
        </w:rPr>
        <w:t xml:space="preserve"> medir el impacto de la investigación e identificar oportunidades de colaboración y asociación</w:t>
      </w:r>
      <w:r w:rsidR="006632A1" w:rsidRPr="000060CE">
        <w:rPr>
          <w:rFonts w:eastAsiaTheme="minorHAnsi" w:cs="Times New Roman"/>
          <w:lang w:val="es-ES" w:eastAsia="en-AU"/>
        </w:rPr>
        <w:t>.  I</w:t>
      </w:r>
      <w:r w:rsidRPr="000060CE">
        <w:rPr>
          <w:rFonts w:eastAsiaTheme="minorHAnsi" w:cs="Times New Roman"/>
          <w:lang w:val="es-ES" w:eastAsia="en-AU"/>
        </w:rPr>
        <w:t xml:space="preserve">P Australia ha ampliado su gama de servicios para </w:t>
      </w:r>
      <w:r w:rsidR="00000D7B" w:rsidRPr="000060CE">
        <w:rPr>
          <w:rFonts w:eastAsiaTheme="minorHAnsi" w:cs="Times New Roman"/>
          <w:lang w:val="es-ES" w:eastAsia="en-AU"/>
        </w:rPr>
        <w:t>prestar</w:t>
      </w:r>
      <w:r w:rsidRPr="000060CE">
        <w:rPr>
          <w:rFonts w:eastAsiaTheme="minorHAnsi" w:cs="Times New Roman"/>
          <w:lang w:val="es-ES" w:eastAsia="en-AU"/>
        </w:rPr>
        <w:t xml:space="preserve"> un mayor apoyo a universidades y organizaciones de investigación </w:t>
      </w:r>
      <w:r w:rsidR="00A62200" w:rsidRPr="000060CE">
        <w:rPr>
          <w:rFonts w:eastAsiaTheme="minorHAnsi" w:cs="Times New Roman"/>
          <w:lang w:val="es-ES" w:eastAsia="en-AU"/>
        </w:rPr>
        <w:t>que cuentan con</w:t>
      </w:r>
      <w:r w:rsidRPr="000060CE">
        <w:rPr>
          <w:rFonts w:eastAsiaTheme="minorHAnsi" w:cs="Times New Roman"/>
          <w:lang w:val="es-ES" w:eastAsia="en-AU"/>
        </w:rPr>
        <w:t xml:space="preserve"> financiación pública.</w:t>
      </w:r>
    </w:p>
    <w:p w14:paraId="4A5ED7F9" w14:textId="767C8493" w:rsidR="008459E9" w:rsidRPr="000060CE" w:rsidRDefault="008459E9" w:rsidP="00CA14E7">
      <w:pPr>
        <w:pStyle w:val="ListParagraph"/>
        <w:numPr>
          <w:ilvl w:val="0"/>
          <w:numId w:val="13"/>
        </w:numPr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IP Government</w:t>
      </w:r>
      <w:r w:rsidR="007D7FD7">
        <w:rPr>
          <w:rFonts w:eastAsiaTheme="minorHAnsi" w:cs="Times New Roman"/>
          <w:lang w:val="es-ES" w:eastAsia="en-AU"/>
        </w:rPr>
        <w:t xml:space="preserve"> Open Data (IPGOD)</w:t>
      </w:r>
      <w:r w:rsidR="00B636A7">
        <w:rPr>
          <w:rFonts w:eastAsiaTheme="minorHAnsi" w:cs="Times New Roman"/>
          <w:lang w:val="es-ES" w:eastAsia="en-AU"/>
        </w:rPr>
        <w:t xml:space="preserve"> es un</w:t>
      </w:r>
      <w:r w:rsidR="007D7FD7">
        <w:rPr>
          <w:rFonts w:eastAsiaTheme="minorHAnsi" w:cs="Times New Roman"/>
          <w:lang w:val="es-ES" w:eastAsia="en-AU"/>
        </w:rPr>
        <w:t xml:space="preserve"> </w:t>
      </w:r>
      <w:r w:rsidRPr="000060CE">
        <w:rPr>
          <w:rFonts w:eastAsiaTheme="minorHAnsi" w:cs="Times New Roman"/>
          <w:lang w:val="es-ES" w:eastAsia="en-AU"/>
        </w:rPr>
        <w:t xml:space="preserve">recurso que </w:t>
      </w:r>
      <w:r w:rsidR="00CA14E7" w:rsidRPr="000060CE">
        <w:rPr>
          <w:rFonts w:eastAsiaTheme="minorHAnsi" w:cs="Times New Roman"/>
          <w:lang w:val="es-ES" w:eastAsia="en-AU"/>
        </w:rPr>
        <w:t xml:space="preserve">aglutina 100 años de </w:t>
      </w:r>
      <w:r w:rsidR="0041342F" w:rsidRPr="000060CE">
        <w:rPr>
          <w:rFonts w:eastAsiaTheme="minorHAnsi" w:cs="Times New Roman"/>
          <w:lang w:val="es-ES" w:eastAsia="en-AU"/>
        </w:rPr>
        <w:t xml:space="preserve">datos de </w:t>
      </w:r>
      <w:r w:rsidR="00CA14E7" w:rsidRPr="000060CE">
        <w:rPr>
          <w:rFonts w:eastAsiaTheme="minorHAnsi" w:cs="Times New Roman"/>
          <w:lang w:val="es-ES" w:eastAsia="en-AU"/>
        </w:rPr>
        <w:t>P.I</w:t>
      </w:r>
      <w:r w:rsidR="0041342F" w:rsidRPr="000060CE">
        <w:rPr>
          <w:rFonts w:eastAsiaTheme="minorHAnsi" w:cs="Times New Roman"/>
          <w:lang w:val="es-ES" w:eastAsia="en-AU"/>
        </w:rPr>
        <w:t>. e</w:t>
      </w:r>
      <w:r w:rsidR="00CA14E7" w:rsidRPr="000060CE">
        <w:rPr>
          <w:rFonts w:eastAsiaTheme="minorHAnsi" w:cs="Times New Roman"/>
          <w:lang w:val="es-ES" w:eastAsia="en-AU"/>
        </w:rPr>
        <w:t xml:space="preserve">n Australia vinculados con conjuntos de datos empresariales </w:t>
      </w:r>
      <w:r w:rsidR="00F21761" w:rsidRPr="000060CE">
        <w:rPr>
          <w:rFonts w:eastAsiaTheme="minorHAnsi" w:cs="Times New Roman"/>
          <w:lang w:val="es-ES" w:eastAsia="en-AU"/>
        </w:rPr>
        <w:t xml:space="preserve">más amplios </w:t>
      </w:r>
      <w:r w:rsidR="00CA14E7" w:rsidRPr="000060CE">
        <w:rPr>
          <w:rFonts w:eastAsiaTheme="minorHAnsi" w:cs="Times New Roman"/>
          <w:lang w:val="es-ES" w:eastAsia="en-AU"/>
        </w:rPr>
        <w:t>en apoyo de una política con base empírica</w:t>
      </w:r>
      <w:r w:rsidR="006632A1" w:rsidRPr="000060CE">
        <w:rPr>
          <w:rFonts w:eastAsiaTheme="minorHAnsi" w:cs="Times New Roman"/>
          <w:lang w:val="es-ES" w:eastAsia="en-AU"/>
        </w:rPr>
        <w:t>.  I</w:t>
      </w:r>
      <w:r w:rsidR="00CA14E7" w:rsidRPr="000060CE">
        <w:rPr>
          <w:rFonts w:eastAsiaTheme="minorHAnsi" w:cs="Times New Roman"/>
          <w:lang w:val="es-ES" w:eastAsia="en-AU"/>
        </w:rPr>
        <w:t xml:space="preserve">P Australia ha lanzado una versión permanentemente actualizada (IPGOLD) para reflejar los datos más actuales y </w:t>
      </w:r>
      <w:r w:rsidR="0041342F" w:rsidRPr="000060CE">
        <w:rPr>
          <w:rFonts w:eastAsiaTheme="minorHAnsi" w:cs="Times New Roman"/>
          <w:lang w:val="es-ES" w:eastAsia="en-AU"/>
        </w:rPr>
        <w:t xml:space="preserve">cumplir lo establecido en </w:t>
      </w:r>
      <w:r w:rsidR="00CA14E7" w:rsidRPr="000060CE">
        <w:rPr>
          <w:rFonts w:eastAsiaTheme="minorHAnsi" w:cs="Times New Roman"/>
          <w:lang w:val="es-ES" w:eastAsia="en-AU"/>
        </w:rPr>
        <w:t xml:space="preserve">la </w:t>
      </w:r>
      <w:r w:rsidR="00B636A7" w:rsidRPr="000060CE">
        <w:rPr>
          <w:rFonts w:eastAsiaTheme="minorHAnsi" w:cs="Times New Roman"/>
          <w:lang w:val="es-ES" w:eastAsia="en-AU"/>
        </w:rPr>
        <w:t xml:space="preserve">declaración </w:t>
      </w:r>
      <w:r w:rsidR="00992E44" w:rsidRPr="000060CE">
        <w:rPr>
          <w:rFonts w:eastAsiaTheme="minorHAnsi" w:cs="Times New Roman"/>
          <w:lang w:val="es-ES" w:eastAsia="en-AU"/>
        </w:rPr>
        <w:t xml:space="preserve">del gobierno </w:t>
      </w:r>
      <w:r w:rsidR="00CA14E7" w:rsidRPr="000060CE">
        <w:rPr>
          <w:rFonts w:eastAsiaTheme="minorHAnsi" w:cs="Times New Roman"/>
          <w:lang w:val="es-ES" w:eastAsia="en-AU"/>
        </w:rPr>
        <w:t xml:space="preserve">sobre </w:t>
      </w:r>
      <w:r w:rsidR="00992E44" w:rsidRPr="000060CE">
        <w:rPr>
          <w:rFonts w:eastAsiaTheme="minorHAnsi" w:cs="Times New Roman"/>
          <w:lang w:val="es-ES" w:eastAsia="en-AU"/>
        </w:rPr>
        <w:t>política de datos públicos.</w:t>
      </w:r>
    </w:p>
    <w:p w14:paraId="33905183" w14:textId="77777777" w:rsidR="006720DC" w:rsidRPr="000060CE" w:rsidRDefault="006720DC" w:rsidP="006720DC">
      <w:pPr>
        <w:rPr>
          <w:szCs w:val="22"/>
          <w:lang w:val="es-ES"/>
        </w:rPr>
      </w:pPr>
    </w:p>
    <w:p w14:paraId="4293D134" w14:textId="77777777" w:rsidR="006720DC" w:rsidRPr="000060CE" w:rsidRDefault="00E90B20" w:rsidP="006720DC">
      <w:pPr>
        <w:rPr>
          <w:i/>
          <w:szCs w:val="22"/>
          <w:lang w:val="es-ES"/>
        </w:rPr>
      </w:pPr>
      <w:r w:rsidRPr="000060CE">
        <w:rPr>
          <w:i/>
          <w:szCs w:val="22"/>
          <w:lang w:val="es-ES"/>
        </w:rPr>
        <w:t>Col</w:t>
      </w:r>
      <w:r w:rsidR="006720DC" w:rsidRPr="000060CE">
        <w:rPr>
          <w:i/>
          <w:szCs w:val="22"/>
          <w:lang w:val="es-ES"/>
        </w:rPr>
        <w:t>abora</w:t>
      </w:r>
      <w:r w:rsidRPr="000060CE">
        <w:rPr>
          <w:i/>
          <w:szCs w:val="22"/>
          <w:lang w:val="es-ES"/>
        </w:rPr>
        <w:t xml:space="preserve">ción con otras </w:t>
      </w:r>
      <w:r w:rsidR="00E13E7F" w:rsidRPr="000060CE">
        <w:rPr>
          <w:i/>
          <w:szCs w:val="22"/>
          <w:lang w:val="es-ES"/>
        </w:rPr>
        <w:t>administraciones</w:t>
      </w:r>
    </w:p>
    <w:p w14:paraId="3BCD7DB9" w14:textId="77777777" w:rsidR="006720DC" w:rsidRPr="000060CE" w:rsidRDefault="006720DC" w:rsidP="006720DC">
      <w:pPr>
        <w:rPr>
          <w:i/>
          <w:szCs w:val="22"/>
          <w:lang w:val="es-ES"/>
        </w:rPr>
      </w:pPr>
    </w:p>
    <w:p w14:paraId="555D0722" w14:textId="77777777" w:rsidR="00CA14E7" w:rsidRDefault="006720DC" w:rsidP="006720DC">
      <w:pPr>
        <w:autoSpaceDE w:val="0"/>
        <w:autoSpaceDN w:val="0"/>
        <w:adjustRightInd w:val="0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iCs/>
          <w:lang w:val="es-ES" w:eastAsia="en-US"/>
        </w:rPr>
        <w:t>IP Australia</w:t>
      </w:r>
      <w:r w:rsidR="00CA14E7" w:rsidRPr="000060CE">
        <w:rPr>
          <w:rFonts w:eastAsiaTheme="minorHAnsi" w:cs="Times New Roman"/>
          <w:iCs/>
          <w:lang w:val="es-ES" w:eastAsia="en-US"/>
        </w:rPr>
        <w:t xml:space="preserve"> está comprometida en la mejora continua y sigue tratando de </w:t>
      </w:r>
      <w:r w:rsidR="00D326F2" w:rsidRPr="000060CE">
        <w:rPr>
          <w:rFonts w:eastAsiaTheme="minorHAnsi" w:cs="Times New Roman"/>
          <w:iCs/>
          <w:lang w:val="es-ES" w:eastAsia="en-US"/>
        </w:rPr>
        <w:t>establecer</w:t>
      </w:r>
      <w:r w:rsidR="00CA14E7" w:rsidRPr="000060CE">
        <w:rPr>
          <w:rFonts w:eastAsiaTheme="minorHAnsi" w:cs="Times New Roman"/>
          <w:iCs/>
          <w:lang w:val="es-ES" w:eastAsia="en-US"/>
        </w:rPr>
        <w:t xml:space="preserve"> líneas de colaboración en materia de buenas prácticas entre </w:t>
      </w:r>
      <w:r w:rsidR="007A548D" w:rsidRPr="000060CE">
        <w:rPr>
          <w:rFonts w:eastAsiaTheme="minorHAnsi" w:cs="Times New Roman"/>
          <w:iCs/>
          <w:lang w:val="es-ES" w:eastAsia="en-US"/>
        </w:rPr>
        <w:t>administraciones i</w:t>
      </w:r>
      <w:r w:rsidR="00CA14E7" w:rsidRPr="000060CE">
        <w:rPr>
          <w:rFonts w:eastAsiaTheme="minorHAnsi" w:cs="Times New Roman"/>
          <w:iCs/>
          <w:lang w:val="es-ES" w:eastAsia="en-US"/>
        </w:rPr>
        <w:t>nternacionales</w:t>
      </w:r>
      <w:r w:rsidR="006632A1" w:rsidRPr="000060CE">
        <w:rPr>
          <w:rFonts w:eastAsiaTheme="minorHAnsi" w:cs="Times New Roman"/>
          <w:iCs/>
          <w:lang w:val="es-ES" w:eastAsia="en-US"/>
        </w:rPr>
        <w:t>.  L</w:t>
      </w:r>
      <w:r w:rsidR="00CA14E7" w:rsidRPr="000060CE">
        <w:rPr>
          <w:rFonts w:eastAsiaTheme="minorHAnsi" w:cs="Times New Roman"/>
          <w:iCs/>
          <w:lang w:val="es-ES" w:eastAsia="en-US"/>
        </w:rPr>
        <w:t xml:space="preserve">as actuales iniciativas formales en esta área son las siguientes: </w:t>
      </w:r>
    </w:p>
    <w:p w14:paraId="2AB128B2" w14:textId="77777777" w:rsidR="007D7FD7" w:rsidRPr="000060CE" w:rsidRDefault="007D7FD7" w:rsidP="006720DC">
      <w:pPr>
        <w:autoSpaceDE w:val="0"/>
        <w:autoSpaceDN w:val="0"/>
        <w:adjustRightInd w:val="0"/>
        <w:rPr>
          <w:rFonts w:eastAsiaTheme="minorHAnsi" w:cs="Times New Roman"/>
          <w:iCs/>
          <w:lang w:val="es-ES" w:eastAsia="en-US"/>
        </w:rPr>
      </w:pPr>
    </w:p>
    <w:p w14:paraId="6CE796E3" w14:textId="77777777" w:rsidR="006720DC" w:rsidRPr="000060CE" w:rsidRDefault="006720DC" w:rsidP="006720DC">
      <w:pPr>
        <w:autoSpaceDE w:val="0"/>
        <w:autoSpaceDN w:val="0"/>
        <w:adjustRightInd w:val="0"/>
        <w:rPr>
          <w:rFonts w:eastAsiaTheme="minorHAnsi" w:cs="Times New Roman"/>
          <w:i/>
          <w:iCs/>
          <w:lang w:val="es-ES" w:eastAsia="en-US"/>
        </w:rPr>
      </w:pPr>
    </w:p>
    <w:p w14:paraId="0B94861E" w14:textId="77777777" w:rsidR="006720DC" w:rsidRPr="000060CE" w:rsidRDefault="003B25B5" w:rsidP="00B636A7">
      <w:pPr>
        <w:keepNext/>
        <w:keepLines/>
        <w:rPr>
          <w:rFonts w:eastAsiaTheme="minorHAnsi" w:cs="Times New Roman"/>
          <w:i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lastRenderedPageBreak/>
        <w:t xml:space="preserve">Iniciativas del Grupo de </w:t>
      </w:r>
      <w:r w:rsidR="006720DC" w:rsidRPr="000060CE">
        <w:rPr>
          <w:rFonts w:eastAsiaTheme="minorHAnsi" w:cs="Times New Roman"/>
          <w:lang w:val="es-ES" w:eastAsia="en-US"/>
        </w:rPr>
        <w:t>Vancouver</w:t>
      </w:r>
      <w:r w:rsidR="006720DC" w:rsidRPr="000060CE">
        <w:rPr>
          <w:rFonts w:eastAsiaTheme="minorHAnsi" w:cs="Times New Roman"/>
          <w:i/>
          <w:lang w:val="es-ES" w:eastAsia="en-US"/>
        </w:rPr>
        <w:t>:</w:t>
      </w:r>
    </w:p>
    <w:p w14:paraId="5BE9E5EB" w14:textId="77777777" w:rsidR="006720DC" w:rsidRPr="000060CE" w:rsidRDefault="006720DC" w:rsidP="00B636A7">
      <w:pPr>
        <w:keepNext/>
        <w:keepLines/>
        <w:rPr>
          <w:rFonts w:eastAsiaTheme="minorHAnsi" w:cs="Times New Roman"/>
          <w:lang w:val="es-ES" w:eastAsia="en-AU"/>
        </w:rPr>
      </w:pPr>
    </w:p>
    <w:p w14:paraId="37264AFA" w14:textId="7D8F88EE" w:rsidR="00CA14E7" w:rsidRPr="000060CE" w:rsidRDefault="00CA14E7" w:rsidP="00B636A7">
      <w:pPr>
        <w:keepNext/>
        <w:keepLines/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 xml:space="preserve">El Grupo de Vancouver se estableció en 2008 y está </w:t>
      </w:r>
      <w:r w:rsidR="00727961">
        <w:rPr>
          <w:rFonts w:eastAsiaTheme="minorHAnsi" w:cs="Times New Roman"/>
          <w:lang w:val="es-ES" w:eastAsia="en-AU"/>
        </w:rPr>
        <w:t>constituido</w:t>
      </w:r>
      <w:r w:rsidRPr="000060CE">
        <w:rPr>
          <w:rFonts w:eastAsiaTheme="minorHAnsi" w:cs="Times New Roman"/>
          <w:lang w:val="es-ES" w:eastAsia="en-AU"/>
        </w:rPr>
        <w:t xml:space="preserve"> por las oficinas de P.I. de Australia, Canadá y el Reino Unido</w:t>
      </w:r>
      <w:r w:rsidR="006632A1" w:rsidRPr="000060CE">
        <w:rPr>
          <w:rFonts w:eastAsiaTheme="minorHAnsi" w:cs="Times New Roman"/>
          <w:lang w:val="es-ES" w:eastAsia="en-AU"/>
        </w:rPr>
        <w:t>.  L</w:t>
      </w:r>
      <w:r w:rsidRPr="000060CE">
        <w:rPr>
          <w:rFonts w:eastAsiaTheme="minorHAnsi" w:cs="Times New Roman"/>
          <w:lang w:val="es-ES" w:eastAsia="en-AU"/>
        </w:rPr>
        <w:t>os objetivos del Grupo de Vancouver son:</w:t>
      </w:r>
    </w:p>
    <w:p w14:paraId="53173428" w14:textId="77777777" w:rsidR="00CA14E7" w:rsidRPr="000060CE" w:rsidRDefault="00480A3F" w:rsidP="006720DC">
      <w:pPr>
        <w:pStyle w:val="ListParagraph"/>
        <w:numPr>
          <w:ilvl w:val="0"/>
          <w:numId w:val="14"/>
        </w:numPr>
        <w:rPr>
          <w:rFonts w:eastAsiaTheme="minorHAnsi" w:cs="Times New Roman"/>
          <w:lang w:val="es-ES" w:eastAsia="en-AU"/>
        </w:rPr>
      </w:pPr>
      <w:r w:rsidRPr="000060CE">
        <w:rPr>
          <w:rFonts w:eastAsia="Times New Roman"/>
          <w:szCs w:val="22"/>
          <w:lang w:val="es-ES" w:eastAsia="en-AU"/>
        </w:rPr>
        <w:t>c</w:t>
      </w:r>
      <w:r w:rsidR="00CA14E7" w:rsidRPr="000060CE">
        <w:rPr>
          <w:rFonts w:eastAsia="Times New Roman"/>
          <w:szCs w:val="22"/>
          <w:lang w:val="es-ES" w:eastAsia="en-AU"/>
        </w:rPr>
        <w:t xml:space="preserve">ompartir información y experiencias </w:t>
      </w:r>
      <w:r w:rsidRPr="000060CE">
        <w:rPr>
          <w:rFonts w:eastAsia="Times New Roman"/>
          <w:szCs w:val="22"/>
          <w:lang w:val="es-ES" w:eastAsia="en-AU"/>
        </w:rPr>
        <w:t xml:space="preserve">sobre asuntos comunes y áreas de interés para la gestión de una oficina nacional de P.I. de tamaño medio, y </w:t>
      </w:r>
    </w:p>
    <w:p w14:paraId="3C38CC7B" w14:textId="0FF39CB7" w:rsidR="00CA14E7" w:rsidRPr="000060CE" w:rsidRDefault="00480A3F" w:rsidP="006720DC">
      <w:pPr>
        <w:pStyle w:val="ListParagraph"/>
        <w:numPr>
          <w:ilvl w:val="0"/>
          <w:numId w:val="14"/>
        </w:numPr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 xml:space="preserve">contribuir </w:t>
      </w:r>
      <w:r w:rsidR="009F4FDA" w:rsidRPr="000060CE">
        <w:rPr>
          <w:rFonts w:eastAsiaTheme="minorHAnsi" w:cs="Times New Roman"/>
          <w:lang w:val="es-ES" w:eastAsia="en-AU"/>
        </w:rPr>
        <w:t>a</w:t>
      </w:r>
      <w:r w:rsidR="00B90401" w:rsidRPr="000060CE">
        <w:rPr>
          <w:rFonts w:eastAsiaTheme="minorHAnsi" w:cs="Times New Roman"/>
          <w:lang w:val="es-ES" w:eastAsia="en-AU"/>
        </w:rPr>
        <w:t xml:space="preserve"> un enfoque multilateral más ef</w:t>
      </w:r>
      <w:r w:rsidR="00B636A7">
        <w:rPr>
          <w:rFonts w:eastAsiaTheme="minorHAnsi" w:cs="Times New Roman"/>
          <w:lang w:val="es-ES" w:eastAsia="en-AU"/>
        </w:rPr>
        <w:t>icaz en lo que respecta a la reutilización de los resultados de la búsqueda y el examen</w:t>
      </w:r>
      <w:r w:rsidR="00B90401" w:rsidRPr="000060CE">
        <w:rPr>
          <w:rFonts w:eastAsiaTheme="minorHAnsi" w:cs="Times New Roman"/>
          <w:lang w:val="es-ES" w:eastAsia="en-AU"/>
        </w:rPr>
        <w:t xml:space="preserve"> de forma que se fortalezcan los principios del Tratado de Cooperación en materia de Patentes.</w:t>
      </w:r>
    </w:p>
    <w:p w14:paraId="6A095E60" w14:textId="77777777" w:rsidR="005B7AB4" w:rsidRPr="000060CE" w:rsidRDefault="005B7AB4" w:rsidP="006720DC">
      <w:pPr>
        <w:rPr>
          <w:rFonts w:eastAsiaTheme="minorHAnsi" w:cs="Times New Roman"/>
          <w:lang w:val="es-ES" w:eastAsia="en-AU"/>
        </w:rPr>
      </w:pPr>
    </w:p>
    <w:p w14:paraId="047684F6" w14:textId="5B8D3DF4" w:rsidR="005B7AB4" w:rsidRPr="000060CE" w:rsidRDefault="00727961" w:rsidP="006720DC">
      <w:pPr>
        <w:rPr>
          <w:rFonts w:eastAsiaTheme="minorHAnsi" w:cs="Times New Roman"/>
          <w:lang w:val="es-ES" w:eastAsia="en-AU"/>
        </w:rPr>
      </w:pPr>
      <w:r>
        <w:rPr>
          <w:rFonts w:eastAsiaTheme="minorHAnsi" w:cs="Times New Roman"/>
          <w:lang w:val="es-ES" w:eastAsia="en-AU"/>
        </w:rPr>
        <w:t xml:space="preserve">El </w:t>
      </w:r>
      <w:r w:rsidRPr="000060CE">
        <w:rPr>
          <w:rFonts w:eastAsiaTheme="minorHAnsi" w:cs="Times New Roman"/>
          <w:lang w:val="es-ES" w:eastAsia="en-AU"/>
        </w:rPr>
        <w:t xml:space="preserve">Grupo de Vancouver </w:t>
      </w:r>
      <w:r>
        <w:rPr>
          <w:rFonts w:eastAsiaTheme="minorHAnsi" w:cs="Times New Roman"/>
          <w:lang w:val="es-ES" w:eastAsia="en-AU"/>
        </w:rPr>
        <w:t>tiene</w:t>
      </w:r>
      <w:r w:rsidR="005B7AB4" w:rsidRPr="000060CE">
        <w:rPr>
          <w:rFonts w:eastAsiaTheme="minorHAnsi" w:cs="Times New Roman"/>
          <w:lang w:val="es-ES" w:eastAsia="en-AU"/>
        </w:rPr>
        <w:t xml:space="preserve"> cuatro áreas prioritarias del </w:t>
      </w:r>
      <w:r w:rsidR="00D326F2" w:rsidRPr="000060CE">
        <w:rPr>
          <w:rFonts w:eastAsiaTheme="minorHAnsi" w:cs="Times New Roman"/>
          <w:lang w:val="es-ES" w:eastAsia="en-AU"/>
        </w:rPr>
        <w:t xml:space="preserve">(o iniciativas), habiéndose </w:t>
      </w:r>
      <w:r w:rsidR="005B7AB4" w:rsidRPr="000060CE">
        <w:rPr>
          <w:rFonts w:eastAsiaTheme="minorHAnsi" w:cs="Times New Roman"/>
          <w:lang w:val="es-ES" w:eastAsia="en-AU"/>
        </w:rPr>
        <w:t>establecido una oficina de gestión para coordina</w:t>
      </w:r>
      <w:r w:rsidR="00BE4BE4" w:rsidRPr="000060CE">
        <w:rPr>
          <w:rFonts w:eastAsiaTheme="minorHAnsi" w:cs="Times New Roman"/>
          <w:lang w:val="es-ES" w:eastAsia="en-AU"/>
        </w:rPr>
        <w:t>r</w:t>
      </w:r>
      <w:r w:rsidR="005B7AB4" w:rsidRPr="000060CE">
        <w:rPr>
          <w:rFonts w:eastAsiaTheme="minorHAnsi" w:cs="Times New Roman"/>
          <w:lang w:val="es-ES" w:eastAsia="en-AU"/>
        </w:rPr>
        <w:t xml:space="preserve"> la planificación y </w:t>
      </w:r>
      <w:r w:rsidR="00BE4BE4" w:rsidRPr="000060CE">
        <w:rPr>
          <w:rFonts w:eastAsiaTheme="minorHAnsi" w:cs="Times New Roman"/>
          <w:lang w:val="es-ES" w:eastAsia="en-AU"/>
        </w:rPr>
        <w:t xml:space="preserve">las </w:t>
      </w:r>
      <w:r w:rsidR="005B7AB4" w:rsidRPr="000060CE">
        <w:rPr>
          <w:rFonts w:eastAsiaTheme="minorHAnsi" w:cs="Times New Roman"/>
          <w:lang w:val="es-ES" w:eastAsia="en-AU"/>
        </w:rPr>
        <w:t xml:space="preserve">actividades de cada </w:t>
      </w:r>
      <w:r w:rsidR="00D326F2" w:rsidRPr="000060CE">
        <w:rPr>
          <w:rFonts w:eastAsiaTheme="minorHAnsi" w:cs="Times New Roman"/>
          <w:lang w:val="es-ES" w:eastAsia="en-AU"/>
        </w:rPr>
        <w:t>una</w:t>
      </w:r>
      <w:r>
        <w:rPr>
          <w:rFonts w:eastAsiaTheme="minorHAnsi" w:cs="Times New Roman"/>
          <w:lang w:val="es-ES" w:eastAsia="en-AU"/>
        </w:rPr>
        <w:t>:</w:t>
      </w:r>
    </w:p>
    <w:p w14:paraId="51D77D0D" w14:textId="77777777" w:rsidR="005B7AB4" w:rsidRPr="000060CE" w:rsidRDefault="005B7AB4" w:rsidP="005B7AB4">
      <w:pPr>
        <w:tabs>
          <w:tab w:val="left" w:pos="426"/>
        </w:tabs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1.</w:t>
      </w:r>
      <w:r w:rsidRPr="000060CE">
        <w:rPr>
          <w:rFonts w:eastAsiaTheme="minorHAnsi" w:cs="Times New Roman"/>
          <w:lang w:val="es-ES" w:eastAsia="en-AU"/>
        </w:rPr>
        <w:tab/>
        <w:t>Explotación mutua (dirigida por IP Australia)</w:t>
      </w:r>
    </w:p>
    <w:p w14:paraId="52E53197" w14:textId="77777777" w:rsidR="005B7AB4" w:rsidRPr="000060CE" w:rsidRDefault="005B7AB4" w:rsidP="005B7AB4">
      <w:pPr>
        <w:tabs>
          <w:tab w:val="left" w:pos="426"/>
        </w:tabs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2.</w:t>
      </w:r>
      <w:r w:rsidRPr="000060CE">
        <w:rPr>
          <w:rFonts w:eastAsiaTheme="minorHAnsi" w:cs="Times New Roman"/>
          <w:lang w:val="es-ES" w:eastAsia="en-AU"/>
        </w:rPr>
        <w:tab/>
      </w:r>
      <w:r w:rsidR="00BE4BE4" w:rsidRPr="000060CE">
        <w:rPr>
          <w:rFonts w:eastAsiaTheme="minorHAnsi" w:cs="Times New Roman"/>
          <w:lang w:val="es-ES" w:eastAsia="en-AU"/>
        </w:rPr>
        <w:t>Informes de desempeño empresarial</w:t>
      </w:r>
      <w:r w:rsidRPr="000060CE">
        <w:rPr>
          <w:rFonts w:eastAsiaTheme="minorHAnsi" w:cs="Times New Roman"/>
          <w:lang w:val="es-ES" w:eastAsia="en-AU"/>
        </w:rPr>
        <w:t xml:space="preserve"> (dirigida por la CIPO, Canadá)</w:t>
      </w:r>
    </w:p>
    <w:p w14:paraId="3DAC4DD7" w14:textId="77777777" w:rsidR="005B7AB4" w:rsidRPr="000060CE" w:rsidRDefault="005B7AB4" w:rsidP="005B7AB4">
      <w:pPr>
        <w:tabs>
          <w:tab w:val="left" w:pos="426"/>
        </w:tabs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3.</w:t>
      </w:r>
      <w:r w:rsidRPr="000060CE">
        <w:rPr>
          <w:rFonts w:eastAsiaTheme="minorHAnsi" w:cs="Times New Roman"/>
          <w:lang w:val="es-ES" w:eastAsia="en-AU"/>
        </w:rPr>
        <w:tab/>
        <w:t xml:space="preserve">Procesos </w:t>
      </w:r>
      <w:r w:rsidR="00BE4BE4" w:rsidRPr="000060CE">
        <w:rPr>
          <w:rFonts w:eastAsiaTheme="minorHAnsi" w:cs="Times New Roman"/>
          <w:lang w:val="es-ES" w:eastAsia="en-AU"/>
        </w:rPr>
        <w:t>empresariales asociados a</w:t>
      </w:r>
      <w:r w:rsidRPr="000060CE">
        <w:rPr>
          <w:rFonts w:eastAsiaTheme="minorHAnsi" w:cs="Times New Roman"/>
          <w:lang w:val="es-ES" w:eastAsia="en-AU"/>
        </w:rPr>
        <w:t xml:space="preserve"> las marcas (dirigida por IP Australia)</w:t>
      </w:r>
    </w:p>
    <w:p w14:paraId="1632FEBC" w14:textId="77777777" w:rsidR="005B7AB4" w:rsidRPr="000060CE" w:rsidRDefault="005B7AB4" w:rsidP="005B7AB4">
      <w:pPr>
        <w:tabs>
          <w:tab w:val="left" w:pos="426"/>
        </w:tabs>
        <w:rPr>
          <w:rFonts w:eastAsiaTheme="minorHAnsi" w:cs="Times New Roman"/>
          <w:lang w:val="es-ES" w:eastAsia="en-AU"/>
        </w:rPr>
      </w:pPr>
      <w:r w:rsidRPr="000060CE">
        <w:rPr>
          <w:rFonts w:eastAsiaTheme="minorHAnsi" w:cs="Times New Roman"/>
          <w:lang w:val="es-ES" w:eastAsia="en-AU"/>
        </w:rPr>
        <w:t>4.</w:t>
      </w:r>
      <w:r w:rsidRPr="000060CE">
        <w:rPr>
          <w:rFonts w:eastAsiaTheme="minorHAnsi" w:cs="Times New Roman"/>
          <w:lang w:val="es-ES" w:eastAsia="en-AU"/>
        </w:rPr>
        <w:tab/>
        <w:t>Investigación económica (dirigida por la UKIPO</w:t>
      </w:r>
      <w:r w:rsidR="00FB4E76" w:rsidRPr="000060CE">
        <w:rPr>
          <w:rFonts w:eastAsiaTheme="minorHAnsi" w:cs="Times New Roman"/>
          <w:lang w:val="es-ES" w:eastAsia="en-AU"/>
        </w:rPr>
        <w:t>, Reino Unido</w:t>
      </w:r>
      <w:r w:rsidRPr="000060CE">
        <w:rPr>
          <w:rFonts w:eastAsiaTheme="minorHAnsi" w:cs="Times New Roman"/>
          <w:lang w:val="es-ES" w:eastAsia="en-AU"/>
        </w:rPr>
        <w:t xml:space="preserve">) </w:t>
      </w:r>
    </w:p>
    <w:p w14:paraId="3D632CAB" w14:textId="58685468" w:rsidR="006720DC" w:rsidRPr="000060CE" w:rsidRDefault="006720DC" w:rsidP="005B7AB4">
      <w:pPr>
        <w:rPr>
          <w:rFonts w:eastAsiaTheme="minorHAnsi" w:cs="Times New Roman"/>
          <w:lang w:val="es-ES" w:eastAsia="en-AU"/>
        </w:rPr>
      </w:pPr>
    </w:p>
    <w:p w14:paraId="20B562B5" w14:textId="77777777" w:rsidR="006720DC" w:rsidRPr="000060CE" w:rsidRDefault="003B25B5" w:rsidP="006720DC">
      <w:pPr>
        <w:autoSpaceDE w:val="0"/>
        <w:autoSpaceDN w:val="0"/>
        <w:adjustRightInd w:val="0"/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>Piloto del Procedimiento mundial acelerado de examen de solicitudes de patente (GPPH)</w:t>
      </w:r>
    </w:p>
    <w:p w14:paraId="69987146" w14:textId="77777777" w:rsidR="006720DC" w:rsidRPr="000060CE" w:rsidRDefault="006720DC" w:rsidP="006720DC">
      <w:pPr>
        <w:autoSpaceDE w:val="0"/>
        <w:autoSpaceDN w:val="0"/>
        <w:adjustRightInd w:val="0"/>
        <w:rPr>
          <w:rFonts w:eastAsiaTheme="minorHAnsi" w:cs="Times New Roman"/>
          <w:lang w:val="es-ES" w:eastAsia="en-US"/>
        </w:rPr>
      </w:pPr>
    </w:p>
    <w:p w14:paraId="183E7B20" w14:textId="77777777" w:rsidR="00AC6F3F" w:rsidRPr="000060CE" w:rsidRDefault="006720DC" w:rsidP="006720DC">
      <w:pPr>
        <w:autoSpaceDE w:val="0"/>
        <w:autoSpaceDN w:val="0"/>
        <w:adjustRightInd w:val="0"/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>IP Australia participa</w:t>
      </w:r>
      <w:r w:rsidR="00AC6F3F" w:rsidRPr="000060CE">
        <w:rPr>
          <w:rFonts w:eastAsiaTheme="minorHAnsi" w:cs="Times New Roman"/>
          <w:lang w:val="es-ES" w:eastAsia="en-US"/>
        </w:rPr>
        <w:t xml:space="preserve"> en el Procedimiento mundial acelerado de examen de</w:t>
      </w:r>
      <w:r w:rsidR="00BE4BE4" w:rsidRPr="000060CE">
        <w:rPr>
          <w:rFonts w:eastAsiaTheme="minorHAnsi" w:cs="Times New Roman"/>
          <w:lang w:val="es-ES" w:eastAsia="en-US"/>
        </w:rPr>
        <w:t xml:space="preserve"> solicitudes de patente (GPPH), que es </w:t>
      </w:r>
      <w:r w:rsidR="00AC6F3F" w:rsidRPr="000060CE">
        <w:rPr>
          <w:rFonts w:eastAsiaTheme="minorHAnsi" w:cs="Times New Roman"/>
          <w:lang w:val="es-ES" w:eastAsia="en-US"/>
        </w:rPr>
        <w:t>un acuerdo entre 22 oficinas de P.I</w:t>
      </w:r>
      <w:r w:rsidR="006632A1" w:rsidRPr="000060CE">
        <w:rPr>
          <w:rFonts w:eastAsiaTheme="minorHAnsi" w:cs="Times New Roman"/>
          <w:lang w:val="es-ES" w:eastAsia="en-US"/>
        </w:rPr>
        <w:t>.  E</w:t>
      </w:r>
      <w:r w:rsidR="00AC6F3F" w:rsidRPr="000060CE">
        <w:rPr>
          <w:rFonts w:eastAsiaTheme="minorHAnsi" w:cs="Times New Roman"/>
          <w:lang w:val="es-ES" w:eastAsia="en-US"/>
        </w:rPr>
        <w:t xml:space="preserve">n virtud del GPPH las oficinas participantes </w:t>
      </w:r>
      <w:r w:rsidR="00BE4BE4" w:rsidRPr="000060CE">
        <w:rPr>
          <w:rFonts w:eastAsiaTheme="minorHAnsi" w:cs="Times New Roman"/>
          <w:lang w:val="es-ES" w:eastAsia="en-US"/>
        </w:rPr>
        <w:t xml:space="preserve">pueden tramitar patentes de forma </w:t>
      </w:r>
      <w:r w:rsidR="00AC6F3F" w:rsidRPr="000060CE">
        <w:rPr>
          <w:rFonts w:eastAsiaTheme="minorHAnsi" w:cs="Times New Roman"/>
          <w:lang w:val="es-ES" w:eastAsia="en-US"/>
        </w:rPr>
        <w:t xml:space="preserve">acelerada </w:t>
      </w:r>
      <w:r w:rsidR="00BE4BE4" w:rsidRPr="000060CE">
        <w:rPr>
          <w:rFonts w:eastAsiaTheme="minorHAnsi" w:cs="Times New Roman"/>
          <w:lang w:val="es-ES" w:eastAsia="en-US"/>
        </w:rPr>
        <w:t>en base a</w:t>
      </w:r>
      <w:r w:rsidR="00AC6F3F" w:rsidRPr="000060CE">
        <w:rPr>
          <w:rFonts w:eastAsiaTheme="minorHAnsi" w:cs="Times New Roman"/>
          <w:lang w:val="es-ES" w:eastAsia="en-US"/>
        </w:rPr>
        <w:t xml:space="preserve"> la evaluación positiva de al menos una reivindicación de patente para la misma invención en otra oficina participante</w:t>
      </w:r>
      <w:r w:rsidR="006632A1" w:rsidRPr="000060CE">
        <w:rPr>
          <w:rFonts w:eastAsiaTheme="minorHAnsi" w:cs="Times New Roman"/>
          <w:lang w:val="es-ES" w:eastAsia="en-US"/>
        </w:rPr>
        <w:t xml:space="preserve">.  </w:t>
      </w:r>
      <w:r w:rsidR="00BE4BE4" w:rsidRPr="000060CE">
        <w:rPr>
          <w:rFonts w:eastAsiaTheme="minorHAnsi" w:cs="Times New Roman"/>
          <w:lang w:val="es-ES" w:eastAsia="en-US"/>
        </w:rPr>
        <w:t>En virtud del</w:t>
      </w:r>
      <w:r w:rsidR="00AC6F3F" w:rsidRPr="000060CE">
        <w:rPr>
          <w:rFonts w:eastAsiaTheme="minorHAnsi" w:cs="Times New Roman"/>
          <w:lang w:val="es-ES" w:eastAsia="en-US"/>
        </w:rPr>
        <w:t xml:space="preserve"> GPPH </w:t>
      </w:r>
      <w:r w:rsidR="00BE4BE4" w:rsidRPr="000060CE">
        <w:rPr>
          <w:rFonts w:eastAsiaTheme="minorHAnsi" w:cs="Times New Roman"/>
          <w:lang w:val="es-ES" w:eastAsia="en-US"/>
        </w:rPr>
        <w:t>se aplica</w:t>
      </w:r>
      <w:r w:rsidR="00AC6F3F" w:rsidRPr="000060CE">
        <w:rPr>
          <w:rFonts w:eastAsiaTheme="minorHAnsi" w:cs="Times New Roman"/>
          <w:lang w:val="es-ES" w:eastAsia="en-US"/>
        </w:rPr>
        <w:t xml:space="preserve"> el mismo acuerdo y </w:t>
      </w:r>
      <w:r w:rsidR="00BE4BE4" w:rsidRPr="000060CE">
        <w:rPr>
          <w:rFonts w:eastAsiaTheme="minorHAnsi" w:cs="Times New Roman"/>
          <w:lang w:val="es-ES" w:eastAsia="en-US"/>
        </w:rPr>
        <w:t xml:space="preserve">los mismos </w:t>
      </w:r>
      <w:r w:rsidR="00AC6F3F" w:rsidRPr="000060CE">
        <w:rPr>
          <w:rFonts w:eastAsiaTheme="minorHAnsi" w:cs="Times New Roman"/>
          <w:lang w:val="es-ES" w:eastAsia="en-US"/>
        </w:rPr>
        <w:t xml:space="preserve">requisitos formales </w:t>
      </w:r>
      <w:r w:rsidR="00BE4BE4" w:rsidRPr="000060CE">
        <w:rPr>
          <w:rFonts w:eastAsiaTheme="minorHAnsi" w:cs="Times New Roman"/>
          <w:lang w:val="es-ES" w:eastAsia="en-US"/>
        </w:rPr>
        <w:t>en</w:t>
      </w:r>
      <w:r w:rsidR="00AC6F3F" w:rsidRPr="000060CE">
        <w:rPr>
          <w:rFonts w:eastAsiaTheme="minorHAnsi" w:cs="Times New Roman"/>
          <w:lang w:val="es-ES" w:eastAsia="en-US"/>
        </w:rPr>
        <w:t xml:space="preserve"> cada oficina</w:t>
      </w:r>
      <w:r w:rsidR="00FB4E76" w:rsidRPr="000060CE">
        <w:rPr>
          <w:rFonts w:eastAsiaTheme="minorHAnsi" w:cs="Times New Roman"/>
          <w:lang w:val="es-ES" w:eastAsia="en-US"/>
        </w:rPr>
        <w:t>,</w:t>
      </w:r>
      <w:r w:rsidR="00AC6F3F" w:rsidRPr="000060CE">
        <w:rPr>
          <w:rFonts w:eastAsiaTheme="minorHAnsi" w:cs="Times New Roman"/>
          <w:lang w:val="es-ES" w:eastAsia="en-US"/>
        </w:rPr>
        <w:t xml:space="preserve"> </w:t>
      </w:r>
      <w:r w:rsidR="00FB4E76" w:rsidRPr="000060CE">
        <w:rPr>
          <w:rFonts w:eastAsiaTheme="minorHAnsi" w:cs="Times New Roman"/>
          <w:lang w:val="es-ES" w:eastAsia="en-US"/>
        </w:rPr>
        <w:t>lo que</w:t>
      </w:r>
      <w:r w:rsidR="00BE4BE4" w:rsidRPr="000060CE">
        <w:rPr>
          <w:rFonts w:eastAsiaTheme="minorHAnsi" w:cs="Times New Roman"/>
          <w:lang w:val="es-ES" w:eastAsia="en-US"/>
        </w:rPr>
        <w:t xml:space="preserve"> </w:t>
      </w:r>
      <w:r w:rsidR="00AC6F3F" w:rsidRPr="000060CE">
        <w:rPr>
          <w:rFonts w:eastAsiaTheme="minorHAnsi" w:cs="Times New Roman"/>
          <w:lang w:val="es-ES" w:eastAsia="en-US"/>
        </w:rPr>
        <w:t xml:space="preserve">simplifica el proceso que </w:t>
      </w:r>
      <w:r w:rsidR="00FB4E76" w:rsidRPr="000060CE">
        <w:rPr>
          <w:rFonts w:eastAsiaTheme="minorHAnsi" w:cs="Times New Roman"/>
          <w:lang w:val="es-ES" w:eastAsia="en-US"/>
        </w:rPr>
        <w:t>deben seguir</w:t>
      </w:r>
      <w:r w:rsidR="00AC6F3F" w:rsidRPr="000060CE">
        <w:rPr>
          <w:rFonts w:eastAsiaTheme="minorHAnsi" w:cs="Times New Roman"/>
          <w:lang w:val="es-ES" w:eastAsia="en-US"/>
        </w:rPr>
        <w:t xml:space="preserve"> los solicitantes</w:t>
      </w:r>
      <w:r w:rsidR="006632A1" w:rsidRPr="000060CE">
        <w:rPr>
          <w:rFonts w:eastAsiaTheme="minorHAnsi" w:cs="Times New Roman"/>
          <w:lang w:val="es-ES" w:eastAsia="en-US"/>
        </w:rPr>
        <w:t>.  I</w:t>
      </w:r>
      <w:r w:rsidR="00AC6F3F" w:rsidRPr="000060CE">
        <w:rPr>
          <w:rFonts w:eastAsiaTheme="minorHAnsi" w:cs="Times New Roman"/>
          <w:lang w:val="es-ES" w:eastAsia="en-US"/>
        </w:rPr>
        <w:t xml:space="preserve">P Australia ha participado en el piloto desde su lanzamiento en enero de 2014, habiéndose producido un crecimiento muy importante en el número de </w:t>
      </w:r>
      <w:r w:rsidR="00FB4E76" w:rsidRPr="000060CE">
        <w:rPr>
          <w:rFonts w:eastAsiaTheme="minorHAnsi" w:cs="Times New Roman"/>
          <w:lang w:val="es-ES" w:eastAsia="en-US"/>
        </w:rPr>
        <w:t>petitorios GPPH presentado</w:t>
      </w:r>
      <w:r w:rsidR="00AC6F3F" w:rsidRPr="000060CE">
        <w:rPr>
          <w:rFonts w:eastAsiaTheme="minorHAnsi" w:cs="Times New Roman"/>
          <w:lang w:val="es-ES" w:eastAsia="en-US"/>
        </w:rPr>
        <w:t xml:space="preserve">s. </w:t>
      </w:r>
    </w:p>
    <w:p w14:paraId="3006354C" w14:textId="77777777" w:rsidR="006720DC" w:rsidRPr="000060CE" w:rsidRDefault="006720DC" w:rsidP="006720DC">
      <w:pPr>
        <w:autoSpaceDE w:val="0"/>
        <w:autoSpaceDN w:val="0"/>
        <w:adjustRightInd w:val="0"/>
        <w:rPr>
          <w:rFonts w:eastAsiaTheme="minorHAnsi" w:cs="Times New Roman"/>
          <w:lang w:val="es-ES" w:eastAsia="en-US"/>
        </w:rPr>
      </w:pPr>
    </w:p>
    <w:p w14:paraId="793760B3" w14:textId="32CB3C43" w:rsidR="006720DC" w:rsidRPr="000060CE" w:rsidRDefault="006720DC" w:rsidP="006720DC">
      <w:pPr>
        <w:autoSpaceDE w:val="0"/>
        <w:autoSpaceDN w:val="0"/>
        <w:adjustRightInd w:val="0"/>
        <w:rPr>
          <w:rFonts w:eastAsiaTheme="minorHAnsi" w:cs="Times New Roman"/>
          <w:iCs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>Memorand</w:t>
      </w:r>
      <w:r w:rsidR="003B25B5" w:rsidRPr="000060CE">
        <w:rPr>
          <w:rFonts w:eastAsiaTheme="minorHAnsi" w:cs="Times New Roman"/>
          <w:lang w:val="es-ES" w:eastAsia="en-US"/>
        </w:rPr>
        <w:t>o de entendimiento con la Oficina Europea de Patentes (</w:t>
      </w:r>
      <w:r w:rsidR="00533E17">
        <w:rPr>
          <w:rFonts w:eastAsiaTheme="minorHAnsi" w:cs="Times New Roman"/>
          <w:lang w:val="es-ES" w:eastAsia="en-US"/>
        </w:rPr>
        <w:t>O</w:t>
      </w:r>
      <w:r w:rsidRPr="000060CE">
        <w:rPr>
          <w:rFonts w:eastAsiaTheme="minorHAnsi" w:cs="Times New Roman"/>
          <w:iCs/>
          <w:lang w:val="es-ES" w:eastAsia="en-US"/>
        </w:rPr>
        <w:t>EP</w:t>
      </w:r>
      <w:r w:rsidR="003B25B5" w:rsidRPr="000060CE">
        <w:rPr>
          <w:rFonts w:eastAsiaTheme="minorHAnsi" w:cs="Times New Roman"/>
          <w:iCs/>
          <w:lang w:val="es-ES" w:eastAsia="en-US"/>
        </w:rPr>
        <w:t>)</w:t>
      </w:r>
      <w:r w:rsidRPr="000060CE">
        <w:rPr>
          <w:rFonts w:eastAsiaTheme="minorHAnsi" w:cs="Times New Roman"/>
          <w:iCs/>
          <w:lang w:val="es-ES" w:eastAsia="en-US"/>
        </w:rPr>
        <w:t>:</w:t>
      </w:r>
    </w:p>
    <w:p w14:paraId="5C85A6CA" w14:textId="77777777" w:rsidR="006720DC" w:rsidRPr="000060CE" w:rsidRDefault="006720DC" w:rsidP="006720DC">
      <w:pPr>
        <w:autoSpaceDE w:val="0"/>
        <w:autoSpaceDN w:val="0"/>
        <w:adjustRightInd w:val="0"/>
        <w:rPr>
          <w:rFonts w:eastAsiaTheme="minorHAnsi" w:cs="Times New Roman"/>
          <w:lang w:val="es-ES" w:eastAsia="en-US"/>
        </w:rPr>
      </w:pPr>
    </w:p>
    <w:p w14:paraId="0E5C85A7" w14:textId="4FBC863D" w:rsidR="00E24EF3" w:rsidRPr="000060CE" w:rsidRDefault="006720DC" w:rsidP="006720DC">
      <w:pPr>
        <w:autoSpaceDE w:val="0"/>
        <w:autoSpaceDN w:val="0"/>
        <w:adjustRightInd w:val="0"/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 xml:space="preserve">IP Australia </w:t>
      </w:r>
      <w:r w:rsidR="00E24EF3" w:rsidRPr="000060CE">
        <w:rPr>
          <w:rFonts w:eastAsiaTheme="minorHAnsi" w:cs="Times New Roman"/>
          <w:lang w:val="es-ES" w:eastAsia="en-US"/>
        </w:rPr>
        <w:t>y la</w:t>
      </w:r>
      <w:r w:rsidRPr="000060CE">
        <w:rPr>
          <w:rFonts w:eastAsiaTheme="minorHAnsi" w:cs="Times New Roman"/>
          <w:lang w:val="es-ES" w:eastAsia="en-US"/>
        </w:rPr>
        <w:t xml:space="preserve"> </w:t>
      </w:r>
      <w:r w:rsidR="003D5505">
        <w:rPr>
          <w:rFonts w:eastAsiaTheme="minorHAnsi" w:cs="Times New Roman"/>
          <w:lang w:val="es-ES" w:eastAsia="en-US"/>
        </w:rPr>
        <w:t>O</w:t>
      </w:r>
      <w:r w:rsidRPr="000060CE">
        <w:rPr>
          <w:rFonts w:eastAsiaTheme="minorHAnsi" w:cs="Times New Roman"/>
          <w:lang w:val="es-ES" w:eastAsia="en-US"/>
        </w:rPr>
        <w:t xml:space="preserve">EP </w:t>
      </w:r>
      <w:r w:rsidR="00E24EF3" w:rsidRPr="000060CE">
        <w:rPr>
          <w:rFonts w:eastAsiaTheme="minorHAnsi" w:cs="Times New Roman"/>
          <w:lang w:val="es-ES" w:eastAsia="en-US"/>
        </w:rPr>
        <w:t>firmaron un Memorando de entendimiento en paralelo con la Asamblea General de la OMPI en 2015</w:t>
      </w:r>
      <w:r w:rsidR="006632A1" w:rsidRPr="000060CE">
        <w:rPr>
          <w:rFonts w:eastAsiaTheme="minorHAnsi" w:cs="Times New Roman"/>
          <w:lang w:val="es-ES" w:eastAsia="en-US"/>
        </w:rPr>
        <w:t>.  L</w:t>
      </w:r>
      <w:r w:rsidR="00E24EF3" w:rsidRPr="000060CE">
        <w:rPr>
          <w:rFonts w:eastAsiaTheme="minorHAnsi" w:cs="Times New Roman"/>
          <w:lang w:val="es-ES" w:eastAsia="en-US"/>
        </w:rPr>
        <w:t xml:space="preserve">a cooperación abarca ámbitos muy amplios e incluye el acceso recíproco a información sobre patentes y el establecimiento de un programa piloto del </w:t>
      </w:r>
      <w:r w:rsidR="004F4DD8" w:rsidRPr="000060CE">
        <w:rPr>
          <w:rFonts w:eastAsiaTheme="minorHAnsi" w:cs="Times New Roman"/>
          <w:lang w:val="es-ES" w:eastAsia="en-US"/>
        </w:rPr>
        <w:t>P</w:t>
      </w:r>
      <w:r w:rsidR="00E24EF3" w:rsidRPr="000060CE">
        <w:rPr>
          <w:rFonts w:eastAsiaTheme="minorHAnsi" w:cs="Times New Roman"/>
          <w:lang w:val="es-ES" w:eastAsia="en-US"/>
        </w:rPr>
        <w:t>rocedimiento acelerado de examen de solicitudes de patentes (PPH) entre ambas oficinas</w:t>
      </w:r>
      <w:r w:rsidR="006632A1" w:rsidRPr="000060CE">
        <w:rPr>
          <w:rFonts w:eastAsiaTheme="minorHAnsi" w:cs="Times New Roman"/>
          <w:lang w:val="es-ES" w:eastAsia="en-US"/>
        </w:rPr>
        <w:t>.  E</w:t>
      </w:r>
      <w:r w:rsidR="00E24EF3" w:rsidRPr="000060CE">
        <w:rPr>
          <w:rFonts w:eastAsiaTheme="minorHAnsi" w:cs="Times New Roman"/>
          <w:lang w:val="es-ES" w:eastAsia="en-US"/>
        </w:rPr>
        <w:t>stas actividades están destinadas a mejorar el sistema mundial de P.I</w:t>
      </w:r>
      <w:r w:rsidR="000864CE" w:rsidRPr="000060CE">
        <w:rPr>
          <w:rFonts w:eastAsiaTheme="minorHAnsi" w:cs="Times New Roman"/>
          <w:lang w:val="es-ES" w:eastAsia="en-US"/>
        </w:rPr>
        <w:t>. e</w:t>
      </w:r>
      <w:r w:rsidR="00E24EF3" w:rsidRPr="000060CE">
        <w:rPr>
          <w:rFonts w:eastAsiaTheme="minorHAnsi" w:cs="Times New Roman"/>
          <w:lang w:val="es-ES" w:eastAsia="en-US"/>
        </w:rPr>
        <w:t>n apoyo de los solicitantes y para alentar la innovación</w:t>
      </w:r>
      <w:r w:rsidR="006632A1" w:rsidRPr="000060CE">
        <w:rPr>
          <w:rFonts w:eastAsiaTheme="minorHAnsi" w:cs="Times New Roman"/>
          <w:lang w:val="es-ES" w:eastAsia="en-US"/>
        </w:rPr>
        <w:t>.  E</w:t>
      </w:r>
      <w:r w:rsidR="00E24EF3" w:rsidRPr="000060CE">
        <w:rPr>
          <w:rFonts w:eastAsiaTheme="minorHAnsi" w:cs="Times New Roman"/>
          <w:lang w:val="es-ES" w:eastAsia="en-US"/>
        </w:rPr>
        <w:t xml:space="preserve">n el </w:t>
      </w:r>
      <w:r w:rsidR="000864CE" w:rsidRPr="000060CE">
        <w:rPr>
          <w:rFonts w:eastAsiaTheme="minorHAnsi" w:cs="Times New Roman"/>
          <w:lang w:val="es-ES" w:eastAsia="en-US"/>
        </w:rPr>
        <w:t>marco del PPH los solicitantes c</w:t>
      </w:r>
      <w:r w:rsidR="00E24EF3" w:rsidRPr="000060CE">
        <w:rPr>
          <w:rFonts w:eastAsiaTheme="minorHAnsi" w:cs="Times New Roman"/>
          <w:lang w:val="es-ES" w:eastAsia="en-US"/>
        </w:rPr>
        <w:t xml:space="preserve">uyas reivindicaciones hayan sido examinadas por la </w:t>
      </w:r>
      <w:r w:rsidR="00B636A7">
        <w:rPr>
          <w:rFonts w:eastAsiaTheme="minorHAnsi" w:cs="Times New Roman"/>
          <w:lang w:val="es-ES" w:eastAsia="en-US"/>
        </w:rPr>
        <w:t>OEP</w:t>
      </w:r>
      <w:r w:rsidR="00E24EF3" w:rsidRPr="000060CE">
        <w:rPr>
          <w:rFonts w:eastAsiaTheme="minorHAnsi" w:cs="Times New Roman"/>
          <w:lang w:val="es-ES" w:eastAsia="en-US"/>
        </w:rPr>
        <w:t xml:space="preserve"> o la APO pueden solicitar una tramitación acelerada de sus </w:t>
      </w:r>
      <w:r w:rsidR="00674E2D" w:rsidRPr="000060CE">
        <w:rPr>
          <w:rFonts w:eastAsiaTheme="minorHAnsi" w:cs="Times New Roman"/>
          <w:lang w:val="es-ES" w:eastAsia="en-US"/>
        </w:rPr>
        <w:t xml:space="preserve">correspondientes </w:t>
      </w:r>
      <w:r w:rsidR="00E24EF3" w:rsidRPr="000060CE">
        <w:rPr>
          <w:rFonts w:eastAsiaTheme="minorHAnsi" w:cs="Times New Roman"/>
          <w:lang w:val="es-ES" w:eastAsia="en-US"/>
        </w:rPr>
        <w:t xml:space="preserve">solicitudes </w:t>
      </w:r>
      <w:r w:rsidR="00674E2D" w:rsidRPr="000060CE">
        <w:rPr>
          <w:rFonts w:eastAsiaTheme="minorHAnsi" w:cs="Times New Roman"/>
          <w:lang w:val="es-ES" w:eastAsia="en-US"/>
        </w:rPr>
        <w:t>en</w:t>
      </w:r>
      <w:r w:rsidR="00E24EF3" w:rsidRPr="000060CE">
        <w:rPr>
          <w:rFonts w:eastAsiaTheme="minorHAnsi" w:cs="Times New Roman"/>
          <w:lang w:val="es-ES" w:eastAsia="en-US"/>
        </w:rPr>
        <w:t xml:space="preserve"> la otra oficina</w:t>
      </w:r>
      <w:r w:rsidR="006632A1" w:rsidRPr="000060CE">
        <w:rPr>
          <w:rFonts w:eastAsiaTheme="minorHAnsi" w:cs="Times New Roman"/>
          <w:lang w:val="es-ES" w:eastAsia="en-US"/>
        </w:rPr>
        <w:t>.  L</w:t>
      </w:r>
      <w:r w:rsidR="00E24EF3" w:rsidRPr="000060CE">
        <w:rPr>
          <w:rFonts w:eastAsiaTheme="minorHAnsi" w:cs="Times New Roman"/>
          <w:lang w:val="es-ES" w:eastAsia="en-US"/>
        </w:rPr>
        <w:t>as oficinas comparten l</w:t>
      </w:r>
      <w:r w:rsidR="00B636A7">
        <w:rPr>
          <w:rFonts w:eastAsiaTheme="minorHAnsi" w:cs="Times New Roman"/>
          <w:lang w:val="es-ES" w:eastAsia="en-US"/>
        </w:rPr>
        <w:t>os resultados de su labor en es</w:t>
      </w:r>
      <w:r w:rsidR="00E24EF3" w:rsidRPr="000060CE">
        <w:rPr>
          <w:rFonts w:eastAsiaTheme="minorHAnsi" w:cs="Times New Roman"/>
          <w:lang w:val="es-ES" w:eastAsia="en-US"/>
        </w:rPr>
        <w:t>a materia, lo que permite acelerar al proceso y reducir los costos de los solicitantes.</w:t>
      </w:r>
    </w:p>
    <w:p w14:paraId="0E800B39" w14:textId="77777777" w:rsidR="00E24EF3" w:rsidRPr="000060CE" w:rsidRDefault="00E24EF3" w:rsidP="006720DC">
      <w:pPr>
        <w:autoSpaceDE w:val="0"/>
        <w:autoSpaceDN w:val="0"/>
        <w:adjustRightInd w:val="0"/>
        <w:rPr>
          <w:rFonts w:eastAsiaTheme="minorHAnsi" w:cs="Times New Roman"/>
          <w:lang w:val="es-ES" w:eastAsia="en-US"/>
        </w:rPr>
      </w:pPr>
    </w:p>
    <w:p w14:paraId="613B3BFB" w14:textId="1599DE3D" w:rsidR="00E24EF3" w:rsidRPr="000060CE" w:rsidRDefault="00E24EF3" w:rsidP="006720DC">
      <w:pPr>
        <w:autoSpaceDE w:val="0"/>
        <w:autoSpaceDN w:val="0"/>
        <w:adjustRightInd w:val="0"/>
        <w:rPr>
          <w:rFonts w:eastAsiaTheme="minorHAnsi" w:cs="Times New Roman"/>
          <w:lang w:val="es-ES" w:eastAsia="en-US"/>
        </w:rPr>
      </w:pPr>
      <w:r w:rsidRPr="000060CE">
        <w:rPr>
          <w:rFonts w:eastAsiaTheme="minorHAnsi" w:cs="Times New Roman"/>
          <w:lang w:val="es-ES" w:eastAsia="en-US"/>
        </w:rPr>
        <w:t xml:space="preserve">El </w:t>
      </w:r>
      <w:r w:rsidR="00533E17">
        <w:rPr>
          <w:rFonts w:eastAsiaTheme="minorHAnsi" w:cs="Times New Roman"/>
          <w:lang w:val="es-ES" w:eastAsia="en-US"/>
        </w:rPr>
        <w:t xml:space="preserve">memorando </w:t>
      </w:r>
      <w:r w:rsidRPr="000060CE">
        <w:rPr>
          <w:rFonts w:eastAsiaTheme="minorHAnsi" w:cs="Times New Roman"/>
          <w:lang w:val="es-ES" w:eastAsia="en-US"/>
        </w:rPr>
        <w:t xml:space="preserve">también incluye un proyecto piloto </w:t>
      </w:r>
      <w:r w:rsidR="004F4DD8" w:rsidRPr="000060CE">
        <w:rPr>
          <w:rFonts w:eastAsiaTheme="minorHAnsi" w:cs="Times New Roman"/>
          <w:lang w:val="es-ES" w:eastAsia="en-US"/>
        </w:rPr>
        <w:t>para que la APO gane experiencia en la Clasificación de patentes cooperativa (CPC)</w:t>
      </w:r>
      <w:r w:rsidR="006632A1" w:rsidRPr="000060CE">
        <w:rPr>
          <w:rFonts w:eastAsiaTheme="minorHAnsi" w:cs="Times New Roman"/>
          <w:lang w:val="es-ES" w:eastAsia="en-US"/>
        </w:rPr>
        <w:t>.  E</w:t>
      </w:r>
      <w:r w:rsidR="004F4DD8" w:rsidRPr="000060CE">
        <w:rPr>
          <w:rFonts w:eastAsiaTheme="minorHAnsi" w:cs="Times New Roman"/>
          <w:lang w:val="es-ES" w:eastAsia="en-US"/>
        </w:rPr>
        <w:t xml:space="preserve">llo abre el camino a futuras colaboraciones en el ámbito de </w:t>
      </w:r>
      <w:r w:rsidR="00674E2D" w:rsidRPr="000060CE">
        <w:rPr>
          <w:rFonts w:eastAsiaTheme="minorHAnsi" w:cs="Times New Roman"/>
          <w:lang w:val="es-ES" w:eastAsia="en-US"/>
        </w:rPr>
        <w:t xml:space="preserve">la </w:t>
      </w:r>
      <w:r w:rsidR="004F4DD8" w:rsidRPr="000060CE">
        <w:rPr>
          <w:rFonts w:eastAsiaTheme="minorHAnsi" w:cs="Times New Roman"/>
          <w:lang w:val="es-ES" w:eastAsia="en-US"/>
        </w:rPr>
        <w:t>armonización técnica que representa la CPC, en la que participan 19 oficinas de patentes de todo el mundo</w:t>
      </w:r>
      <w:r w:rsidR="006632A1" w:rsidRPr="000060CE">
        <w:rPr>
          <w:rFonts w:eastAsiaTheme="minorHAnsi" w:cs="Times New Roman"/>
          <w:lang w:val="es-ES" w:eastAsia="en-US"/>
        </w:rPr>
        <w:t>.  L</w:t>
      </w:r>
      <w:r w:rsidR="004F4DD8" w:rsidRPr="000060CE">
        <w:rPr>
          <w:rFonts w:eastAsiaTheme="minorHAnsi" w:cs="Times New Roman"/>
          <w:lang w:val="es-ES" w:eastAsia="en-US"/>
        </w:rPr>
        <w:t xml:space="preserve">a </w:t>
      </w:r>
      <w:r w:rsidR="00533E17">
        <w:rPr>
          <w:rFonts w:eastAsiaTheme="minorHAnsi" w:cs="Times New Roman"/>
          <w:lang w:val="es-ES" w:eastAsia="en-US"/>
        </w:rPr>
        <w:t>O</w:t>
      </w:r>
      <w:r w:rsidR="004F4DD8" w:rsidRPr="000060CE">
        <w:rPr>
          <w:rFonts w:eastAsiaTheme="minorHAnsi" w:cs="Times New Roman"/>
          <w:lang w:val="es-ES" w:eastAsia="en-US"/>
        </w:rPr>
        <w:t xml:space="preserve">EP y la APO también colaboran para garantizar la interconectividad de Global </w:t>
      </w:r>
      <w:r w:rsidR="000864CE" w:rsidRPr="000060CE">
        <w:rPr>
          <w:rFonts w:eastAsiaTheme="minorHAnsi" w:cs="Times New Roman"/>
          <w:lang w:val="es-ES" w:eastAsia="en-US"/>
        </w:rPr>
        <w:t xml:space="preserve">Dossier </w:t>
      </w:r>
      <w:r w:rsidR="004F4DD8" w:rsidRPr="000060CE">
        <w:rPr>
          <w:rFonts w:eastAsiaTheme="minorHAnsi" w:cs="Times New Roman"/>
          <w:lang w:val="es-ES" w:eastAsia="en-US"/>
        </w:rPr>
        <w:t xml:space="preserve">y WIPO </w:t>
      </w:r>
      <w:r w:rsidR="000864CE" w:rsidRPr="000060CE">
        <w:rPr>
          <w:rFonts w:eastAsiaTheme="minorHAnsi" w:cs="Times New Roman"/>
          <w:lang w:val="es-ES" w:eastAsia="en-US"/>
        </w:rPr>
        <w:t>CASE</w:t>
      </w:r>
      <w:r w:rsidR="004F4DD8" w:rsidRPr="000060CE">
        <w:rPr>
          <w:rFonts w:eastAsiaTheme="minorHAnsi" w:cs="Times New Roman"/>
          <w:lang w:val="es-ES" w:eastAsia="en-US"/>
        </w:rPr>
        <w:t xml:space="preserve"> </w:t>
      </w:r>
      <w:r w:rsidR="004E6301" w:rsidRPr="000060CE">
        <w:rPr>
          <w:rFonts w:eastAsiaTheme="minorHAnsi" w:cs="Times New Roman"/>
          <w:lang w:val="es-ES" w:eastAsia="en-US"/>
        </w:rPr>
        <w:t>para</w:t>
      </w:r>
      <w:r w:rsidR="004F4DD8" w:rsidRPr="000060CE">
        <w:rPr>
          <w:rFonts w:eastAsiaTheme="minorHAnsi" w:cs="Times New Roman"/>
          <w:lang w:val="es-ES" w:eastAsia="en-US"/>
        </w:rPr>
        <w:t xml:space="preserve"> el acceso recíproco a los expedientes asociados a patentes.</w:t>
      </w:r>
    </w:p>
    <w:p w14:paraId="387907D1" w14:textId="77777777" w:rsidR="006720DC" w:rsidRPr="000060CE" w:rsidRDefault="006720DC" w:rsidP="006720DC">
      <w:pPr>
        <w:rPr>
          <w:rFonts w:eastAsiaTheme="minorHAnsi" w:cs="Times New Roman"/>
          <w:lang w:val="es-ES" w:eastAsia="en-US"/>
        </w:rPr>
      </w:pPr>
    </w:p>
    <w:p w14:paraId="162DAB87" w14:textId="77777777" w:rsidR="006720DC" w:rsidRPr="000060CE" w:rsidRDefault="003B25B5" w:rsidP="006720DC">
      <w:pPr>
        <w:rPr>
          <w:rFonts w:eastAsiaTheme="minorHAnsi" w:cs="Times New Roman"/>
          <w:i/>
          <w:lang w:val="es-ES" w:eastAsia="en-US"/>
        </w:rPr>
      </w:pPr>
      <w:r w:rsidRPr="000060CE">
        <w:rPr>
          <w:rFonts w:eastAsiaTheme="minorHAnsi" w:cs="Times New Roman"/>
          <w:i/>
          <w:lang w:val="es-ES" w:eastAsia="en-US"/>
        </w:rPr>
        <w:t>Organigrama</w:t>
      </w:r>
    </w:p>
    <w:p w14:paraId="711A2245" w14:textId="77777777" w:rsidR="006720DC" w:rsidRPr="000060CE" w:rsidRDefault="006720DC" w:rsidP="006720DC">
      <w:pPr>
        <w:rPr>
          <w:rFonts w:eastAsiaTheme="minorHAnsi" w:cs="Times New Roman"/>
          <w:i/>
          <w:lang w:val="es-ES" w:eastAsia="en-US"/>
        </w:rPr>
      </w:pPr>
    </w:p>
    <w:p w14:paraId="12A1B52B" w14:textId="77777777" w:rsidR="004F4DD8" w:rsidRPr="000060CE" w:rsidRDefault="00DF7451" w:rsidP="006720DC">
      <w:pPr>
        <w:rPr>
          <w:szCs w:val="22"/>
          <w:lang w:val="es-ES"/>
        </w:rPr>
      </w:pPr>
      <w:r w:rsidRPr="000060CE">
        <w:rPr>
          <w:szCs w:val="22"/>
          <w:lang w:val="es-ES"/>
        </w:rPr>
        <w:t xml:space="preserve">El organigrama de IP Australia que se muestra a continuación refleja cambios recientes en su estructura que </w:t>
      </w:r>
      <w:r w:rsidR="00674E2D" w:rsidRPr="000060CE">
        <w:rPr>
          <w:szCs w:val="22"/>
          <w:lang w:val="es-ES"/>
        </w:rPr>
        <w:t>incrementan</w:t>
      </w:r>
      <w:r w:rsidR="004E6301" w:rsidRPr="000060CE">
        <w:rPr>
          <w:szCs w:val="22"/>
          <w:lang w:val="es-ES"/>
        </w:rPr>
        <w:t xml:space="preserve"> </w:t>
      </w:r>
      <w:r w:rsidRPr="000060CE">
        <w:rPr>
          <w:szCs w:val="22"/>
          <w:lang w:val="es-ES"/>
        </w:rPr>
        <w:t xml:space="preserve">su capacidad para prestar servicios sólidos en </w:t>
      </w:r>
      <w:r w:rsidR="000F47E7" w:rsidRPr="000060CE">
        <w:rPr>
          <w:szCs w:val="22"/>
          <w:lang w:val="es-ES"/>
        </w:rPr>
        <w:t>la esfera</w:t>
      </w:r>
      <w:r w:rsidRPr="000060CE">
        <w:rPr>
          <w:szCs w:val="22"/>
          <w:lang w:val="es-ES"/>
        </w:rPr>
        <w:t xml:space="preserve"> de los derechos de P.I</w:t>
      </w:r>
      <w:r w:rsidR="006632A1" w:rsidRPr="000060CE">
        <w:rPr>
          <w:szCs w:val="22"/>
          <w:lang w:val="es-ES"/>
        </w:rPr>
        <w:t xml:space="preserve">.  </w:t>
      </w:r>
      <w:r w:rsidR="004E6301" w:rsidRPr="000060CE">
        <w:rPr>
          <w:szCs w:val="22"/>
          <w:lang w:val="es-ES"/>
        </w:rPr>
        <w:t xml:space="preserve">La división del </w:t>
      </w:r>
      <w:r w:rsidRPr="000060CE">
        <w:rPr>
          <w:szCs w:val="22"/>
          <w:lang w:val="es-ES"/>
        </w:rPr>
        <w:t>grupo de patentes en dos grupos proporciona una mayor capacidad para la gestión de futuras cargas de trabajo y para hacer frente al aumento de la complejidad del panorama de la propiedad intelectual</w:t>
      </w:r>
      <w:r w:rsidR="006632A1" w:rsidRPr="000060CE">
        <w:rPr>
          <w:szCs w:val="22"/>
          <w:lang w:val="es-ES"/>
        </w:rPr>
        <w:t>.  L</w:t>
      </w:r>
      <w:r w:rsidR="000F47E7" w:rsidRPr="000060CE">
        <w:rPr>
          <w:szCs w:val="22"/>
          <w:lang w:val="es-ES"/>
        </w:rPr>
        <w:t>a adición de una segunda Subdirecci</w:t>
      </w:r>
      <w:r w:rsidR="0078002B" w:rsidRPr="000060CE">
        <w:rPr>
          <w:szCs w:val="22"/>
          <w:lang w:val="es-ES"/>
        </w:rPr>
        <w:t>ón G</w:t>
      </w:r>
      <w:r w:rsidR="000F47E7" w:rsidRPr="000060CE">
        <w:rPr>
          <w:szCs w:val="22"/>
          <w:lang w:val="es-ES"/>
        </w:rPr>
        <w:t xml:space="preserve">eneral (División Corporativa y de Política) también aumenta la capacidad en </w:t>
      </w:r>
      <w:r w:rsidR="004E6301" w:rsidRPr="000060CE">
        <w:rPr>
          <w:szCs w:val="22"/>
          <w:lang w:val="es-ES"/>
        </w:rPr>
        <w:t xml:space="preserve">las </w:t>
      </w:r>
      <w:r w:rsidR="000F47E7" w:rsidRPr="000060CE">
        <w:rPr>
          <w:szCs w:val="22"/>
          <w:lang w:val="es-ES"/>
        </w:rPr>
        <w:lastRenderedPageBreak/>
        <w:t>áreas de evaluación de la política y de</w:t>
      </w:r>
      <w:r w:rsidR="004E6301" w:rsidRPr="000060CE">
        <w:rPr>
          <w:szCs w:val="22"/>
          <w:lang w:val="es-ES"/>
        </w:rPr>
        <w:t>l</w:t>
      </w:r>
      <w:r w:rsidR="000F47E7" w:rsidRPr="000060CE">
        <w:rPr>
          <w:szCs w:val="22"/>
          <w:lang w:val="es-ES"/>
        </w:rPr>
        <w:t xml:space="preserve"> desarrollo, así como </w:t>
      </w:r>
      <w:r w:rsidR="0078002B" w:rsidRPr="000060CE">
        <w:rPr>
          <w:szCs w:val="22"/>
          <w:lang w:val="es-ES"/>
        </w:rPr>
        <w:t xml:space="preserve">en </w:t>
      </w:r>
      <w:r w:rsidR="00674E2D" w:rsidRPr="000060CE">
        <w:rPr>
          <w:szCs w:val="22"/>
          <w:lang w:val="es-ES"/>
        </w:rPr>
        <w:t xml:space="preserve">el ámbito de </w:t>
      </w:r>
      <w:r w:rsidR="000F47E7" w:rsidRPr="000060CE">
        <w:rPr>
          <w:szCs w:val="22"/>
          <w:lang w:val="es-ES"/>
        </w:rPr>
        <w:t>la colaboración a nivel nacional e internacional.</w:t>
      </w:r>
    </w:p>
    <w:p w14:paraId="58740F3C" w14:textId="77777777" w:rsidR="006720DC" w:rsidRPr="000060CE" w:rsidRDefault="006720DC" w:rsidP="006720DC">
      <w:pPr>
        <w:rPr>
          <w:rFonts w:eastAsiaTheme="minorHAnsi" w:cs="Times New Roman"/>
          <w:lang w:val="es-ES" w:eastAsia="en-US"/>
        </w:rPr>
      </w:pPr>
    </w:p>
    <w:p w14:paraId="77794E61" w14:textId="77777777" w:rsidR="006720DC" w:rsidRPr="000060CE" w:rsidRDefault="006720DC" w:rsidP="006720DC">
      <w:pPr>
        <w:rPr>
          <w:rFonts w:eastAsiaTheme="minorHAnsi" w:cs="Times New Roman"/>
          <w:i/>
          <w:lang w:val="es-ES" w:eastAsia="en-US"/>
        </w:rPr>
      </w:pPr>
      <w:r w:rsidRPr="000060CE">
        <w:rPr>
          <w:i/>
          <w:iCs/>
          <w:noProof/>
          <w:lang w:eastAsia="en-US"/>
        </w:rPr>
        <w:drawing>
          <wp:inline distT="0" distB="0" distL="0" distR="0" wp14:anchorId="03D77E0A" wp14:editId="7D0B02FF">
            <wp:extent cx="4710400" cy="5934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588" cy="593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0DA6D" w14:textId="539C0EAE" w:rsidR="006720DC" w:rsidRPr="000060CE" w:rsidRDefault="006720DC" w:rsidP="006720DC">
      <w:pPr>
        <w:pStyle w:val="SectionHeading"/>
        <w:rPr>
          <w:lang w:val="es-ES"/>
        </w:rPr>
      </w:pPr>
      <w:r w:rsidRPr="000060CE">
        <w:rPr>
          <w:lang w:val="es-ES"/>
        </w:rPr>
        <w:t xml:space="preserve">8 – </w:t>
      </w:r>
      <w:r w:rsidR="00E90B20" w:rsidRPr="000060CE">
        <w:rPr>
          <w:lang w:val="es-ES"/>
        </w:rPr>
        <w:t xml:space="preserve">EVALUACIÓN </w:t>
      </w:r>
      <w:r w:rsidR="00533E17">
        <w:rPr>
          <w:lang w:val="es-ES"/>
        </w:rPr>
        <w:t>por</w:t>
      </w:r>
      <w:r w:rsidR="00E90B20" w:rsidRPr="000060CE">
        <w:rPr>
          <w:lang w:val="es-ES"/>
        </w:rPr>
        <w:t xml:space="preserve"> OTRAS </w:t>
      </w:r>
      <w:r w:rsidR="0005744D" w:rsidRPr="000060CE">
        <w:rPr>
          <w:lang w:val="es-ES"/>
        </w:rPr>
        <w:t>ADMINISTRACIONES</w:t>
      </w:r>
    </w:p>
    <w:p w14:paraId="18882C64" w14:textId="77777777" w:rsidR="002C38BA" w:rsidRPr="000060CE" w:rsidRDefault="002C38BA" w:rsidP="00357995">
      <w:pPr>
        <w:autoSpaceDE w:val="0"/>
        <w:autoSpaceDN w:val="0"/>
        <w:rPr>
          <w:lang w:val="es-ES" w:eastAsia="en-US"/>
        </w:rPr>
      </w:pPr>
      <w:r w:rsidRPr="000060CE">
        <w:rPr>
          <w:lang w:val="es-ES" w:eastAsia="en-US"/>
        </w:rPr>
        <w:t xml:space="preserve">La certificación ISO 9001:2008 de </w:t>
      </w:r>
      <w:r w:rsidR="006720DC" w:rsidRPr="000060CE">
        <w:rPr>
          <w:lang w:val="es-ES" w:eastAsia="en-US"/>
        </w:rPr>
        <w:t>IP Australia</w:t>
      </w:r>
      <w:r w:rsidRPr="000060CE">
        <w:rPr>
          <w:lang w:val="es-ES" w:eastAsia="en-US"/>
        </w:rPr>
        <w:t xml:space="preserve"> </w:t>
      </w:r>
      <w:r w:rsidR="003B6826" w:rsidRPr="000060CE">
        <w:rPr>
          <w:lang w:val="es-ES" w:eastAsia="en-US"/>
        </w:rPr>
        <w:t xml:space="preserve">constituye </w:t>
      </w:r>
      <w:r w:rsidRPr="000060CE">
        <w:rPr>
          <w:lang w:val="es-ES" w:eastAsia="en-US"/>
        </w:rPr>
        <w:t xml:space="preserve">la validación externa de la </w:t>
      </w:r>
      <w:r w:rsidR="003B6826" w:rsidRPr="000060CE">
        <w:rPr>
          <w:lang w:val="es-ES" w:eastAsia="en-US"/>
        </w:rPr>
        <w:t>solidez</w:t>
      </w:r>
      <w:r w:rsidRPr="000060CE">
        <w:rPr>
          <w:lang w:val="es-ES" w:eastAsia="en-US"/>
        </w:rPr>
        <w:t xml:space="preserve"> de la aproximación de IP Australia a la calidad.</w:t>
      </w:r>
    </w:p>
    <w:p w14:paraId="3B1BB2EC" w14:textId="77777777" w:rsidR="006720DC" w:rsidRPr="000060CE" w:rsidRDefault="006720DC" w:rsidP="00357995">
      <w:pPr>
        <w:autoSpaceDE w:val="0"/>
        <w:autoSpaceDN w:val="0"/>
        <w:rPr>
          <w:lang w:val="es-ES" w:eastAsia="en-US"/>
        </w:rPr>
      </w:pPr>
    </w:p>
    <w:p w14:paraId="30ABE339" w14:textId="77777777" w:rsidR="002C38BA" w:rsidRPr="000060CE" w:rsidRDefault="002C38BA" w:rsidP="00533E17">
      <w:pPr>
        <w:autoSpaceDE w:val="0"/>
        <w:autoSpaceDN w:val="0"/>
        <w:adjustRightInd w:val="0"/>
        <w:spacing w:after="120"/>
        <w:rPr>
          <w:lang w:val="es-ES" w:eastAsia="en-US"/>
        </w:rPr>
      </w:pPr>
      <w:r w:rsidRPr="000060CE">
        <w:rPr>
          <w:lang w:val="es-ES" w:eastAsia="en-US"/>
        </w:rPr>
        <w:t xml:space="preserve">Recientemente la APO ha participado en un </w:t>
      </w:r>
      <w:r w:rsidR="008E5C4C" w:rsidRPr="000060CE">
        <w:rPr>
          <w:lang w:val="es-ES" w:eastAsia="en-US"/>
        </w:rPr>
        <w:t xml:space="preserve">ejercicio </w:t>
      </w:r>
      <w:r w:rsidRPr="000060CE">
        <w:rPr>
          <w:lang w:val="es-ES" w:eastAsia="en-US"/>
        </w:rPr>
        <w:t xml:space="preserve">piloto de </w:t>
      </w:r>
      <w:r w:rsidR="008E5C4C" w:rsidRPr="000060CE">
        <w:rPr>
          <w:lang w:val="es-ES" w:eastAsia="en-US"/>
        </w:rPr>
        <w:t>revisión por homólogos</w:t>
      </w:r>
      <w:r w:rsidRPr="000060CE">
        <w:rPr>
          <w:lang w:val="es-ES" w:eastAsia="en-US"/>
        </w:rPr>
        <w:t xml:space="preserve"> de </w:t>
      </w:r>
      <w:r w:rsidR="000F47E7" w:rsidRPr="000060CE">
        <w:rPr>
          <w:lang w:val="es-ES" w:eastAsia="en-US"/>
        </w:rPr>
        <w:t>los</w:t>
      </w:r>
      <w:r w:rsidRPr="000060CE">
        <w:rPr>
          <w:lang w:val="es-ES" w:eastAsia="en-US"/>
        </w:rPr>
        <w:t xml:space="preserve"> requisitos de nuestro sistema de gestión de la calidad </w:t>
      </w:r>
      <w:r w:rsidR="000F47E7" w:rsidRPr="000060CE">
        <w:rPr>
          <w:lang w:val="es-ES" w:eastAsia="en-US"/>
        </w:rPr>
        <w:t xml:space="preserve">del Capítulo 21 </w:t>
      </w:r>
      <w:r w:rsidRPr="000060CE">
        <w:rPr>
          <w:lang w:val="es-ES" w:eastAsia="en-US"/>
        </w:rPr>
        <w:t xml:space="preserve">en </w:t>
      </w:r>
      <w:r w:rsidR="003B6826" w:rsidRPr="000060CE">
        <w:rPr>
          <w:lang w:val="es-ES" w:eastAsia="en-US"/>
        </w:rPr>
        <w:t>una</w:t>
      </w:r>
      <w:r w:rsidRPr="000060CE">
        <w:rPr>
          <w:lang w:val="es-ES" w:eastAsia="en-US"/>
        </w:rPr>
        <w:t xml:space="preserve"> </w:t>
      </w:r>
      <w:r w:rsidR="003B6826" w:rsidRPr="000060CE">
        <w:rPr>
          <w:lang w:val="es-ES" w:eastAsia="en-US"/>
        </w:rPr>
        <w:t>reciente</w:t>
      </w:r>
      <w:r w:rsidRPr="000060CE">
        <w:rPr>
          <w:lang w:val="es-ES" w:eastAsia="en-US"/>
        </w:rPr>
        <w:t xml:space="preserve"> reunión del Subgrupo de calidad PCT-MIA</w:t>
      </w:r>
      <w:r w:rsidR="006632A1" w:rsidRPr="000060CE">
        <w:rPr>
          <w:lang w:val="es-ES" w:eastAsia="en-US"/>
        </w:rPr>
        <w:t>.  L</w:t>
      </w:r>
      <w:r w:rsidR="008E5C4C" w:rsidRPr="000060CE">
        <w:rPr>
          <w:lang w:val="es-ES" w:eastAsia="en-US"/>
        </w:rPr>
        <w:t>a revisión por homólogos ha permitido que otra oficina (España) haya analizado el sistema de gestión de la calidad de la APO y h</w:t>
      </w:r>
      <w:r w:rsidR="00A66F2F" w:rsidRPr="000060CE">
        <w:rPr>
          <w:lang w:val="es-ES" w:eastAsia="en-US"/>
        </w:rPr>
        <w:t xml:space="preserve">a </w:t>
      </w:r>
      <w:r w:rsidR="000F47E7" w:rsidRPr="000060CE">
        <w:rPr>
          <w:lang w:val="es-ES" w:eastAsia="en-US"/>
        </w:rPr>
        <w:t>supuesto</w:t>
      </w:r>
      <w:r w:rsidR="00A66F2F" w:rsidRPr="000060CE">
        <w:rPr>
          <w:lang w:val="es-ES" w:eastAsia="en-US"/>
        </w:rPr>
        <w:t xml:space="preserve"> una</w:t>
      </w:r>
      <w:r w:rsidR="008E5C4C" w:rsidRPr="000060CE">
        <w:rPr>
          <w:lang w:val="es-ES" w:eastAsia="en-US"/>
        </w:rPr>
        <w:t xml:space="preserve"> oportunidad para responder cuesti</w:t>
      </w:r>
      <w:r w:rsidR="003B6826" w:rsidRPr="000060CE">
        <w:rPr>
          <w:lang w:val="es-ES" w:eastAsia="en-US"/>
        </w:rPr>
        <w:t xml:space="preserve">ones </w:t>
      </w:r>
      <w:r w:rsidR="00674E2D" w:rsidRPr="000060CE">
        <w:rPr>
          <w:lang w:val="es-ES" w:eastAsia="en-US"/>
        </w:rPr>
        <w:t xml:space="preserve">planteadas </w:t>
      </w:r>
      <w:r w:rsidR="0078002B" w:rsidRPr="000060CE">
        <w:rPr>
          <w:lang w:val="es-ES" w:eastAsia="en-US"/>
        </w:rPr>
        <w:t>al respecto</w:t>
      </w:r>
      <w:r w:rsidR="006632A1" w:rsidRPr="000060CE">
        <w:rPr>
          <w:lang w:val="es-ES" w:eastAsia="en-US"/>
        </w:rPr>
        <w:t>.  L</w:t>
      </w:r>
      <w:r w:rsidR="008E5C4C" w:rsidRPr="000060CE">
        <w:rPr>
          <w:lang w:val="es-ES" w:eastAsia="en-US"/>
        </w:rPr>
        <w:t xml:space="preserve">a </w:t>
      </w:r>
      <w:r w:rsidR="00A66F2F" w:rsidRPr="000060CE">
        <w:rPr>
          <w:lang w:val="es-ES" w:eastAsia="en-US"/>
        </w:rPr>
        <w:t>valoración</w:t>
      </w:r>
      <w:r w:rsidR="008E5C4C" w:rsidRPr="000060CE">
        <w:rPr>
          <w:lang w:val="es-ES" w:eastAsia="en-US"/>
        </w:rPr>
        <w:t xml:space="preserve"> </w:t>
      </w:r>
      <w:r w:rsidR="003B6826" w:rsidRPr="000060CE">
        <w:rPr>
          <w:lang w:val="es-ES" w:eastAsia="en-US"/>
        </w:rPr>
        <w:t>del</w:t>
      </w:r>
      <w:r w:rsidR="008E5C4C" w:rsidRPr="000060CE">
        <w:rPr>
          <w:lang w:val="es-ES" w:eastAsia="en-US"/>
        </w:rPr>
        <w:t xml:space="preserve"> sistema de gestión de la calidad de la APO ha sido positiva</w:t>
      </w:r>
      <w:r w:rsidR="006632A1" w:rsidRPr="000060CE">
        <w:rPr>
          <w:lang w:val="es-ES" w:eastAsia="en-US"/>
        </w:rPr>
        <w:t>.  E</w:t>
      </w:r>
      <w:r w:rsidR="008E5C4C" w:rsidRPr="000060CE">
        <w:rPr>
          <w:lang w:val="es-ES" w:eastAsia="en-US"/>
        </w:rPr>
        <w:t xml:space="preserve">l examen llevado a cabo por otras oficinas ha validado el enfoque de la APO sobre diversos aspectos del sistema de gestión de la calidad y ha demostrado la consistencia de dicho enfoque con numerosos aspectos de </w:t>
      </w:r>
      <w:r w:rsidR="00674E2D" w:rsidRPr="000060CE">
        <w:rPr>
          <w:lang w:val="es-ES" w:eastAsia="en-US"/>
        </w:rPr>
        <w:t xml:space="preserve">los </w:t>
      </w:r>
      <w:r w:rsidR="008E5C4C" w:rsidRPr="000060CE">
        <w:rPr>
          <w:lang w:val="es-ES" w:eastAsia="en-US"/>
        </w:rPr>
        <w:t xml:space="preserve">sistemas de calidad implantados por otras oficinas. </w:t>
      </w:r>
      <w:r w:rsidR="000F47E7" w:rsidRPr="000060CE">
        <w:rPr>
          <w:lang w:val="es-ES" w:eastAsia="en-US"/>
        </w:rPr>
        <w:t xml:space="preserve"> </w:t>
      </w:r>
    </w:p>
    <w:p w14:paraId="180C49E4" w14:textId="77777777" w:rsidR="00AA5F79" w:rsidRPr="000060CE" w:rsidRDefault="00FA4CE0" w:rsidP="00FA4CE0">
      <w:pPr>
        <w:pStyle w:val="Endofdocument-Annex"/>
        <w:rPr>
          <w:lang w:val="es-ES"/>
        </w:rPr>
      </w:pPr>
      <w:r w:rsidRPr="000060CE">
        <w:rPr>
          <w:lang w:val="es-ES"/>
        </w:rPr>
        <w:t>[</w:t>
      </w:r>
      <w:r w:rsidR="008E5C4C" w:rsidRPr="000060CE">
        <w:rPr>
          <w:lang w:val="es-ES"/>
        </w:rPr>
        <w:t>Fin del Anexo y del documento</w:t>
      </w:r>
      <w:r w:rsidRPr="000060CE">
        <w:rPr>
          <w:lang w:val="es-ES"/>
        </w:rPr>
        <w:t>]</w:t>
      </w:r>
    </w:p>
    <w:sectPr w:rsidR="00AA5F79" w:rsidRPr="000060CE" w:rsidSect="00B40E5F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077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FEC87" w14:textId="77777777" w:rsidR="00533E17" w:rsidRDefault="00533E17">
      <w:r>
        <w:separator/>
      </w:r>
    </w:p>
  </w:endnote>
  <w:endnote w:type="continuationSeparator" w:id="0">
    <w:p w14:paraId="67B90BEE" w14:textId="77777777" w:rsidR="00533E17" w:rsidRDefault="00533E17" w:rsidP="003B38C1">
      <w:r>
        <w:separator/>
      </w:r>
    </w:p>
    <w:p w14:paraId="410B8699" w14:textId="77777777" w:rsidR="00533E17" w:rsidRPr="003B38C1" w:rsidRDefault="00533E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35BB085" w14:textId="77777777" w:rsidR="00533E17" w:rsidRPr="003B38C1" w:rsidRDefault="00533E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EE7C6" w14:textId="77777777" w:rsidR="00533E17" w:rsidRDefault="00533E17">
      <w:r>
        <w:separator/>
      </w:r>
    </w:p>
  </w:footnote>
  <w:footnote w:type="continuationSeparator" w:id="0">
    <w:p w14:paraId="2F7513A8" w14:textId="77777777" w:rsidR="00533E17" w:rsidRDefault="00533E17" w:rsidP="008B60B2">
      <w:r>
        <w:separator/>
      </w:r>
    </w:p>
    <w:p w14:paraId="397FD30C" w14:textId="77777777" w:rsidR="00533E17" w:rsidRPr="00ED77FB" w:rsidRDefault="00533E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CCDF1C" w14:textId="77777777" w:rsidR="00533E17" w:rsidRPr="00ED77FB" w:rsidRDefault="00533E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B7CE2FA" w14:textId="77777777" w:rsidR="00533E17" w:rsidRPr="0037088C" w:rsidRDefault="00533E17" w:rsidP="006720DC">
      <w:pPr>
        <w:pStyle w:val="FootnoteText"/>
        <w:rPr>
          <w:rFonts w:eastAsiaTheme="minorHAnsi" w:cs="Times New Roman"/>
          <w:lang w:val="es-ES" w:eastAsia="en-US"/>
        </w:rPr>
      </w:pPr>
      <w:r w:rsidRPr="00AD2807">
        <w:rPr>
          <w:rStyle w:val="FootnoteReference"/>
        </w:rPr>
        <w:footnoteRef/>
      </w:r>
      <w:r w:rsidRPr="0037088C">
        <w:rPr>
          <w:lang w:val="es-ES"/>
        </w:rPr>
        <w:t xml:space="preserve"> </w:t>
      </w:r>
      <w:r w:rsidRPr="0037088C">
        <w:rPr>
          <w:lang w:val="es-ES"/>
        </w:rPr>
        <w:tab/>
      </w:r>
      <w:r w:rsidRPr="0037088C">
        <w:rPr>
          <w:rFonts w:eastAsiaTheme="minorHAnsi" w:cs="Times New Roman"/>
          <w:lang w:val="es-ES" w:eastAsia="en-US"/>
        </w:rPr>
        <w:t xml:space="preserve">La Oficina Australiana de Patentes desea que su designación </w:t>
      </w:r>
      <w:r>
        <w:rPr>
          <w:rFonts w:eastAsiaTheme="minorHAnsi" w:cs="Times New Roman"/>
          <w:lang w:val="es-ES" w:eastAsia="en-US"/>
        </w:rPr>
        <w:t>continúe</w:t>
      </w:r>
      <w:r w:rsidRPr="0037088C">
        <w:rPr>
          <w:rFonts w:eastAsiaTheme="minorHAnsi" w:cs="Times New Roman"/>
          <w:lang w:val="es-ES" w:eastAsia="en-US"/>
        </w:rPr>
        <w:t xml:space="preserve"> sin interrupción</w:t>
      </w:r>
      <w:r>
        <w:rPr>
          <w:rFonts w:eastAsiaTheme="minorHAnsi" w:cs="Times New Roman"/>
          <w:lang w:val="es-ES" w:eastAsia="en-US"/>
        </w:rPr>
        <w:t>.  Sin embargo, debido a procesos nacionales de Australia asociados al tratado, puede ser necesario solicitar la prórroga por un año del acuerdo vigente.  A ello seguiría la adopción de un nuevo acuerdo una vez publicado el modelo actualizado actualmente en discusión con otras Administraciones</w:t>
      </w:r>
      <w:r w:rsidRPr="0037088C">
        <w:rPr>
          <w:rFonts w:eastAsiaTheme="minorHAnsi" w:cs="Times New Roman"/>
          <w:lang w:val="es-ES" w:eastAsia="en-US"/>
        </w:rPr>
        <w:t>.</w:t>
      </w:r>
    </w:p>
  </w:footnote>
  <w:footnote w:id="3">
    <w:p w14:paraId="511C3D07" w14:textId="77777777" w:rsidR="00533E17" w:rsidRPr="00464DE1" w:rsidRDefault="00533E17" w:rsidP="006720DC">
      <w:pPr>
        <w:pStyle w:val="FootnoteText"/>
        <w:rPr>
          <w:lang w:val="es-ES"/>
        </w:rPr>
      </w:pPr>
      <w:r w:rsidRPr="00AD2807">
        <w:rPr>
          <w:rStyle w:val="FootnoteReference"/>
        </w:rPr>
        <w:footnoteRef/>
      </w:r>
      <w:r w:rsidRPr="00464DE1">
        <w:rPr>
          <w:lang w:val="es-ES"/>
        </w:rPr>
        <w:t xml:space="preserve"> </w:t>
      </w:r>
      <w:r w:rsidRPr="00464DE1">
        <w:rPr>
          <w:lang w:val="es-ES"/>
        </w:rPr>
        <w:tab/>
      </w:r>
      <w:r w:rsidRPr="00464DE1">
        <w:rPr>
          <w:bCs/>
          <w:lang w:val="es-ES"/>
        </w:rPr>
        <w:t>V</w:t>
      </w:r>
      <w:r>
        <w:rPr>
          <w:bCs/>
          <w:lang w:val="es-ES"/>
        </w:rPr>
        <w:t>éase, por ejemplo</w:t>
      </w:r>
      <w:r w:rsidRPr="00464DE1">
        <w:rPr>
          <w:bCs/>
          <w:lang w:val="es-ES"/>
        </w:rPr>
        <w:t xml:space="preserve">:  </w:t>
      </w:r>
      <w:hyperlink r:id="rId1" w:history="1">
        <w:r w:rsidRPr="00464DE1">
          <w:rPr>
            <w:rStyle w:val="Hyperlink"/>
            <w:bCs/>
            <w:lang w:val="es-ES"/>
          </w:rPr>
          <w:t>https://www.ipaustralia.gov.au/tools-resources/publications---reports</w:t>
        </w:r>
      </w:hyperlink>
      <w:r w:rsidRPr="00464DE1">
        <w:rPr>
          <w:bCs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65FAB" w14:textId="77777777" w:rsidR="00533E17" w:rsidRDefault="00533E17" w:rsidP="00477D6B">
    <w:pPr>
      <w:jc w:val="right"/>
    </w:pPr>
    <w:bookmarkStart w:id="6" w:name="Code2"/>
    <w:bookmarkEnd w:id="6"/>
    <w:r>
      <w:t>PCT/CTC/30/4</w:t>
    </w:r>
  </w:p>
  <w:p w14:paraId="34A0F911" w14:textId="77777777" w:rsidR="00533E17" w:rsidRDefault="00533E17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E7FC1C4" w14:textId="77777777" w:rsidR="00533E17" w:rsidRDefault="00533E1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411DC" w14:textId="77777777" w:rsidR="00533E17" w:rsidRPr="00AA5F79" w:rsidRDefault="00533E17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/4</w:t>
    </w:r>
  </w:p>
  <w:p w14:paraId="2E9E0E59" w14:textId="77777777" w:rsidR="00533E17" w:rsidRPr="002B796B" w:rsidRDefault="00533E17" w:rsidP="00477D6B">
    <w:pPr>
      <w:jc w:val="right"/>
      <w:rPr>
        <w:lang w:val="es-ES"/>
      </w:rPr>
    </w:pPr>
    <w:r w:rsidRPr="002B796B">
      <w:rPr>
        <w:lang w:val="es-ES"/>
      </w:rPr>
      <w:t xml:space="preserve">Anexo, página </w:t>
    </w:r>
    <w:r w:rsidRPr="002B796B">
      <w:rPr>
        <w:lang w:val="es-ES"/>
      </w:rPr>
      <w:fldChar w:fldCharType="begin"/>
    </w:r>
    <w:r w:rsidRPr="002B796B">
      <w:rPr>
        <w:lang w:val="es-ES"/>
      </w:rPr>
      <w:instrText xml:space="preserve"> PAGE  \* MERGEFORMAT </w:instrText>
    </w:r>
    <w:r w:rsidRPr="002B796B">
      <w:rPr>
        <w:lang w:val="es-ES"/>
      </w:rPr>
      <w:fldChar w:fldCharType="separate"/>
    </w:r>
    <w:r w:rsidR="009079C3">
      <w:rPr>
        <w:noProof/>
        <w:lang w:val="es-ES"/>
      </w:rPr>
      <w:t>11</w:t>
    </w:r>
    <w:r w:rsidRPr="002B796B">
      <w:rPr>
        <w:lang w:val="es-ES"/>
      </w:rPr>
      <w:fldChar w:fldCharType="end"/>
    </w:r>
  </w:p>
  <w:p w14:paraId="009935B1" w14:textId="77777777" w:rsidR="00533E17" w:rsidRPr="00AA5F79" w:rsidRDefault="00533E17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C2179" w14:textId="77777777" w:rsidR="00533E17" w:rsidRDefault="00533E17" w:rsidP="00AA5F79">
    <w:pPr>
      <w:pStyle w:val="Header"/>
      <w:jc w:val="right"/>
    </w:pPr>
    <w:r>
      <w:t>PCT/CTC/30/4</w:t>
    </w:r>
  </w:p>
  <w:p w14:paraId="28AD195B" w14:textId="77777777" w:rsidR="00533E17" w:rsidRDefault="00533E17" w:rsidP="00AA5F79">
    <w:pPr>
      <w:pStyle w:val="Header"/>
      <w:jc w:val="right"/>
    </w:pPr>
    <w:r>
      <w:t>ANEXO</w:t>
    </w:r>
  </w:p>
  <w:p w14:paraId="13B2738E" w14:textId="77777777" w:rsidR="00533E17" w:rsidRDefault="00533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045BBE"/>
    <w:multiLevelType w:val="hybridMultilevel"/>
    <w:tmpl w:val="9B3A6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45C73"/>
    <w:multiLevelType w:val="hybridMultilevel"/>
    <w:tmpl w:val="FA38FB9C"/>
    <w:lvl w:ilvl="0" w:tplc="F70ABB6E">
      <w:start w:val="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C24C4"/>
    <w:multiLevelType w:val="hybridMultilevel"/>
    <w:tmpl w:val="55727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113DE"/>
    <w:multiLevelType w:val="hybridMultilevel"/>
    <w:tmpl w:val="FB14FC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352E74E9"/>
    <w:multiLevelType w:val="hybridMultilevel"/>
    <w:tmpl w:val="A2681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B0425"/>
    <w:multiLevelType w:val="hybridMultilevel"/>
    <w:tmpl w:val="4C0012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B04DB2"/>
    <w:multiLevelType w:val="hybridMultilevel"/>
    <w:tmpl w:val="DC8C7F8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1029D1"/>
    <w:multiLevelType w:val="hybridMultilevel"/>
    <w:tmpl w:val="E9421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825B9"/>
    <w:multiLevelType w:val="hybridMultilevel"/>
    <w:tmpl w:val="DB4CA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46903"/>
    <w:multiLevelType w:val="multilevel"/>
    <w:tmpl w:val="C4C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5F204FE"/>
    <w:multiLevelType w:val="hybridMultilevel"/>
    <w:tmpl w:val="851C0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8A130D"/>
    <w:multiLevelType w:val="hybridMultilevel"/>
    <w:tmpl w:val="0784A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0538A"/>
    <w:multiLevelType w:val="hybridMultilevel"/>
    <w:tmpl w:val="5B680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5"/>
  </w:num>
  <w:num w:numId="10">
    <w:abstractNumId w:val="9"/>
  </w:num>
  <w:num w:numId="11">
    <w:abstractNumId w:val="17"/>
  </w:num>
  <w:num w:numId="12">
    <w:abstractNumId w:val="16"/>
  </w:num>
  <w:num w:numId="13">
    <w:abstractNumId w:val="14"/>
  </w:num>
  <w:num w:numId="14">
    <w:abstractNumId w:val="18"/>
  </w:num>
  <w:num w:numId="15">
    <w:abstractNumId w:val="13"/>
  </w:num>
  <w:num w:numId="16">
    <w:abstractNumId w:val="5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0D7B"/>
    <w:rsid w:val="000060CE"/>
    <w:rsid w:val="00012C07"/>
    <w:rsid w:val="0003677B"/>
    <w:rsid w:val="00042284"/>
    <w:rsid w:val="00043CAA"/>
    <w:rsid w:val="0005744D"/>
    <w:rsid w:val="00074125"/>
    <w:rsid w:val="00075432"/>
    <w:rsid w:val="00084891"/>
    <w:rsid w:val="000864CE"/>
    <w:rsid w:val="0009094E"/>
    <w:rsid w:val="000968ED"/>
    <w:rsid w:val="000A289D"/>
    <w:rsid w:val="000A417B"/>
    <w:rsid w:val="000E55F8"/>
    <w:rsid w:val="000F47E7"/>
    <w:rsid w:val="000F5E56"/>
    <w:rsid w:val="001009A0"/>
    <w:rsid w:val="001027F9"/>
    <w:rsid w:val="0011224E"/>
    <w:rsid w:val="001362EE"/>
    <w:rsid w:val="00140C49"/>
    <w:rsid w:val="0017696D"/>
    <w:rsid w:val="001832A6"/>
    <w:rsid w:val="00196AAA"/>
    <w:rsid w:val="001C4246"/>
    <w:rsid w:val="001D0D5B"/>
    <w:rsid w:val="001E5B3E"/>
    <w:rsid w:val="001E5CB3"/>
    <w:rsid w:val="0021217E"/>
    <w:rsid w:val="00212BB9"/>
    <w:rsid w:val="00213C33"/>
    <w:rsid w:val="0023675D"/>
    <w:rsid w:val="00237E08"/>
    <w:rsid w:val="00251B61"/>
    <w:rsid w:val="00253F79"/>
    <w:rsid w:val="00254D8B"/>
    <w:rsid w:val="00256CDD"/>
    <w:rsid w:val="002574C9"/>
    <w:rsid w:val="002615BC"/>
    <w:rsid w:val="002634C4"/>
    <w:rsid w:val="002656D7"/>
    <w:rsid w:val="002667D1"/>
    <w:rsid w:val="0027232C"/>
    <w:rsid w:val="002928D3"/>
    <w:rsid w:val="0029755C"/>
    <w:rsid w:val="002A29F3"/>
    <w:rsid w:val="002A4CC3"/>
    <w:rsid w:val="002B1DCF"/>
    <w:rsid w:val="002B796B"/>
    <w:rsid w:val="002C38BA"/>
    <w:rsid w:val="002E5092"/>
    <w:rsid w:val="002F1AFC"/>
    <w:rsid w:val="002F1FE6"/>
    <w:rsid w:val="002F4E68"/>
    <w:rsid w:val="002F79C9"/>
    <w:rsid w:val="003002F9"/>
    <w:rsid w:val="00312F7F"/>
    <w:rsid w:val="00320A62"/>
    <w:rsid w:val="003354FD"/>
    <w:rsid w:val="0034281C"/>
    <w:rsid w:val="00344193"/>
    <w:rsid w:val="0035027E"/>
    <w:rsid w:val="00357995"/>
    <w:rsid w:val="00361450"/>
    <w:rsid w:val="003673CF"/>
    <w:rsid w:val="0037088C"/>
    <w:rsid w:val="00382CBA"/>
    <w:rsid w:val="003845C1"/>
    <w:rsid w:val="00386C3B"/>
    <w:rsid w:val="003943A7"/>
    <w:rsid w:val="003A6F89"/>
    <w:rsid w:val="003B25B5"/>
    <w:rsid w:val="003B38C1"/>
    <w:rsid w:val="003B5694"/>
    <w:rsid w:val="003B6826"/>
    <w:rsid w:val="003D0725"/>
    <w:rsid w:val="003D5505"/>
    <w:rsid w:val="003E5FC0"/>
    <w:rsid w:val="004130D2"/>
    <w:rsid w:val="00413419"/>
    <w:rsid w:val="0041342F"/>
    <w:rsid w:val="0041497C"/>
    <w:rsid w:val="00423E3E"/>
    <w:rsid w:val="00427AF4"/>
    <w:rsid w:val="0044115F"/>
    <w:rsid w:val="004647DA"/>
    <w:rsid w:val="00464DE1"/>
    <w:rsid w:val="00474062"/>
    <w:rsid w:val="00477D6B"/>
    <w:rsid w:val="00480A3F"/>
    <w:rsid w:val="004856CC"/>
    <w:rsid w:val="004902B5"/>
    <w:rsid w:val="00495F69"/>
    <w:rsid w:val="004C230C"/>
    <w:rsid w:val="004D1961"/>
    <w:rsid w:val="004D1DB2"/>
    <w:rsid w:val="004E6301"/>
    <w:rsid w:val="004E7C57"/>
    <w:rsid w:val="004F4DD8"/>
    <w:rsid w:val="004F71B9"/>
    <w:rsid w:val="004F74E6"/>
    <w:rsid w:val="005019FF"/>
    <w:rsid w:val="00505D88"/>
    <w:rsid w:val="00513494"/>
    <w:rsid w:val="0053057A"/>
    <w:rsid w:val="00533E17"/>
    <w:rsid w:val="00534264"/>
    <w:rsid w:val="00560A29"/>
    <w:rsid w:val="005959CC"/>
    <w:rsid w:val="00597D79"/>
    <w:rsid w:val="005B325B"/>
    <w:rsid w:val="005B7AB4"/>
    <w:rsid w:val="005C40A3"/>
    <w:rsid w:val="005C6649"/>
    <w:rsid w:val="005C770E"/>
    <w:rsid w:val="005C7C39"/>
    <w:rsid w:val="005F59B1"/>
    <w:rsid w:val="00605827"/>
    <w:rsid w:val="00621DF1"/>
    <w:rsid w:val="00627C32"/>
    <w:rsid w:val="006361B1"/>
    <w:rsid w:val="00640408"/>
    <w:rsid w:val="00646050"/>
    <w:rsid w:val="006615D9"/>
    <w:rsid w:val="00662BD1"/>
    <w:rsid w:val="006632A1"/>
    <w:rsid w:val="006713CA"/>
    <w:rsid w:val="006720DC"/>
    <w:rsid w:val="00674E2D"/>
    <w:rsid w:val="00676C5C"/>
    <w:rsid w:val="00694B84"/>
    <w:rsid w:val="006A7C05"/>
    <w:rsid w:val="006B4685"/>
    <w:rsid w:val="006B5BA0"/>
    <w:rsid w:val="006C1AD6"/>
    <w:rsid w:val="006D4663"/>
    <w:rsid w:val="006E4F21"/>
    <w:rsid w:val="006F4623"/>
    <w:rsid w:val="00712372"/>
    <w:rsid w:val="007238F2"/>
    <w:rsid w:val="00727961"/>
    <w:rsid w:val="007326A9"/>
    <w:rsid w:val="0078002B"/>
    <w:rsid w:val="00780855"/>
    <w:rsid w:val="00790EDC"/>
    <w:rsid w:val="007A4A6D"/>
    <w:rsid w:val="007A548D"/>
    <w:rsid w:val="007C2F0F"/>
    <w:rsid w:val="007D1613"/>
    <w:rsid w:val="007D7FD7"/>
    <w:rsid w:val="007E4C0E"/>
    <w:rsid w:val="0080063E"/>
    <w:rsid w:val="00837953"/>
    <w:rsid w:val="008459E9"/>
    <w:rsid w:val="00851580"/>
    <w:rsid w:val="00853A33"/>
    <w:rsid w:val="008740AF"/>
    <w:rsid w:val="00880D3B"/>
    <w:rsid w:val="008B2CC1"/>
    <w:rsid w:val="008B50A2"/>
    <w:rsid w:val="008B60B2"/>
    <w:rsid w:val="008D50E6"/>
    <w:rsid w:val="008D7EE9"/>
    <w:rsid w:val="008E4F9D"/>
    <w:rsid w:val="008E5C4C"/>
    <w:rsid w:val="008F2BAA"/>
    <w:rsid w:val="008F5CE0"/>
    <w:rsid w:val="0090731E"/>
    <w:rsid w:val="009079C3"/>
    <w:rsid w:val="00916EE2"/>
    <w:rsid w:val="00940D24"/>
    <w:rsid w:val="00962AB6"/>
    <w:rsid w:val="00966A22"/>
    <w:rsid w:val="0096722F"/>
    <w:rsid w:val="00980843"/>
    <w:rsid w:val="00986536"/>
    <w:rsid w:val="00992E44"/>
    <w:rsid w:val="00993A3A"/>
    <w:rsid w:val="0099692E"/>
    <w:rsid w:val="009A5A5A"/>
    <w:rsid w:val="009B5BF9"/>
    <w:rsid w:val="009C0C9E"/>
    <w:rsid w:val="009C5EF6"/>
    <w:rsid w:val="009E0E48"/>
    <w:rsid w:val="009E2791"/>
    <w:rsid w:val="009E3F6F"/>
    <w:rsid w:val="009E6649"/>
    <w:rsid w:val="009F16BE"/>
    <w:rsid w:val="009F499F"/>
    <w:rsid w:val="009F4FDA"/>
    <w:rsid w:val="00A1095E"/>
    <w:rsid w:val="00A40998"/>
    <w:rsid w:val="00A42DAF"/>
    <w:rsid w:val="00A45BD8"/>
    <w:rsid w:val="00A526B6"/>
    <w:rsid w:val="00A60FFA"/>
    <w:rsid w:val="00A62200"/>
    <w:rsid w:val="00A66F2F"/>
    <w:rsid w:val="00A779D2"/>
    <w:rsid w:val="00A869B7"/>
    <w:rsid w:val="00A87415"/>
    <w:rsid w:val="00A93FC2"/>
    <w:rsid w:val="00AA5F79"/>
    <w:rsid w:val="00AB2A4A"/>
    <w:rsid w:val="00AC205C"/>
    <w:rsid w:val="00AC6F3F"/>
    <w:rsid w:val="00AD2807"/>
    <w:rsid w:val="00AE6012"/>
    <w:rsid w:val="00AF0A6B"/>
    <w:rsid w:val="00B05A69"/>
    <w:rsid w:val="00B11B64"/>
    <w:rsid w:val="00B21329"/>
    <w:rsid w:val="00B244ED"/>
    <w:rsid w:val="00B40E5F"/>
    <w:rsid w:val="00B47AF9"/>
    <w:rsid w:val="00B556AF"/>
    <w:rsid w:val="00B636A7"/>
    <w:rsid w:val="00B80C90"/>
    <w:rsid w:val="00B81C7E"/>
    <w:rsid w:val="00B90401"/>
    <w:rsid w:val="00B9281B"/>
    <w:rsid w:val="00B9734B"/>
    <w:rsid w:val="00BA30E2"/>
    <w:rsid w:val="00BA3614"/>
    <w:rsid w:val="00BA40A6"/>
    <w:rsid w:val="00BB07D1"/>
    <w:rsid w:val="00BD078D"/>
    <w:rsid w:val="00BE4BE4"/>
    <w:rsid w:val="00BF5C9B"/>
    <w:rsid w:val="00C00699"/>
    <w:rsid w:val="00C01AA7"/>
    <w:rsid w:val="00C11BFE"/>
    <w:rsid w:val="00C30E83"/>
    <w:rsid w:val="00C5068F"/>
    <w:rsid w:val="00C552D7"/>
    <w:rsid w:val="00C650A4"/>
    <w:rsid w:val="00C82181"/>
    <w:rsid w:val="00C95369"/>
    <w:rsid w:val="00C97561"/>
    <w:rsid w:val="00CA14E7"/>
    <w:rsid w:val="00CD04F1"/>
    <w:rsid w:val="00CF5E57"/>
    <w:rsid w:val="00D26235"/>
    <w:rsid w:val="00D267BF"/>
    <w:rsid w:val="00D326F2"/>
    <w:rsid w:val="00D45252"/>
    <w:rsid w:val="00D50417"/>
    <w:rsid w:val="00D51155"/>
    <w:rsid w:val="00D54411"/>
    <w:rsid w:val="00D71B4D"/>
    <w:rsid w:val="00D93D55"/>
    <w:rsid w:val="00DA17CF"/>
    <w:rsid w:val="00DD1A8D"/>
    <w:rsid w:val="00DF7451"/>
    <w:rsid w:val="00E10A6E"/>
    <w:rsid w:val="00E13E7F"/>
    <w:rsid w:val="00E145D3"/>
    <w:rsid w:val="00E15015"/>
    <w:rsid w:val="00E235E7"/>
    <w:rsid w:val="00E24EF3"/>
    <w:rsid w:val="00E2700D"/>
    <w:rsid w:val="00E30FDF"/>
    <w:rsid w:val="00E335FE"/>
    <w:rsid w:val="00E43580"/>
    <w:rsid w:val="00E503D3"/>
    <w:rsid w:val="00E50F50"/>
    <w:rsid w:val="00E73BA2"/>
    <w:rsid w:val="00E74739"/>
    <w:rsid w:val="00E82675"/>
    <w:rsid w:val="00E82D0C"/>
    <w:rsid w:val="00E90B20"/>
    <w:rsid w:val="00E9342B"/>
    <w:rsid w:val="00EC4E49"/>
    <w:rsid w:val="00ED77FB"/>
    <w:rsid w:val="00EE45FA"/>
    <w:rsid w:val="00EF30AC"/>
    <w:rsid w:val="00F02C24"/>
    <w:rsid w:val="00F04DB8"/>
    <w:rsid w:val="00F05615"/>
    <w:rsid w:val="00F21761"/>
    <w:rsid w:val="00F27213"/>
    <w:rsid w:val="00F33F39"/>
    <w:rsid w:val="00F35374"/>
    <w:rsid w:val="00F66152"/>
    <w:rsid w:val="00F82F97"/>
    <w:rsid w:val="00FA0A9F"/>
    <w:rsid w:val="00FA4CE0"/>
    <w:rsid w:val="00FB4E76"/>
    <w:rsid w:val="00FB7F04"/>
    <w:rsid w:val="00FC3A9B"/>
    <w:rsid w:val="00FD06A7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BCF8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5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40E5F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40E5F"/>
    <w:rPr>
      <w:rFonts w:ascii="Arial" w:eastAsia="SimSun" w:hAnsi="Arial" w:cs="Arial"/>
      <w:lang w:eastAsia="zh-CN"/>
    </w:rPr>
  </w:style>
  <w:style w:type="character" w:styleId="Hyperlink">
    <w:name w:val="Hyperlink"/>
    <w:basedOn w:val="DefaultParagraphFont"/>
    <w:uiPriority w:val="99"/>
    <w:rsid w:val="00621DF1"/>
    <w:rPr>
      <w:rFonts w:eastAsiaTheme="minorHAnsi" w:cs="Times New Roman"/>
      <w:lang w:val="en-AU" w:eastAsia="en-US"/>
    </w:rPr>
  </w:style>
  <w:style w:type="character" w:styleId="FootnoteReference">
    <w:name w:val="footnote reference"/>
    <w:basedOn w:val="DefaultParagraphFont"/>
    <w:rsid w:val="006720DC"/>
    <w:rPr>
      <w:vertAlign w:val="superscript"/>
    </w:rPr>
  </w:style>
  <w:style w:type="character" w:customStyle="1" w:styleId="InsertedText">
    <w:name w:val="Inserted Text"/>
    <w:qFormat/>
    <w:rsid w:val="006720DC"/>
    <w:rPr>
      <w:color w:val="0000FF"/>
      <w:u w:val="single"/>
    </w:rPr>
  </w:style>
  <w:style w:type="paragraph" w:customStyle="1" w:styleId="SectionHeading">
    <w:name w:val="Section Heading"/>
    <w:basedOn w:val="Heading1"/>
    <w:link w:val="SectionHeadingChar"/>
    <w:qFormat/>
    <w:rsid w:val="006720DC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basedOn w:val="DefaultParagraphFont"/>
    <w:link w:val="SectionHeading"/>
    <w:rsid w:val="006720D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672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5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40E5F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40E5F"/>
    <w:rPr>
      <w:rFonts w:ascii="Arial" w:eastAsia="SimSun" w:hAnsi="Arial" w:cs="Arial"/>
      <w:lang w:eastAsia="zh-CN"/>
    </w:rPr>
  </w:style>
  <w:style w:type="character" w:styleId="Hyperlink">
    <w:name w:val="Hyperlink"/>
    <w:basedOn w:val="DefaultParagraphFont"/>
    <w:uiPriority w:val="99"/>
    <w:rsid w:val="00621DF1"/>
    <w:rPr>
      <w:rFonts w:eastAsiaTheme="minorHAnsi" w:cs="Times New Roman"/>
      <w:lang w:val="en-AU" w:eastAsia="en-US"/>
    </w:rPr>
  </w:style>
  <w:style w:type="character" w:styleId="FootnoteReference">
    <w:name w:val="footnote reference"/>
    <w:basedOn w:val="DefaultParagraphFont"/>
    <w:rsid w:val="006720DC"/>
    <w:rPr>
      <w:vertAlign w:val="superscript"/>
    </w:rPr>
  </w:style>
  <w:style w:type="character" w:customStyle="1" w:styleId="InsertedText">
    <w:name w:val="Inserted Text"/>
    <w:qFormat/>
    <w:rsid w:val="006720DC"/>
    <w:rPr>
      <w:color w:val="0000FF"/>
      <w:u w:val="single"/>
    </w:rPr>
  </w:style>
  <w:style w:type="paragraph" w:customStyle="1" w:styleId="SectionHeading">
    <w:name w:val="Section Heading"/>
    <w:basedOn w:val="Heading1"/>
    <w:link w:val="SectionHeadingChar"/>
    <w:qFormat/>
    <w:rsid w:val="006720DC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basedOn w:val="DefaultParagraphFont"/>
    <w:link w:val="SectionHeading"/>
    <w:rsid w:val="006720D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67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pct/en/quality/authoritie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.devlin@ipaustralia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paustralia.gov.au/tools-resources/publications--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65AC-D175-462B-9C1C-D4AB3AA9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5063</Words>
  <Characters>28315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PCT/CTC/30/4</vt:lpstr>
      <vt:lpstr>PCT/CTC/30/4</vt:lpstr>
    </vt:vector>
  </TitlesOfParts>
  <Company>WIPO</Company>
  <LinksUpToDate>false</LinksUpToDate>
  <CharactersWithSpaces>33312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PCT/CTC/30/4</dc:title>
  <dc:subject>Extension of Appointment of the Australian Patent Office as an International Searching and Preliminary Examining Authority Under the PCT</dc:subject>
  <dc:creator>AGM</dc:creator>
  <cp:lastModifiedBy>MARLOW Thomas</cp:lastModifiedBy>
  <cp:revision>2</cp:revision>
  <cp:lastPrinted>2017-02-28T14:25:00Z</cp:lastPrinted>
  <dcterms:created xsi:type="dcterms:W3CDTF">2017-03-21T11:52:00Z</dcterms:created>
  <dcterms:modified xsi:type="dcterms:W3CDTF">2017-03-21T11:52:00Z</dcterms:modified>
</cp:coreProperties>
</file>