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C47B5A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C47B5A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47B5A" w:rsidRDefault="00B66E1D" w:rsidP="00AB613D">
            <w:r w:rsidRPr="00C47B5A">
              <w:rPr>
                <w:noProof/>
                <w:lang w:val="en-US" w:eastAsia="en-US"/>
              </w:rPr>
              <w:drawing>
                <wp:inline distT="0" distB="0" distL="0" distR="0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C47B5A" w:rsidRDefault="00E504E5" w:rsidP="00AB613D">
            <w:pPr>
              <w:jc w:val="right"/>
            </w:pPr>
            <w:r w:rsidRPr="00C47B5A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C47B5A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47B5A" w:rsidRDefault="00B66E1D" w:rsidP="000603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7B5A">
              <w:rPr>
                <w:rFonts w:ascii="Arial Black" w:hAnsi="Arial Black"/>
                <w:caps/>
                <w:sz w:val="15"/>
              </w:rPr>
              <w:t>PCT/CTC/30/</w:t>
            </w:r>
            <w:bookmarkStart w:id="0" w:name="Code"/>
            <w:bookmarkEnd w:id="0"/>
            <w:r w:rsidR="00060372" w:rsidRPr="00C47B5A">
              <w:rPr>
                <w:rFonts w:ascii="Arial Black" w:hAnsi="Arial Black"/>
                <w:caps/>
                <w:sz w:val="15"/>
              </w:rPr>
              <w:t>14</w:t>
            </w:r>
          </w:p>
        </w:tc>
      </w:tr>
      <w:tr w:rsidR="008B2CC1" w:rsidRPr="00C47B5A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47B5A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7B5A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396AE9" w:rsidRPr="00C47B5A">
              <w:rPr>
                <w:rFonts w:ascii="Arial Black" w:hAnsi="Arial Black"/>
                <w:caps/>
                <w:sz w:val="15"/>
              </w:rPr>
              <w:t xml:space="preserve"> </w:t>
            </w:r>
            <w:r w:rsidR="003F5AAE" w:rsidRPr="00C47B5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C47B5A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47B5A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47B5A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C47B5A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396AE9" w:rsidRPr="00C47B5A">
              <w:rPr>
                <w:rFonts w:ascii="Arial Black" w:hAnsi="Arial Black"/>
                <w:caps/>
                <w:sz w:val="15"/>
              </w:rPr>
              <w:t xml:space="preserve"> </w:t>
            </w:r>
            <w:r w:rsidR="003F5AAE" w:rsidRPr="00C47B5A">
              <w:rPr>
                <w:rFonts w:ascii="Arial Black" w:hAnsi="Arial Black"/>
                <w:caps/>
                <w:sz w:val="15"/>
              </w:rPr>
              <w:t>16 DE MARZO DE 2017</w:t>
            </w:r>
          </w:p>
        </w:tc>
      </w:tr>
    </w:tbl>
    <w:p w:rsidR="008B2CC1" w:rsidRPr="00C47B5A" w:rsidRDefault="008B2CC1" w:rsidP="008B2CC1"/>
    <w:p w:rsidR="008B2CC1" w:rsidRPr="00C47B5A" w:rsidRDefault="008B2CC1" w:rsidP="008B2CC1"/>
    <w:p w:rsidR="008B2CC1" w:rsidRPr="00C47B5A" w:rsidRDefault="008B2CC1" w:rsidP="008B2CC1"/>
    <w:p w:rsidR="008B2CC1" w:rsidRPr="00C47B5A" w:rsidRDefault="008B2CC1" w:rsidP="008B2CC1"/>
    <w:p w:rsidR="008B2CC1" w:rsidRPr="00C47B5A" w:rsidRDefault="008B2CC1" w:rsidP="008B2CC1"/>
    <w:p w:rsidR="00B67CDC" w:rsidRPr="00C47B5A" w:rsidRDefault="00B66E1D" w:rsidP="00B67CDC">
      <w:pPr>
        <w:rPr>
          <w:b/>
          <w:sz w:val="28"/>
          <w:szCs w:val="28"/>
        </w:rPr>
      </w:pPr>
      <w:r w:rsidRPr="00C47B5A">
        <w:rPr>
          <w:b/>
          <w:sz w:val="28"/>
          <w:szCs w:val="28"/>
        </w:rPr>
        <w:t>Tratado de Cooperac</w:t>
      </w:r>
      <w:r w:rsidR="007D2978" w:rsidRPr="00C47B5A">
        <w:rPr>
          <w:b/>
          <w:sz w:val="28"/>
          <w:szCs w:val="28"/>
        </w:rPr>
        <w:t>ió</w:t>
      </w:r>
      <w:r w:rsidRPr="00C47B5A">
        <w:rPr>
          <w:b/>
          <w:sz w:val="28"/>
          <w:szCs w:val="28"/>
        </w:rPr>
        <w:t>n en materia de Patentes (PCT)</w:t>
      </w:r>
    </w:p>
    <w:p w:rsidR="00B66E1D" w:rsidRPr="00C47B5A" w:rsidRDefault="007D2978" w:rsidP="00B67CDC">
      <w:pPr>
        <w:rPr>
          <w:b/>
          <w:sz w:val="28"/>
          <w:szCs w:val="28"/>
        </w:rPr>
      </w:pPr>
      <w:r w:rsidRPr="00C47B5A">
        <w:rPr>
          <w:b/>
          <w:sz w:val="28"/>
          <w:szCs w:val="28"/>
        </w:rPr>
        <w:t>Comité de Cooperació</w:t>
      </w:r>
      <w:r w:rsidR="00B66E1D" w:rsidRPr="00C47B5A">
        <w:rPr>
          <w:b/>
          <w:sz w:val="28"/>
          <w:szCs w:val="28"/>
        </w:rPr>
        <w:t>n Técnica</w:t>
      </w:r>
    </w:p>
    <w:p w:rsidR="003845C1" w:rsidRPr="00C47B5A" w:rsidRDefault="003845C1" w:rsidP="003845C1"/>
    <w:p w:rsidR="003845C1" w:rsidRPr="00C47B5A" w:rsidRDefault="003845C1" w:rsidP="003845C1"/>
    <w:p w:rsidR="00B67CDC" w:rsidRPr="00C47B5A" w:rsidRDefault="007D2978" w:rsidP="00B67CDC">
      <w:pPr>
        <w:rPr>
          <w:b/>
          <w:sz w:val="24"/>
          <w:szCs w:val="24"/>
        </w:rPr>
      </w:pPr>
      <w:r w:rsidRPr="00C47B5A">
        <w:rPr>
          <w:b/>
          <w:sz w:val="24"/>
          <w:szCs w:val="24"/>
        </w:rPr>
        <w:t>Trigésima sesió</w:t>
      </w:r>
      <w:r w:rsidR="00B66E1D" w:rsidRPr="00C47B5A">
        <w:rPr>
          <w:b/>
          <w:sz w:val="24"/>
          <w:szCs w:val="24"/>
        </w:rPr>
        <w:t>n</w:t>
      </w:r>
    </w:p>
    <w:p w:rsidR="00B67CDC" w:rsidRPr="00C47B5A" w:rsidRDefault="00B66E1D" w:rsidP="00B67CDC">
      <w:pPr>
        <w:rPr>
          <w:b/>
          <w:sz w:val="24"/>
          <w:szCs w:val="24"/>
        </w:rPr>
      </w:pPr>
      <w:r w:rsidRPr="00C47B5A">
        <w:rPr>
          <w:b/>
          <w:sz w:val="24"/>
          <w:szCs w:val="24"/>
        </w:rPr>
        <w:t>Ginebra, 8 a 12 de mayo de 2017</w:t>
      </w:r>
    </w:p>
    <w:p w:rsidR="008B2CC1" w:rsidRPr="00C47B5A" w:rsidRDefault="008B2CC1" w:rsidP="008B2CC1"/>
    <w:p w:rsidR="008B2CC1" w:rsidRPr="00C47B5A" w:rsidRDefault="008B2CC1" w:rsidP="008B2CC1"/>
    <w:p w:rsidR="008B2CC1" w:rsidRPr="00C47B5A" w:rsidRDefault="00142B14" w:rsidP="00142B14">
      <w:r w:rsidRPr="00C47B5A">
        <w:t xml:space="preserve">PRÓRROGA DE LA DESIGNACIÓN DE LA OFICINA DE PATENTES </w:t>
      </w:r>
      <w:r w:rsidR="00B55A28" w:rsidRPr="00C47B5A">
        <w:t>DE LA INDIA</w:t>
      </w:r>
      <w:r w:rsidR="0063348B">
        <w:t xml:space="preserve"> </w:t>
      </w:r>
      <w:r w:rsidR="0063348B">
        <w:br/>
      </w:r>
      <w:r w:rsidRPr="00C47B5A">
        <w:t>COMO ADMINISTRACIÓN ENCARGADA DE LA BÚSQUEDA Y DEL EXAMEN PRELIMINAR INTERNACIONAL</w:t>
      </w:r>
      <w:r w:rsidR="0063348B">
        <w:t>ES</w:t>
      </w:r>
      <w:r w:rsidRPr="00C47B5A">
        <w:t xml:space="preserve"> </w:t>
      </w:r>
      <w:r w:rsidR="00300A33" w:rsidRPr="00C47B5A">
        <w:t>EN VIRTUD DEL PCT</w:t>
      </w:r>
    </w:p>
    <w:p w:rsidR="00142B14" w:rsidRPr="00C47B5A" w:rsidRDefault="00142B14" w:rsidP="00060372">
      <w:pPr>
        <w:rPr>
          <w:caps/>
          <w:sz w:val="24"/>
        </w:rPr>
      </w:pPr>
      <w:bookmarkStart w:id="3" w:name="TitleOfDoc"/>
      <w:bookmarkEnd w:id="3"/>
    </w:p>
    <w:p w:rsidR="00060372" w:rsidRPr="00C47B5A" w:rsidRDefault="00060372" w:rsidP="00060372"/>
    <w:p w:rsidR="00060372" w:rsidRPr="00C47B5A" w:rsidRDefault="00142B14" w:rsidP="00060372">
      <w:pPr>
        <w:rPr>
          <w:i/>
        </w:rPr>
      </w:pPr>
      <w:bookmarkStart w:id="4" w:name="Prepared"/>
      <w:bookmarkEnd w:id="4"/>
      <w:r w:rsidRPr="00C47B5A">
        <w:rPr>
          <w:i/>
        </w:rPr>
        <w:t xml:space="preserve">Documento preparado por la Oficina Internacional </w:t>
      </w:r>
    </w:p>
    <w:p w:rsidR="00060372" w:rsidRPr="00C47B5A" w:rsidRDefault="00060372" w:rsidP="00060372"/>
    <w:p w:rsidR="00060372" w:rsidRPr="00C47B5A" w:rsidRDefault="00060372" w:rsidP="00060372"/>
    <w:p w:rsidR="00060372" w:rsidRPr="00C47B5A" w:rsidRDefault="00060372" w:rsidP="00060372"/>
    <w:p w:rsidR="00060372" w:rsidRPr="00C47B5A" w:rsidRDefault="00060372" w:rsidP="00060372"/>
    <w:p w:rsidR="00060372" w:rsidRPr="00C47B5A" w:rsidRDefault="00695C53" w:rsidP="007C407D">
      <w:pPr>
        <w:pStyle w:val="ONUMFS"/>
      </w:pPr>
      <w:r w:rsidRPr="00C47B5A">
        <w:t>Todas las Administraciones internacionales existentes fueron designadas por la Asamblea de</w:t>
      </w:r>
      <w:r w:rsidR="0063348B">
        <w:t xml:space="preserve"> la Unión</w:t>
      </w:r>
      <w:r w:rsidRPr="00C47B5A">
        <w:t xml:space="preserve"> PCT por un plazo que expirará el 31 de diciembre</w:t>
      </w:r>
      <w:r w:rsidR="007C407D">
        <w:t xml:space="preserve"> de 2017.  Por consiguiente, en </w:t>
      </w:r>
      <w:r w:rsidRPr="00C47B5A">
        <w:t>2017 la Asamblea estará llamada a adoptar una decisión con respecto a la prórroga de la designación de cada una de las Administraciones internacionales existentes que aspiren a una prórroga de su designación, teniendo en cuenta la recomendación previamente solicitada a este Comité (véanse los Artículos 16.3)e) y 32.3) del PCT).  El documento PCT/CTC/30/INF/1 contiene más información sobre este proceso y sobre la función del Comité en el marco del mismo</w:t>
      </w:r>
      <w:r w:rsidR="00060372" w:rsidRPr="00C47B5A">
        <w:t>.</w:t>
      </w:r>
    </w:p>
    <w:p w:rsidR="00060372" w:rsidRPr="00C47B5A" w:rsidRDefault="00142B14" w:rsidP="007C407D">
      <w:pPr>
        <w:pStyle w:val="ONUMFS"/>
      </w:pPr>
      <w:r w:rsidRPr="00C47B5A">
        <w:t>El 8 de marzo de 2017, la Oficina de Patentes</w:t>
      </w:r>
      <w:r w:rsidR="00B55A28" w:rsidRPr="00C47B5A">
        <w:t xml:space="preserve"> de la India</w:t>
      </w:r>
      <w:r w:rsidRPr="00C47B5A">
        <w:t xml:space="preserve"> remitió la solicitud de prórroga de su designación como Administración encargada de la búsqueda internacional </w:t>
      </w:r>
      <w:r w:rsidR="00300A33" w:rsidRPr="00C47B5A">
        <w:t xml:space="preserve">(ISA) </w:t>
      </w:r>
      <w:r w:rsidRPr="00C47B5A">
        <w:t xml:space="preserve">y Administración encargada del examen preliminar internacional </w:t>
      </w:r>
      <w:r w:rsidR="00300A33" w:rsidRPr="00C47B5A">
        <w:t xml:space="preserve">(IPEA) en virtud del </w:t>
      </w:r>
      <w:r w:rsidRPr="00C47B5A">
        <w:t xml:space="preserve">PCT.  </w:t>
      </w:r>
      <w:r w:rsidR="007D17CB">
        <w:t>Es</w:t>
      </w:r>
      <w:r w:rsidR="007D17CB" w:rsidRPr="00C47B5A">
        <w:t>a</w:t>
      </w:r>
      <w:bookmarkStart w:id="5" w:name="_GoBack"/>
      <w:bookmarkEnd w:id="5"/>
      <w:r w:rsidRPr="00C47B5A">
        <w:t xml:space="preserve"> solicitud se reproduce en el Anexo a este documento</w:t>
      </w:r>
      <w:r w:rsidR="00060372" w:rsidRPr="00C47B5A">
        <w:t>.</w:t>
      </w:r>
    </w:p>
    <w:p w:rsidR="00060372" w:rsidRPr="00C47B5A" w:rsidRDefault="00695C53" w:rsidP="007C407D">
      <w:pPr>
        <w:pStyle w:val="ONUMFS"/>
        <w:ind w:left="5534"/>
        <w:rPr>
          <w:i/>
        </w:rPr>
      </w:pPr>
      <w:r w:rsidRPr="00C47B5A">
        <w:rPr>
          <w:i/>
        </w:rPr>
        <w:t>Se invita al Comité a dar su opinión sobre este asunto</w:t>
      </w:r>
      <w:r w:rsidR="00060372" w:rsidRPr="00C47B5A">
        <w:rPr>
          <w:i/>
        </w:rPr>
        <w:t>.</w:t>
      </w:r>
    </w:p>
    <w:p w:rsidR="00D949B9" w:rsidRPr="00C47B5A" w:rsidRDefault="00D949B9" w:rsidP="00D949B9">
      <w:pPr>
        <w:pStyle w:val="ONUME"/>
        <w:numPr>
          <w:ilvl w:val="0"/>
          <w:numId w:val="0"/>
        </w:numPr>
      </w:pPr>
    </w:p>
    <w:p w:rsidR="00F84474" w:rsidRPr="00C47B5A" w:rsidRDefault="00D949B9" w:rsidP="00D949B9">
      <w:pPr>
        <w:pStyle w:val="Endofdocument-Annex"/>
        <w:rPr>
          <w:lang w:val="es-ES"/>
        </w:rPr>
      </w:pPr>
      <w:r w:rsidRPr="00C47B5A">
        <w:rPr>
          <w:lang w:val="es-ES"/>
        </w:rPr>
        <w:t>[Sigue el Anexo]</w:t>
      </w:r>
    </w:p>
    <w:p w:rsidR="00D949B9" w:rsidRPr="00C47B5A" w:rsidRDefault="00D949B9" w:rsidP="00D949B9">
      <w:pPr>
        <w:pStyle w:val="Endofdocument-Annex"/>
        <w:rPr>
          <w:lang w:val="es-ES"/>
        </w:rPr>
      </w:pPr>
    </w:p>
    <w:p w:rsidR="00D949B9" w:rsidRPr="00C47B5A" w:rsidRDefault="00D949B9">
      <w:pPr>
        <w:sectPr w:rsidR="00D949B9" w:rsidRPr="00C47B5A" w:rsidSect="003F5AAE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60372" w:rsidRPr="00C47B5A" w:rsidRDefault="00142B14" w:rsidP="00300A33">
      <w:pPr>
        <w:spacing w:after="220"/>
        <w:ind w:left="1276" w:right="1417"/>
        <w:jc w:val="center"/>
        <w:rPr>
          <w:caps/>
        </w:rPr>
      </w:pPr>
      <w:r w:rsidRPr="00C47B5A">
        <w:rPr>
          <w:caps/>
        </w:rPr>
        <w:lastRenderedPageBreak/>
        <w:t xml:space="preserve">SOLICITUD DE LA OFICINA DE PATENTES </w:t>
      </w:r>
      <w:r w:rsidR="00300A0A" w:rsidRPr="00C47B5A">
        <w:rPr>
          <w:caps/>
        </w:rPr>
        <w:t>DE LA INDI</w:t>
      </w:r>
      <w:r w:rsidR="00B55A28" w:rsidRPr="00C47B5A">
        <w:rPr>
          <w:caps/>
        </w:rPr>
        <w:t xml:space="preserve">A </w:t>
      </w:r>
      <w:r w:rsidRPr="00C47B5A">
        <w:rPr>
          <w:caps/>
        </w:rPr>
        <w:t xml:space="preserve">PARA LA PRÓRROGA DE SU DESIGNACIÓN COMO ADMINISTRACIÓN ENCARGADA DE LA BÚSQUEDA Y </w:t>
      </w:r>
      <w:r w:rsidR="00B55A28" w:rsidRPr="00C47B5A">
        <w:rPr>
          <w:caps/>
        </w:rPr>
        <w:t>d</w:t>
      </w:r>
      <w:r w:rsidRPr="00C47B5A">
        <w:rPr>
          <w:caps/>
        </w:rPr>
        <w:t xml:space="preserve">EL EXAMEN PRELIMINAR INTERNACIONALES </w:t>
      </w:r>
      <w:r w:rsidR="00300A33" w:rsidRPr="00C47B5A">
        <w:rPr>
          <w:caps/>
        </w:rPr>
        <w:t>EN VIRTUD DEL PCT</w:t>
      </w:r>
    </w:p>
    <w:p w:rsidR="00060372" w:rsidRPr="00C47B5A" w:rsidRDefault="00060372" w:rsidP="00060372"/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1 – General</w:t>
      </w:r>
    </w:p>
    <w:p w:rsidR="00060372" w:rsidRPr="00C47B5A" w:rsidRDefault="00142B14" w:rsidP="00142B14">
      <w:r w:rsidRPr="00C47B5A">
        <w:rPr>
          <w:b/>
        </w:rPr>
        <w:t>Nombre de la Oficina u organización intergubernamental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Pr="00C47B5A">
        <w:t xml:space="preserve">Oficina de Patentes </w:t>
      </w:r>
      <w:r w:rsidR="00D965C1" w:rsidRPr="00C47B5A">
        <w:t xml:space="preserve">de la India </w:t>
      </w:r>
      <w:r w:rsidR="00060372" w:rsidRPr="00C47B5A">
        <w:t>(IPO)</w:t>
      </w:r>
    </w:p>
    <w:p w:rsidR="00060372" w:rsidRPr="00C47B5A" w:rsidRDefault="00060372" w:rsidP="00060372"/>
    <w:p w:rsidR="00060372" w:rsidRPr="00C47B5A" w:rsidRDefault="00142B14" w:rsidP="00060372">
      <w:r w:rsidRPr="00C47B5A">
        <w:rPr>
          <w:b/>
        </w:rPr>
        <w:t xml:space="preserve">Fecha en la que el </w:t>
      </w:r>
      <w:r w:rsidR="0063348B" w:rsidRPr="00C47B5A">
        <w:rPr>
          <w:b/>
        </w:rPr>
        <w:t xml:space="preserve">director general </w:t>
      </w:r>
      <w:r w:rsidRPr="00C47B5A">
        <w:rPr>
          <w:b/>
        </w:rPr>
        <w:t>ha recibido la solicitud de designación</w:t>
      </w:r>
      <w:proofErr w:type="gramStart"/>
      <w:r w:rsidR="00060372" w:rsidRPr="00C47B5A">
        <w:rPr>
          <w:b/>
        </w:rPr>
        <w:t>:</w:t>
      </w:r>
      <w:r w:rsidR="00060372" w:rsidRPr="00C47B5A">
        <w:t xml:space="preserve">  </w:t>
      </w:r>
      <w:r w:rsidR="0063348B">
        <w:t>8</w:t>
      </w:r>
      <w:proofErr w:type="gramEnd"/>
      <w:r w:rsidR="0063348B">
        <w:t xml:space="preserve"> de marzo de </w:t>
      </w:r>
      <w:r w:rsidR="00060372" w:rsidRPr="00C47B5A">
        <w:t>2017</w:t>
      </w:r>
    </w:p>
    <w:p w:rsidR="00060372" w:rsidRPr="00C47B5A" w:rsidRDefault="00060372" w:rsidP="00060372"/>
    <w:p w:rsidR="00060372" w:rsidRPr="00C47B5A" w:rsidRDefault="00142B14" w:rsidP="00060372">
      <w:r w:rsidRPr="00C47B5A">
        <w:rPr>
          <w:b/>
        </w:rPr>
        <w:t>Período de sesiones de la Asamblea de la Unión PCT en el que se solicita la designación</w:t>
      </w:r>
      <w:proofErr w:type="gramStart"/>
      <w:r w:rsidR="00060372" w:rsidRPr="00C47B5A">
        <w:rPr>
          <w:b/>
        </w:rPr>
        <w:t>:</w:t>
      </w:r>
      <w:r w:rsidR="00060372" w:rsidRPr="00C47B5A">
        <w:t xml:space="preserve">  </w:t>
      </w:r>
      <w:r w:rsidRPr="00C47B5A">
        <w:t>septiembre</w:t>
      </w:r>
      <w:proofErr w:type="gramEnd"/>
      <w:r w:rsidRPr="00C47B5A">
        <w:t xml:space="preserve">/octubre de </w:t>
      </w:r>
      <w:r w:rsidR="00060372" w:rsidRPr="00C47B5A">
        <w:t xml:space="preserve">2017:  </w:t>
      </w:r>
      <w:r w:rsidRPr="00C47B5A">
        <w:t>Cuadragésimo noveno periodo de sesio</w:t>
      </w:r>
      <w:r w:rsidR="0063348B">
        <w:t xml:space="preserve">nes de la Asamblea de la Unión </w:t>
      </w:r>
      <w:r w:rsidRPr="00C47B5A">
        <w:t xml:space="preserve">PCT </w:t>
      </w:r>
      <w:r w:rsidR="00060372" w:rsidRPr="00C47B5A">
        <w:t>(</w:t>
      </w:r>
      <w:r w:rsidRPr="00C47B5A">
        <w:t>Ginebra</w:t>
      </w:r>
      <w:r w:rsidR="00060372" w:rsidRPr="00C47B5A">
        <w:t xml:space="preserve">, </w:t>
      </w:r>
      <w:r w:rsidRPr="00C47B5A">
        <w:t>Suiza</w:t>
      </w:r>
      <w:r w:rsidR="00060372" w:rsidRPr="00C47B5A">
        <w:t>)</w:t>
      </w:r>
    </w:p>
    <w:p w:rsidR="00060372" w:rsidRPr="00C47B5A" w:rsidRDefault="00060372" w:rsidP="00142B14">
      <w:pPr>
        <w:ind w:firstLine="567"/>
      </w:pPr>
    </w:p>
    <w:p w:rsidR="00060372" w:rsidRPr="00C47B5A" w:rsidRDefault="00142B14" w:rsidP="00060372">
      <w:r w:rsidRPr="00C47B5A">
        <w:rPr>
          <w:b/>
        </w:rPr>
        <w:t xml:space="preserve">Fecha prevista de inicio del funcionamiento como </w:t>
      </w:r>
      <w:r w:rsidR="00300A33" w:rsidRPr="00C47B5A">
        <w:rPr>
          <w:b/>
        </w:rPr>
        <w:t>ISA/IPEA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Pr="00C47B5A">
        <w:t>funcionamiento continuado sin interrupción</w:t>
      </w:r>
      <w:r w:rsidR="00060372" w:rsidRPr="00C47B5A">
        <w:t>.</w:t>
      </w:r>
    </w:p>
    <w:p w:rsidR="00060372" w:rsidRPr="00C47B5A" w:rsidRDefault="00060372" w:rsidP="00142B14">
      <w:pPr>
        <w:jc w:val="center"/>
      </w:pPr>
    </w:p>
    <w:p w:rsidR="00060372" w:rsidRPr="00C47B5A" w:rsidRDefault="00142B14" w:rsidP="00060372">
      <w:r w:rsidRPr="00C47B5A">
        <w:rPr>
          <w:b/>
        </w:rPr>
        <w:t xml:space="preserve">Administraciones encargadas de la búsqueda y del </w:t>
      </w:r>
      <w:r w:rsidR="0063348B">
        <w:rPr>
          <w:b/>
        </w:rPr>
        <w:t xml:space="preserve">examen preliminar internacionales </w:t>
      </w:r>
      <w:r w:rsidRPr="00C47B5A">
        <w:rPr>
          <w:b/>
        </w:rPr>
        <w:t>existentes que han prestado su ayuda para evaluar en qué medida se cumplen los criterios</w:t>
      </w:r>
      <w:proofErr w:type="gramStart"/>
      <w:r w:rsidR="00060372" w:rsidRPr="00C47B5A">
        <w:rPr>
          <w:b/>
        </w:rPr>
        <w:t>:</w:t>
      </w:r>
      <w:r w:rsidR="00060372" w:rsidRPr="00C47B5A">
        <w:t xml:space="preserve">  </w:t>
      </w:r>
      <w:r w:rsidRPr="00C47B5A">
        <w:t>n</w:t>
      </w:r>
      <w:r w:rsidR="0063348B">
        <w:t>.a</w:t>
      </w:r>
      <w:proofErr w:type="gramEnd"/>
      <w:r w:rsidR="00060372" w:rsidRPr="00C47B5A">
        <w:t>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2 – </w:t>
      </w:r>
      <w:r w:rsidR="007F6021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CRITERIOS SUSTANTIVOS</w:t>
      </w:r>
      <w:proofErr w:type="gramStart"/>
      <w:r w:rsidR="007F6021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: </w:t>
      </w:r>
      <w:r w:rsidR="0063348B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 </w:t>
      </w:r>
      <w:r w:rsidR="007F6021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REQUISITOS</w:t>
      </w:r>
      <w:proofErr w:type="gramEnd"/>
      <w:r w:rsidR="007F6021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 MÍNIMOS PARA </w:t>
      </w:r>
      <w:r w:rsidR="00300A33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LA DESIGNACIÓN</w:t>
      </w:r>
    </w:p>
    <w:p w:rsidR="00060372" w:rsidRPr="00C47B5A" w:rsidRDefault="008E6A59" w:rsidP="00060372">
      <w:r w:rsidRPr="00C47B5A">
        <w:t xml:space="preserve">Tal como se expone a continuación, la IPO sigue cumpliendo </w:t>
      </w:r>
      <w:r w:rsidR="004B5402" w:rsidRPr="00C47B5A">
        <w:t xml:space="preserve">plenamente </w:t>
      </w:r>
      <w:r w:rsidRPr="00C47B5A">
        <w:t>los requisitos mínimos para la designación</w:t>
      </w:r>
      <w:r w:rsidR="00060372" w:rsidRPr="00C47B5A">
        <w:t>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2.1 – </w:t>
      </w:r>
      <w:r w:rsidR="007F6021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CAPACIDAD DE BÚSQUEDA Y EXAMEN</w:t>
      </w:r>
    </w:p>
    <w:p w:rsidR="00060372" w:rsidRPr="00C47B5A" w:rsidRDefault="00E632A1" w:rsidP="00060372">
      <w:pPr>
        <w:rPr>
          <w:b/>
          <w:i/>
        </w:rPr>
      </w:pPr>
      <w:r w:rsidRPr="00C47B5A">
        <w:rPr>
          <w:b/>
          <w:i/>
        </w:rPr>
        <w:t>Reglas 36.1.i) y 63.1.i):  L</w:t>
      </w:r>
      <w:r w:rsidR="007F6021" w:rsidRPr="00C47B5A">
        <w:rPr>
          <w:b/>
          <w:i/>
        </w:rPr>
        <w:t>a Oficina nacional o la organización intergubernamental deberá tener, por lo menos, 100 empleados con plena dedicación, con calificaciones técnicas suficientes para efectuar las búsquedas y los exámenes</w:t>
      </w:r>
      <w:r w:rsidR="00060372" w:rsidRPr="00C47B5A">
        <w:rPr>
          <w:b/>
          <w:i/>
        </w:rPr>
        <w:t>.</w:t>
      </w:r>
    </w:p>
    <w:p w:rsidR="00060372" w:rsidRPr="00C47B5A" w:rsidRDefault="00060372" w:rsidP="00060372"/>
    <w:p w:rsidR="00060372" w:rsidRPr="00C47B5A" w:rsidRDefault="007F6021" w:rsidP="00060372">
      <w:pPr>
        <w:rPr>
          <w:b/>
        </w:rPr>
      </w:pPr>
      <w:r w:rsidRPr="00C47B5A">
        <w:rPr>
          <w:b/>
        </w:rPr>
        <w:t>Empleados cualificados para realizar búsquedas y exámenes</w:t>
      </w:r>
      <w:r w:rsidR="00060372" w:rsidRPr="00C47B5A">
        <w:rPr>
          <w:b/>
        </w:rPr>
        <w:t>: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73"/>
        <w:gridCol w:w="2042"/>
        <w:gridCol w:w="2551"/>
        <w:gridCol w:w="3292"/>
      </w:tblGrid>
      <w:tr w:rsidR="00645B2E" w:rsidRPr="00C47B5A" w:rsidTr="00CB5B48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2E" w:rsidRPr="00C47B5A" w:rsidRDefault="00B55A28" w:rsidP="00CB5B48">
            <w:pPr>
              <w:tabs>
                <w:tab w:val="left" w:pos="2051"/>
              </w:tabs>
              <w:rPr>
                <w:b/>
                <w:bCs/>
              </w:rPr>
            </w:pPr>
            <w:r w:rsidRPr="00C47B5A">
              <w:rPr>
                <w:b/>
                <w:bCs/>
              </w:rPr>
              <w:t>Campo</w:t>
            </w:r>
            <w:r w:rsidR="00CB5B48">
              <w:rPr>
                <w:b/>
                <w:bCs/>
              </w:rPr>
              <w:t xml:space="preserve"> técnico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2E" w:rsidRPr="00C47B5A" w:rsidRDefault="00645B2E" w:rsidP="00B73002">
            <w:pPr>
              <w:rPr>
                <w:b/>
                <w:bCs/>
              </w:rPr>
            </w:pPr>
            <w:r w:rsidRPr="00C47B5A">
              <w:rPr>
                <w:b/>
                <w:bCs/>
              </w:rPr>
              <w:t>Número (equivalentes a tiempo completo)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2E" w:rsidRPr="00C47B5A" w:rsidRDefault="00645B2E" w:rsidP="00645B2E">
            <w:pPr>
              <w:rPr>
                <w:b/>
                <w:bCs/>
              </w:rPr>
            </w:pPr>
            <w:r w:rsidRPr="00C47B5A">
              <w:rPr>
                <w:b/>
                <w:bCs/>
              </w:rPr>
              <w:t>Experiencia media como examinadores  (años)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5B2E" w:rsidRPr="00C47B5A" w:rsidRDefault="00645B2E" w:rsidP="00645B2E">
            <w:pPr>
              <w:rPr>
                <w:b/>
              </w:rPr>
            </w:pPr>
            <w:r w:rsidRPr="00C47B5A">
              <w:rPr>
                <w:b/>
              </w:rPr>
              <w:t xml:space="preserve">Desglose de </w:t>
            </w:r>
            <w:r w:rsidR="004B5402" w:rsidRPr="00C47B5A">
              <w:rPr>
                <w:b/>
              </w:rPr>
              <w:t xml:space="preserve">las </w:t>
            </w:r>
            <w:r w:rsidRPr="00C47B5A">
              <w:rPr>
                <w:b/>
              </w:rPr>
              <w:t>cualificaciones</w:t>
            </w:r>
          </w:p>
        </w:tc>
      </w:tr>
      <w:tr w:rsidR="0075615A" w:rsidRPr="00C47B5A" w:rsidTr="00CB5B48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>Mecánica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>165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 xml:space="preserve">30 (4 años) + 135 (1 año)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 xml:space="preserve">Mecánica (133), Civil(9), Textil(11), Metalurgia(12), </w:t>
            </w:r>
          </w:p>
        </w:tc>
      </w:tr>
      <w:tr w:rsidR="0075615A" w:rsidRPr="00C47B5A" w:rsidTr="00CB5B48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CB5B48">
            <w:r w:rsidRPr="00C47B5A">
              <w:t>Electricidad/</w:t>
            </w:r>
            <w:r w:rsidR="00CB5B48">
              <w:br/>
            </w:r>
            <w:r w:rsidRPr="00C47B5A">
              <w:t xml:space="preserve">electrónica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>212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 xml:space="preserve">57 (4 años) + 155 (1 año)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>Electricidad(43), Electrónica y Comunicaciones (67), Física(49), Biomedicina(21), Ciencia de la computación (32)</w:t>
            </w:r>
          </w:p>
        </w:tc>
      </w:tr>
      <w:tr w:rsidR="0075615A" w:rsidRPr="00C47B5A" w:rsidTr="00CB5B48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>Química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>111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 xml:space="preserve">31 (4 años) + 80 (1 año)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615A" w:rsidRPr="00C47B5A" w:rsidRDefault="0075615A" w:rsidP="0075615A">
            <w:r w:rsidRPr="00C47B5A">
              <w:t>Química(94), Polímeros(17)</w:t>
            </w:r>
          </w:p>
        </w:tc>
      </w:tr>
      <w:tr w:rsidR="00060372" w:rsidRPr="00C47B5A" w:rsidTr="00CB5B48"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372" w:rsidRPr="00C47B5A" w:rsidRDefault="00060372" w:rsidP="0075615A">
            <w:r w:rsidRPr="00C47B5A">
              <w:t>Biotec</w:t>
            </w:r>
            <w:r w:rsidR="0075615A" w:rsidRPr="00C47B5A">
              <w:t>nología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372" w:rsidRPr="00C47B5A" w:rsidRDefault="00060372" w:rsidP="00060372">
            <w:r w:rsidRPr="00C47B5A"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372" w:rsidRPr="00C47B5A" w:rsidRDefault="00060372" w:rsidP="00060372">
            <w:r w:rsidRPr="00C47B5A">
              <w:t xml:space="preserve">11 (4 </w:t>
            </w:r>
            <w:r w:rsidR="0075615A" w:rsidRPr="00C47B5A">
              <w:t>año</w:t>
            </w:r>
            <w:r w:rsidRPr="00C47B5A">
              <w:t xml:space="preserve">s) + 29 (1 </w:t>
            </w:r>
            <w:r w:rsidR="0075615A" w:rsidRPr="00C47B5A">
              <w:t>año</w:t>
            </w:r>
            <w:r w:rsidRPr="00C47B5A">
              <w:t xml:space="preserve">)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372" w:rsidRPr="00C47B5A" w:rsidRDefault="00060372" w:rsidP="0075615A">
            <w:r w:rsidRPr="00C47B5A">
              <w:t>Biotec</w:t>
            </w:r>
            <w:r w:rsidR="0075615A" w:rsidRPr="00C47B5A">
              <w:t>nología</w:t>
            </w:r>
            <w:r w:rsidRPr="00C47B5A">
              <w:t>(29), Bio</w:t>
            </w:r>
            <w:r w:rsidR="0075615A" w:rsidRPr="00C47B5A">
              <w:t>química</w:t>
            </w:r>
            <w:r w:rsidRPr="00C47B5A">
              <w:t xml:space="preserve">(6), </w:t>
            </w:r>
            <w:r w:rsidR="0075615A" w:rsidRPr="00C47B5A">
              <w:t>Alimentación</w:t>
            </w:r>
            <w:r w:rsidRPr="00C47B5A">
              <w:t>(5)</w:t>
            </w:r>
          </w:p>
        </w:tc>
      </w:tr>
      <w:tr w:rsidR="00060372" w:rsidRPr="00C47B5A" w:rsidTr="00CB5B48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372" w:rsidRPr="00C47B5A" w:rsidRDefault="00060372" w:rsidP="00060372">
            <w:pPr>
              <w:rPr>
                <w:i/>
              </w:rPr>
            </w:pPr>
            <w:r w:rsidRPr="00C47B5A">
              <w:rPr>
                <w:i/>
              </w:rPr>
              <w:t>Total</w:t>
            </w:r>
          </w:p>
        </w:tc>
        <w:tc>
          <w:tcPr>
            <w:tcW w:w="7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372" w:rsidRPr="00C47B5A" w:rsidRDefault="00060372" w:rsidP="00060372">
            <w:pPr>
              <w:rPr>
                <w:i/>
              </w:rPr>
            </w:pPr>
            <w:r w:rsidRPr="00C47B5A">
              <w:rPr>
                <w:i/>
              </w:rPr>
              <w:t>528</w:t>
            </w:r>
          </w:p>
        </w:tc>
      </w:tr>
    </w:tbl>
    <w:p w:rsidR="00060372" w:rsidRPr="00C47B5A" w:rsidRDefault="00060372" w:rsidP="00060372"/>
    <w:p w:rsidR="00060372" w:rsidRPr="00C47B5A" w:rsidRDefault="00060372" w:rsidP="00060372">
      <w:pPr>
        <w:keepNext/>
        <w:jc w:val="both"/>
        <w:rPr>
          <w:b/>
          <w:bCs/>
        </w:rPr>
      </w:pPr>
      <w:r w:rsidRPr="00C47B5A">
        <w:rPr>
          <w:b/>
          <w:bCs/>
        </w:rPr>
        <w:t>Program</w:t>
      </w:r>
      <w:r w:rsidR="00956134" w:rsidRPr="00C47B5A">
        <w:rPr>
          <w:b/>
          <w:bCs/>
        </w:rPr>
        <w:t>a</w:t>
      </w:r>
      <w:r w:rsidRPr="00C47B5A">
        <w:rPr>
          <w:b/>
          <w:bCs/>
        </w:rPr>
        <w:t>s</w:t>
      </w:r>
      <w:r w:rsidR="00956134" w:rsidRPr="00C47B5A">
        <w:rPr>
          <w:b/>
          <w:bCs/>
        </w:rPr>
        <w:t xml:space="preserve"> de formación</w:t>
      </w:r>
    </w:p>
    <w:p w:rsidR="00060372" w:rsidRPr="00C47B5A" w:rsidRDefault="00060372" w:rsidP="00060372">
      <w:pPr>
        <w:keepNext/>
      </w:pPr>
    </w:p>
    <w:p w:rsidR="00060372" w:rsidRPr="00C47B5A" w:rsidRDefault="00E828BD" w:rsidP="00F161A2">
      <w:pPr>
        <w:keepLines/>
      </w:pPr>
      <w:r w:rsidRPr="00C47B5A">
        <w:t xml:space="preserve">Todos los nuevos examinadores </w:t>
      </w:r>
      <w:r w:rsidR="00E96656" w:rsidRPr="00C47B5A">
        <w:t xml:space="preserve">realizan durante tres meses </w:t>
      </w:r>
      <w:r w:rsidR="004B5402" w:rsidRPr="00C47B5A">
        <w:t xml:space="preserve">un periodo de formación inicial </w:t>
      </w:r>
      <w:r w:rsidR="00E96656" w:rsidRPr="00C47B5A">
        <w:t>en el Instituto Nacional Rajiv Gandhi de Gestión de la Propiedad Intelectual (RGNIIPM) en Nagpur</w:t>
      </w:r>
      <w:r w:rsidR="00A61CF1">
        <w:t>.  A</w:t>
      </w:r>
      <w:r w:rsidR="00E96656" w:rsidRPr="00C47B5A">
        <w:t xml:space="preserve"> esta formación inicial sigue una formación en el puesto de trabajo durante ocho meses y una formación de actualización durante otro mes en el RGNIIPM</w:t>
      </w:r>
      <w:r w:rsidR="00A61CF1">
        <w:t>.  D</w:t>
      </w:r>
      <w:r w:rsidR="004B5402" w:rsidRPr="00C47B5A">
        <w:t>urante</w:t>
      </w:r>
      <w:r w:rsidR="00E96656" w:rsidRPr="00C47B5A">
        <w:t xml:space="preserve"> el segundo año se realiza una formación avanzada de un mes de duración en el puesto de destino</w:t>
      </w:r>
      <w:r w:rsidR="00C47B5A">
        <w:t>.  E</w:t>
      </w:r>
      <w:r w:rsidR="00E96656" w:rsidRPr="00C47B5A">
        <w:t xml:space="preserve">n relación con el trabajo como </w:t>
      </w:r>
      <w:r w:rsidR="004B5402" w:rsidRPr="00C47B5A">
        <w:t>ISA/IPEA</w:t>
      </w:r>
      <w:r w:rsidR="00F161A2" w:rsidRPr="00C47B5A">
        <w:t xml:space="preserve">, se realizan </w:t>
      </w:r>
      <w:r w:rsidR="00B55A28" w:rsidRPr="00C47B5A">
        <w:t xml:space="preserve">sesiones formativas </w:t>
      </w:r>
      <w:r w:rsidR="00F161A2" w:rsidRPr="00C47B5A">
        <w:t xml:space="preserve">que incluyen aspectos de calidad con arreglo a las directrices de búsqueda internacional y de examen preliminar internacional. </w:t>
      </w:r>
      <w:r w:rsidR="00A61CF1">
        <w:t xml:space="preserve"> </w:t>
      </w:r>
      <w:r w:rsidR="00F161A2" w:rsidRPr="00C47B5A">
        <w:t xml:space="preserve">Para estos programas de formación se cuenta con personal docente propio y </w:t>
      </w:r>
      <w:r w:rsidR="00B55A28" w:rsidRPr="00C47B5A">
        <w:t xml:space="preserve">con </w:t>
      </w:r>
      <w:r w:rsidR="00F161A2" w:rsidRPr="00C47B5A">
        <w:t xml:space="preserve">formadores de otras oficinas de patentes a fin de promover una mejor comprensión de los procedimientos internacionales </w:t>
      </w:r>
      <w:r w:rsidR="00B55A28" w:rsidRPr="00C47B5A">
        <w:t>y</w:t>
      </w:r>
      <w:r w:rsidR="00F161A2" w:rsidRPr="00C47B5A">
        <w:t xml:space="preserve"> contribuir a identificar </w:t>
      </w:r>
      <w:r w:rsidR="004B5402" w:rsidRPr="00C47B5A">
        <w:t xml:space="preserve">las </w:t>
      </w:r>
      <w:r w:rsidR="00F161A2" w:rsidRPr="00C47B5A">
        <w:t>mejores prácticas</w:t>
      </w:r>
      <w:r w:rsidR="004B5402" w:rsidRPr="00C47B5A">
        <w:t>,</w:t>
      </w:r>
      <w:r w:rsidR="00F161A2" w:rsidRPr="00C47B5A">
        <w:t xml:space="preserve"> cualquiera que sea su origen. </w:t>
      </w:r>
      <w:r w:rsidR="00C47B5A">
        <w:t xml:space="preserve"> </w:t>
      </w:r>
      <w:r w:rsidR="00F161A2" w:rsidRPr="00C47B5A">
        <w:t>Las actividades de formación continua</w:t>
      </w:r>
      <w:r w:rsidR="004B5402" w:rsidRPr="00C47B5A">
        <w:t>da</w:t>
      </w:r>
      <w:r w:rsidR="00F161A2" w:rsidRPr="00C47B5A">
        <w:t xml:space="preserve"> incluyen programas de formación impartidos por la OMPI y </w:t>
      </w:r>
      <w:r w:rsidR="00B55A28" w:rsidRPr="00C47B5A">
        <w:t>por</w:t>
      </w:r>
      <w:r w:rsidR="004B5402" w:rsidRPr="00C47B5A">
        <w:t xml:space="preserve"> otras</w:t>
      </w:r>
      <w:r w:rsidR="00B55A28" w:rsidRPr="00C47B5A">
        <w:t xml:space="preserve"> </w:t>
      </w:r>
      <w:r w:rsidR="00F161A2" w:rsidRPr="00C47B5A">
        <w:t xml:space="preserve">oficinas de patentes que se llevan a cabo en la India y </w:t>
      </w:r>
      <w:r w:rsidR="004B5402" w:rsidRPr="00C47B5A">
        <w:t>en otros países</w:t>
      </w:r>
      <w:r w:rsidR="00A61CF1">
        <w:t>.  A</w:t>
      </w:r>
      <w:r w:rsidR="00F161A2" w:rsidRPr="00C47B5A">
        <w:t>demás de las sesiones de formación</w:t>
      </w:r>
      <w:r w:rsidR="00B55A28" w:rsidRPr="00C47B5A">
        <w:t>,</w:t>
      </w:r>
      <w:r w:rsidR="00F161A2" w:rsidRPr="00C47B5A">
        <w:t xml:space="preserve"> la IPO también realiza programas de intercambio de examinadores con otras oficinas de patentes</w:t>
      </w:r>
    </w:p>
    <w:p w:rsidR="00060372" w:rsidRPr="00C47B5A" w:rsidRDefault="00060372" w:rsidP="00060372">
      <w:pPr>
        <w:jc w:val="both"/>
      </w:pPr>
    </w:p>
    <w:p w:rsidR="00060372" w:rsidRPr="00C47B5A" w:rsidRDefault="0075615A" w:rsidP="00060372">
      <w:pPr>
        <w:rPr>
          <w:b/>
          <w:i/>
        </w:rPr>
      </w:pPr>
      <w:r w:rsidRPr="00C47B5A">
        <w:rPr>
          <w:b/>
          <w:i/>
        </w:rPr>
        <w:t xml:space="preserve">Reglas 36.1.ii) y 63.1.ii):  </w:t>
      </w:r>
      <w:r w:rsidR="00E632A1" w:rsidRPr="00C47B5A">
        <w:rPr>
          <w:b/>
          <w:i/>
        </w:rPr>
        <w:t>Esa</w:t>
      </w:r>
      <w:r w:rsidRPr="00C47B5A">
        <w:rPr>
          <w:b/>
          <w:i/>
        </w:rPr>
        <w:t xml:space="preserve"> Oficina u organización deberá poseer, por lo menos, la documentación mínima mencionada en la Regla 34, o tener acceso a esa documentación mínima, la cual deberá estar ordenada en forma adecuada a los fines de la búsqueda y presentarse en papel, en microformato o en soporte electrónico</w:t>
      </w:r>
      <w:r w:rsidR="00060372" w:rsidRPr="00C47B5A">
        <w:rPr>
          <w:b/>
          <w:i/>
        </w:rPr>
        <w:t>.</w:t>
      </w:r>
    </w:p>
    <w:p w:rsidR="00060372" w:rsidRPr="00C47B5A" w:rsidRDefault="00060372" w:rsidP="0075615A">
      <w:pPr>
        <w:tabs>
          <w:tab w:val="left" w:pos="3076"/>
        </w:tabs>
        <w:jc w:val="both"/>
      </w:pPr>
    </w:p>
    <w:p w:rsidR="00060372" w:rsidRPr="00C47B5A" w:rsidRDefault="0075615A" w:rsidP="00060372">
      <w:pPr>
        <w:keepNext/>
        <w:jc w:val="both"/>
      </w:pPr>
      <w:r w:rsidRPr="00C47B5A">
        <w:rPr>
          <w:b/>
          <w:bCs/>
        </w:rPr>
        <w:t>Acceso a la documentación mínima necesaria con fines de búsqueda</w:t>
      </w:r>
      <w:r w:rsidR="00060372" w:rsidRPr="00C47B5A">
        <w:rPr>
          <w:b/>
          <w:bCs/>
        </w:rPr>
        <w:t>:</w:t>
      </w:r>
      <w:r w:rsidR="00060372" w:rsidRPr="00C47B5A">
        <w:t xml:space="preserve">  </w:t>
      </w:r>
    </w:p>
    <w:p w:rsidR="00060372" w:rsidRPr="00C47B5A" w:rsidRDefault="00060372" w:rsidP="0075615A">
      <w:pPr>
        <w:tabs>
          <w:tab w:val="left" w:pos="567"/>
          <w:tab w:val="left" w:pos="1134"/>
          <w:tab w:val="left" w:pos="1701"/>
          <w:tab w:val="left" w:pos="2120"/>
        </w:tabs>
      </w:pPr>
      <w:r w:rsidRPr="00C47B5A">
        <w:t xml:space="preserve">( </w:t>
      </w:r>
      <w:r w:rsidRPr="00C47B5A">
        <w:rPr>
          <w:rFonts w:ascii="MS Gothic" w:eastAsia="MS Gothic" w:hAnsi="MS Gothic" w:cs="MS Gothic"/>
        </w:rPr>
        <w:t>✓</w:t>
      </w:r>
      <w:r w:rsidRPr="00C47B5A">
        <w:t xml:space="preserve"> )</w:t>
      </w:r>
      <w:r w:rsidRPr="00C47B5A">
        <w:tab/>
        <w:t xml:space="preserve"> </w:t>
      </w:r>
      <w:r w:rsidR="00FA11C3">
        <w:t>Acceso completo</w:t>
      </w:r>
    </w:p>
    <w:p w:rsidR="00060372" w:rsidRPr="00C47B5A" w:rsidRDefault="00060372" w:rsidP="00060372">
      <w:pPr>
        <w:jc w:val="both"/>
      </w:pPr>
    </w:p>
    <w:p w:rsidR="00060372" w:rsidRPr="00C47B5A" w:rsidRDefault="0075615A" w:rsidP="00060372">
      <w:pPr>
        <w:jc w:val="both"/>
      </w:pPr>
      <w:r w:rsidRPr="00C47B5A">
        <w:rPr>
          <w:b/>
          <w:bCs/>
        </w:rPr>
        <w:t>Sistemas de búsqueda</w:t>
      </w:r>
      <w:r w:rsidR="00060372" w:rsidRPr="00C47B5A">
        <w:rPr>
          <w:b/>
          <w:bCs/>
        </w:rPr>
        <w:t>:</w:t>
      </w:r>
      <w:r w:rsidR="00060372" w:rsidRPr="00C47B5A">
        <w:t xml:space="preserve">  </w:t>
      </w:r>
    </w:p>
    <w:p w:rsidR="00060372" w:rsidRPr="00C47B5A" w:rsidRDefault="00060372" w:rsidP="00060372"/>
    <w:p w:rsidR="00060372" w:rsidRPr="00C47B5A" w:rsidRDefault="00C47B5A" w:rsidP="00060372">
      <w:r w:rsidRPr="00C47B5A">
        <w:t xml:space="preserve">Los </w:t>
      </w:r>
      <w:r>
        <w:t xml:space="preserve">siguientes </w:t>
      </w:r>
      <w:r w:rsidRPr="00C47B5A">
        <w:t>sistemas de tecnologías de la información se utilizan para las tareas de b</w:t>
      </w:r>
      <w:r>
        <w:t>úsqueda</w:t>
      </w:r>
      <w:r w:rsidR="00060372" w:rsidRPr="00C47B5A">
        <w:t>:</w:t>
      </w:r>
    </w:p>
    <w:p w:rsidR="00060372" w:rsidRPr="00C47B5A" w:rsidRDefault="00060372" w:rsidP="00060372"/>
    <w:p w:rsidR="00060372" w:rsidRPr="00C47B5A" w:rsidRDefault="00060372" w:rsidP="00060372">
      <w:pPr>
        <w:ind w:left="567"/>
      </w:pPr>
      <w:r w:rsidRPr="00C47B5A">
        <w:t>Patseer (</w:t>
      </w:r>
      <w:r w:rsidR="00E632A1" w:rsidRPr="00C47B5A">
        <w:t>literatura</w:t>
      </w:r>
      <w:r w:rsidR="000015DB" w:rsidRPr="00C47B5A">
        <w:t xml:space="preserve"> sobre patentes (PL) y </w:t>
      </w:r>
      <w:r w:rsidR="00E632A1" w:rsidRPr="00C47B5A">
        <w:t>literatura</w:t>
      </w:r>
      <w:r w:rsidR="000015DB" w:rsidRPr="00C47B5A">
        <w:t xml:space="preserve"> distinta de la de patentes (NPL)</w:t>
      </w:r>
      <w:r w:rsidRPr="00C47B5A">
        <w:t>)</w:t>
      </w:r>
    </w:p>
    <w:p w:rsidR="00060372" w:rsidRPr="00C47B5A" w:rsidRDefault="00060372" w:rsidP="00060372">
      <w:pPr>
        <w:ind w:left="567"/>
      </w:pPr>
      <w:r w:rsidRPr="00C47B5A">
        <w:t>STN (</w:t>
      </w:r>
      <w:r w:rsidR="00E632A1" w:rsidRPr="00C47B5A">
        <w:t>literatura</w:t>
      </w:r>
      <w:r w:rsidR="00204917" w:rsidRPr="00C47B5A">
        <w:t xml:space="preserve"> </w:t>
      </w:r>
      <w:r w:rsidR="000015DB" w:rsidRPr="00C47B5A">
        <w:t>sobre</w:t>
      </w:r>
      <w:r w:rsidR="00204917" w:rsidRPr="00C47B5A">
        <w:t xml:space="preserve"> patentes y </w:t>
      </w:r>
      <w:r w:rsidR="00E632A1" w:rsidRPr="00C47B5A">
        <w:t>literatura</w:t>
      </w:r>
      <w:r w:rsidR="00204917" w:rsidRPr="00C47B5A">
        <w:t xml:space="preserve"> distinta de la de patentes y búsqueda de listas de secuencias</w:t>
      </w:r>
      <w:r w:rsidRPr="00C47B5A">
        <w:t>)</w:t>
      </w:r>
    </w:p>
    <w:p w:rsidR="00060372" w:rsidRPr="00C47B5A" w:rsidRDefault="00060372" w:rsidP="00060372">
      <w:pPr>
        <w:ind w:left="567"/>
      </w:pPr>
      <w:r w:rsidRPr="00C47B5A">
        <w:t xml:space="preserve">InPASS </w:t>
      </w:r>
      <w:r w:rsidR="000015DB" w:rsidRPr="00C47B5A">
        <w:t xml:space="preserve">(Sistema de búsqueda avanzada de patentes de la India) </w:t>
      </w:r>
      <w:r w:rsidRPr="00C47B5A">
        <w:t>(PL-IN)</w:t>
      </w:r>
    </w:p>
    <w:p w:rsidR="00060372" w:rsidRPr="00C47B5A" w:rsidRDefault="00060372" w:rsidP="00060372">
      <w:pPr>
        <w:ind w:left="567"/>
      </w:pPr>
      <w:r w:rsidRPr="00C47B5A">
        <w:t xml:space="preserve">Reprint Desk </w:t>
      </w:r>
      <w:r w:rsidR="000015DB" w:rsidRPr="00C47B5A">
        <w:t xml:space="preserve">para la búsqueda y suministro de información para </w:t>
      </w:r>
      <w:r w:rsidR="00E632A1" w:rsidRPr="00C47B5A">
        <w:t>literatura</w:t>
      </w:r>
      <w:r w:rsidR="000015DB" w:rsidRPr="00C47B5A">
        <w:t xml:space="preserve"> distinta de la de patentes</w:t>
      </w:r>
    </w:p>
    <w:p w:rsidR="00060372" w:rsidRPr="00C47B5A" w:rsidRDefault="000015DB" w:rsidP="00060372">
      <w:pPr>
        <w:ind w:left="567"/>
      </w:pPr>
      <w:r w:rsidRPr="00C47B5A">
        <w:t>Biblioteca digital de conocimientos tradicionales de la India para</w:t>
      </w:r>
      <w:r w:rsidR="00060372" w:rsidRPr="00C47B5A">
        <w:t xml:space="preserve"> </w:t>
      </w:r>
      <w:r w:rsidR="00E632A1" w:rsidRPr="00C47B5A">
        <w:t>literatura</w:t>
      </w:r>
      <w:r w:rsidRPr="00C47B5A">
        <w:t xml:space="preserve"> distinta de la de patentes (NPL)</w:t>
      </w:r>
    </w:p>
    <w:p w:rsidR="00060372" w:rsidRPr="00C47B5A" w:rsidRDefault="000015DB" w:rsidP="00060372">
      <w:pPr>
        <w:ind w:left="567"/>
      </w:pPr>
      <w:r w:rsidRPr="00C47B5A">
        <w:t>Búsquedas gratuitas en</w:t>
      </w:r>
      <w:r w:rsidR="00060372" w:rsidRPr="00C47B5A">
        <w:t xml:space="preserve"> Google, Google Patents, Google </w:t>
      </w:r>
      <w:r w:rsidRPr="00C47B5A">
        <w:t>Académico</w:t>
      </w:r>
      <w:r w:rsidR="00060372" w:rsidRPr="00C47B5A">
        <w:t xml:space="preserve"> (NPL), </w:t>
      </w:r>
      <w:r w:rsidR="00EC2BB2" w:rsidRPr="00C47B5A">
        <w:t xml:space="preserve">Centro Nacional de Información sobre Biotecnología, NCBI </w:t>
      </w:r>
      <w:r w:rsidR="00060372" w:rsidRPr="00C47B5A">
        <w:t xml:space="preserve">(NPL </w:t>
      </w:r>
      <w:r w:rsidRPr="00C47B5A">
        <w:t>y</w:t>
      </w:r>
      <w:r w:rsidR="00060372" w:rsidRPr="00C47B5A">
        <w:t xml:space="preserve"> </w:t>
      </w:r>
      <w:r w:rsidRPr="00C47B5A">
        <w:t>búsqueda de listas de secuencias</w:t>
      </w:r>
      <w:r w:rsidR="00060372" w:rsidRPr="00C47B5A">
        <w:t xml:space="preserve">) </w:t>
      </w:r>
      <w:r w:rsidRPr="00C47B5A">
        <w:t>y</w:t>
      </w:r>
      <w:r w:rsidR="00060372" w:rsidRPr="00C47B5A">
        <w:t xml:space="preserve"> Patentlens (</w:t>
      </w:r>
      <w:r w:rsidRPr="00C47B5A">
        <w:t>búsqueda de listas de secuencias</w:t>
      </w:r>
      <w:r w:rsidR="00060372" w:rsidRPr="00C47B5A">
        <w:t>)</w:t>
      </w:r>
    </w:p>
    <w:p w:rsidR="00060372" w:rsidRPr="00C47B5A" w:rsidRDefault="00060372" w:rsidP="00060372">
      <w:pPr>
        <w:jc w:val="both"/>
      </w:pPr>
    </w:p>
    <w:p w:rsidR="00060372" w:rsidRPr="00C47B5A" w:rsidRDefault="00060372" w:rsidP="00060372">
      <w:pPr>
        <w:jc w:val="both"/>
      </w:pPr>
    </w:p>
    <w:p w:rsidR="00060372" w:rsidRPr="00C47B5A" w:rsidRDefault="0075615A" w:rsidP="00060372">
      <w:pPr>
        <w:jc w:val="both"/>
        <w:rPr>
          <w:b/>
          <w:i/>
        </w:rPr>
      </w:pPr>
      <w:r w:rsidRPr="00C47B5A">
        <w:rPr>
          <w:b/>
          <w:i/>
        </w:rPr>
        <w:t xml:space="preserve">Reglas 36.1.iii) y 63.1.iii):  </w:t>
      </w:r>
      <w:r w:rsidR="00E632A1" w:rsidRPr="00C47B5A">
        <w:rPr>
          <w:b/>
          <w:i/>
        </w:rPr>
        <w:t>Esa</w:t>
      </w:r>
      <w:r w:rsidRPr="00C47B5A">
        <w:rPr>
          <w:b/>
          <w:i/>
        </w:rPr>
        <w:t xml:space="preserve"> Oficina u organización deberá disponer de un personal capacitado para proceder a la búsqueda y examen en los correspondientes sectores técnicos y que posea los conocimientos lingüísticos necesarios para comprender, por lo menos, los idiomas en los que esté redactada o traducida la documentación mínima mencionada en la Regla 34</w:t>
      </w:r>
    </w:p>
    <w:p w:rsidR="0075615A" w:rsidRPr="00C47B5A" w:rsidRDefault="0075615A" w:rsidP="00060372">
      <w:pPr>
        <w:jc w:val="both"/>
      </w:pPr>
    </w:p>
    <w:p w:rsidR="00060372" w:rsidRPr="00C47B5A" w:rsidRDefault="0075615A" w:rsidP="00060372">
      <w:r w:rsidRPr="00C47B5A">
        <w:rPr>
          <w:b/>
        </w:rPr>
        <w:t xml:space="preserve">Idiomas en los que las solicitudes pueden </w:t>
      </w:r>
      <w:r w:rsidR="00300A33" w:rsidRPr="00C47B5A">
        <w:rPr>
          <w:b/>
        </w:rPr>
        <w:t>ser presentadas y tramitadas</w:t>
      </w:r>
      <w:proofErr w:type="gramStart"/>
      <w:r w:rsidR="00060372" w:rsidRPr="00C47B5A">
        <w:rPr>
          <w:b/>
        </w:rPr>
        <w:t>:</w:t>
      </w:r>
      <w:r w:rsidR="00060372" w:rsidRPr="00C47B5A">
        <w:t xml:space="preserve">  </w:t>
      </w:r>
      <w:r w:rsidR="00300A33" w:rsidRPr="00C47B5A">
        <w:t>Inglés</w:t>
      </w:r>
      <w:proofErr w:type="gramEnd"/>
      <w:r w:rsidR="00300A33" w:rsidRPr="00C47B5A">
        <w:t xml:space="preserve"> e h</w:t>
      </w:r>
      <w:r w:rsidRPr="00C47B5A">
        <w:t>indi</w:t>
      </w:r>
    </w:p>
    <w:p w:rsidR="00060372" w:rsidRPr="00C47B5A" w:rsidRDefault="00060372" w:rsidP="0075615A">
      <w:pPr>
        <w:tabs>
          <w:tab w:val="left" w:pos="1106"/>
        </w:tabs>
      </w:pPr>
    </w:p>
    <w:p w:rsidR="00060372" w:rsidRPr="00C47B5A" w:rsidRDefault="0075615A" w:rsidP="00060372">
      <w:r w:rsidRPr="00C47B5A">
        <w:rPr>
          <w:b/>
        </w:rPr>
        <w:t xml:space="preserve">Otros idiomas </w:t>
      </w:r>
      <w:r w:rsidR="00300A33" w:rsidRPr="00C47B5A">
        <w:rPr>
          <w:b/>
        </w:rPr>
        <w:t>en</w:t>
      </w:r>
      <w:r w:rsidRPr="00C47B5A">
        <w:rPr>
          <w:b/>
        </w:rPr>
        <w:t xml:space="preserve"> los que un gran número de examinadores </w:t>
      </w:r>
      <w:r w:rsidR="00300A33" w:rsidRPr="00C47B5A">
        <w:rPr>
          <w:b/>
        </w:rPr>
        <w:t>son competentes</w:t>
      </w:r>
      <w:proofErr w:type="gramStart"/>
      <w:r w:rsidR="00060372" w:rsidRPr="00C47B5A">
        <w:rPr>
          <w:b/>
        </w:rPr>
        <w:t>:</w:t>
      </w:r>
      <w:r w:rsidR="00060372" w:rsidRPr="00C47B5A">
        <w:t xml:space="preserve">  N</w:t>
      </w:r>
      <w:r w:rsidR="0063348B">
        <w:t>.</w:t>
      </w:r>
      <w:r w:rsidR="004A3656" w:rsidRPr="00C47B5A">
        <w:t>a</w:t>
      </w:r>
      <w:proofErr w:type="gramEnd"/>
      <w:r w:rsidR="0063348B">
        <w:t>.</w:t>
      </w:r>
    </w:p>
    <w:p w:rsidR="00060372" w:rsidRPr="00C47B5A" w:rsidRDefault="00060372" w:rsidP="00060372"/>
    <w:p w:rsidR="000015DB" w:rsidRPr="00C47B5A" w:rsidRDefault="0075615A" w:rsidP="00060372">
      <w:r w:rsidRPr="00C47B5A">
        <w:rPr>
          <w:b/>
        </w:rPr>
        <w:lastRenderedPageBreak/>
        <w:t xml:space="preserve">Servicios disponibles </w:t>
      </w:r>
      <w:r w:rsidR="00300A33" w:rsidRPr="00C47B5A">
        <w:rPr>
          <w:b/>
        </w:rPr>
        <w:t>de ayuda a</w:t>
      </w:r>
      <w:r w:rsidRPr="00C47B5A">
        <w:rPr>
          <w:b/>
        </w:rPr>
        <w:t xml:space="preserve"> la búsqueda </w:t>
      </w:r>
      <w:r w:rsidR="00300A33" w:rsidRPr="00C47B5A">
        <w:rPr>
          <w:b/>
        </w:rPr>
        <w:t>y para la</w:t>
      </w:r>
      <w:r w:rsidRPr="00C47B5A">
        <w:rPr>
          <w:b/>
        </w:rPr>
        <w:t xml:space="preserve"> comprensión de</w:t>
      </w:r>
      <w:r w:rsidR="00F56E11" w:rsidRPr="00C47B5A">
        <w:rPr>
          <w:b/>
        </w:rPr>
        <w:t>l</w:t>
      </w:r>
      <w:r w:rsidRPr="00C47B5A">
        <w:rPr>
          <w:b/>
        </w:rPr>
        <w:t xml:space="preserve"> estado de la técnica en otros idiomas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="00F56E11" w:rsidRPr="00C47B5A">
        <w:t xml:space="preserve">las bases de datos utilizadas para la búsqueda </w:t>
      </w:r>
      <w:r w:rsidR="004A3656" w:rsidRPr="00C47B5A">
        <w:t>permiten la</w:t>
      </w:r>
      <w:r w:rsidR="00F56E11" w:rsidRPr="00C47B5A">
        <w:t xml:space="preserve"> traducción automática y</w:t>
      </w:r>
      <w:r w:rsidR="004A3656" w:rsidRPr="00C47B5A">
        <w:t xml:space="preserve"> están disponibles facilidades de</w:t>
      </w:r>
      <w:r w:rsidR="00F56E11" w:rsidRPr="00C47B5A">
        <w:t xml:space="preserve"> </w:t>
      </w:r>
      <w:r w:rsidR="004A3656" w:rsidRPr="00C47B5A">
        <w:t xml:space="preserve">traducción </w:t>
      </w:r>
      <w:r w:rsidR="00F56E11" w:rsidRPr="00C47B5A">
        <w:t xml:space="preserve">automática de textos completos en inglés para patentes de </w:t>
      </w:r>
      <w:r w:rsidR="00B55A28" w:rsidRPr="00C47B5A">
        <w:t xml:space="preserve">Japón, República de Corea, China, Francia, Alemania, Dinamarca, Finlandia, Rusia, Bélgica, Holanda y Luxemburgo </w:t>
      </w:r>
      <w:r w:rsidR="00F56E11" w:rsidRPr="00C47B5A">
        <w:t>en la base de datos Patseer</w:t>
      </w:r>
      <w:r w:rsidR="004A3656" w:rsidRPr="00C47B5A">
        <w:t xml:space="preserve">, así como una </w:t>
      </w:r>
      <w:r w:rsidR="00F56E11" w:rsidRPr="00C47B5A">
        <w:t>computador</w:t>
      </w:r>
      <w:r w:rsidR="004A3656" w:rsidRPr="00C47B5A">
        <w:t>a</w:t>
      </w:r>
      <w:r w:rsidR="00F56E11" w:rsidRPr="00C47B5A">
        <w:t xml:space="preserve"> para la traducción de </w:t>
      </w:r>
      <w:r w:rsidR="00E632A1" w:rsidRPr="00C47B5A">
        <w:t>literatura</w:t>
      </w:r>
      <w:r w:rsidR="00F56E11" w:rsidRPr="00C47B5A">
        <w:t xml:space="preserve"> </w:t>
      </w:r>
      <w:r w:rsidR="0063348B">
        <w:t>no-</w:t>
      </w:r>
      <w:r w:rsidR="00F56E11" w:rsidRPr="00C47B5A">
        <w:t>patente (</w:t>
      </w:r>
      <w:r w:rsidR="0063348B">
        <w:t>LNP</w:t>
      </w:r>
      <w:r w:rsidR="00F56E11" w:rsidRPr="00C47B5A">
        <w:t xml:space="preserve">) mediante máquinas de búsqueda </w:t>
      </w:r>
      <w:r w:rsidR="0019638E" w:rsidRPr="00C47B5A">
        <w:t>STN</w:t>
      </w:r>
      <w:r w:rsidR="00F56E11" w:rsidRPr="00C47B5A">
        <w:t xml:space="preserve"> que</w:t>
      </w:r>
      <w:r w:rsidR="004A3656" w:rsidRPr="00C47B5A">
        <w:t xml:space="preserve"> también</w:t>
      </w:r>
      <w:r w:rsidR="00F56E11" w:rsidRPr="00C47B5A">
        <w:t xml:space="preserve"> </w:t>
      </w:r>
      <w:r w:rsidR="004A3656" w:rsidRPr="00C47B5A">
        <w:t>proporciona</w:t>
      </w:r>
      <w:r w:rsidR="00F56E11" w:rsidRPr="00C47B5A">
        <w:t xml:space="preserve"> traducciones al inglés </w:t>
      </w:r>
      <w:r w:rsidR="004A3656" w:rsidRPr="00C47B5A">
        <w:t>de</w:t>
      </w:r>
      <w:r w:rsidR="00F56E11" w:rsidRPr="00C47B5A">
        <w:t xml:space="preserve"> literatura sobre patentes </w:t>
      </w:r>
      <w:r w:rsidR="00063A66" w:rsidRPr="00C47B5A">
        <w:t>en idiomas distinto</w:t>
      </w:r>
      <w:r w:rsidR="00B55A28" w:rsidRPr="00C47B5A">
        <w:t>s</w:t>
      </w:r>
      <w:r w:rsidR="00063A66" w:rsidRPr="00C47B5A">
        <w:t xml:space="preserve"> al inglés</w:t>
      </w:r>
      <w:r w:rsidR="00F56E11" w:rsidRPr="00C47B5A">
        <w:t xml:space="preserve">. </w:t>
      </w:r>
      <w:r w:rsidR="00A61CF1">
        <w:t xml:space="preserve"> </w:t>
      </w:r>
      <w:r w:rsidR="00F56E11" w:rsidRPr="00C47B5A">
        <w:t xml:space="preserve">También </w:t>
      </w:r>
      <w:r w:rsidR="006814ED" w:rsidRPr="00C47B5A">
        <w:t>existe un</w:t>
      </w:r>
      <w:r w:rsidR="00F56E11" w:rsidRPr="00C47B5A">
        <w:t xml:space="preserve"> se</w:t>
      </w:r>
      <w:r w:rsidR="004A3656" w:rsidRPr="00C47B5A">
        <w:t>rvicio de traducción automática general</w:t>
      </w:r>
      <w:r w:rsidR="00F56E11" w:rsidRPr="00C47B5A">
        <w:t xml:space="preserve"> autónom</w:t>
      </w:r>
      <w:r w:rsidR="004A3656" w:rsidRPr="00C47B5A">
        <w:t>a</w:t>
      </w:r>
      <w:r w:rsidR="00F56E11" w:rsidRPr="00C47B5A">
        <w:t xml:space="preserve"> para examinadores con el fin de ayudar a </w:t>
      </w:r>
      <w:r w:rsidR="006814ED" w:rsidRPr="00C47B5A">
        <w:t>éstos</w:t>
      </w:r>
      <w:r w:rsidR="00F56E11" w:rsidRPr="00C47B5A">
        <w:t xml:space="preserve"> </w:t>
      </w:r>
      <w:r w:rsidR="006814ED" w:rsidRPr="00C47B5A">
        <w:t>en la comprensión de</w:t>
      </w:r>
      <w:r w:rsidR="00B55A28" w:rsidRPr="00C47B5A">
        <w:t xml:space="preserve"> </w:t>
      </w:r>
      <w:r w:rsidR="00F56E11" w:rsidRPr="00C47B5A">
        <w:t xml:space="preserve">textos de fuentes </w:t>
      </w:r>
      <w:r w:rsidR="004A3656" w:rsidRPr="00C47B5A">
        <w:t>que no disponen de</w:t>
      </w:r>
      <w:r w:rsidR="00F56E11" w:rsidRPr="00C47B5A">
        <w:t xml:space="preserve"> traducción automática.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2.2 – </w:t>
      </w:r>
      <w:r w:rsidR="0075615A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GESTIÓN DE LA CALIDAD</w:t>
      </w:r>
    </w:p>
    <w:p w:rsidR="00060372" w:rsidRPr="00C47B5A" w:rsidRDefault="0075615A" w:rsidP="00060372">
      <w:pPr>
        <w:rPr>
          <w:b/>
          <w:i/>
        </w:rPr>
      </w:pPr>
      <w:r w:rsidRPr="00C47B5A">
        <w:rPr>
          <w:b/>
          <w:i/>
        </w:rPr>
        <w:t xml:space="preserve">Reglas 36.1.iv) y 63.1.iv):  </w:t>
      </w:r>
      <w:r w:rsidR="00E632A1" w:rsidRPr="00C47B5A">
        <w:rPr>
          <w:b/>
          <w:i/>
        </w:rPr>
        <w:t>Esa</w:t>
      </w:r>
      <w:r w:rsidRPr="00C47B5A">
        <w:rPr>
          <w:b/>
          <w:i/>
        </w:rPr>
        <w:t xml:space="preserve"> Oficina u organización deberá disponer de un sistema de gestión de calidad y un sistema de revisión interna, conforme a las reglas comunes de la búsqueda internacional.</w:t>
      </w:r>
    </w:p>
    <w:p w:rsidR="00060372" w:rsidRPr="00C47B5A" w:rsidRDefault="00060372" w:rsidP="00060372"/>
    <w:p w:rsidR="00060372" w:rsidRPr="00C47B5A" w:rsidRDefault="0075615A" w:rsidP="00060372">
      <w:pPr>
        <w:rPr>
          <w:b/>
        </w:rPr>
      </w:pPr>
      <w:r w:rsidRPr="00C47B5A">
        <w:rPr>
          <w:b/>
        </w:rPr>
        <w:t>Sistema nacional de gestión de la calidad</w:t>
      </w:r>
      <w:r w:rsidR="00060372" w:rsidRPr="00C47B5A">
        <w:rPr>
          <w:b/>
        </w:rPr>
        <w:t xml:space="preserve">:  </w:t>
      </w:r>
    </w:p>
    <w:p w:rsidR="00060372" w:rsidRPr="00C47B5A" w:rsidRDefault="00060372" w:rsidP="0075615A">
      <w:pPr>
        <w:tabs>
          <w:tab w:val="left" w:pos="5426"/>
        </w:tabs>
      </w:pPr>
    </w:p>
    <w:p w:rsidR="00BD2636" w:rsidRPr="00C47B5A" w:rsidRDefault="00BD2636" w:rsidP="00060372">
      <w:r w:rsidRPr="00C47B5A">
        <w:t>La</w:t>
      </w:r>
      <w:r w:rsidR="00060372" w:rsidRPr="00C47B5A">
        <w:t xml:space="preserve"> </w:t>
      </w:r>
      <w:r w:rsidR="004B0528" w:rsidRPr="00C47B5A">
        <w:t>IPO</w:t>
      </w:r>
      <w:r w:rsidR="00F57342" w:rsidRPr="00C47B5A">
        <w:t xml:space="preserve"> </w:t>
      </w:r>
      <w:r w:rsidRPr="00C47B5A">
        <w:t xml:space="preserve">tiene un sistema de gestión de la calidad que cumple plenamente los requisitos establecidos en el Capítulo 21 de las directrices de </w:t>
      </w:r>
      <w:r w:rsidR="004B0528" w:rsidRPr="00C47B5A">
        <w:t>búsqueda internacional y de examen preliminar internacional</w:t>
      </w:r>
      <w:r w:rsidRPr="00C47B5A">
        <w:t xml:space="preserve"> del PCT</w:t>
      </w:r>
      <w:r w:rsidR="00C47B5A">
        <w:t>.  L</w:t>
      </w:r>
      <w:r w:rsidRPr="00C47B5A">
        <w:t xml:space="preserve">os informes anuales </w:t>
      </w:r>
      <w:r w:rsidR="00014051" w:rsidRPr="00C47B5A">
        <w:t>de 2013 a 2016</w:t>
      </w:r>
      <w:r w:rsidR="0002144E" w:rsidRPr="00C47B5A">
        <w:t xml:space="preserve"> </w:t>
      </w:r>
      <w:r w:rsidR="006F47FF" w:rsidRPr="00C47B5A">
        <w:t>remitidos por</w:t>
      </w:r>
      <w:r w:rsidRPr="00C47B5A">
        <w:t xml:space="preserve"> la IPO</w:t>
      </w:r>
      <w:r w:rsidR="0002144E" w:rsidRPr="00C47B5A">
        <w:t xml:space="preserve"> </w:t>
      </w:r>
      <w:r w:rsidRPr="00C47B5A">
        <w:t xml:space="preserve">están disponibles en el sitio web de </w:t>
      </w:r>
      <w:r w:rsidR="0002144E" w:rsidRPr="00C47B5A">
        <w:t>ésta</w:t>
      </w:r>
      <w:r w:rsidRPr="00C47B5A">
        <w:t xml:space="preserve"> en </w:t>
      </w:r>
      <w:hyperlink r:id="rId11" w:history="1">
        <w:r w:rsidRPr="00C47B5A">
          <w:rPr>
            <w:rStyle w:val="Hyperlink"/>
            <w:noProof w:val="0"/>
            <w:szCs w:val="20"/>
          </w:rPr>
          <w:t>http://www.wipo.int/pct/en/quality/authorities.html</w:t>
        </w:r>
      </w:hyperlink>
      <w:r w:rsidRPr="00C47B5A">
        <w:t>.</w:t>
      </w:r>
    </w:p>
    <w:p w:rsidR="00BD2636" w:rsidRPr="00C47B5A" w:rsidRDefault="00BD2636" w:rsidP="00060372"/>
    <w:p w:rsidR="00BD2636" w:rsidRPr="00C47B5A" w:rsidRDefault="00BD2636" w:rsidP="00060372">
      <w:r w:rsidRPr="00C47B5A">
        <w:t xml:space="preserve">Existe una </w:t>
      </w:r>
      <w:r w:rsidR="0081540E">
        <w:t xml:space="preserve">versión actualizada </w:t>
      </w:r>
      <w:r w:rsidRPr="00C47B5A">
        <w:t xml:space="preserve">del informe sobre el sistema de gestión de la calidad </w:t>
      </w:r>
      <w:r w:rsidR="00DE713F" w:rsidRPr="00C47B5A">
        <w:t xml:space="preserve">(QMS) </w:t>
      </w:r>
      <w:r w:rsidR="0063348B">
        <w:t xml:space="preserve">de </w:t>
      </w:r>
      <w:r w:rsidRPr="00C47B5A">
        <w:t xml:space="preserve">2016 relativo al Portal de </w:t>
      </w:r>
      <w:r w:rsidR="00DE713F" w:rsidRPr="00C47B5A">
        <w:t>garantía</w:t>
      </w:r>
      <w:r w:rsidRPr="00C47B5A">
        <w:t xml:space="preserve"> de la calidad (QAP)</w:t>
      </w:r>
      <w:r w:rsidR="006F47FF" w:rsidRPr="00C47B5A">
        <w:t xml:space="preserve">, </w:t>
      </w:r>
      <w:r w:rsidR="00DE713F" w:rsidRPr="00C47B5A">
        <w:t>la</w:t>
      </w:r>
      <w:r w:rsidRPr="00C47B5A">
        <w:t xml:space="preserve"> finalización </w:t>
      </w:r>
      <w:r w:rsidR="00DE713F" w:rsidRPr="00C47B5A">
        <w:t>de cuyo</w:t>
      </w:r>
      <w:r w:rsidRPr="00C47B5A">
        <w:t xml:space="preserve"> desarrollo </w:t>
      </w:r>
      <w:r w:rsidR="00DE713F" w:rsidRPr="00C47B5A">
        <w:t>fue comunicada por</w:t>
      </w:r>
      <w:r w:rsidRPr="00C47B5A">
        <w:t xml:space="preserve"> la </w:t>
      </w:r>
      <w:r w:rsidR="006F47FF" w:rsidRPr="00C47B5A">
        <w:t>O</w:t>
      </w:r>
      <w:r w:rsidRPr="00C47B5A">
        <w:t>ficina en el punto 21.12 bajo el epígrafe “Garantía de la calidad”</w:t>
      </w:r>
      <w:r w:rsidR="00C47B5A">
        <w:t>.  E</w:t>
      </w:r>
      <w:r w:rsidR="00DE713F" w:rsidRPr="00C47B5A">
        <w:t xml:space="preserve">l desarrollo del Portal de garantía de la calidad se ha finalizado y </w:t>
      </w:r>
      <w:r w:rsidR="006F47FF" w:rsidRPr="00C47B5A">
        <w:t>actualmente es</w:t>
      </w:r>
      <w:r w:rsidR="00DE713F" w:rsidRPr="00C47B5A">
        <w:t xml:space="preserve"> accesible a través de</w:t>
      </w:r>
      <w:r w:rsidR="00F90D13" w:rsidRPr="00C47B5A">
        <w:t xml:space="preserve"> la</w:t>
      </w:r>
      <w:r w:rsidR="00DE713F" w:rsidRPr="00C47B5A">
        <w:t xml:space="preserve"> intranet</w:t>
      </w:r>
      <w:r w:rsidR="006F47FF" w:rsidRPr="00C47B5A">
        <w:t xml:space="preserve"> de las dependencias</w:t>
      </w:r>
      <w:r w:rsidR="00DE713F" w:rsidRPr="00C47B5A">
        <w:t>, que actúa como un medio eficaz de comunicación de la política de la calidad y de los objetivos, así como para la compartición de las mejores prácticas.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3 – </w:t>
      </w:r>
      <w:r w:rsidR="0019638E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ámbito de aplicación</w:t>
      </w:r>
      <w:r w:rsidR="00971849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 PREVISTO</w:t>
      </w:r>
    </w:p>
    <w:p w:rsidR="00060372" w:rsidRPr="00C47B5A" w:rsidRDefault="00686863" w:rsidP="00060372">
      <w:r w:rsidRPr="00C47B5A">
        <w:rPr>
          <w:b/>
        </w:rPr>
        <w:t>Idioma</w:t>
      </w:r>
      <w:r w:rsidR="00971849" w:rsidRPr="00C47B5A">
        <w:rPr>
          <w:b/>
        </w:rPr>
        <w:t xml:space="preserve"> en el que se ofrecen los servicios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="00971849" w:rsidRPr="00C47B5A">
        <w:t>inglés</w:t>
      </w:r>
    </w:p>
    <w:p w:rsidR="00060372" w:rsidRPr="00C47B5A" w:rsidRDefault="00060372" w:rsidP="00060372"/>
    <w:p w:rsidR="00060372" w:rsidRPr="00C47B5A" w:rsidRDefault="0019638E" w:rsidP="00060372">
      <w:r w:rsidRPr="00C47B5A">
        <w:rPr>
          <w:b/>
        </w:rPr>
        <w:t xml:space="preserve">Estados u Oficinas receptoras para las cuales </w:t>
      </w:r>
      <w:r w:rsidR="00971849" w:rsidRPr="00C47B5A">
        <w:rPr>
          <w:b/>
        </w:rPr>
        <w:t xml:space="preserve">la </w:t>
      </w:r>
      <w:r w:rsidR="00686863" w:rsidRPr="00C47B5A">
        <w:rPr>
          <w:b/>
        </w:rPr>
        <w:t>Oficina se</w:t>
      </w:r>
      <w:r w:rsidR="00971849" w:rsidRPr="00C47B5A">
        <w:rPr>
          <w:b/>
        </w:rPr>
        <w:t xml:space="preserve"> </w:t>
      </w:r>
      <w:r w:rsidR="001D2834" w:rsidRPr="00C47B5A">
        <w:rPr>
          <w:b/>
        </w:rPr>
        <w:t>ofrece</w:t>
      </w:r>
      <w:r w:rsidRPr="00C47B5A">
        <w:rPr>
          <w:b/>
        </w:rPr>
        <w:t>ría</w:t>
      </w:r>
      <w:r w:rsidR="001D2834" w:rsidRPr="00C47B5A">
        <w:rPr>
          <w:b/>
        </w:rPr>
        <w:t xml:space="preserve"> </w:t>
      </w:r>
      <w:r w:rsidR="00686863" w:rsidRPr="00C47B5A">
        <w:rPr>
          <w:b/>
        </w:rPr>
        <w:t>como A</w:t>
      </w:r>
      <w:r w:rsidRPr="00C47B5A">
        <w:rPr>
          <w:b/>
        </w:rPr>
        <w:t>dministración competente</w:t>
      </w:r>
      <w:r w:rsidR="001D2834" w:rsidRPr="00C47B5A">
        <w:rPr>
          <w:b/>
        </w:rPr>
        <w:t>:</w:t>
      </w:r>
      <w:r w:rsidR="00060372" w:rsidRPr="00C47B5A">
        <w:t xml:space="preserve">  </w:t>
      </w:r>
      <w:r w:rsidR="001D2834" w:rsidRPr="00C47B5A">
        <w:t>cualquier Estado contratante del</w:t>
      </w:r>
      <w:r w:rsidR="00060372" w:rsidRPr="00C47B5A">
        <w:t xml:space="preserve"> PCT.</w:t>
      </w:r>
    </w:p>
    <w:p w:rsidR="00060372" w:rsidRPr="00C47B5A" w:rsidRDefault="00060372" w:rsidP="00060372"/>
    <w:p w:rsidR="00060372" w:rsidRPr="00C47B5A" w:rsidRDefault="001D2834" w:rsidP="00060372">
      <w:r w:rsidRPr="00C47B5A">
        <w:rPr>
          <w:b/>
        </w:rPr>
        <w:t xml:space="preserve">Limitaciones </w:t>
      </w:r>
      <w:r w:rsidR="0019638E" w:rsidRPr="00C47B5A">
        <w:rPr>
          <w:b/>
        </w:rPr>
        <w:t>en el ámbito de aplicación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Pr="00C47B5A">
        <w:t>ningun</w:t>
      </w:r>
      <w:r w:rsidR="0061478D" w:rsidRPr="00C47B5A">
        <w:t>a</w:t>
      </w:r>
      <w:r w:rsidRPr="00C47B5A">
        <w:t xml:space="preserve"> en particular.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jc w:val="both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4 – </w:t>
      </w:r>
      <w:r w:rsidR="001D2834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DECLARACIÓN</w:t>
      </w:r>
      <w:r w:rsidR="00686863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 DE MOTIV</w:t>
      </w:r>
      <w:r w:rsidR="00B73002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ACIÓN</w:t>
      </w:r>
    </w:p>
    <w:p w:rsidR="008F1EA4" w:rsidRPr="00C47B5A" w:rsidRDefault="005471E8" w:rsidP="00060372">
      <w:r w:rsidRPr="00C47B5A">
        <w:t xml:space="preserve">La Oficina de Patentes de la India </w:t>
      </w:r>
      <w:r w:rsidR="008F1EA4" w:rsidRPr="00C47B5A">
        <w:t xml:space="preserve">(IPO) </w:t>
      </w:r>
      <w:r w:rsidRPr="00C47B5A">
        <w:t xml:space="preserve">ha </w:t>
      </w:r>
      <w:r w:rsidR="0019638E" w:rsidRPr="00C47B5A">
        <w:t>actuado</w:t>
      </w:r>
      <w:r w:rsidRPr="00C47B5A">
        <w:t xml:space="preserve"> como </w:t>
      </w:r>
      <w:r w:rsidR="00F90D13" w:rsidRPr="00C47B5A">
        <w:t>ISA/IPEA</w:t>
      </w:r>
      <w:r w:rsidR="008F1EA4" w:rsidRPr="00C47B5A">
        <w:t xml:space="preserve"> </w:t>
      </w:r>
      <w:r w:rsidR="00F57342" w:rsidRPr="00C47B5A">
        <w:t>desde el 15 de octubre de 2013</w:t>
      </w:r>
      <w:r w:rsidR="0019638E" w:rsidRPr="00C47B5A">
        <w:t xml:space="preserve">, función para la que también </w:t>
      </w:r>
      <w:r w:rsidR="0081540E">
        <w:t>ha sido</w:t>
      </w:r>
      <w:r w:rsidR="0019638E" w:rsidRPr="00C47B5A">
        <w:t xml:space="preserve"> reconocida por la </w:t>
      </w:r>
      <w:r w:rsidR="00F57342" w:rsidRPr="00C47B5A">
        <w:t>Oficina receptora de la República Islámica de</w:t>
      </w:r>
      <w:r w:rsidR="0063348B">
        <w:t>l</w:t>
      </w:r>
      <w:r w:rsidR="00F57342" w:rsidRPr="00C47B5A">
        <w:t xml:space="preserve"> Irán</w:t>
      </w:r>
      <w:r w:rsidR="00C47B5A">
        <w:t>.  E</w:t>
      </w:r>
      <w:r w:rsidR="00F57342" w:rsidRPr="00C47B5A">
        <w:t>n principio, la Oficina está abierta</w:t>
      </w:r>
      <w:r w:rsidR="0061478D" w:rsidRPr="00C47B5A">
        <w:t xml:space="preserve"> a ofrecer sus servicios a las O</w:t>
      </w:r>
      <w:r w:rsidR="00F57342" w:rsidRPr="00C47B5A">
        <w:t>ficinas receptoras de otros Estados</w:t>
      </w:r>
      <w:r w:rsidR="00F90D13" w:rsidRPr="00C47B5A">
        <w:t>,</w:t>
      </w:r>
      <w:r w:rsidR="00F57342" w:rsidRPr="00C47B5A">
        <w:t xml:space="preserve"> particularmente, aunque no exclusivamente, a </w:t>
      </w:r>
      <w:r w:rsidR="00F8789A">
        <w:t>Estados</w:t>
      </w:r>
      <w:r w:rsidR="00F57342" w:rsidRPr="00C47B5A">
        <w:t xml:space="preserve"> de su región. </w:t>
      </w:r>
    </w:p>
    <w:p w:rsidR="008F1EA4" w:rsidRPr="00C47B5A" w:rsidRDefault="008F1EA4" w:rsidP="00060372"/>
    <w:p w:rsidR="008F1EA4" w:rsidRPr="00C47B5A" w:rsidRDefault="00F57342" w:rsidP="00060372">
      <w:r w:rsidRPr="00C47B5A">
        <w:t xml:space="preserve">En </w:t>
      </w:r>
      <w:r w:rsidR="00D435D6">
        <w:t>su calidad de</w:t>
      </w:r>
      <w:r w:rsidRPr="00C47B5A">
        <w:t xml:space="preserve"> Oficina receptora, la IPO ha reconocido </w:t>
      </w:r>
      <w:r w:rsidR="0061478D" w:rsidRPr="00C47B5A">
        <w:t>a otras seis O</w:t>
      </w:r>
      <w:r w:rsidRPr="00C47B5A">
        <w:t xml:space="preserve">ficinas, además de la de la India (a saber, </w:t>
      </w:r>
      <w:r w:rsidR="006065D9" w:rsidRPr="00C47B5A">
        <w:t>la</w:t>
      </w:r>
      <w:r w:rsidR="0019638E" w:rsidRPr="00C47B5A">
        <w:t>s de la</w:t>
      </w:r>
      <w:r w:rsidR="006065D9" w:rsidRPr="00C47B5A">
        <w:t xml:space="preserve"> Or</w:t>
      </w:r>
      <w:r w:rsidR="00F90D13" w:rsidRPr="00C47B5A">
        <w:t>ganización Europea de Patentes, Australia, Austria, Suecia, China y Estados Unidos de América</w:t>
      </w:r>
      <w:r w:rsidRPr="00C47B5A">
        <w:t>)</w:t>
      </w:r>
      <w:r w:rsidR="0063348B">
        <w:t xml:space="preserve"> para que los </w:t>
      </w:r>
      <w:r w:rsidR="008F1EA4" w:rsidRPr="00C47B5A">
        <w:t>solicitantes</w:t>
      </w:r>
      <w:r w:rsidR="0063348B">
        <w:t xml:space="preserve"> </w:t>
      </w:r>
      <w:proofErr w:type="gramStart"/>
      <w:r w:rsidR="0063348B">
        <w:t>pueden</w:t>
      </w:r>
      <w:proofErr w:type="gramEnd"/>
      <w:r w:rsidR="0063348B">
        <w:t xml:space="preserve"> elegir</w:t>
      </w:r>
      <w:r w:rsidR="008F1EA4" w:rsidRPr="00C47B5A">
        <w:t xml:space="preserve"> como ISA/IPEA. </w:t>
      </w:r>
      <w:r w:rsidR="00A61CF1">
        <w:t xml:space="preserve"> </w:t>
      </w:r>
      <w:r w:rsidR="0019638E" w:rsidRPr="00C47B5A">
        <w:t>No obstante</w:t>
      </w:r>
      <w:r w:rsidR="0063348B">
        <w:t>, más del 50% de</w:t>
      </w:r>
      <w:r w:rsidR="008F1EA4" w:rsidRPr="00C47B5A">
        <w:t xml:space="preserve"> los solicitantes deciden que la IPO sea su </w:t>
      </w:r>
      <w:r w:rsidR="00A932A5" w:rsidRPr="00C47B5A">
        <w:t>ISA</w:t>
      </w:r>
      <w:r w:rsidR="008F1EA4" w:rsidRPr="00C47B5A">
        <w:t xml:space="preserve">, demostrando así </w:t>
      </w:r>
      <w:r w:rsidR="00A932A5" w:rsidRPr="00C47B5A">
        <w:t>su</w:t>
      </w:r>
      <w:r w:rsidR="008F1EA4" w:rsidRPr="00C47B5A">
        <w:t xml:space="preserve"> confianza </w:t>
      </w:r>
      <w:r w:rsidR="00A932A5" w:rsidRPr="00C47B5A">
        <w:t xml:space="preserve">en la calidad y </w:t>
      </w:r>
      <w:r w:rsidR="0019638E" w:rsidRPr="00C47B5A">
        <w:t xml:space="preserve">el </w:t>
      </w:r>
      <w:r w:rsidR="00A932A5" w:rsidRPr="00C47B5A">
        <w:t>valor de los servicios que ésta presta</w:t>
      </w:r>
      <w:r w:rsidR="008F1EA4" w:rsidRPr="00C47B5A">
        <w:t xml:space="preserve">. </w:t>
      </w:r>
    </w:p>
    <w:p w:rsidR="008F1EA4" w:rsidRPr="00C47B5A" w:rsidRDefault="008F1EA4" w:rsidP="00060372"/>
    <w:p w:rsidR="00FD3056" w:rsidRPr="00C47B5A" w:rsidRDefault="008F1EA4" w:rsidP="00060372">
      <w:r w:rsidRPr="00C47B5A">
        <w:lastRenderedPageBreak/>
        <w:t xml:space="preserve">La renovación de la designación de la Oficina de Patentes de la India como </w:t>
      </w:r>
      <w:r w:rsidR="00A932A5" w:rsidRPr="00C47B5A">
        <w:t xml:space="preserve">ISA/IPEA </w:t>
      </w:r>
      <w:r w:rsidRPr="00C47B5A">
        <w:t xml:space="preserve">puede ser </w:t>
      </w:r>
      <w:proofErr w:type="gramStart"/>
      <w:r w:rsidRPr="00C47B5A">
        <w:t>beneficioso</w:t>
      </w:r>
      <w:proofErr w:type="gramEnd"/>
      <w:r w:rsidRPr="00C47B5A">
        <w:t xml:space="preserve"> para</w:t>
      </w:r>
      <w:r w:rsidR="00A932A5" w:rsidRPr="00C47B5A">
        <w:t xml:space="preserve"> los solicitantes de todas las O</w:t>
      </w:r>
      <w:r w:rsidRPr="00C47B5A">
        <w:t xml:space="preserve">ficinas receptoras que reconozcan </w:t>
      </w:r>
      <w:r w:rsidR="00A932A5" w:rsidRPr="00C47B5A">
        <w:t>a</w:t>
      </w:r>
      <w:r w:rsidRPr="00C47B5A">
        <w:t xml:space="preserve"> </w:t>
      </w:r>
      <w:r w:rsidR="00A932A5" w:rsidRPr="00C47B5A">
        <w:t>la IPO como</w:t>
      </w:r>
      <w:r w:rsidR="0019638E" w:rsidRPr="00C47B5A">
        <w:t xml:space="preserve"> </w:t>
      </w:r>
      <w:r w:rsidRPr="00C47B5A">
        <w:t xml:space="preserve">ISA/IPEA </w:t>
      </w:r>
      <w:r w:rsidR="0063348B">
        <w:t>para las solicitudes</w:t>
      </w:r>
      <w:r w:rsidRPr="00C47B5A">
        <w:t xml:space="preserve"> en el idioma inglés</w:t>
      </w:r>
      <w:r w:rsidR="00A61CF1">
        <w:t>.  A</w:t>
      </w:r>
      <w:r w:rsidR="00E632A1" w:rsidRPr="00C47B5A">
        <w:t>l contar con</w:t>
      </w:r>
      <w:r w:rsidR="00C76B44" w:rsidRPr="00C47B5A">
        <w:t xml:space="preserve"> una </w:t>
      </w:r>
      <w:r w:rsidRPr="00C47B5A">
        <w:t xml:space="preserve">enorme base de talento de científicos e ingenieros </w:t>
      </w:r>
      <w:r w:rsidR="0061478D" w:rsidRPr="00C47B5A">
        <w:t>con</w:t>
      </w:r>
      <w:r w:rsidRPr="00C47B5A">
        <w:t xml:space="preserve"> dominio del </w:t>
      </w:r>
      <w:r w:rsidR="00E632A1" w:rsidRPr="00C47B5A">
        <w:t xml:space="preserve">idioma </w:t>
      </w:r>
      <w:r w:rsidRPr="00C47B5A">
        <w:t xml:space="preserve">inglés, </w:t>
      </w:r>
      <w:r w:rsidR="00E632A1" w:rsidRPr="00C47B5A">
        <w:t xml:space="preserve">la </w:t>
      </w:r>
      <w:r w:rsidRPr="00C47B5A">
        <w:t xml:space="preserve">India puede ofrecer servicios de búsqueda </w:t>
      </w:r>
      <w:r w:rsidR="00C76B44" w:rsidRPr="00C47B5A">
        <w:t>sobre el</w:t>
      </w:r>
      <w:r w:rsidRPr="00C47B5A">
        <w:t xml:space="preserve"> estado de la t</w:t>
      </w:r>
      <w:r w:rsidR="00E632A1" w:rsidRPr="00C47B5A">
        <w:t>écnica</w:t>
      </w:r>
      <w:r w:rsidR="003758FC" w:rsidRPr="00C47B5A">
        <w:t xml:space="preserve"> que sean</w:t>
      </w:r>
      <w:r w:rsidR="00C76B44" w:rsidRPr="00C47B5A">
        <w:t xml:space="preserve"> </w:t>
      </w:r>
      <w:r w:rsidR="003758FC" w:rsidRPr="00C47B5A">
        <w:t>asequibles y fiables y</w:t>
      </w:r>
      <w:r w:rsidR="00E632A1" w:rsidRPr="00C47B5A">
        <w:t xml:space="preserve"> permita</w:t>
      </w:r>
      <w:r w:rsidR="00857D86" w:rsidRPr="00C47B5A">
        <w:t>n</w:t>
      </w:r>
      <w:r w:rsidR="003758FC" w:rsidRPr="00C47B5A">
        <w:t xml:space="preserve"> a los solicitantes</w:t>
      </w:r>
      <w:r w:rsidRPr="00C47B5A">
        <w:t xml:space="preserve"> tomar decisiones oportunas y correctas </w:t>
      </w:r>
      <w:r w:rsidR="00857D86" w:rsidRPr="00C47B5A">
        <w:t>en relación</w:t>
      </w:r>
      <w:r w:rsidRPr="00C47B5A">
        <w:t xml:space="preserve"> con el potencial de comercialización de sus invenciones.</w:t>
      </w:r>
      <w:r w:rsidR="00076609" w:rsidRPr="00C47B5A">
        <w:t xml:space="preserve"> </w:t>
      </w:r>
    </w:p>
    <w:p w:rsidR="00FD3056" w:rsidRPr="00C47B5A" w:rsidRDefault="00FD3056" w:rsidP="00060372"/>
    <w:p w:rsidR="005471E8" w:rsidRPr="00C47B5A" w:rsidRDefault="00076609" w:rsidP="00060372">
      <w:r w:rsidRPr="00C47B5A">
        <w:t xml:space="preserve">Además, la actividad de la lPO como ISA/IPEA contribuye no solo a que los solicitantes de </w:t>
      </w:r>
      <w:r w:rsidR="00E632A1" w:rsidRPr="00C47B5A">
        <w:t xml:space="preserve">la </w:t>
      </w:r>
      <w:r w:rsidRPr="00C47B5A">
        <w:t xml:space="preserve">India hagan un uso más eficaz del sistema del PCT, sino también a </w:t>
      </w:r>
      <w:r w:rsidR="00E632A1" w:rsidRPr="00C47B5A">
        <w:t>la</w:t>
      </w:r>
      <w:r w:rsidRPr="00C47B5A">
        <w:t xml:space="preserve"> </w:t>
      </w:r>
      <w:r w:rsidR="00064384">
        <w:t xml:space="preserve">mejor </w:t>
      </w:r>
      <w:r w:rsidRPr="00C47B5A">
        <w:t xml:space="preserve">comprensión y conocimiento del sistema del PCT por los examinadores y </w:t>
      </w:r>
      <w:r w:rsidR="00E632A1" w:rsidRPr="00C47B5A">
        <w:t xml:space="preserve">por </w:t>
      </w:r>
      <w:r w:rsidRPr="00C47B5A">
        <w:t xml:space="preserve">la Oficina, </w:t>
      </w:r>
      <w:r w:rsidR="00064384">
        <w:t>permitiendo que</w:t>
      </w:r>
      <w:r w:rsidRPr="00C47B5A">
        <w:t xml:space="preserve"> ésta asuma un papel más eficaz en el desarrollo del sistema en su conjunto.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5 – </w:t>
      </w:r>
      <w:r w:rsidR="001D2834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ESTADO</w:t>
      </w:r>
      <w:r w:rsidR="00B73002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 SOLICITANTE</w:t>
      </w:r>
    </w:p>
    <w:p w:rsidR="00060372" w:rsidRPr="00C47B5A" w:rsidRDefault="00070ABD" w:rsidP="00060372">
      <w:pPr>
        <w:keepNext/>
        <w:keepLines/>
        <w:rPr>
          <w:b/>
        </w:rPr>
      </w:pPr>
      <w:r w:rsidRPr="00C47B5A">
        <w:rPr>
          <w:b/>
        </w:rPr>
        <w:t>Ubicación regional</w:t>
      </w:r>
    </w:p>
    <w:tbl>
      <w:tblPr>
        <w:tblW w:w="95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62"/>
      </w:tblGrid>
      <w:tr w:rsidR="00060372" w:rsidRPr="00C47B5A" w:rsidTr="00F56E11">
        <w:trPr>
          <w:trHeight w:val="5335"/>
        </w:trPr>
        <w:tc>
          <w:tcPr>
            <w:tcW w:w="9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0372" w:rsidRPr="00C47B5A" w:rsidRDefault="00060372" w:rsidP="00060372">
            <w:pPr>
              <w:suppressAutoHyphens/>
              <w:jc w:val="both"/>
            </w:pPr>
            <w:r w:rsidRPr="00C47B5A">
              <w:rPr>
                <w:noProof/>
                <w:lang w:val="en-US" w:eastAsia="en-US"/>
              </w:rPr>
              <w:drawing>
                <wp:inline distT="0" distB="0" distL="0" distR="0" wp14:anchorId="114CFA74" wp14:editId="5130DDBA">
                  <wp:extent cx="5934456" cy="3416809"/>
                  <wp:effectExtent l="0" t="0" r="0" b="0"/>
                  <wp:docPr id="2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456" cy="341680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0372" w:rsidRPr="00C47B5A" w:rsidRDefault="00070ABD" w:rsidP="00060372">
      <w:pPr>
        <w:jc w:val="both"/>
        <w:rPr>
          <w:i/>
          <w:iCs/>
        </w:rPr>
      </w:pPr>
      <w:r w:rsidRPr="00C47B5A">
        <w:rPr>
          <w:i/>
          <w:iCs/>
        </w:rPr>
        <w:t>Mapa que muestra el estado y Estados vecinos</w:t>
      </w:r>
    </w:p>
    <w:p w:rsidR="00060372" w:rsidRPr="00C47B5A" w:rsidRDefault="00060372" w:rsidP="00060372">
      <w:pPr>
        <w:jc w:val="both"/>
      </w:pPr>
    </w:p>
    <w:p w:rsidR="00070ABD" w:rsidRPr="00C47B5A" w:rsidRDefault="00070ABD" w:rsidP="00060372">
      <w:r w:rsidRPr="00C47B5A">
        <w:rPr>
          <w:b/>
        </w:rPr>
        <w:t>Pertenencia a organizaciones regionales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="00AC50A0" w:rsidRPr="00C47B5A">
        <w:t>l</w:t>
      </w:r>
      <w:r w:rsidRPr="00C47B5A">
        <w:t xml:space="preserve">a India </w:t>
      </w:r>
      <w:r w:rsidR="00AC50A0" w:rsidRPr="00C47B5A">
        <w:t>f</w:t>
      </w:r>
      <w:r w:rsidRPr="00C47B5A">
        <w:t xml:space="preserve">orma parte de numerosas organizaciones como </w:t>
      </w:r>
      <w:r w:rsidR="00AC50A0" w:rsidRPr="00C47B5A">
        <w:t xml:space="preserve">el Foro Regional de la Asociación Naciones del Sudeste asiático </w:t>
      </w:r>
      <w:r w:rsidR="00060372" w:rsidRPr="00C47B5A">
        <w:t xml:space="preserve">(ARF), </w:t>
      </w:r>
      <w:r w:rsidR="00B85EC8" w:rsidRPr="00C47B5A">
        <w:t>la Reunión Asia-Europa</w:t>
      </w:r>
      <w:r w:rsidR="00AC50A0" w:rsidRPr="00C47B5A">
        <w:t xml:space="preserve"> </w:t>
      </w:r>
      <w:r w:rsidR="00060372" w:rsidRPr="00C47B5A">
        <w:t xml:space="preserve">(ASEM), </w:t>
      </w:r>
      <w:r w:rsidR="00AC50A0" w:rsidRPr="00C47B5A">
        <w:t xml:space="preserve">la Conferencia sobre la interacción y las medidas de fomento de la confianza en Asia  </w:t>
      </w:r>
      <w:r w:rsidR="00060372" w:rsidRPr="00C47B5A">
        <w:t>(CICA),</w:t>
      </w:r>
      <w:r w:rsidR="00AC50A0" w:rsidRPr="00C47B5A">
        <w:t xml:space="preserve"> la</w:t>
      </w:r>
      <w:r w:rsidR="00060372" w:rsidRPr="00C47B5A">
        <w:t xml:space="preserve"> </w:t>
      </w:r>
      <w:r w:rsidR="00AC50A0" w:rsidRPr="00C47B5A">
        <w:t>Cumbre del Sudeste Asiático</w:t>
      </w:r>
      <w:r w:rsidR="00060372" w:rsidRPr="00C47B5A">
        <w:t xml:space="preserve">, </w:t>
      </w:r>
      <w:r w:rsidR="00AC50A0" w:rsidRPr="00C47B5A">
        <w:t xml:space="preserve">el Grupo de los Veinte </w:t>
      </w:r>
      <w:r w:rsidR="00060372" w:rsidRPr="00C47B5A">
        <w:t xml:space="preserve">(G20), </w:t>
      </w:r>
      <w:r w:rsidR="00B85EC8" w:rsidRPr="00C47B5A">
        <w:t xml:space="preserve">el grupo de países </w:t>
      </w:r>
      <w:r w:rsidR="00060372" w:rsidRPr="00C47B5A">
        <w:t xml:space="preserve">BRICS, </w:t>
      </w:r>
      <w:r w:rsidR="00AC50A0" w:rsidRPr="00C47B5A">
        <w:t>la</w:t>
      </w:r>
      <w:r w:rsidR="00060372" w:rsidRPr="00C47B5A">
        <w:t xml:space="preserve"> Commonwealth, </w:t>
      </w:r>
      <w:r w:rsidR="00AC50A0" w:rsidRPr="00C47B5A">
        <w:t xml:space="preserve">la Asociación de Cooperación Regional de los países del Océano Índico </w:t>
      </w:r>
      <w:r w:rsidR="00060372" w:rsidRPr="00C47B5A">
        <w:t xml:space="preserve">(IORARC) </w:t>
      </w:r>
      <w:r w:rsidR="00AC50A0" w:rsidRPr="00C47B5A">
        <w:t>y la</w:t>
      </w:r>
      <w:r w:rsidR="00060372" w:rsidRPr="00C47B5A">
        <w:t xml:space="preserve"> </w:t>
      </w:r>
      <w:r w:rsidR="00AC50A0" w:rsidRPr="00C47B5A">
        <w:t xml:space="preserve">Cooperación Mekong-Ganges </w:t>
      </w:r>
      <w:r w:rsidR="00060372" w:rsidRPr="00C47B5A">
        <w:t xml:space="preserve">(MGC).  </w:t>
      </w:r>
      <w:r w:rsidR="00300A0A" w:rsidRPr="00C47B5A">
        <w:t>La Indi</w:t>
      </w:r>
      <w:r w:rsidR="00AC50A0" w:rsidRPr="00C47B5A">
        <w:t xml:space="preserve">a también trabaja estrechamente con muchas </w:t>
      </w:r>
      <w:r w:rsidR="00B85EC8" w:rsidRPr="00C47B5A">
        <w:t xml:space="preserve">otras </w:t>
      </w:r>
      <w:r w:rsidR="00AC50A0" w:rsidRPr="00C47B5A">
        <w:t>organizaciones y brin</w:t>
      </w:r>
      <w:r w:rsidR="003E2311" w:rsidRPr="00C47B5A">
        <w:t>d</w:t>
      </w:r>
      <w:r w:rsidR="00AC50A0" w:rsidRPr="00C47B5A">
        <w:t>a</w:t>
      </w:r>
      <w:r w:rsidR="00B85EC8" w:rsidRPr="00C47B5A">
        <w:t xml:space="preserve"> su apoyo aunque no sea miembro</w:t>
      </w:r>
      <w:r w:rsidR="00AC50A0" w:rsidRPr="00C47B5A">
        <w:t xml:space="preserve"> de las mismas. </w:t>
      </w:r>
    </w:p>
    <w:p w:rsidR="00060372" w:rsidRPr="00C47B5A" w:rsidRDefault="00060372" w:rsidP="00060372"/>
    <w:p w:rsidR="00060372" w:rsidRPr="00C47B5A" w:rsidRDefault="00060372" w:rsidP="00060372">
      <w:r w:rsidRPr="00C47B5A">
        <w:rPr>
          <w:b/>
        </w:rPr>
        <w:t>Po</w:t>
      </w:r>
      <w:r w:rsidR="003E2311" w:rsidRPr="00C47B5A">
        <w:rPr>
          <w:b/>
        </w:rPr>
        <w:t>blación</w:t>
      </w:r>
      <w:r w:rsidRPr="00C47B5A">
        <w:rPr>
          <w:b/>
        </w:rPr>
        <w:t>:</w:t>
      </w:r>
      <w:r w:rsidRPr="00C47B5A">
        <w:t xml:space="preserve">  1.02</w:t>
      </w:r>
      <w:r w:rsidR="003E2311" w:rsidRPr="00C47B5A">
        <w:t>0</w:t>
      </w:r>
      <w:r w:rsidRPr="00C47B5A">
        <w:t xml:space="preserve"> </w:t>
      </w:r>
      <w:r w:rsidR="003E2311" w:rsidRPr="00C47B5A">
        <w:t xml:space="preserve">millones según el censo de </w:t>
      </w:r>
      <w:r w:rsidRPr="00C47B5A">
        <w:t xml:space="preserve"> 2011</w:t>
      </w:r>
    </w:p>
    <w:p w:rsidR="00060372" w:rsidRPr="00C47B5A" w:rsidRDefault="00060372" w:rsidP="00060372"/>
    <w:p w:rsidR="00060372" w:rsidRPr="00C47B5A" w:rsidRDefault="003E2311" w:rsidP="00060372">
      <w:r w:rsidRPr="00C47B5A">
        <w:rPr>
          <w:b/>
        </w:rPr>
        <w:t>PIB per cá</w:t>
      </w:r>
      <w:r w:rsidR="00060372" w:rsidRPr="00C47B5A">
        <w:rPr>
          <w:b/>
        </w:rPr>
        <w:t>pita:</w:t>
      </w:r>
      <w:r w:rsidR="00060372" w:rsidRPr="00C47B5A">
        <w:t xml:space="preserve">  1</w:t>
      </w:r>
      <w:r w:rsidRPr="00C47B5A">
        <w:t>.</w:t>
      </w:r>
      <w:r w:rsidR="00060372" w:rsidRPr="00C47B5A">
        <w:t xml:space="preserve">583 </w:t>
      </w:r>
      <w:r w:rsidRPr="00C47B5A">
        <w:t>dólares de los Estados Unidos</w:t>
      </w:r>
    </w:p>
    <w:p w:rsidR="00060372" w:rsidRPr="00C47B5A" w:rsidRDefault="00060372" w:rsidP="00060372"/>
    <w:p w:rsidR="00060372" w:rsidRPr="00C47B5A" w:rsidRDefault="003E2311" w:rsidP="00060372">
      <w:r w:rsidRPr="00C47B5A">
        <w:rPr>
          <w:b/>
          <w:bCs/>
          <w:szCs w:val="22"/>
        </w:rPr>
        <w:t>Gasto en I+D estimado (% del PIB):</w:t>
      </w:r>
      <w:r w:rsidRPr="00C47B5A">
        <w:t xml:space="preserve">  0,</w:t>
      </w:r>
      <w:r w:rsidR="00060372" w:rsidRPr="00C47B5A">
        <w:t>9%</w:t>
      </w:r>
    </w:p>
    <w:p w:rsidR="00060372" w:rsidRPr="00C47B5A" w:rsidRDefault="00060372" w:rsidP="00060372"/>
    <w:p w:rsidR="00060372" w:rsidRPr="00C47B5A" w:rsidRDefault="003E2311" w:rsidP="00060372">
      <w:r w:rsidRPr="00C47B5A">
        <w:rPr>
          <w:b/>
          <w:bCs/>
          <w:szCs w:val="22"/>
        </w:rPr>
        <w:lastRenderedPageBreak/>
        <w:t>Número de universidades dedicadas a la investigación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Pr="00C47B5A">
        <w:t>más de 700</w:t>
      </w:r>
    </w:p>
    <w:p w:rsidR="00060372" w:rsidRPr="00C47B5A" w:rsidRDefault="00060372" w:rsidP="00060372"/>
    <w:p w:rsidR="00C708B6" w:rsidRPr="00C47B5A" w:rsidRDefault="003E2311" w:rsidP="00060372">
      <w:r w:rsidRPr="00C47B5A">
        <w:rPr>
          <w:b/>
          <w:bCs/>
          <w:szCs w:val="22"/>
        </w:rPr>
        <w:t>Resumen de la red de información de patentes</w:t>
      </w:r>
      <w:r w:rsidRPr="00C47B5A">
        <w:rPr>
          <w:b/>
        </w:rPr>
        <w:t xml:space="preserve"> </w:t>
      </w:r>
      <w:r w:rsidR="00060372" w:rsidRPr="00C47B5A">
        <w:rPr>
          <w:b/>
        </w:rPr>
        <w:t>(</w:t>
      </w:r>
      <w:r w:rsidRPr="00C47B5A">
        <w:rPr>
          <w:b/>
        </w:rPr>
        <w:t>por ejemplo, bibliotecas de patentes, centros de apoyo a la tecnología y la innovación</w:t>
      </w:r>
      <w:r w:rsidRPr="00C47B5A">
        <w:t xml:space="preserve">):  </w:t>
      </w:r>
      <w:r w:rsidR="00424013" w:rsidRPr="00C47B5A">
        <w:t>la O</w:t>
      </w:r>
      <w:r w:rsidR="00106B73" w:rsidRPr="00C47B5A">
        <w:t xml:space="preserve">ficina de Patentes de la India ofrece </w:t>
      </w:r>
      <w:r w:rsidR="00424013" w:rsidRPr="00C47B5A">
        <w:t xml:space="preserve">en su sitio web oficial </w:t>
      </w:r>
      <w:r w:rsidR="00106B73" w:rsidRPr="00C47B5A">
        <w:t xml:space="preserve">un sistema de búsqueda de patentes gratuito denominado inPASS que permite la búsqueda de todas las </w:t>
      </w:r>
      <w:r w:rsidR="00424013" w:rsidRPr="00C47B5A">
        <w:t>solicitudes</w:t>
      </w:r>
      <w:r w:rsidR="00106B73" w:rsidRPr="00C47B5A">
        <w:t xml:space="preserve"> publicadas y de las patentes concedidas. </w:t>
      </w:r>
      <w:r w:rsidR="00C708B6" w:rsidRPr="00C47B5A">
        <w:t xml:space="preserve"> </w:t>
      </w:r>
      <w:r w:rsidR="00106B73" w:rsidRPr="00C47B5A">
        <w:t xml:space="preserve">En el país existen varios centros de apoyo a la innovación y a los derechos de P.I. </w:t>
      </w:r>
      <w:r w:rsidR="00C708B6" w:rsidRPr="00C47B5A">
        <w:t xml:space="preserve"> </w:t>
      </w:r>
      <w:r w:rsidR="00106B73" w:rsidRPr="00C47B5A">
        <w:t xml:space="preserve">El </w:t>
      </w:r>
      <w:r w:rsidR="00060372" w:rsidRPr="00C47B5A">
        <w:t xml:space="preserve">Biotechnology Industry Research Assistance Council (BIRAC), </w:t>
      </w:r>
      <w:r w:rsidR="00424013" w:rsidRPr="00C47B5A">
        <w:t xml:space="preserve">el </w:t>
      </w:r>
      <w:r w:rsidR="00060372" w:rsidRPr="00C47B5A">
        <w:t xml:space="preserve">Technology Information, Forecasting and Assessment Council (TIFAC), </w:t>
      </w:r>
      <w:r w:rsidR="00424013" w:rsidRPr="00C47B5A">
        <w:t xml:space="preserve">la </w:t>
      </w:r>
      <w:r w:rsidR="00060372" w:rsidRPr="00C47B5A">
        <w:t xml:space="preserve">National Research Development Corporation (NRDC) </w:t>
      </w:r>
      <w:r w:rsidR="00106B73" w:rsidRPr="00C47B5A">
        <w:t>y</w:t>
      </w:r>
      <w:r w:rsidR="00060372" w:rsidRPr="00C47B5A">
        <w:t xml:space="preserve"> </w:t>
      </w:r>
      <w:r w:rsidR="00424013" w:rsidRPr="00C47B5A">
        <w:t xml:space="preserve">la </w:t>
      </w:r>
      <w:r w:rsidR="00060372" w:rsidRPr="00C47B5A">
        <w:t xml:space="preserve">National Innovation Foundation (NIF) </w:t>
      </w:r>
      <w:r w:rsidR="00106B73" w:rsidRPr="00C47B5A">
        <w:t xml:space="preserve">son organizaciones establecidas por el Gobierno de la India para facilitar la innovación y la protección de los derechos de P.I.  Las iniciativas del Gobierno de la India como </w:t>
      </w:r>
      <w:r w:rsidR="00060372" w:rsidRPr="00C47B5A">
        <w:t xml:space="preserve">Start-up India </w:t>
      </w:r>
      <w:r w:rsidR="00106B73" w:rsidRPr="00C47B5A">
        <w:t>y la</w:t>
      </w:r>
      <w:r w:rsidR="00060372" w:rsidRPr="00C47B5A">
        <w:t xml:space="preserve"> Atal Innovation Mission (AIM) </w:t>
      </w:r>
      <w:r w:rsidR="00106B73" w:rsidRPr="00C47B5A">
        <w:t>junto con pequeños laboratorios de inici</w:t>
      </w:r>
      <w:r w:rsidR="00D44A3B">
        <w:t>ación a</w:t>
      </w:r>
      <w:r w:rsidR="00106B73" w:rsidRPr="00C47B5A">
        <w:t xml:space="preserve"> la investigación </w:t>
      </w:r>
      <w:r w:rsidR="00424013" w:rsidRPr="00C47B5A">
        <w:t xml:space="preserve">en colegios </w:t>
      </w:r>
      <w:r w:rsidR="00106B73" w:rsidRPr="00C47B5A">
        <w:t xml:space="preserve">y </w:t>
      </w:r>
      <w:r w:rsidR="00424013" w:rsidRPr="00C47B5A">
        <w:t xml:space="preserve">con </w:t>
      </w:r>
      <w:r w:rsidR="00106B73" w:rsidRPr="00C47B5A">
        <w:t>centros de incubación</w:t>
      </w:r>
      <w:r w:rsidR="0037627B">
        <w:t>,</w:t>
      </w:r>
      <w:r w:rsidR="00106B73" w:rsidRPr="00C47B5A">
        <w:t xml:space="preserve"> han creado un entorno </w:t>
      </w:r>
      <w:r w:rsidR="00424013" w:rsidRPr="00C47B5A">
        <w:t>de</w:t>
      </w:r>
      <w:r w:rsidR="00106B73" w:rsidRPr="00C47B5A">
        <w:t xml:space="preserve"> fomenta </w:t>
      </w:r>
      <w:r w:rsidR="00424013" w:rsidRPr="00C47B5A">
        <w:t xml:space="preserve">de </w:t>
      </w:r>
      <w:r w:rsidR="00106B73" w:rsidRPr="00C47B5A">
        <w:t xml:space="preserve">la innovación y el emprendimiento.  </w:t>
      </w:r>
      <w:r w:rsidR="00060372" w:rsidRPr="00C47B5A">
        <w:t xml:space="preserve">“Creative India, Innovative India” </w:t>
      </w:r>
      <w:r w:rsidR="00C708B6" w:rsidRPr="00C47B5A">
        <w:t xml:space="preserve">es el llamamiento </w:t>
      </w:r>
      <w:r w:rsidR="00424013" w:rsidRPr="00C47B5A">
        <w:t>representativo de</w:t>
      </w:r>
      <w:r w:rsidR="00A55D53" w:rsidRPr="00C47B5A">
        <w:t xml:space="preserve"> la Política Nacional sobre D</w:t>
      </w:r>
      <w:r w:rsidR="00C708B6" w:rsidRPr="00C47B5A">
        <w:t>erechos de P.I. lanzada en 2016 que prevé la creación de dependencias especializadas para ayudar a todo tipo de titular</w:t>
      </w:r>
      <w:r w:rsidR="00424013" w:rsidRPr="00C47B5A">
        <w:t>es</w:t>
      </w:r>
      <w:r w:rsidR="00C708B6" w:rsidRPr="00C47B5A">
        <w:t xml:space="preserve"> de P.I. en la comercialización de </w:t>
      </w:r>
      <w:r w:rsidR="00424013" w:rsidRPr="00C47B5A">
        <w:t xml:space="preserve">sus </w:t>
      </w:r>
      <w:r w:rsidR="00C708B6" w:rsidRPr="00C47B5A">
        <w:t>activos de P.I.</w:t>
      </w:r>
      <w:r w:rsidR="00424013" w:rsidRPr="00C47B5A">
        <w:t xml:space="preserve"> </w:t>
      </w:r>
    </w:p>
    <w:p w:rsidR="004D0BF0" w:rsidRPr="00C47B5A" w:rsidRDefault="004D0BF0" w:rsidP="00060372">
      <w:pPr>
        <w:rPr>
          <w:b/>
        </w:rPr>
      </w:pPr>
    </w:p>
    <w:p w:rsidR="00060372" w:rsidRPr="00C47B5A" w:rsidRDefault="00B73002" w:rsidP="00060372">
      <w:r w:rsidRPr="00C47B5A">
        <w:rPr>
          <w:b/>
          <w:bCs/>
          <w:szCs w:val="22"/>
        </w:rPr>
        <w:t>P</w:t>
      </w:r>
      <w:r w:rsidR="003E2311" w:rsidRPr="00C47B5A">
        <w:rPr>
          <w:b/>
          <w:bCs/>
          <w:szCs w:val="22"/>
        </w:rPr>
        <w:t>rincipales</w:t>
      </w:r>
      <w:r w:rsidRPr="00C47B5A">
        <w:rPr>
          <w:b/>
          <w:bCs/>
          <w:szCs w:val="22"/>
        </w:rPr>
        <w:t xml:space="preserve"> industrias</w:t>
      </w:r>
      <w:proofErr w:type="gramStart"/>
      <w:r w:rsidR="00060372" w:rsidRPr="00C47B5A">
        <w:rPr>
          <w:b/>
        </w:rPr>
        <w:t>:</w:t>
      </w:r>
      <w:r w:rsidR="00060372" w:rsidRPr="00C47B5A">
        <w:t xml:space="preserve">  Textil</w:t>
      </w:r>
      <w:proofErr w:type="gramEnd"/>
      <w:r w:rsidR="00060372" w:rsidRPr="00C47B5A">
        <w:t xml:space="preserve">, </w:t>
      </w:r>
      <w:r w:rsidR="00C708B6" w:rsidRPr="00C47B5A">
        <w:t>transformación agroalimentaria</w:t>
      </w:r>
      <w:r w:rsidR="00060372" w:rsidRPr="00C47B5A">
        <w:t xml:space="preserve">, </w:t>
      </w:r>
      <w:r w:rsidR="00C708B6" w:rsidRPr="00C47B5A">
        <w:t>química, c</w:t>
      </w:r>
      <w:r w:rsidR="00060372" w:rsidRPr="00C47B5A">
        <w:t>ement</w:t>
      </w:r>
      <w:r w:rsidR="00C708B6" w:rsidRPr="00C47B5A">
        <w:t>era</w:t>
      </w:r>
      <w:r w:rsidR="00060372" w:rsidRPr="00C47B5A">
        <w:t xml:space="preserve">, </w:t>
      </w:r>
      <w:r w:rsidR="00424013" w:rsidRPr="00C47B5A">
        <w:t>siderúrgica</w:t>
      </w:r>
      <w:r w:rsidR="00060372" w:rsidRPr="00C47B5A">
        <w:t xml:space="preserve">, </w:t>
      </w:r>
      <w:r w:rsidR="00C708B6" w:rsidRPr="00C47B5A">
        <w:t>tecnologías de la información y servicios conexos, m</w:t>
      </w:r>
      <w:r w:rsidR="00060372" w:rsidRPr="00C47B5A">
        <w:t>in</w:t>
      </w:r>
      <w:r w:rsidR="00C708B6" w:rsidRPr="00C47B5A">
        <w:t>ería y petróleo</w:t>
      </w:r>
      <w:r w:rsidR="00060372" w:rsidRPr="00C47B5A">
        <w:t>.</w:t>
      </w:r>
    </w:p>
    <w:p w:rsidR="00060372" w:rsidRPr="00C47B5A" w:rsidRDefault="00060372" w:rsidP="00C708B6">
      <w:pPr>
        <w:tabs>
          <w:tab w:val="left" w:pos="7407"/>
        </w:tabs>
      </w:pPr>
    </w:p>
    <w:p w:rsidR="00060372" w:rsidRPr="00C47B5A" w:rsidRDefault="003E2311" w:rsidP="00060372">
      <w:r w:rsidRPr="00C47B5A">
        <w:rPr>
          <w:b/>
          <w:szCs w:val="22"/>
        </w:rPr>
        <w:t>Principales socios comerciales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="00C708B6" w:rsidRPr="00C47B5A">
        <w:t xml:space="preserve">República Popular </w:t>
      </w:r>
      <w:r w:rsidR="00060372" w:rsidRPr="00C47B5A">
        <w:t xml:space="preserve">China, </w:t>
      </w:r>
      <w:r w:rsidR="00C708B6" w:rsidRPr="00C47B5A">
        <w:t xml:space="preserve">Estados Unidos de América </w:t>
      </w:r>
      <w:r w:rsidR="00060372" w:rsidRPr="00C47B5A">
        <w:t xml:space="preserve">, </w:t>
      </w:r>
      <w:r w:rsidR="00C708B6" w:rsidRPr="00C47B5A">
        <w:t xml:space="preserve">Emiratos Árabes Unidos, </w:t>
      </w:r>
      <w:r w:rsidR="00060372" w:rsidRPr="00C47B5A">
        <w:t>Arabia</w:t>
      </w:r>
      <w:r w:rsidR="00C708B6" w:rsidRPr="00C47B5A">
        <w:t xml:space="preserve"> Saudita</w:t>
      </w:r>
      <w:r w:rsidR="00060372" w:rsidRPr="00C47B5A">
        <w:t xml:space="preserve">, Hong Kong, </w:t>
      </w:r>
      <w:r w:rsidR="00C708B6" w:rsidRPr="00C47B5A">
        <w:t>Alemania</w:t>
      </w:r>
      <w:r w:rsidR="00060372" w:rsidRPr="00C47B5A">
        <w:t xml:space="preserve">, </w:t>
      </w:r>
      <w:r w:rsidR="00C708B6" w:rsidRPr="00C47B5A">
        <w:t>Suiza</w:t>
      </w:r>
      <w:r w:rsidR="00060372" w:rsidRPr="00C47B5A">
        <w:t>, Rep</w:t>
      </w:r>
      <w:r w:rsidR="00C708B6" w:rsidRPr="00C47B5A">
        <w:t>ública de Corea</w:t>
      </w:r>
      <w:r w:rsidR="00060372" w:rsidRPr="00C47B5A">
        <w:t>, Indonesia, Singap</w:t>
      </w:r>
      <w:r w:rsidR="00C708B6" w:rsidRPr="00C47B5A">
        <w:t>ur, Mala</w:t>
      </w:r>
      <w:r w:rsidR="00060372" w:rsidRPr="00C47B5A">
        <w:t xml:space="preserve">sia </w:t>
      </w:r>
      <w:r w:rsidR="00C708B6" w:rsidRPr="00C47B5A">
        <w:t>y Japón</w:t>
      </w:r>
      <w:r w:rsidR="0063348B">
        <w:t>.</w:t>
      </w:r>
    </w:p>
    <w:p w:rsidR="00060372" w:rsidRPr="00C47B5A" w:rsidRDefault="00060372" w:rsidP="00060372"/>
    <w:p w:rsidR="00F86FBC" w:rsidRPr="00C47B5A" w:rsidRDefault="003E2311" w:rsidP="00F86FBC">
      <w:r w:rsidRPr="00C47B5A">
        <w:rPr>
          <w:b/>
          <w:bCs/>
          <w:szCs w:val="22"/>
        </w:rPr>
        <w:t>Información complementaria</w:t>
      </w:r>
      <w:r w:rsidR="0049191E" w:rsidRPr="00C47B5A">
        <w:rPr>
          <w:b/>
          <w:bCs/>
          <w:szCs w:val="22"/>
        </w:rPr>
        <w:t xml:space="preserve"> clave</w:t>
      </w:r>
      <w:r w:rsidR="00060372" w:rsidRPr="00C47B5A">
        <w:rPr>
          <w:b/>
        </w:rPr>
        <w:t>:</w:t>
      </w:r>
      <w:r w:rsidR="00060372" w:rsidRPr="00C47B5A">
        <w:t xml:space="preserve">  </w:t>
      </w:r>
      <w:r w:rsidR="00B746FE" w:rsidRPr="00C47B5A">
        <w:t xml:space="preserve">la </w:t>
      </w:r>
      <w:r w:rsidR="00A55D53" w:rsidRPr="00C47B5A">
        <w:t xml:space="preserve">Política Nacional sobre Derechos de P.I </w:t>
      </w:r>
      <w:r w:rsidR="00B746FE" w:rsidRPr="00C47B5A">
        <w:t>es un paso de gigante del Gobierno de la India para el fomento de la creatividad y el estímulo de la innovación</w:t>
      </w:r>
      <w:r w:rsidR="00F86FBC" w:rsidRPr="00C47B5A">
        <w:t>.  El documento establece la hoja de ruta para el futuro de los derechos de P.I. en la India con la visión de “Una India donde la creatividad y la innovación están estimuladas por la Propiedad Intelectual en benefici</w:t>
      </w:r>
      <w:r w:rsidR="00D435D6">
        <w:t>o de todos; una India donde la Propiedad I</w:t>
      </w:r>
      <w:r w:rsidR="00F86FBC" w:rsidRPr="00C47B5A">
        <w:t>ntelectual promueve el avance científico y tecnológico, las artes y la cultura, el conocimiento tradicional y los recursos de la biodiversidad; una India donde el conocimiento es el motor principal del desarrollo y el conocimiento propio se transforma en conocimi</w:t>
      </w:r>
      <w:r w:rsidR="00A55D53" w:rsidRPr="00C47B5A">
        <w:t>ento compartido”.  La Política N</w:t>
      </w:r>
      <w:r w:rsidR="00F86FBC" w:rsidRPr="00C47B5A">
        <w:t xml:space="preserve">acional </w:t>
      </w:r>
      <w:r w:rsidR="00A55D53" w:rsidRPr="00C47B5A">
        <w:t>sobre D</w:t>
      </w:r>
      <w:r w:rsidR="00F86FBC" w:rsidRPr="00C47B5A">
        <w:t xml:space="preserve">erechos de P.I. está disponible en el sitio web del Ministerio de Política y Promoción Industrial: </w:t>
      </w:r>
      <w:r w:rsidR="00A55D53" w:rsidRPr="00C47B5A">
        <w:t xml:space="preserve"> </w:t>
      </w:r>
    </w:p>
    <w:p w:rsidR="00060372" w:rsidRPr="007C407D" w:rsidRDefault="007D17CB" w:rsidP="00060372">
      <w:pPr>
        <w:rPr>
          <w:lang w:val="en-US"/>
        </w:rPr>
      </w:pPr>
      <w:hyperlink r:id="rId13" w:history="1">
        <w:r w:rsidR="00060372" w:rsidRPr="00C47B5A">
          <w:rPr>
            <w:rtl/>
            <w:cs/>
          </w:rPr>
          <w:t>‎</w:t>
        </w:r>
        <w:r w:rsidR="00060372" w:rsidRPr="007C407D">
          <w:rPr>
            <w:lang w:val="en-US"/>
          </w:rPr>
          <w:t>dipp.nic.in/English/Schemes/Intellectual_Property_Rights/National_IPR_Policy_08.08.2016.pdf</w:t>
        </w:r>
      </w:hyperlink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6 – </w:t>
      </w:r>
      <w:r w:rsidR="001D2834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PERFIL DE LAS SOLICITUDES DE PATENTES</w:t>
      </w:r>
    </w:p>
    <w:p w:rsidR="00060372" w:rsidRPr="00C47B5A" w:rsidRDefault="001D2834" w:rsidP="00060372">
      <w:pPr>
        <w:rPr>
          <w:b/>
        </w:rPr>
      </w:pPr>
      <w:r w:rsidRPr="00C47B5A">
        <w:rPr>
          <w:b/>
        </w:rPr>
        <w:t xml:space="preserve">Número de solicitudes </w:t>
      </w:r>
      <w:r w:rsidR="00686863" w:rsidRPr="00C47B5A">
        <w:rPr>
          <w:b/>
        </w:rPr>
        <w:t xml:space="preserve">de patente nacional </w:t>
      </w:r>
      <w:r w:rsidR="00B73002" w:rsidRPr="00C47B5A">
        <w:rPr>
          <w:b/>
        </w:rPr>
        <w:t xml:space="preserve">recibidas - </w:t>
      </w:r>
      <w:r w:rsidR="00686863" w:rsidRPr="00C47B5A">
        <w:rPr>
          <w:b/>
        </w:rPr>
        <w:t>por campo</w:t>
      </w:r>
      <w:r w:rsidRPr="00C47B5A">
        <w:rPr>
          <w:b/>
        </w:rPr>
        <w:t xml:space="preserve"> técnico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060372" w:rsidRPr="00C47B5A" w:rsidTr="00F56E1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rPr>
                <w:b/>
              </w:rPr>
            </w:pPr>
          </w:p>
          <w:p w:rsidR="00060372" w:rsidRPr="00C47B5A" w:rsidRDefault="001D2834" w:rsidP="00060372">
            <w:pPr>
              <w:jc w:val="right"/>
              <w:rPr>
                <w:b/>
              </w:rPr>
            </w:pPr>
            <w:r w:rsidRPr="00C47B5A">
              <w:rPr>
                <w:b/>
              </w:rPr>
              <w:t>Año</w:t>
            </w:r>
          </w:p>
          <w:p w:rsidR="00060372" w:rsidRPr="00C47B5A" w:rsidRDefault="001470C0" w:rsidP="00060372">
            <w:pPr>
              <w:rPr>
                <w:b/>
              </w:rPr>
            </w:pPr>
            <w:r w:rsidRPr="00C47B5A">
              <w:rPr>
                <w:b/>
              </w:rPr>
              <w:t>Campo</w:t>
            </w:r>
            <w:r w:rsidR="001D2834" w:rsidRPr="00C47B5A">
              <w:rPr>
                <w:b/>
              </w:rPr>
              <w:t xml:space="preserve"> técnico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2011-12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2012-13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2013-14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2014-15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2015-16</w:t>
            </w:r>
          </w:p>
        </w:tc>
      </w:tr>
      <w:tr w:rsidR="002F3BA3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A3" w:rsidRPr="00C47B5A" w:rsidRDefault="002F3BA3" w:rsidP="002F3BA3">
            <w:r w:rsidRPr="00C47B5A">
              <w:t>Mecánica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12.184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13.757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14.218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13.108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13.399</w:t>
            </w:r>
          </w:p>
        </w:tc>
      </w:tr>
      <w:tr w:rsidR="002F3BA3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A3" w:rsidRPr="00C47B5A" w:rsidRDefault="002F3BA3" w:rsidP="002F3BA3">
            <w:r w:rsidRPr="00C47B5A">
              <w:t xml:space="preserve">Electricidad/electrónica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16.427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15.801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15.662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16.894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20.291</w:t>
            </w:r>
          </w:p>
        </w:tc>
      </w:tr>
      <w:tr w:rsidR="002F3BA3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BA3" w:rsidRPr="00C47B5A" w:rsidRDefault="002F3BA3" w:rsidP="002F3BA3">
            <w:r w:rsidRPr="00C47B5A">
              <w:t>Química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11.153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11.677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10.748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10.571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11.138</w:t>
            </w:r>
          </w:p>
        </w:tc>
      </w:tr>
      <w:tr w:rsidR="002F3BA3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r w:rsidRPr="00C47B5A">
              <w:t>Biotecnología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3.433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2.439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2.323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2.190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3BA3" w:rsidRPr="00C47B5A" w:rsidRDefault="002F3BA3" w:rsidP="002F3BA3">
            <w:pPr>
              <w:ind w:right="324"/>
              <w:jc w:val="right"/>
            </w:pPr>
            <w:r w:rsidRPr="00C47B5A">
              <w:t>2.076</w:t>
            </w:r>
          </w:p>
        </w:tc>
      </w:tr>
      <w:tr w:rsidR="00060372" w:rsidRPr="00C47B5A" w:rsidTr="00F56E1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rPr>
                <w:i/>
              </w:rPr>
            </w:pPr>
            <w:r w:rsidRPr="00C47B5A">
              <w:rPr>
                <w:i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  <w:rPr>
                <w:i/>
              </w:rPr>
            </w:pPr>
            <w:r w:rsidRPr="00C47B5A">
              <w:rPr>
                <w:i/>
              </w:rPr>
              <w:t>43</w:t>
            </w:r>
            <w:r w:rsidR="001D2834" w:rsidRPr="00C47B5A">
              <w:rPr>
                <w:i/>
              </w:rPr>
              <w:t>.</w:t>
            </w:r>
            <w:r w:rsidRPr="00C47B5A">
              <w:rPr>
                <w:i/>
              </w:rPr>
              <w:t>197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  <w:rPr>
                <w:i/>
              </w:rPr>
            </w:pPr>
            <w:r w:rsidRPr="00C47B5A">
              <w:rPr>
                <w:i/>
              </w:rPr>
              <w:t>43</w:t>
            </w:r>
            <w:r w:rsidR="001D2834" w:rsidRPr="00C47B5A">
              <w:rPr>
                <w:i/>
              </w:rPr>
              <w:t>.</w:t>
            </w:r>
            <w:r w:rsidRPr="00C47B5A">
              <w:rPr>
                <w:i/>
              </w:rPr>
              <w:t>674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  <w:rPr>
                <w:i/>
              </w:rPr>
            </w:pPr>
            <w:r w:rsidRPr="00C47B5A">
              <w:rPr>
                <w:i/>
              </w:rPr>
              <w:t>42</w:t>
            </w:r>
            <w:r w:rsidR="001D2834" w:rsidRPr="00C47B5A">
              <w:rPr>
                <w:i/>
              </w:rPr>
              <w:t>.</w:t>
            </w:r>
            <w:r w:rsidRPr="00C47B5A">
              <w:rPr>
                <w:i/>
              </w:rPr>
              <w:t>951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  <w:rPr>
                <w:i/>
              </w:rPr>
            </w:pPr>
            <w:r w:rsidRPr="00C47B5A">
              <w:rPr>
                <w:i/>
              </w:rPr>
              <w:t>42</w:t>
            </w:r>
            <w:r w:rsidR="001D2834" w:rsidRPr="00C47B5A">
              <w:rPr>
                <w:i/>
              </w:rPr>
              <w:t>.</w:t>
            </w:r>
            <w:r w:rsidRPr="00C47B5A">
              <w:rPr>
                <w:i/>
              </w:rPr>
              <w:t>763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  <w:rPr>
                <w:i/>
              </w:rPr>
            </w:pPr>
            <w:r w:rsidRPr="00C47B5A">
              <w:rPr>
                <w:i/>
              </w:rPr>
              <w:t>46</w:t>
            </w:r>
            <w:r w:rsidR="001D2834" w:rsidRPr="00C47B5A">
              <w:rPr>
                <w:i/>
              </w:rPr>
              <w:t>.</w:t>
            </w:r>
            <w:r w:rsidRPr="00C47B5A">
              <w:rPr>
                <w:i/>
              </w:rPr>
              <w:t>904</w:t>
            </w:r>
          </w:p>
        </w:tc>
      </w:tr>
    </w:tbl>
    <w:p w:rsidR="00060372" w:rsidRPr="00C47B5A" w:rsidRDefault="00060372" w:rsidP="00060372">
      <w:pPr>
        <w:widowControl w:val="0"/>
        <w:jc w:val="both"/>
      </w:pPr>
    </w:p>
    <w:p w:rsidR="00F31694" w:rsidRPr="00C47B5A" w:rsidRDefault="00F31694">
      <w:pPr>
        <w:rPr>
          <w:b/>
          <w:bCs/>
        </w:rPr>
      </w:pPr>
      <w:r w:rsidRPr="00C47B5A">
        <w:rPr>
          <w:b/>
          <w:bCs/>
        </w:rPr>
        <w:br w:type="page"/>
      </w:r>
    </w:p>
    <w:p w:rsidR="00060372" w:rsidRPr="00C47B5A" w:rsidRDefault="001D2834" w:rsidP="00060372">
      <w:pPr>
        <w:jc w:val="both"/>
        <w:rPr>
          <w:b/>
          <w:bCs/>
        </w:rPr>
      </w:pPr>
      <w:r w:rsidRPr="00C47B5A">
        <w:rPr>
          <w:b/>
          <w:bCs/>
        </w:rPr>
        <w:lastRenderedPageBreak/>
        <w:t xml:space="preserve">Número de solicitudes </w:t>
      </w:r>
      <w:r w:rsidR="00B73002" w:rsidRPr="00C47B5A">
        <w:rPr>
          <w:b/>
          <w:bCs/>
        </w:rPr>
        <w:t xml:space="preserve">de patente </w:t>
      </w:r>
      <w:r w:rsidRPr="00C47B5A">
        <w:rPr>
          <w:b/>
          <w:bCs/>
        </w:rPr>
        <w:t>nacional recibidas – según la vía</w:t>
      </w:r>
      <w:r w:rsidR="001470C0" w:rsidRPr="00C47B5A">
        <w:rPr>
          <w:b/>
          <w:bCs/>
        </w:rPr>
        <w:t xml:space="preserve"> utilizada</w:t>
      </w:r>
    </w:p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060372" w:rsidRPr="00C47B5A" w:rsidTr="00F56E11">
        <w:trPr>
          <w:trHeight w:val="72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rPr>
                <w:b/>
              </w:rPr>
            </w:pPr>
          </w:p>
          <w:p w:rsidR="00060372" w:rsidRPr="00C47B5A" w:rsidRDefault="001D2834" w:rsidP="001D2834">
            <w:pPr>
              <w:tabs>
                <w:tab w:val="right" w:pos="2302"/>
              </w:tabs>
              <w:rPr>
                <w:b/>
              </w:rPr>
            </w:pPr>
            <w:r w:rsidRPr="00C47B5A">
              <w:rPr>
                <w:b/>
              </w:rPr>
              <w:t>Vía</w:t>
            </w:r>
            <w:r w:rsidRPr="00C47B5A">
              <w:rPr>
                <w:b/>
              </w:rPr>
              <w:tab/>
              <w:t>Año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2011-12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2012-13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2013-14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2014-15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2015-16</w:t>
            </w:r>
          </w:p>
        </w:tc>
      </w:tr>
      <w:tr w:rsidR="00060372" w:rsidRPr="00C47B5A" w:rsidTr="00F56E11">
        <w:trPr>
          <w:trHeight w:val="4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1D2834" w:rsidP="001D2834">
            <w:r w:rsidRPr="00C47B5A">
              <w:t>Primera presentación nacional</w:t>
            </w:r>
            <w:r w:rsidR="00060372" w:rsidRPr="00C47B5A">
              <w:t>/</w:t>
            </w:r>
            <w:r w:rsidRPr="00C47B5A">
              <w:t>prioridad interna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8</w:t>
            </w:r>
            <w:r w:rsidR="001D2834" w:rsidRPr="00C47B5A">
              <w:t>.</w:t>
            </w:r>
            <w:r w:rsidRPr="00C47B5A">
              <w:t>678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9</w:t>
            </w:r>
            <w:r w:rsidR="001D2834" w:rsidRPr="00C47B5A">
              <w:t>.</w:t>
            </w:r>
            <w:r w:rsidRPr="00C47B5A">
              <w:t>911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10</w:t>
            </w:r>
            <w:r w:rsidR="001D2834" w:rsidRPr="00C47B5A">
              <w:t>.</w:t>
            </w:r>
            <w:r w:rsidRPr="00C47B5A">
              <w:t>941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12</w:t>
            </w:r>
            <w:r w:rsidR="001D2834" w:rsidRPr="00C47B5A">
              <w:t>.</w:t>
            </w:r>
            <w:r w:rsidRPr="00C47B5A">
              <w:t>071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13</w:t>
            </w:r>
            <w:r w:rsidR="001D2834" w:rsidRPr="00C47B5A">
              <w:t>.</w:t>
            </w:r>
            <w:r w:rsidRPr="00C47B5A">
              <w:t>066</w:t>
            </w:r>
          </w:p>
        </w:tc>
      </w:tr>
      <w:tr w:rsidR="00060372" w:rsidRPr="00C47B5A" w:rsidTr="00F56E11">
        <w:trPr>
          <w:trHeight w:val="2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1D2834" w:rsidP="0063348B">
            <w:r w:rsidRPr="00C47B5A">
              <w:t xml:space="preserve">Prioridad </w:t>
            </w:r>
            <w:r w:rsidR="001470C0" w:rsidRPr="00C47B5A">
              <w:t>por la vía de</w:t>
            </w:r>
            <w:r w:rsidRPr="00C47B5A">
              <w:t xml:space="preserve"> </w:t>
            </w:r>
            <w:r w:rsidR="00060372" w:rsidRPr="00C47B5A">
              <w:t>Par</w:t>
            </w:r>
            <w:r w:rsidR="0063348B">
              <w:t>í</w:t>
            </w:r>
            <w:r w:rsidR="00060372" w:rsidRPr="00C47B5A">
              <w:t xml:space="preserve">s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4</w:t>
            </w:r>
            <w:r w:rsidR="001D2834" w:rsidRPr="00C47B5A">
              <w:t>.</w:t>
            </w:r>
            <w:r w:rsidRPr="00C47B5A">
              <w:t>295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4</w:t>
            </w:r>
            <w:r w:rsidR="001D2834" w:rsidRPr="00C47B5A">
              <w:t>.</w:t>
            </w:r>
            <w:r w:rsidRPr="00C47B5A">
              <w:t>215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3</w:t>
            </w:r>
            <w:r w:rsidR="001D2834" w:rsidRPr="00C47B5A">
              <w:t>.</w:t>
            </w:r>
            <w:r w:rsidRPr="00C47B5A">
              <w:t>704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3</w:t>
            </w:r>
            <w:r w:rsidR="001D2834" w:rsidRPr="00C47B5A">
              <w:t>.</w:t>
            </w:r>
            <w:r w:rsidRPr="00C47B5A">
              <w:t>174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3</w:t>
            </w:r>
            <w:r w:rsidR="001D2834" w:rsidRPr="00C47B5A">
              <w:t>.</w:t>
            </w:r>
            <w:r w:rsidRPr="00C47B5A">
              <w:t>675</w:t>
            </w:r>
          </w:p>
        </w:tc>
      </w:tr>
      <w:tr w:rsidR="00060372" w:rsidRPr="00C47B5A" w:rsidTr="00F56E11">
        <w:trPr>
          <w:trHeight w:val="48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1D2834" w:rsidP="001D2834">
            <w:r w:rsidRPr="00C47B5A">
              <w:t xml:space="preserve">Entrada en la fase nacional del </w:t>
            </w:r>
            <w:r w:rsidR="00060372" w:rsidRPr="00C47B5A">
              <w:t xml:space="preserve">PCT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28</w:t>
            </w:r>
            <w:r w:rsidR="001D2834" w:rsidRPr="00C47B5A">
              <w:t>.</w:t>
            </w:r>
            <w:r w:rsidRPr="00C47B5A">
              <w:t>965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28</w:t>
            </w:r>
            <w:r w:rsidR="001D2834" w:rsidRPr="00C47B5A">
              <w:t>.</w:t>
            </w:r>
            <w:r w:rsidRPr="00C47B5A">
              <w:t>435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27</w:t>
            </w:r>
            <w:r w:rsidR="001D2834" w:rsidRPr="00C47B5A">
              <w:t>.</w:t>
            </w:r>
            <w:r w:rsidRPr="00C47B5A">
              <w:t>078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26</w:t>
            </w:r>
            <w:r w:rsidR="001D2834" w:rsidRPr="00C47B5A">
              <w:t>.</w:t>
            </w:r>
            <w:r w:rsidRPr="00C47B5A">
              <w:t>057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ind w:right="324"/>
              <w:jc w:val="right"/>
            </w:pPr>
            <w:r w:rsidRPr="00C47B5A">
              <w:t>28</w:t>
            </w:r>
            <w:r w:rsidR="001D2834" w:rsidRPr="00C47B5A">
              <w:t>.</w:t>
            </w:r>
            <w:r w:rsidRPr="00C47B5A">
              <w:t>248</w:t>
            </w:r>
          </w:p>
        </w:tc>
      </w:tr>
    </w:tbl>
    <w:p w:rsidR="00060372" w:rsidRPr="00C47B5A" w:rsidRDefault="00060372" w:rsidP="00060372"/>
    <w:p w:rsidR="00356F21" w:rsidRPr="00C47B5A" w:rsidRDefault="007C6774" w:rsidP="00060372">
      <w:r w:rsidRPr="00C47B5A">
        <w:rPr>
          <w:b/>
        </w:rPr>
        <w:t xml:space="preserve">Número de solicitudes internacionales recibidas </w:t>
      </w:r>
      <w:r w:rsidR="00B73002" w:rsidRPr="00C47B5A">
        <w:rPr>
          <w:b/>
        </w:rPr>
        <w:t>en calidad de</w:t>
      </w:r>
      <w:r w:rsidRPr="00C47B5A">
        <w:rPr>
          <w:b/>
        </w:rPr>
        <w:t xml:space="preserve"> </w:t>
      </w:r>
      <w:r w:rsidR="00F31694" w:rsidRPr="00C47B5A">
        <w:rPr>
          <w:b/>
        </w:rPr>
        <w:t>O</w:t>
      </w:r>
      <w:r w:rsidRPr="00C47B5A">
        <w:rPr>
          <w:b/>
        </w:rPr>
        <w:t>ficina receptora</w:t>
      </w:r>
      <w:r w:rsidR="001470C0" w:rsidRPr="00C47B5A">
        <w:rPr>
          <w:b/>
        </w:rPr>
        <w:t xml:space="preserve"> </w:t>
      </w:r>
      <w:r w:rsidR="00452BBC" w:rsidRPr="00C47B5A">
        <w:rPr>
          <w:b/>
        </w:rPr>
        <w:t xml:space="preserve">del </w:t>
      </w:r>
      <w:r w:rsidR="001470C0" w:rsidRPr="00C47B5A">
        <w:rPr>
          <w:b/>
        </w:rPr>
        <w:t>PCT</w:t>
      </w:r>
      <w:r w:rsidR="00060372" w:rsidRPr="00C47B5A">
        <w:t xml:space="preserve"> (</w:t>
      </w:r>
      <w:r w:rsidR="00356F21" w:rsidRPr="00C47B5A">
        <w:t xml:space="preserve">se </w:t>
      </w:r>
      <w:r w:rsidR="00F31694" w:rsidRPr="00C47B5A">
        <w:t>incluye</w:t>
      </w:r>
      <w:r w:rsidR="00356F21" w:rsidRPr="00C47B5A">
        <w:t xml:space="preserve"> el </w:t>
      </w:r>
      <w:r w:rsidR="00344DC7" w:rsidRPr="00C47B5A">
        <w:t>número de solicitudes internacionales presentadas por solicitantes nacionales o resident</w:t>
      </w:r>
      <w:r w:rsidR="00356F21" w:rsidRPr="00C47B5A">
        <w:t>e</w:t>
      </w:r>
      <w:r w:rsidR="00344DC7" w:rsidRPr="00C47B5A">
        <w:t xml:space="preserve">s en </w:t>
      </w:r>
      <w:r w:rsidR="00356F21" w:rsidRPr="00C47B5A">
        <w:t xml:space="preserve">la </w:t>
      </w:r>
      <w:r w:rsidR="00344DC7" w:rsidRPr="00C47B5A">
        <w:t xml:space="preserve">India </w:t>
      </w:r>
      <w:r w:rsidR="00356F21" w:rsidRPr="00C47B5A">
        <w:t xml:space="preserve">que utilizan </w:t>
      </w:r>
      <w:r w:rsidR="00F31694" w:rsidRPr="00C47B5A">
        <w:t xml:space="preserve">como Oficina receptora </w:t>
      </w:r>
      <w:r w:rsidR="00356F21" w:rsidRPr="00C47B5A">
        <w:t xml:space="preserve">la Oficina de la India (RO/IN) </w:t>
      </w:r>
      <w:r w:rsidR="00F31694" w:rsidRPr="00C47B5A">
        <w:t>o</w:t>
      </w:r>
      <w:r w:rsidR="00356F21" w:rsidRPr="00C47B5A">
        <w:t xml:space="preserve"> la Oficina Internacional (RO/IB).</w:t>
      </w:r>
    </w:p>
    <w:p w:rsidR="00060372" w:rsidRPr="00C47B5A" w:rsidRDefault="00060372" w:rsidP="00060372"/>
    <w:tbl>
      <w:tblPr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060372" w:rsidRPr="00C47B5A" w:rsidTr="00F56E1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</w:tcPr>
          <w:p w:rsidR="00060372" w:rsidRPr="00C47B5A" w:rsidRDefault="00060372" w:rsidP="00060372"/>
          <w:p w:rsidR="00060372" w:rsidRPr="00C47B5A" w:rsidRDefault="00387DE9" w:rsidP="00060372">
            <w:pPr>
              <w:jc w:val="right"/>
            </w:pPr>
            <w:r w:rsidRPr="00C47B5A">
              <w:t>Año</w:t>
            </w:r>
          </w:p>
          <w:p w:rsidR="00060372" w:rsidRPr="00C47B5A" w:rsidRDefault="00387DE9" w:rsidP="00060372">
            <w:r w:rsidRPr="00C47B5A">
              <w:t>Ámbito técnico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2011-12</w:t>
            </w:r>
          </w:p>
          <w:p w:rsidR="00060372" w:rsidRPr="00C47B5A" w:rsidRDefault="00060372" w:rsidP="00060372">
            <w:pPr>
              <w:jc w:val="center"/>
            </w:pPr>
            <w:r w:rsidRPr="00C47B5A">
              <w:t>IN / 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2012-13</w:t>
            </w:r>
          </w:p>
          <w:p w:rsidR="00060372" w:rsidRPr="00C47B5A" w:rsidRDefault="00060372" w:rsidP="00060372">
            <w:pPr>
              <w:jc w:val="center"/>
            </w:pPr>
            <w:r w:rsidRPr="00C47B5A">
              <w:t>IN / 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2013-14</w:t>
            </w:r>
          </w:p>
          <w:p w:rsidR="00060372" w:rsidRPr="00C47B5A" w:rsidRDefault="00060372" w:rsidP="00060372">
            <w:pPr>
              <w:jc w:val="center"/>
            </w:pPr>
            <w:r w:rsidRPr="00C47B5A">
              <w:t>IN / 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2014-15</w:t>
            </w:r>
          </w:p>
          <w:p w:rsidR="00060372" w:rsidRPr="00C47B5A" w:rsidRDefault="00060372" w:rsidP="00060372">
            <w:pPr>
              <w:jc w:val="center"/>
            </w:pPr>
            <w:r w:rsidRPr="00C47B5A">
              <w:t>IN / IB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0372" w:rsidRPr="00C47B5A" w:rsidRDefault="00060372" w:rsidP="00060372">
            <w:pPr>
              <w:jc w:val="center"/>
              <w:rPr>
                <w:b/>
              </w:rPr>
            </w:pPr>
            <w:r w:rsidRPr="00C47B5A">
              <w:rPr>
                <w:b/>
              </w:rPr>
              <w:t>2015-16</w:t>
            </w:r>
          </w:p>
          <w:p w:rsidR="00060372" w:rsidRPr="00C47B5A" w:rsidRDefault="00060372" w:rsidP="00060372">
            <w:pPr>
              <w:jc w:val="center"/>
            </w:pPr>
            <w:r w:rsidRPr="00C47B5A">
              <w:t>IN / IB</w:t>
            </w:r>
          </w:p>
        </w:tc>
      </w:tr>
      <w:tr w:rsidR="00387DE9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E9" w:rsidRPr="00C47B5A" w:rsidRDefault="00387DE9" w:rsidP="00387DE9">
            <w:r w:rsidRPr="00C47B5A">
              <w:t>Mecánica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7DE9" w:rsidRPr="00C47B5A" w:rsidRDefault="00387DE9" w:rsidP="00387DE9"/>
          <w:p w:rsidR="00387DE9" w:rsidRPr="00C47B5A" w:rsidRDefault="00356F21" w:rsidP="00452BBC">
            <w:r w:rsidRPr="00C47B5A">
              <w:t xml:space="preserve">No hay disponibles datos </w:t>
            </w:r>
            <w:r w:rsidR="00452BBC" w:rsidRPr="00C47B5A">
              <w:t>por campo</w:t>
            </w:r>
            <w:r w:rsidRPr="00C47B5A">
              <w:t xml:space="preserve"> técnico ya que la </w:t>
            </w:r>
            <w:r w:rsidR="00F31694" w:rsidRPr="00C47B5A">
              <w:t xml:space="preserve">Clasificación Internacional de </w:t>
            </w:r>
            <w:r w:rsidR="00AD17F0" w:rsidRPr="00C47B5A">
              <w:t>P</w:t>
            </w:r>
            <w:r w:rsidR="00F31694" w:rsidRPr="00C47B5A">
              <w:t>atentes (</w:t>
            </w:r>
            <w:r w:rsidRPr="00C47B5A">
              <w:t>CIP</w:t>
            </w:r>
            <w:r w:rsidR="00F31694" w:rsidRPr="00C47B5A">
              <w:t>)</w:t>
            </w:r>
            <w:r w:rsidRPr="00C47B5A">
              <w:t xml:space="preserve"> no se asigna en la </w:t>
            </w:r>
            <w:r w:rsidR="00F31694" w:rsidRPr="00C47B5A">
              <w:t>O</w:t>
            </w:r>
            <w:r w:rsidRPr="00C47B5A">
              <w:t>ficina receptora (RO)</w:t>
            </w:r>
            <w:r w:rsidR="00387DE9" w:rsidRPr="00C47B5A">
              <w:t>.</w:t>
            </w:r>
          </w:p>
        </w:tc>
      </w:tr>
      <w:tr w:rsidR="00387DE9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E9" w:rsidRPr="00C47B5A" w:rsidRDefault="00387DE9" w:rsidP="00387DE9">
            <w:r w:rsidRPr="00C47B5A">
              <w:t xml:space="preserve">Electricidad/electrónica </w:t>
            </w: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/>
        </w:tc>
      </w:tr>
      <w:tr w:rsidR="00387DE9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E9" w:rsidRPr="00C47B5A" w:rsidRDefault="00387DE9" w:rsidP="00387DE9">
            <w:r w:rsidRPr="00C47B5A">
              <w:t>Química</w:t>
            </w: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/>
        </w:tc>
      </w:tr>
      <w:tr w:rsidR="00387DE9" w:rsidRPr="00C47B5A" w:rsidTr="00F56E11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>
            <w:r w:rsidRPr="00C47B5A">
              <w:t>Biotecnología</w:t>
            </w:r>
          </w:p>
        </w:tc>
        <w:tc>
          <w:tcPr>
            <w:tcW w:w="68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/>
        </w:tc>
      </w:tr>
      <w:tr w:rsidR="00060372" w:rsidRPr="00C47B5A" w:rsidTr="00F56E11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rPr>
                <w:i/>
              </w:rPr>
            </w:pPr>
            <w:r w:rsidRPr="00C47B5A">
              <w:rPr>
                <w:i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jc w:val="center"/>
              <w:rPr>
                <w:i/>
              </w:rPr>
            </w:pPr>
            <w:r w:rsidRPr="00C47B5A">
              <w:rPr>
                <w:i/>
              </w:rPr>
              <w:t>873 / 697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jc w:val="center"/>
              <w:rPr>
                <w:i/>
              </w:rPr>
            </w:pPr>
            <w:r w:rsidRPr="00C47B5A">
              <w:rPr>
                <w:i/>
              </w:rPr>
              <w:t>1042 / 632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jc w:val="center"/>
              <w:rPr>
                <w:i/>
              </w:rPr>
            </w:pPr>
            <w:r w:rsidRPr="00C47B5A">
              <w:rPr>
                <w:i/>
              </w:rPr>
              <w:t>816 / 561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jc w:val="center"/>
              <w:rPr>
                <w:i/>
              </w:rPr>
            </w:pPr>
            <w:r w:rsidRPr="00C47B5A">
              <w:rPr>
                <w:i/>
              </w:rPr>
              <w:t>801 / 614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>
            <w:pPr>
              <w:jc w:val="center"/>
              <w:rPr>
                <w:i/>
              </w:rPr>
            </w:pPr>
            <w:r w:rsidRPr="00C47B5A">
              <w:rPr>
                <w:i/>
              </w:rPr>
              <w:t>693 / 711</w:t>
            </w:r>
          </w:p>
        </w:tc>
      </w:tr>
    </w:tbl>
    <w:p w:rsidR="00060372" w:rsidRPr="00C47B5A" w:rsidRDefault="00686863" w:rsidP="00060372">
      <w:pPr>
        <w:jc w:val="both"/>
        <w:rPr>
          <w:bCs/>
        </w:rPr>
      </w:pPr>
      <w:r w:rsidRPr="00C47B5A">
        <w:rPr>
          <w:bCs/>
        </w:rPr>
        <w:t>IN: Oficina de la India; IB: Oficina Internacional</w:t>
      </w:r>
    </w:p>
    <w:p w:rsidR="00686863" w:rsidRPr="00C47B5A" w:rsidRDefault="00686863" w:rsidP="00060372">
      <w:pPr>
        <w:jc w:val="both"/>
        <w:rPr>
          <w:b/>
          <w:bCs/>
        </w:rPr>
      </w:pPr>
    </w:p>
    <w:p w:rsidR="00060372" w:rsidRPr="00C47B5A" w:rsidRDefault="00387DE9" w:rsidP="00060372">
      <w:pPr>
        <w:keepNext/>
        <w:rPr>
          <w:b/>
        </w:rPr>
      </w:pPr>
      <w:r w:rsidRPr="00C47B5A">
        <w:rPr>
          <w:b/>
        </w:rPr>
        <w:t xml:space="preserve">Tiempo medio </w:t>
      </w:r>
      <w:r w:rsidR="001470C0" w:rsidRPr="00C47B5A">
        <w:rPr>
          <w:b/>
        </w:rPr>
        <w:t>de</w:t>
      </w:r>
      <w:r w:rsidRPr="00C47B5A">
        <w:rPr>
          <w:b/>
        </w:rPr>
        <w:t xml:space="preserve"> tramitación de </w:t>
      </w:r>
      <w:r w:rsidR="00B73002" w:rsidRPr="00C47B5A">
        <w:rPr>
          <w:b/>
        </w:rPr>
        <w:t>las</w:t>
      </w:r>
      <w:r w:rsidR="00686863" w:rsidRPr="00C47B5A">
        <w:rPr>
          <w:b/>
        </w:rPr>
        <w:t xml:space="preserve"> </w:t>
      </w:r>
      <w:r w:rsidRPr="00C47B5A">
        <w:rPr>
          <w:b/>
        </w:rPr>
        <w:t>patente</w:t>
      </w:r>
      <w:r w:rsidR="00B73002" w:rsidRPr="00C47B5A">
        <w:rPr>
          <w:b/>
        </w:rPr>
        <w:t>s</w:t>
      </w:r>
      <w:r w:rsidRPr="00C47B5A">
        <w:rPr>
          <w:b/>
        </w:rPr>
        <w:t xml:space="preserve"> nacional</w:t>
      </w:r>
      <w:r w:rsidR="00B73002" w:rsidRPr="00C47B5A">
        <w:rPr>
          <w:b/>
        </w:rPr>
        <w:t>es</w:t>
      </w:r>
    </w:p>
    <w:tbl>
      <w:tblPr>
        <w:tblW w:w="93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97"/>
        <w:gridCol w:w="4678"/>
        <w:gridCol w:w="2410"/>
      </w:tblGrid>
      <w:tr w:rsidR="00387DE9" w:rsidRPr="00C47B5A" w:rsidTr="00452BB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>
            <w:pPr>
              <w:rPr>
                <w:b/>
              </w:rPr>
            </w:pPr>
            <w:r w:rsidRPr="00C47B5A">
              <w:rPr>
                <w:b/>
              </w:rPr>
              <w:t>Indicador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B73002" w:rsidP="003C3B93">
            <w:pPr>
              <w:keepNext/>
              <w:keepLines/>
              <w:rPr>
                <w:b/>
              </w:rPr>
            </w:pPr>
            <w:r w:rsidRPr="00C47B5A">
              <w:rPr>
                <w:b/>
              </w:rPr>
              <w:t>Medida</w:t>
            </w:r>
            <w:r w:rsidR="003C3B93" w:rsidRPr="00C47B5A">
              <w:rPr>
                <w:b/>
              </w:rPr>
              <w:t xml:space="preserve"> desde la fecha de presentación del petitorio de examen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1470C0" w:rsidP="003C3B93">
            <w:pPr>
              <w:keepNext/>
              <w:keepLines/>
              <w:rPr>
                <w:b/>
              </w:rPr>
            </w:pPr>
            <w:r w:rsidRPr="00C47B5A">
              <w:rPr>
                <w:b/>
              </w:rPr>
              <w:t>Tiempo</w:t>
            </w:r>
            <w:r w:rsidR="00387DE9" w:rsidRPr="00C47B5A">
              <w:rPr>
                <w:b/>
              </w:rPr>
              <w:t xml:space="preserve"> (</w:t>
            </w:r>
            <w:r w:rsidR="003C3B93" w:rsidRPr="00C47B5A">
              <w:rPr>
                <w:b/>
              </w:rPr>
              <w:t>meses</w:t>
            </w:r>
            <w:r w:rsidR="00387DE9" w:rsidRPr="00C47B5A">
              <w:rPr>
                <w:b/>
              </w:rPr>
              <w:t>) *</w:t>
            </w:r>
          </w:p>
        </w:tc>
      </w:tr>
      <w:tr w:rsidR="00387DE9" w:rsidRPr="00C47B5A" w:rsidTr="00452BB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>
            <w:r w:rsidRPr="00C47B5A">
              <w:t>Hasta la búsqueda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56F21" w:rsidP="00387DE9">
            <w:r w:rsidRPr="00C47B5A">
              <w:t>Los informes de búsqueda no se publican por separado</w:t>
            </w:r>
            <w:r w:rsidR="00C47B5A">
              <w:t>.  E</w:t>
            </w:r>
            <w:r w:rsidR="003C3B93" w:rsidRPr="00C47B5A">
              <w:t>l</w:t>
            </w:r>
            <w:r w:rsidRPr="00C47B5A">
              <w:t xml:space="preserve"> tiempo</w:t>
            </w:r>
            <w:r w:rsidR="003C3B93" w:rsidRPr="00C47B5A">
              <w:t xml:space="preserve"> dado es</w:t>
            </w:r>
            <w:r w:rsidRPr="00C47B5A">
              <w:t xml:space="preserve"> hasta </w:t>
            </w:r>
            <w:r w:rsidR="003C3B93" w:rsidRPr="00C47B5A">
              <w:t>el</w:t>
            </w:r>
            <w:r w:rsidRPr="00C47B5A">
              <w:t xml:space="preserve"> informe del primer examen.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>
            <w:pPr>
              <w:keepNext/>
              <w:keepLines/>
            </w:pPr>
            <w:r w:rsidRPr="00C47B5A">
              <w:t xml:space="preserve">60 meses </w:t>
            </w:r>
          </w:p>
        </w:tc>
      </w:tr>
      <w:tr w:rsidR="00387DE9" w:rsidRPr="00C47B5A" w:rsidTr="00452BB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>
            <w:r w:rsidRPr="00C47B5A">
              <w:t xml:space="preserve">Hasta el primer examen 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/>
        </w:tc>
      </w:tr>
      <w:tr w:rsidR="00387DE9" w:rsidRPr="00C47B5A" w:rsidTr="00452BB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1470C0" w:rsidP="00387DE9">
            <w:r w:rsidRPr="00C47B5A">
              <w:t>Hasta la concesión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DE9" w:rsidRPr="00C47B5A" w:rsidRDefault="00387DE9" w:rsidP="00387DE9">
            <w:r w:rsidRPr="00C47B5A">
              <w:t>70 meses</w:t>
            </w:r>
          </w:p>
        </w:tc>
      </w:tr>
    </w:tbl>
    <w:p w:rsidR="00060372" w:rsidRPr="00C47B5A" w:rsidRDefault="00060372" w:rsidP="00060372">
      <w:pPr>
        <w:widowControl w:val="0"/>
        <w:jc w:val="both"/>
      </w:pPr>
    </w:p>
    <w:p w:rsidR="003E35A4" w:rsidRPr="00C47B5A" w:rsidRDefault="00060372" w:rsidP="00060372">
      <w:r w:rsidRPr="00C47B5A">
        <w:t xml:space="preserve">*  </w:t>
      </w:r>
      <w:r w:rsidR="003E35A4" w:rsidRPr="00C47B5A">
        <w:t xml:space="preserve">Este plazo se reducirá considerablemente en los próximos años debido </w:t>
      </w:r>
      <w:r w:rsidR="0013009B" w:rsidRPr="00C47B5A">
        <w:t>al nombramiento</w:t>
      </w:r>
      <w:r w:rsidR="003E35A4" w:rsidRPr="00C47B5A">
        <w:t xml:space="preserve"> de 400 nuevos examinadores en 2016</w:t>
      </w:r>
      <w:r w:rsidR="00C47B5A">
        <w:t>.  L</w:t>
      </w:r>
      <w:r w:rsidR="003E35A4" w:rsidRPr="00C47B5A">
        <w:t xml:space="preserve">a IPO comenzó </w:t>
      </w:r>
      <w:r w:rsidR="0013009B" w:rsidRPr="00C47B5A">
        <w:t>la aplicación del</w:t>
      </w:r>
      <w:r w:rsidR="003E35A4" w:rsidRPr="00C47B5A">
        <w:t xml:space="preserve"> examen acelerado en mayo de 2016 y en esos casos el </w:t>
      </w:r>
      <w:r w:rsidR="0013009B" w:rsidRPr="00C47B5A">
        <w:t>tiempo</w:t>
      </w:r>
      <w:r w:rsidR="003E35A4" w:rsidRPr="00C47B5A">
        <w:t xml:space="preserve"> necesario desde la fecha de presentación de la solicitud de examen acelerado es de 1 mes para el informe del primer examen y de 6 meses para la concesión.</w:t>
      </w:r>
    </w:p>
    <w:p w:rsidR="00060372" w:rsidRPr="00C47B5A" w:rsidRDefault="00060372" w:rsidP="00060372"/>
    <w:p w:rsidR="00060372" w:rsidRPr="00C47B5A" w:rsidRDefault="00387DE9" w:rsidP="00060372">
      <w:pPr>
        <w:rPr>
          <w:b/>
        </w:rPr>
      </w:pPr>
      <w:r w:rsidRPr="00C47B5A">
        <w:rPr>
          <w:b/>
        </w:rPr>
        <w:t xml:space="preserve">Retrasos </w:t>
      </w:r>
      <w:r w:rsidR="00B73002" w:rsidRPr="00C47B5A">
        <w:rPr>
          <w:b/>
        </w:rPr>
        <w:t xml:space="preserve">en la tramitación de solicitudes a nivel </w:t>
      </w:r>
      <w:r w:rsidRPr="00C47B5A">
        <w:rPr>
          <w:b/>
        </w:rPr>
        <w:t>nacional</w:t>
      </w:r>
    </w:p>
    <w:tbl>
      <w:tblPr>
        <w:tblW w:w="8046" w:type="dxa"/>
        <w:tblInd w:w="1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3"/>
        <w:gridCol w:w="3403"/>
      </w:tblGrid>
      <w:tr w:rsidR="00387DE9" w:rsidRPr="00C47B5A" w:rsidTr="002A0C77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E9" w:rsidRPr="00C47B5A" w:rsidRDefault="000D6D6B" w:rsidP="00387DE9">
            <w:pPr>
              <w:tabs>
                <w:tab w:val="left" w:pos="1371"/>
              </w:tabs>
              <w:rPr>
                <w:b/>
                <w:bCs/>
              </w:rPr>
            </w:pPr>
            <w:r>
              <w:rPr>
                <w:b/>
                <w:bCs/>
              </w:rPr>
              <w:t>Medición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E9" w:rsidRPr="00C47B5A" w:rsidRDefault="00387DE9" w:rsidP="00387DE9">
            <w:pPr>
              <w:rPr>
                <w:b/>
                <w:bCs/>
              </w:rPr>
            </w:pPr>
            <w:r w:rsidRPr="00C47B5A">
              <w:rPr>
                <w:b/>
                <w:bCs/>
              </w:rPr>
              <w:t>Número de solicitudes</w:t>
            </w:r>
          </w:p>
        </w:tc>
      </w:tr>
      <w:tr w:rsidR="00060372" w:rsidRPr="00C47B5A" w:rsidTr="002A0C77"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3C3B93" w:rsidP="003C3B93">
            <w:r w:rsidRPr="00C47B5A">
              <w:t>Todas las solitudes pendientes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14281B">
            <w:r w:rsidRPr="00C47B5A">
              <w:t>249</w:t>
            </w:r>
            <w:r w:rsidR="0014281B" w:rsidRPr="00C47B5A">
              <w:t>.</w:t>
            </w:r>
            <w:r w:rsidRPr="00C47B5A">
              <w:t xml:space="preserve">106 </w:t>
            </w:r>
            <w:r w:rsidR="003C3B93" w:rsidRPr="00C47B5A">
              <w:t xml:space="preserve">solicitudes pendientes de </w:t>
            </w:r>
            <w:r w:rsidR="0014281B" w:rsidRPr="00C47B5A">
              <w:t>ser despachadas.</w:t>
            </w:r>
          </w:p>
        </w:tc>
      </w:tr>
      <w:tr w:rsidR="00060372" w:rsidRPr="00C47B5A" w:rsidTr="00387DE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3C3B93" w:rsidP="00871FF8">
            <w:r w:rsidRPr="00C47B5A">
              <w:t xml:space="preserve">Solicitudes </w:t>
            </w:r>
            <w:r w:rsidR="00686863" w:rsidRPr="00C47B5A">
              <w:t>a la espera</w:t>
            </w:r>
            <w:r w:rsidRPr="00C47B5A">
              <w:t xml:space="preserve"> de búsqueda </w:t>
            </w:r>
            <w:r w:rsidR="00060372" w:rsidRPr="00C47B5A">
              <w:t>(</w:t>
            </w:r>
            <w:r w:rsidR="00871FF8" w:rsidRPr="00C47B5A">
              <w:t>una vez abonadas las</w:t>
            </w:r>
            <w:r w:rsidR="00686863" w:rsidRPr="00C47B5A">
              <w:t xml:space="preserve"> tasas </w:t>
            </w:r>
            <w:r w:rsidR="00871FF8" w:rsidRPr="00C47B5A">
              <w:t>correspondientes</w:t>
            </w:r>
            <w:r w:rsidRPr="00C47B5A">
              <w:t xml:space="preserve">)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14281B" w:rsidP="0013009B">
            <w:r w:rsidRPr="00C47B5A">
              <w:t xml:space="preserve">De ellas, </w:t>
            </w:r>
            <w:r w:rsidR="00060372" w:rsidRPr="00C47B5A">
              <w:t>209</w:t>
            </w:r>
            <w:r w:rsidRPr="00C47B5A">
              <w:t>.</w:t>
            </w:r>
            <w:r w:rsidR="00060372" w:rsidRPr="00C47B5A">
              <w:t xml:space="preserve">055 </w:t>
            </w:r>
            <w:r w:rsidRPr="00C47B5A">
              <w:t xml:space="preserve">solicitudes están pendientes </w:t>
            </w:r>
            <w:r w:rsidR="0013009B" w:rsidRPr="00C47B5A">
              <w:t xml:space="preserve">de la publicación de los </w:t>
            </w:r>
            <w:r w:rsidRPr="00C47B5A">
              <w:t>informe</w:t>
            </w:r>
            <w:r w:rsidR="0013009B" w:rsidRPr="00C47B5A">
              <w:t>s</w:t>
            </w:r>
            <w:r w:rsidRPr="00C47B5A">
              <w:t xml:space="preserve"> del primer examen.</w:t>
            </w:r>
          </w:p>
        </w:tc>
      </w:tr>
      <w:tr w:rsidR="00060372" w:rsidRPr="00C47B5A" w:rsidTr="00387DE9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3C3B93" w:rsidP="00871FF8">
            <w:r w:rsidRPr="00C47B5A">
              <w:t xml:space="preserve">Solicitudes </w:t>
            </w:r>
            <w:r w:rsidR="00686863" w:rsidRPr="00C47B5A">
              <w:t>a la espera</w:t>
            </w:r>
            <w:r w:rsidRPr="00C47B5A">
              <w:t xml:space="preserve"> del primer examen </w:t>
            </w:r>
            <w:r w:rsidR="00060372" w:rsidRPr="00C47B5A">
              <w:t>(</w:t>
            </w:r>
            <w:r w:rsidR="00871FF8" w:rsidRPr="00C47B5A">
              <w:t>una vez abonadas las tasas correspondientes</w:t>
            </w:r>
            <w:r w:rsidR="00060372" w:rsidRPr="00C47B5A">
              <w:t>)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372" w:rsidRPr="00C47B5A" w:rsidRDefault="00060372" w:rsidP="00060372"/>
        </w:tc>
      </w:tr>
    </w:tbl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7 – </w:t>
      </w:r>
      <w:r w:rsidR="002A0C77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APOYO </w:t>
      </w:r>
      <w:r w:rsidR="004B4D55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REQUERIDO</w:t>
      </w:r>
    </w:p>
    <w:p w:rsidR="00060372" w:rsidRPr="00C47B5A" w:rsidRDefault="002A0C77" w:rsidP="00060372">
      <w:r w:rsidRPr="00C47B5A">
        <w:t>Ninguno</w:t>
      </w:r>
      <w:r w:rsidR="0063348B">
        <w:t>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lastRenderedPageBreak/>
        <w:t>8 – Ot</w:t>
      </w:r>
      <w:r w:rsidR="002A0C77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ROS</w:t>
      </w:r>
    </w:p>
    <w:p w:rsidR="0096065E" w:rsidRDefault="00F22672" w:rsidP="00060372">
      <w:r w:rsidRPr="00C47B5A">
        <w:t xml:space="preserve">La Oficina de Patentes de la India comenzó a </w:t>
      </w:r>
      <w:r w:rsidR="0096065E">
        <w:t>actuar como</w:t>
      </w:r>
      <w:r w:rsidRPr="00C47B5A">
        <w:t xml:space="preserve"> ISA/ISPEA el 15 de octubre de 2013</w:t>
      </w:r>
      <w:r w:rsidR="00A61CF1">
        <w:t>.  D</w:t>
      </w:r>
      <w:r w:rsidRPr="00C47B5A">
        <w:t xml:space="preserve">esde entonces y hasta enero de 2017 la Administración ha recibido 2.126 copias de búsqueda. </w:t>
      </w:r>
      <w:r w:rsidR="00C47B5A">
        <w:t xml:space="preserve"> </w:t>
      </w:r>
      <w:r w:rsidRPr="00C47B5A">
        <w:t xml:space="preserve">Se han </w:t>
      </w:r>
      <w:r w:rsidR="003E35A4" w:rsidRPr="00C47B5A">
        <w:t>elaborado los</w:t>
      </w:r>
      <w:r w:rsidRPr="00C47B5A">
        <w:t xml:space="preserve"> informes finales </w:t>
      </w:r>
      <w:r w:rsidR="003E35A4" w:rsidRPr="00C47B5A">
        <w:t>de</w:t>
      </w:r>
      <w:r w:rsidRPr="00C47B5A">
        <w:t xml:space="preserve"> 1.947 solicitudes. </w:t>
      </w:r>
      <w:r w:rsidR="00A61CF1">
        <w:t xml:space="preserve"> </w:t>
      </w:r>
      <w:r w:rsidRPr="00C47B5A">
        <w:t>Como IPEA</w:t>
      </w:r>
      <w:r w:rsidR="004B4D55" w:rsidRPr="00C47B5A">
        <w:t>,</w:t>
      </w:r>
      <w:r w:rsidRPr="00C47B5A">
        <w:t xml:space="preserve"> y durante el mismo periodo de tiempo</w:t>
      </w:r>
      <w:r w:rsidR="004B4D55" w:rsidRPr="00C47B5A">
        <w:t>,</w:t>
      </w:r>
      <w:r w:rsidRPr="00C47B5A">
        <w:t xml:space="preserve"> </w:t>
      </w:r>
      <w:r w:rsidR="003E35A4" w:rsidRPr="00C47B5A">
        <w:t>se recibieron</w:t>
      </w:r>
      <w:r w:rsidRPr="00C47B5A">
        <w:t xml:space="preserve"> 59 </w:t>
      </w:r>
      <w:r w:rsidR="005A0CA9" w:rsidRPr="00C47B5A">
        <w:t>solicitudes</w:t>
      </w:r>
      <w:r w:rsidRPr="00C47B5A">
        <w:t xml:space="preserve"> de examen </w:t>
      </w:r>
      <w:r w:rsidR="00D45D5D" w:rsidRPr="00C47B5A">
        <w:t xml:space="preserve">y se ha elaborado </w:t>
      </w:r>
      <w:r w:rsidR="0013009B" w:rsidRPr="00C47B5A">
        <w:t>el I</w:t>
      </w:r>
      <w:r w:rsidR="00D45D5D" w:rsidRPr="00C47B5A">
        <w:t xml:space="preserve">nforme preliminar internacional sobre la patentabilidad (IPRP) </w:t>
      </w:r>
      <w:r w:rsidR="0013009B" w:rsidRPr="00C47B5A">
        <w:t>de</w:t>
      </w:r>
      <w:r w:rsidRPr="00C47B5A">
        <w:t xml:space="preserve"> 39 solicitudes. </w:t>
      </w:r>
      <w:r w:rsidR="00C47B5A">
        <w:t xml:space="preserve"> </w:t>
      </w:r>
    </w:p>
    <w:p w:rsidR="0096065E" w:rsidRDefault="0096065E" w:rsidP="00060372"/>
    <w:p w:rsidR="00D45D5D" w:rsidRPr="00C47B5A" w:rsidRDefault="00D45D5D" w:rsidP="00060372">
      <w:r w:rsidRPr="00C47B5A">
        <w:t>La Oficina</w:t>
      </w:r>
      <w:r w:rsidR="0013009B" w:rsidRPr="00C47B5A">
        <w:t xml:space="preserve"> de P</w:t>
      </w:r>
      <w:r w:rsidRPr="00C47B5A">
        <w:t xml:space="preserve">atentes de la India ha desarrollado su propio software de tramitación electrónica </w:t>
      </w:r>
      <w:r w:rsidR="00C755AE">
        <w:t>de</w:t>
      </w:r>
      <w:r w:rsidRPr="00C47B5A">
        <w:t xml:space="preserve"> las </w:t>
      </w:r>
      <w:r w:rsidR="0013009B" w:rsidRPr="00C47B5A">
        <w:t>tareas</w:t>
      </w:r>
      <w:r w:rsidR="004B4D55" w:rsidRPr="00C47B5A">
        <w:t xml:space="preserve"> de</w:t>
      </w:r>
      <w:r w:rsidRPr="00C47B5A">
        <w:t xml:space="preserve"> ISA/IPEA y ha establecido una </w:t>
      </w:r>
      <w:r w:rsidR="004B4D55" w:rsidRPr="00C47B5A">
        <w:t>conexión segura a través de PCT-E</w:t>
      </w:r>
      <w:r w:rsidRPr="00C47B5A">
        <w:t xml:space="preserve">DI </w:t>
      </w:r>
      <w:r w:rsidR="004B4D55" w:rsidRPr="00C47B5A">
        <w:t>p</w:t>
      </w:r>
      <w:r w:rsidRPr="00C47B5A">
        <w:t xml:space="preserve">ara el intercambio de documentos con la Oficina </w:t>
      </w:r>
      <w:r w:rsidR="0013009B" w:rsidRPr="00C47B5A">
        <w:t>I</w:t>
      </w:r>
      <w:r w:rsidRPr="00C47B5A">
        <w:t xml:space="preserve">nternacional. </w:t>
      </w:r>
      <w:r w:rsidR="00C47B5A">
        <w:t xml:space="preserve"> </w:t>
      </w:r>
      <w:r w:rsidRPr="00C47B5A">
        <w:t xml:space="preserve">El software de tramitación electrónica </w:t>
      </w:r>
      <w:r w:rsidR="004B4D55" w:rsidRPr="00C47B5A">
        <w:t>de</w:t>
      </w:r>
      <w:r w:rsidRPr="00C47B5A">
        <w:t xml:space="preserve"> la </w:t>
      </w:r>
      <w:r w:rsidR="0019638E" w:rsidRPr="00C47B5A">
        <w:t>Oficina receptora</w:t>
      </w:r>
      <w:r w:rsidRPr="00C47B5A">
        <w:t xml:space="preserve"> está </w:t>
      </w:r>
      <w:r w:rsidR="0013009B" w:rsidRPr="00C47B5A">
        <w:t>en fase de</w:t>
      </w:r>
      <w:r w:rsidRPr="00C47B5A">
        <w:t xml:space="preserve"> pr</w:t>
      </w:r>
      <w:r w:rsidR="0013009B" w:rsidRPr="00C47B5A">
        <w:t>ueba</w:t>
      </w:r>
      <w:r w:rsidRPr="00C47B5A">
        <w:t xml:space="preserve"> para </w:t>
      </w:r>
      <w:r w:rsidR="004B4D55" w:rsidRPr="00C47B5A">
        <w:t xml:space="preserve">que puedan realizarse </w:t>
      </w:r>
      <w:r w:rsidRPr="00C47B5A">
        <w:t>presentaciones desde cuatro ubicaciones</w:t>
      </w:r>
      <w:r w:rsidR="004B4D55" w:rsidRPr="00C47B5A">
        <w:t xml:space="preserve"> y </w:t>
      </w:r>
      <w:r w:rsidR="0013009B" w:rsidRPr="00C47B5A">
        <w:t xml:space="preserve">se pueda hacer el </w:t>
      </w:r>
      <w:r w:rsidRPr="00C47B5A">
        <w:t xml:space="preserve">pago de las tasas. </w:t>
      </w:r>
      <w:r w:rsidR="00C47B5A">
        <w:t xml:space="preserve"> </w:t>
      </w:r>
      <w:r w:rsidR="004B4D55" w:rsidRPr="00C47B5A">
        <w:t>La</w:t>
      </w:r>
      <w:r w:rsidRPr="00C47B5A">
        <w:t xml:space="preserve"> Ofic</w:t>
      </w:r>
      <w:r w:rsidR="003E35A4" w:rsidRPr="00C47B5A">
        <w:t>i</w:t>
      </w:r>
      <w:r w:rsidRPr="00C47B5A">
        <w:t xml:space="preserve">na de Patentes de la </w:t>
      </w:r>
      <w:r w:rsidR="003E35A4" w:rsidRPr="00C47B5A">
        <w:t>India</w:t>
      </w:r>
      <w:r w:rsidRPr="00C47B5A">
        <w:t xml:space="preserve"> utiliza</w:t>
      </w:r>
      <w:r w:rsidR="00B73002" w:rsidRPr="00C47B5A">
        <w:t xml:space="preserve"> los servicios electrónicos del PCT (ePCT) </w:t>
      </w:r>
      <w:r w:rsidRPr="00C47B5A">
        <w:t xml:space="preserve">en </w:t>
      </w:r>
      <w:r w:rsidR="004B4D55" w:rsidRPr="00C47B5A">
        <w:t>su labor</w:t>
      </w:r>
      <w:r w:rsidRPr="00C47B5A">
        <w:t xml:space="preserve"> como Oficina </w:t>
      </w:r>
      <w:r w:rsidR="004B4D55" w:rsidRPr="00C47B5A">
        <w:t>r</w:t>
      </w:r>
      <w:r w:rsidRPr="00C47B5A">
        <w:t xml:space="preserve">eceptora, </w:t>
      </w:r>
      <w:r w:rsidR="0013009B" w:rsidRPr="00C47B5A">
        <w:t>ISA e IPEA</w:t>
      </w:r>
      <w:r w:rsidR="00C47B5A">
        <w:t>.  L</w:t>
      </w:r>
      <w:r w:rsidRPr="00C47B5A">
        <w:t>os solicitantes nacionales o residentes en la India pueden utilizar la facilidad de presentación electrónica de solicitudes</w:t>
      </w:r>
      <w:r w:rsidR="003E35A4" w:rsidRPr="00C47B5A">
        <w:t xml:space="preserve"> </w:t>
      </w:r>
      <w:r w:rsidR="004B4D55" w:rsidRPr="00C47B5A">
        <w:t xml:space="preserve">(e-filing) </w:t>
      </w:r>
      <w:r w:rsidR="003E35A4" w:rsidRPr="00C47B5A">
        <w:t xml:space="preserve">ante la Oficina de la India </w:t>
      </w:r>
      <w:r w:rsidR="004B4D55" w:rsidRPr="00C47B5A">
        <w:t>como</w:t>
      </w:r>
      <w:r w:rsidR="003E35A4" w:rsidRPr="00C47B5A">
        <w:t xml:space="preserve"> Oficina </w:t>
      </w:r>
      <w:r w:rsidR="004B4D55" w:rsidRPr="00C47B5A">
        <w:t>r</w:t>
      </w:r>
      <w:r w:rsidR="003E35A4" w:rsidRPr="00C47B5A">
        <w:t xml:space="preserve">eceptora (RO/IN) utilizando </w:t>
      </w:r>
      <w:r w:rsidR="0013009B" w:rsidRPr="00C47B5A">
        <w:t>el</w:t>
      </w:r>
      <w:r w:rsidR="003E35A4" w:rsidRPr="00C47B5A">
        <w:t xml:space="preserve"> servidor alojado </w:t>
      </w:r>
      <w:r w:rsidR="0013009B" w:rsidRPr="00C47B5A">
        <w:t>en</w:t>
      </w:r>
      <w:r w:rsidR="003E35A4" w:rsidRPr="00C47B5A">
        <w:t xml:space="preserve"> la OMPI </w:t>
      </w:r>
      <w:r w:rsidR="004B4D55" w:rsidRPr="00C47B5A">
        <w:t>a través del</w:t>
      </w:r>
      <w:r w:rsidR="003E35A4" w:rsidRPr="00C47B5A">
        <w:t xml:space="preserve"> ePCT. </w:t>
      </w:r>
      <w:r w:rsidR="00C47B5A">
        <w:t xml:space="preserve"> </w:t>
      </w:r>
      <w:r w:rsidR="003E35A4" w:rsidRPr="00C47B5A">
        <w:t xml:space="preserve">Actualmente ya se utiliza eSearchCopy para la transmisión de </w:t>
      </w:r>
      <w:r w:rsidR="004B4D55" w:rsidRPr="00C47B5A">
        <w:t>copias de búsqueda a Australia, Austria y Suecia</w:t>
      </w:r>
      <w:r w:rsidR="003E35A4" w:rsidRPr="00C47B5A">
        <w:t>.</w:t>
      </w:r>
    </w:p>
    <w:p w:rsidR="00060372" w:rsidRPr="00C47B5A" w:rsidRDefault="00060372" w:rsidP="00060372">
      <w:pPr>
        <w:keepNext/>
        <w:pBdr>
          <w:top w:val="single" w:sz="4" w:space="0" w:color="000000"/>
          <w:left w:val="nil"/>
          <w:bottom w:val="single" w:sz="4" w:space="0" w:color="000000"/>
          <w:right w:val="nil"/>
          <w:between w:val="nil"/>
          <w:bar w:val="nil"/>
        </w:pBdr>
        <w:spacing w:before="360" w:after="200"/>
        <w:jc w:val="both"/>
        <w:outlineLvl w:val="0"/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</w:pPr>
      <w:r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9 – </w:t>
      </w:r>
      <w:r w:rsidR="002A0C77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EVALUACIÓN </w:t>
      </w:r>
      <w:r w:rsidR="0032128E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>POR</w:t>
      </w:r>
      <w:r w:rsidR="002A0C77" w:rsidRPr="00C47B5A">
        <w:rPr>
          <w:rFonts w:eastAsia="Arial Unicode MS" w:cs="Arial Unicode MS"/>
          <w:b/>
          <w:bCs/>
          <w:caps/>
          <w:color w:val="000000"/>
          <w:kern w:val="32"/>
          <w:szCs w:val="22"/>
          <w:u w:color="000000"/>
          <w:bdr w:val="nil"/>
          <w:lang w:eastAsia="en-US" w:bidi="hi-IN"/>
        </w:rPr>
        <w:t xml:space="preserve"> OTRAS ADMINISTRACIONES</w:t>
      </w:r>
    </w:p>
    <w:p w:rsidR="00060372" w:rsidRPr="00C47B5A" w:rsidRDefault="00060372" w:rsidP="00060372">
      <w:r w:rsidRPr="00C47B5A">
        <w:t>N</w:t>
      </w:r>
      <w:r w:rsidR="0063348B">
        <w:t>.a.</w:t>
      </w:r>
    </w:p>
    <w:p w:rsidR="00060372" w:rsidRPr="00C47B5A" w:rsidRDefault="00060372" w:rsidP="00060372"/>
    <w:p w:rsidR="00F0310F" w:rsidRPr="00C47B5A" w:rsidRDefault="00F0310F" w:rsidP="00F0310F"/>
    <w:p w:rsidR="0045694F" w:rsidRPr="00C47B5A" w:rsidRDefault="0045694F" w:rsidP="0045694F"/>
    <w:p w:rsidR="0045694F" w:rsidRPr="00C47B5A" w:rsidRDefault="0045694F" w:rsidP="0045694F">
      <w:pPr>
        <w:ind w:left="5534"/>
      </w:pPr>
      <w:r w:rsidRPr="00C47B5A">
        <w:t>[</w:t>
      </w:r>
      <w:r w:rsidR="00F0310F" w:rsidRPr="00C47B5A">
        <w:t>Fin del Anexo y del documento</w:t>
      </w:r>
      <w:r w:rsidRPr="00C47B5A">
        <w:t>]</w:t>
      </w:r>
    </w:p>
    <w:p w:rsidR="00152CEA" w:rsidRPr="00C47B5A" w:rsidRDefault="00152CEA" w:rsidP="0045694F">
      <w:pPr>
        <w:pStyle w:val="ONUME"/>
        <w:numPr>
          <w:ilvl w:val="0"/>
          <w:numId w:val="0"/>
        </w:numPr>
        <w:jc w:val="center"/>
      </w:pPr>
    </w:p>
    <w:sectPr w:rsidR="00152CEA" w:rsidRPr="00C47B5A" w:rsidSect="00F56E11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32C" w:rsidRDefault="001A532C">
      <w:r>
        <w:separator/>
      </w:r>
    </w:p>
  </w:endnote>
  <w:endnote w:type="continuationSeparator" w:id="0">
    <w:p w:rsidR="001A532C" w:rsidRPr="009D30E6" w:rsidRDefault="001A532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A532C" w:rsidRPr="007E663E" w:rsidRDefault="001A532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A532C" w:rsidRPr="007E663E" w:rsidRDefault="001A532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32C" w:rsidRDefault="001A532C">
      <w:r>
        <w:separator/>
      </w:r>
    </w:p>
  </w:footnote>
  <w:footnote w:type="continuationSeparator" w:id="0">
    <w:p w:rsidR="001A532C" w:rsidRPr="009D30E6" w:rsidRDefault="001A532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A532C" w:rsidRPr="007E663E" w:rsidRDefault="001A532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A532C" w:rsidRPr="007E663E" w:rsidRDefault="001A532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73" w:rsidRDefault="00106B73" w:rsidP="00477D6B">
    <w:pPr>
      <w:jc w:val="right"/>
    </w:pPr>
    <w:bookmarkStart w:id="6" w:name="Code2"/>
    <w:bookmarkEnd w:id="6"/>
    <w:r>
      <w:t>PCT/CTC/30/6</w:t>
    </w:r>
  </w:p>
  <w:p w:rsidR="00106B73" w:rsidRDefault="00106B73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06B73" w:rsidRDefault="00106B7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73" w:rsidRPr="00AA5F79" w:rsidRDefault="00106B73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/14</w:t>
    </w:r>
  </w:p>
  <w:p w:rsidR="00106B73" w:rsidRPr="00AA5F79" w:rsidRDefault="00106B73" w:rsidP="00477D6B">
    <w:pPr>
      <w:jc w:val="right"/>
      <w:rPr>
        <w:lang w:val="fr-FR"/>
      </w:rPr>
    </w:pPr>
    <w:r w:rsidRPr="00AA5F79">
      <w:rPr>
        <w:lang w:val="fr-FR"/>
      </w:rPr>
      <w:t>Anex</w:t>
    </w:r>
    <w:r>
      <w:rPr>
        <w:lang w:val="fr-FR"/>
      </w:rPr>
      <w:t>o</w:t>
    </w:r>
    <w:r w:rsidRPr="00AA5F79">
      <w:rPr>
        <w:lang w:val="fr-FR"/>
      </w:rPr>
      <w:t xml:space="preserve">, </w:t>
    </w:r>
    <w:r>
      <w:rPr>
        <w:lang w:val="fr-FR"/>
      </w:rPr>
      <w:t>página</w:t>
    </w:r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7D17CB">
      <w:rPr>
        <w:noProof/>
        <w:lang w:val="fr-FR"/>
      </w:rPr>
      <w:t>2</w:t>
    </w:r>
    <w:r>
      <w:fldChar w:fldCharType="end"/>
    </w:r>
  </w:p>
  <w:p w:rsidR="00106B73" w:rsidRPr="00AA5F79" w:rsidRDefault="00106B73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B73" w:rsidRDefault="00106B73" w:rsidP="00F56E11">
    <w:pPr>
      <w:pStyle w:val="Header"/>
      <w:jc w:val="right"/>
    </w:pPr>
    <w:r>
      <w:t>PCT/CTC/30/8</w:t>
    </w:r>
  </w:p>
  <w:p w:rsidR="00106B73" w:rsidRDefault="00106B73" w:rsidP="00F56E11">
    <w:pPr>
      <w:pStyle w:val="Header"/>
      <w:jc w:val="right"/>
    </w:pPr>
    <w:r>
      <w:t>ANEXO</w:t>
    </w:r>
  </w:p>
  <w:p w:rsidR="00106B73" w:rsidRDefault="00106B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D54767"/>
    <w:multiLevelType w:val="multilevel"/>
    <w:tmpl w:val="10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B5D232F"/>
    <w:multiLevelType w:val="multilevel"/>
    <w:tmpl w:val="FFD6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606D"/>
    <w:multiLevelType w:val="multilevel"/>
    <w:tmpl w:val="E1D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5C73"/>
    <w:multiLevelType w:val="hybridMultilevel"/>
    <w:tmpl w:val="FA38FB9C"/>
    <w:lvl w:ilvl="0" w:tplc="F70ABB6E">
      <w:start w:val="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D163B3"/>
    <w:multiLevelType w:val="hybridMultilevel"/>
    <w:tmpl w:val="F60CBD2A"/>
    <w:lvl w:ilvl="0" w:tplc="E4F64CB4">
      <w:start w:val="1"/>
      <w:numFmt w:val="lowerLetter"/>
      <w:lvlText w:val="%1."/>
      <w:lvlJc w:val="left"/>
      <w:pPr>
        <w:ind w:left="930" w:hanging="57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5568"/>
    <w:multiLevelType w:val="hybridMultilevel"/>
    <w:tmpl w:val="6F02001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C381A1A"/>
    <w:multiLevelType w:val="hybridMultilevel"/>
    <w:tmpl w:val="1050438A"/>
    <w:lvl w:ilvl="0" w:tplc="4F64034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366DB"/>
    <w:multiLevelType w:val="hybridMultilevel"/>
    <w:tmpl w:val="3474D770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BA6089"/>
    <w:multiLevelType w:val="hybridMultilevel"/>
    <w:tmpl w:val="1AEC1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6543A"/>
    <w:multiLevelType w:val="hybridMultilevel"/>
    <w:tmpl w:val="18721A9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C5DC3"/>
    <w:multiLevelType w:val="hybridMultilevel"/>
    <w:tmpl w:val="ACEEA62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73041"/>
    <w:multiLevelType w:val="hybridMultilevel"/>
    <w:tmpl w:val="CA0601FC"/>
    <w:lvl w:ilvl="0" w:tplc="4F64034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0F7CCE"/>
    <w:multiLevelType w:val="hybridMultilevel"/>
    <w:tmpl w:val="5798D9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22761"/>
    <w:multiLevelType w:val="hybridMultilevel"/>
    <w:tmpl w:val="2732F37C"/>
    <w:lvl w:ilvl="0" w:tplc="60E0E7FC">
      <w:start w:val="1"/>
      <w:numFmt w:val="lowerLetter"/>
      <w:pStyle w:val="Heading1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pStyle w:val="Heading3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pStyle w:val="Heading4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pStyle w:val="Heading6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pStyle w:val="Heading7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pStyle w:val="Heading8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0">
    <w:nsid w:val="7FC57685"/>
    <w:multiLevelType w:val="hybridMultilevel"/>
    <w:tmpl w:val="1964634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8"/>
  </w:num>
  <w:num w:numId="5">
    <w:abstractNumId w:val="1"/>
  </w:num>
  <w:num w:numId="6">
    <w:abstractNumId w:val="9"/>
  </w:num>
  <w:num w:numId="7">
    <w:abstractNumId w:val="19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20"/>
  </w:num>
  <w:num w:numId="14">
    <w:abstractNumId w:val="12"/>
  </w:num>
  <w:num w:numId="15">
    <w:abstractNumId w:val="8"/>
  </w:num>
  <w:num w:numId="16">
    <w:abstractNumId w:val="11"/>
  </w:num>
  <w:num w:numId="17">
    <w:abstractNumId w:val="15"/>
  </w:num>
  <w:num w:numId="18">
    <w:abstractNumId w:val="13"/>
  </w:num>
  <w:num w:numId="19">
    <w:abstractNumId w:val="14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AE"/>
    <w:rsid w:val="000015DB"/>
    <w:rsid w:val="00010686"/>
    <w:rsid w:val="00014051"/>
    <w:rsid w:val="0002144E"/>
    <w:rsid w:val="00052915"/>
    <w:rsid w:val="00060372"/>
    <w:rsid w:val="00063A66"/>
    <w:rsid w:val="00064384"/>
    <w:rsid w:val="00070ABD"/>
    <w:rsid w:val="00076609"/>
    <w:rsid w:val="000D56C4"/>
    <w:rsid w:val="000D6D6B"/>
    <w:rsid w:val="000E3BB3"/>
    <w:rsid w:val="000F0580"/>
    <w:rsid w:val="000F5E56"/>
    <w:rsid w:val="00106B73"/>
    <w:rsid w:val="0013009B"/>
    <w:rsid w:val="001362EE"/>
    <w:rsid w:val="0014281B"/>
    <w:rsid w:val="00142B14"/>
    <w:rsid w:val="001470C0"/>
    <w:rsid w:val="00152CEA"/>
    <w:rsid w:val="00166DA0"/>
    <w:rsid w:val="001832A6"/>
    <w:rsid w:val="0019638E"/>
    <w:rsid w:val="001A532C"/>
    <w:rsid w:val="001B5750"/>
    <w:rsid w:val="001D1C0C"/>
    <w:rsid w:val="001D2834"/>
    <w:rsid w:val="00204917"/>
    <w:rsid w:val="00244458"/>
    <w:rsid w:val="002549E4"/>
    <w:rsid w:val="002634C4"/>
    <w:rsid w:val="002A0C77"/>
    <w:rsid w:val="002C5738"/>
    <w:rsid w:val="002E0F47"/>
    <w:rsid w:val="002F3BA3"/>
    <w:rsid w:val="002F4E68"/>
    <w:rsid w:val="00300A0A"/>
    <w:rsid w:val="00300A33"/>
    <w:rsid w:val="00307A6F"/>
    <w:rsid w:val="0032128E"/>
    <w:rsid w:val="00344DC7"/>
    <w:rsid w:val="00354647"/>
    <w:rsid w:val="00356F21"/>
    <w:rsid w:val="003758FC"/>
    <w:rsid w:val="0037627B"/>
    <w:rsid w:val="00376938"/>
    <w:rsid w:val="00377273"/>
    <w:rsid w:val="003808D8"/>
    <w:rsid w:val="003845C1"/>
    <w:rsid w:val="00387287"/>
    <w:rsid w:val="00387DE9"/>
    <w:rsid w:val="00390D78"/>
    <w:rsid w:val="00396AE9"/>
    <w:rsid w:val="003C3B93"/>
    <w:rsid w:val="003E2311"/>
    <w:rsid w:val="003E35A4"/>
    <w:rsid w:val="003E48F1"/>
    <w:rsid w:val="003F347A"/>
    <w:rsid w:val="003F5AAE"/>
    <w:rsid w:val="004014B6"/>
    <w:rsid w:val="00423E3E"/>
    <w:rsid w:val="00424013"/>
    <w:rsid w:val="00427AF4"/>
    <w:rsid w:val="0045231F"/>
    <w:rsid w:val="00452BBC"/>
    <w:rsid w:val="0045694F"/>
    <w:rsid w:val="004647DA"/>
    <w:rsid w:val="0046793F"/>
    <w:rsid w:val="00477808"/>
    <w:rsid w:val="00477D6B"/>
    <w:rsid w:val="0049191E"/>
    <w:rsid w:val="004A3656"/>
    <w:rsid w:val="004A6C37"/>
    <w:rsid w:val="004B0528"/>
    <w:rsid w:val="004B4D55"/>
    <w:rsid w:val="004B5402"/>
    <w:rsid w:val="004B6786"/>
    <w:rsid w:val="004C588E"/>
    <w:rsid w:val="004D0BF0"/>
    <w:rsid w:val="004E297D"/>
    <w:rsid w:val="00531B02"/>
    <w:rsid w:val="005332F0"/>
    <w:rsid w:val="005471E8"/>
    <w:rsid w:val="0055013B"/>
    <w:rsid w:val="00571B99"/>
    <w:rsid w:val="005A0CA9"/>
    <w:rsid w:val="005C22B6"/>
    <w:rsid w:val="00605827"/>
    <w:rsid w:val="006065D9"/>
    <w:rsid w:val="0061478D"/>
    <w:rsid w:val="0063348B"/>
    <w:rsid w:val="00645B2E"/>
    <w:rsid w:val="00675021"/>
    <w:rsid w:val="006814ED"/>
    <w:rsid w:val="00686863"/>
    <w:rsid w:val="0069533F"/>
    <w:rsid w:val="00695C53"/>
    <w:rsid w:val="006A06C6"/>
    <w:rsid w:val="006F47FF"/>
    <w:rsid w:val="007224C8"/>
    <w:rsid w:val="0075615A"/>
    <w:rsid w:val="00794BE2"/>
    <w:rsid w:val="007A5581"/>
    <w:rsid w:val="007B456F"/>
    <w:rsid w:val="007B71FE"/>
    <w:rsid w:val="007C407D"/>
    <w:rsid w:val="007C6774"/>
    <w:rsid w:val="007D17CB"/>
    <w:rsid w:val="007D2978"/>
    <w:rsid w:val="007D781E"/>
    <w:rsid w:val="007E663E"/>
    <w:rsid w:val="007F6021"/>
    <w:rsid w:val="008130DA"/>
    <w:rsid w:val="00815082"/>
    <w:rsid w:val="0081540E"/>
    <w:rsid w:val="00857D86"/>
    <w:rsid w:val="00871FF8"/>
    <w:rsid w:val="0088395E"/>
    <w:rsid w:val="008B2CC1"/>
    <w:rsid w:val="008C13F9"/>
    <w:rsid w:val="008E6A59"/>
    <w:rsid w:val="008E6BD6"/>
    <w:rsid w:val="008F1EA4"/>
    <w:rsid w:val="0090731E"/>
    <w:rsid w:val="00954255"/>
    <w:rsid w:val="00956134"/>
    <w:rsid w:val="0096065E"/>
    <w:rsid w:val="00966A22"/>
    <w:rsid w:val="00971849"/>
    <w:rsid w:val="00972F03"/>
    <w:rsid w:val="00983AD1"/>
    <w:rsid w:val="009A0C8B"/>
    <w:rsid w:val="009B6241"/>
    <w:rsid w:val="00A16FC0"/>
    <w:rsid w:val="00A207BF"/>
    <w:rsid w:val="00A32C9E"/>
    <w:rsid w:val="00A55D53"/>
    <w:rsid w:val="00A61CF1"/>
    <w:rsid w:val="00A61F44"/>
    <w:rsid w:val="00A82437"/>
    <w:rsid w:val="00A932A5"/>
    <w:rsid w:val="00AB613D"/>
    <w:rsid w:val="00AC50A0"/>
    <w:rsid w:val="00AD17F0"/>
    <w:rsid w:val="00AE7F20"/>
    <w:rsid w:val="00B55A28"/>
    <w:rsid w:val="00B65A0A"/>
    <w:rsid w:val="00B66E1D"/>
    <w:rsid w:val="00B67CDC"/>
    <w:rsid w:val="00B72D36"/>
    <w:rsid w:val="00B73002"/>
    <w:rsid w:val="00B746FE"/>
    <w:rsid w:val="00B85EC8"/>
    <w:rsid w:val="00BA7DF9"/>
    <w:rsid w:val="00BC4164"/>
    <w:rsid w:val="00BD2636"/>
    <w:rsid w:val="00BD2DCC"/>
    <w:rsid w:val="00C47B5A"/>
    <w:rsid w:val="00C708B6"/>
    <w:rsid w:val="00C755AE"/>
    <w:rsid w:val="00C76B44"/>
    <w:rsid w:val="00C90559"/>
    <w:rsid w:val="00CA2251"/>
    <w:rsid w:val="00CB5B48"/>
    <w:rsid w:val="00D435D6"/>
    <w:rsid w:val="00D44A3B"/>
    <w:rsid w:val="00D45D5D"/>
    <w:rsid w:val="00D56C7C"/>
    <w:rsid w:val="00D71B4D"/>
    <w:rsid w:val="00D86991"/>
    <w:rsid w:val="00D90289"/>
    <w:rsid w:val="00D93D55"/>
    <w:rsid w:val="00D949B9"/>
    <w:rsid w:val="00D965C1"/>
    <w:rsid w:val="00DC4C60"/>
    <w:rsid w:val="00DE713F"/>
    <w:rsid w:val="00E0079A"/>
    <w:rsid w:val="00E444DA"/>
    <w:rsid w:val="00E45C84"/>
    <w:rsid w:val="00E504E5"/>
    <w:rsid w:val="00E632A1"/>
    <w:rsid w:val="00E7332F"/>
    <w:rsid w:val="00E828BD"/>
    <w:rsid w:val="00E96656"/>
    <w:rsid w:val="00EB20A3"/>
    <w:rsid w:val="00EB7A3E"/>
    <w:rsid w:val="00EC2BB2"/>
    <w:rsid w:val="00EC401A"/>
    <w:rsid w:val="00EF530A"/>
    <w:rsid w:val="00EF6622"/>
    <w:rsid w:val="00EF78A9"/>
    <w:rsid w:val="00F0310F"/>
    <w:rsid w:val="00F04541"/>
    <w:rsid w:val="00F161A2"/>
    <w:rsid w:val="00F16A29"/>
    <w:rsid w:val="00F22672"/>
    <w:rsid w:val="00F31694"/>
    <w:rsid w:val="00F55408"/>
    <w:rsid w:val="00F56E11"/>
    <w:rsid w:val="00F57342"/>
    <w:rsid w:val="00F66152"/>
    <w:rsid w:val="00F80845"/>
    <w:rsid w:val="00F8161C"/>
    <w:rsid w:val="00F84474"/>
    <w:rsid w:val="00F86FBC"/>
    <w:rsid w:val="00F8789A"/>
    <w:rsid w:val="00F90D13"/>
    <w:rsid w:val="00F96698"/>
    <w:rsid w:val="00FA0F0D"/>
    <w:rsid w:val="00FA11C3"/>
    <w:rsid w:val="00FD3056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32C9E"/>
    <w:pPr>
      <w:keepNext/>
      <w:numPr>
        <w:numId w:val="7"/>
      </w:numPr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numPr>
        <w:ilvl w:val="1"/>
        <w:numId w:val="7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numPr>
        <w:ilvl w:val="2"/>
        <w:numId w:val="7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numPr>
        <w:ilvl w:val="3"/>
        <w:numId w:val="7"/>
      </w:numPr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D949B9"/>
    <w:pPr>
      <w:numPr>
        <w:ilvl w:val="4"/>
        <w:numId w:val="7"/>
      </w:numPr>
      <w:spacing w:before="240" w:after="60"/>
      <w:ind w:left="1008" w:hanging="432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949B9"/>
    <w:pPr>
      <w:keepNext/>
      <w:numPr>
        <w:ilvl w:val="5"/>
        <w:numId w:val="7"/>
      </w:numPr>
      <w:ind w:left="1152" w:hanging="432"/>
      <w:jc w:val="center"/>
      <w:outlineLvl w:val="5"/>
    </w:pPr>
    <w:rPr>
      <w:rFonts w:ascii="Century Gothic" w:hAnsi="Century Gothic"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49B9"/>
    <w:pPr>
      <w:keepNext/>
      <w:keepLines/>
      <w:numPr>
        <w:ilvl w:val="6"/>
        <w:numId w:val="7"/>
      </w:numPr>
      <w:spacing w:before="20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49B9"/>
    <w:pPr>
      <w:keepNext/>
      <w:keepLines/>
      <w:numPr>
        <w:ilvl w:val="7"/>
        <w:numId w:val="7"/>
      </w:numPr>
      <w:spacing w:before="200"/>
      <w:ind w:left="1440" w:hanging="432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49B9"/>
    <w:pPr>
      <w:keepNext/>
      <w:keepLines/>
      <w:numPr>
        <w:ilvl w:val="8"/>
        <w:numId w:val="7"/>
      </w:numPr>
      <w:spacing w:before="20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Heading5Char">
    <w:name w:val="Heading 5 Char"/>
    <w:basedOn w:val="DefaultParagraphFont"/>
    <w:link w:val="Heading5"/>
    <w:rsid w:val="00D949B9"/>
    <w:rPr>
      <w:rFonts w:ascii="Arial" w:eastAsia="SimSun" w:hAnsi="Arial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D949B9"/>
    <w:rPr>
      <w:rFonts w:ascii="Century Gothic" w:eastAsia="SimSun" w:hAnsi="Century Gothic" w:cs="Arial"/>
      <w:sz w:val="28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949B9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949B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styleId="BalloonText">
    <w:name w:val="Balloon Text"/>
    <w:basedOn w:val="Normal"/>
    <w:link w:val="BalloonTextChar"/>
    <w:rsid w:val="00D949B9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949B9"/>
    <w:rPr>
      <w:rFonts w:ascii="Tahoma" w:eastAsia="SimSun" w:hAnsi="Tahoma" w:cs="Tahoma"/>
      <w:sz w:val="16"/>
      <w:szCs w:val="16"/>
      <w:lang w:eastAsia="zh-CN"/>
    </w:rPr>
  </w:style>
  <w:style w:type="paragraph" w:styleId="List2">
    <w:name w:val="List 2"/>
    <w:basedOn w:val="Normal"/>
    <w:rsid w:val="00D949B9"/>
    <w:pPr>
      <w:ind w:left="566" w:hanging="283"/>
    </w:pPr>
    <w:rPr>
      <w:lang w:val="en-US"/>
    </w:rPr>
  </w:style>
  <w:style w:type="paragraph" w:customStyle="1" w:styleId="DateSignatureAligned">
    <w:name w:val="Date / Signature Aligned"/>
    <w:basedOn w:val="Normal"/>
    <w:rsid w:val="00D949B9"/>
    <w:pPr>
      <w:ind w:left="5250"/>
    </w:pPr>
    <w:rPr>
      <w:lang w:val="en-US"/>
    </w:rPr>
  </w:style>
  <w:style w:type="character" w:styleId="Hyperlink">
    <w:name w:val="Hyperlink"/>
    <w:basedOn w:val="DefaultParagraphFont"/>
    <w:uiPriority w:val="99"/>
    <w:rsid w:val="00D949B9"/>
    <w:rPr>
      <w:noProof/>
      <w:szCs w:val="22"/>
    </w:rPr>
  </w:style>
  <w:style w:type="paragraph" w:customStyle="1" w:styleId="ArtRuleRef">
    <w:name w:val="Art/Rule Ref"/>
    <w:basedOn w:val="Normal"/>
    <w:rsid w:val="00D949B9"/>
    <w:pPr>
      <w:keepNext/>
      <w:keepLines/>
      <w:jc w:val="right"/>
    </w:pPr>
    <w:rPr>
      <w:rFonts w:eastAsia="Arial Unicode MS"/>
      <w:i/>
      <w:snapToGrid w:val="0"/>
      <w:sz w:val="16"/>
      <w:lang w:val="en-US" w:eastAsia="ja-JP"/>
    </w:rPr>
  </w:style>
  <w:style w:type="character" w:styleId="PageNumber">
    <w:name w:val="page number"/>
    <w:basedOn w:val="DefaultParagraphFont"/>
    <w:rsid w:val="00D949B9"/>
  </w:style>
  <w:style w:type="character" w:styleId="FootnoteReference">
    <w:name w:val="footnote reference"/>
    <w:basedOn w:val="DefaultParagraphFont"/>
    <w:rsid w:val="00D949B9"/>
    <w:rPr>
      <w:vertAlign w:val="superscript"/>
    </w:rPr>
  </w:style>
  <w:style w:type="table" w:styleId="TableContemporary">
    <w:name w:val="Table Contemporary"/>
    <w:basedOn w:val="TableNormal"/>
    <w:rsid w:val="00D949B9"/>
    <w:pPr>
      <w:suppressAutoHyphens/>
    </w:pPr>
    <w:rPr>
      <w:rFonts w:eastAsia="SimSu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EPODocNormal">
    <w:name w:val="EPODocNormal"/>
    <w:basedOn w:val="Normal"/>
    <w:rsid w:val="00D949B9"/>
    <w:pPr>
      <w:suppressAutoHyphens/>
      <w:ind w:left="1134"/>
    </w:pPr>
    <w:rPr>
      <w:rFonts w:eastAsia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qFormat/>
    <w:rsid w:val="00D949B9"/>
    <w:rPr>
      <w:i/>
      <w:iCs/>
    </w:rPr>
  </w:style>
  <w:style w:type="table" w:styleId="TableElegant">
    <w:name w:val="Table Elegant"/>
    <w:basedOn w:val="TableNormal"/>
    <w:rsid w:val="00D949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1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customStyle="1" w:styleId="BodyTexti">
    <w:name w:val="Body Text (i)"/>
    <w:basedOn w:val="Normal"/>
    <w:rsid w:val="00D949B9"/>
    <w:pPr>
      <w:tabs>
        <w:tab w:val="right" w:pos="851"/>
        <w:tab w:val="left" w:pos="1134"/>
      </w:tabs>
      <w:spacing w:after="120"/>
    </w:pPr>
    <w:rPr>
      <w:rFonts w:eastAsia="Times New Roman" w:cs="Times New Roman"/>
      <w:snapToGrid w:val="0"/>
      <w:lang w:val="en-US" w:eastAsia="en-US"/>
    </w:rPr>
  </w:style>
  <w:style w:type="paragraph" w:customStyle="1" w:styleId="BodyTexta">
    <w:name w:val="Body Text (a)"/>
    <w:basedOn w:val="Normal"/>
    <w:rsid w:val="00D949B9"/>
    <w:pPr>
      <w:spacing w:after="120"/>
      <w:ind w:firstLine="567"/>
    </w:pPr>
    <w:rPr>
      <w:rFonts w:eastAsia="Times New Roman" w:cs="Times New Roman"/>
      <w:lang w:val="en-US" w:eastAsia="en-US"/>
    </w:rPr>
  </w:style>
  <w:style w:type="paragraph" w:customStyle="1" w:styleId="ExampleClaim">
    <w:name w:val="Example Claim"/>
    <w:basedOn w:val="ExampleText"/>
    <w:rsid w:val="00D949B9"/>
    <w:pPr>
      <w:ind w:left="1134" w:hanging="567"/>
    </w:pPr>
  </w:style>
  <w:style w:type="paragraph" w:customStyle="1" w:styleId="ExampleText">
    <w:name w:val="Example Text"/>
    <w:basedOn w:val="BodyTextIndent"/>
    <w:rsid w:val="00D949B9"/>
    <w:pPr>
      <w:ind w:left="567"/>
    </w:pPr>
    <w:rPr>
      <w:rFonts w:eastAsia="Times New Roman" w:cs="Times New Roman"/>
      <w:i/>
      <w:lang w:eastAsia="en-US"/>
    </w:rPr>
  </w:style>
  <w:style w:type="paragraph" w:customStyle="1" w:styleId="ExampleClaimSub">
    <w:name w:val="Example Claim Sub"/>
    <w:basedOn w:val="ExampleClaim"/>
    <w:rsid w:val="00D949B9"/>
    <w:pPr>
      <w:ind w:firstLine="567"/>
    </w:pPr>
  </w:style>
  <w:style w:type="paragraph" w:customStyle="1" w:styleId="ExampleClaimEnd">
    <w:name w:val="Example Claim End"/>
    <w:basedOn w:val="ExampleClaimSub"/>
    <w:rsid w:val="00D949B9"/>
    <w:pPr>
      <w:ind w:firstLine="0"/>
    </w:pPr>
  </w:style>
  <w:style w:type="paragraph" w:customStyle="1" w:styleId="ExamplePolymorphism">
    <w:name w:val="Example Polymorphism"/>
    <w:basedOn w:val="ExampleClaim"/>
    <w:rsid w:val="00D949B9"/>
    <w:pPr>
      <w:tabs>
        <w:tab w:val="right" w:pos="1980"/>
        <w:tab w:val="right" w:pos="3600"/>
        <w:tab w:val="right" w:pos="5400"/>
        <w:tab w:val="left" w:pos="5580"/>
      </w:tabs>
      <w:spacing w:after="0"/>
      <w:ind w:left="567" w:firstLine="0"/>
    </w:pPr>
  </w:style>
  <w:style w:type="paragraph" w:customStyle="1" w:styleId="ExamplePolyHeader">
    <w:name w:val="Example Poly Header"/>
    <w:basedOn w:val="ExamplePolymorphism"/>
    <w:rsid w:val="00D949B9"/>
    <w:pPr>
      <w:tabs>
        <w:tab w:val="clear" w:pos="1980"/>
        <w:tab w:val="clear" w:pos="5400"/>
        <w:tab w:val="clear" w:pos="5580"/>
        <w:tab w:val="left" w:pos="1134"/>
        <w:tab w:val="left" w:pos="3969"/>
      </w:tabs>
    </w:pPr>
  </w:style>
  <w:style w:type="character" w:customStyle="1" w:styleId="InsertedText">
    <w:name w:val="Inserted Text"/>
    <w:qFormat/>
    <w:rsid w:val="00D949B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949B9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949B9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D949B9"/>
    <w:pPr>
      <w:autoSpaceDE w:val="0"/>
      <w:autoSpaceDN w:val="0"/>
      <w:adjustRightInd w:val="0"/>
    </w:pPr>
    <w:rPr>
      <w:rFonts w:ascii="Arial" w:hAnsi="Arial"/>
      <w:color w:val="000000"/>
      <w:sz w:val="22"/>
      <w:szCs w:val="24"/>
      <w:lang w:val="en-AU" w:eastAsia="en-AU"/>
    </w:rPr>
  </w:style>
  <w:style w:type="table" w:styleId="TableGrid">
    <w:name w:val="Table Grid"/>
    <w:basedOn w:val="TableNormal"/>
    <w:rsid w:val="00D949B9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D949B9"/>
    <w:pPr>
      <w:spacing w:after="10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rsid w:val="00D949B9"/>
    <w:pPr>
      <w:spacing w:after="100"/>
      <w:ind w:left="440"/>
    </w:pPr>
    <w:rPr>
      <w:lang w:val="en-US"/>
    </w:rPr>
  </w:style>
  <w:style w:type="paragraph" w:styleId="TOC4">
    <w:name w:val="toc 4"/>
    <w:basedOn w:val="Normal"/>
    <w:next w:val="Normal"/>
    <w:autoRedefine/>
    <w:uiPriority w:val="39"/>
    <w:rsid w:val="00D949B9"/>
    <w:pPr>
      <w:spacing w:after="100"/>
      <w:ind w:left="66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949B9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rsid w:val="00D949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49B9"/>
    <w:rPr>
      <w:b/>
      <w:bCs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949B9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D949B9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9B9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9B9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949B9"/>
    <w:rPr>
      <w:rFonts w:ascii="Arial" w:eastAsia="SimSun" w:hAnsi="Arial" w:cs="Arial"/>
      <w:sz w:val="18"/>
      <w:lang w:val="es-ES" w:eastAsia="zh-CN"/>
    </w:rPr>
  </w:style>
  <w:style w:type="paragraph" w:customStyle="1" w:styleId="SectionHeading">
    <w:name w:val="Section Heading"/>
    <w:basedOn w:val="Heading1"/>
    <w:link w:val="SectionHeadingChar"/>
    <w:qFormat/>
    <w:rsid w:val="00D949B9"/>
  </w:style>
  <w:style w:type="character" w:customStyle="1" w:styleId="SectionHeadingChar">
    <w:name w:val="Section Heading Char"/>
    <w:basedOn w:val="Heading1Char"/>
    <w:link w:val="SectionHeading"/>
    <w:rsid w:val="00D949B9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paragraph" w:styleId="ListParagraph">
    <w:name w:val="List Paragraph"/>
    <w:basedOn w:val="Normal"/>
    <w:uiPriority w:val="34"/>
    <w:qFormat/>
    <w:rsid w:val="00D949B9"/>
    <w:pPr>
      <w:ind w:left="720"/>
      <w:contextualSpacing/>
    </w:pPr>
    <w:rPr>
      <w:lang w:val="en-US"/>
    </w:rPr>
  </w:style>
  <w:style w:type="character" w:styleId="FollowedHyperlink">
    <w:name w:val="FollowedHyperlink"/>
    <w:basedOn w:val="DefaultParagraphFont"/>
    <w:rsid w:val="00D949B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D949B9"/>
    <w:pPr>
      <w:spacing w:before="100" w:beforeAutospacing="1" w:after="100" w:afterAutospacing="1"/>
    </w:pPr>
    <w:rPr>
      <w:rFonts w:eastAsia="MS Mincho"/>
      <w:sz w:val="18"/>
      <w:szCs w:val="18"/>
      <w:lang w:val="en-US" w:eastAsia="ja-JP"/>
    </w:rPr>
  </w:style>
  <w:style w:type="paragraph" w:styleId="BodyText2">
    <w:name w:val="Body Text 2"/>
    <w:basedOn w:val="Normal"/>
    <w:link w:val="BodyText2Char"/>
    <w:rsid w:val="00D949B9"/>
    <w:rPr>
      <w:rFonts w:ascii="Century Gothic" w:hAnsi="Century Gothic"/>
      <w:i/>
      <w:color w:val="0000FF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949B9"/>
    <w:rPr>
      <w:rFonts w:ascii="Century Gothic" w:eastAsia="SimSun" w:hAnsi="Century Gothic" w:cs="Arial"/>
      <w:i/>
      <w:color w:val="0000FF"/>
      <w:lang w:eastAsia="zh-CN"/>
    </w:rPr>
  </w:style>
  <w:style w:type="paragraph" w:styleId="BodyText3">
    <w:name w:val="Body Text 3"/>
    <w:basedOn w:val="Normal"/>
    <w:link w:val="BodyText3Char"/>
    <w:rsid w:val="00D949B9"/>
    <w:rPr>
      <w:rFonts w:ascii="Century Gothic" w:hAnsi="Century Gothic"/>
      <w:color w:val="0000FF"/>
      <w:sz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D949B9"/>
    <w:rPr>
      <w:rFonts w:ascii="Century Gothic" w:eastAsia="SimSun" w:hAnsi="Century Gothic" w:cs="Arial"/>
      <w:color w:val="0000FF"/>
      <w:lang w:eastAsia="zh-CN"/>
    </w:rPr>
  </w:style>
  <w:style w:type="paragraph" w:customStyle="1" w:styleId="Note-subparai">
    <w:name w:val="Note - subpara (i)"/>
    <w:basedOn w:val="Normal"/>
    <w:locked/>
    <w:rsid w:val="00D949B9"/>
    <w:pPr>
      <w:tabs>
        <w:tab w:val="right" w:pos="1843"/>
        <w:tab w:val="left" w:pos="2127"/>
      </w:tabs>
      <w:ind w:left="2127" w:hanging="2127"/>
    </w:pPr>
    <w:rPr>
      <w:rFonts w:ascii="Times New Roman" w:hAnsi="Times New Roman" w:cs="Times New Roman"/>
      <w:color w:val="000000"/>
      <w:sz w:val="24"/>
      <w:lang w:val="en-US"/>
    </w:rPr>
  </w:style>
  <w:style w:type="numbering" w:styleId="ArticleSection">
    <w:name w:val="Outline List 3"/>
    <w:basedOn w:val="NoList"/>
    <w:rsid w:val="00D949B9"/>
    <w:pPr>
      <w:numPr>
        <w:numId w:val="12"/>
      </w:numPr>
    </w:pPr>
  </w:style>
  <w:style w:type="paragraph" w:styleId="BodyTextIndent2">
    <w:name w:val="Body Text Indent 2"/>
    <w:basedOn w:val="Normal"/>
    <w:link w:val="BodyTextIndent2Char"/>
    <w:rsid w:val="00D949B9"/>
    <w:pPr>
      <w:ind w:left="567"/>
    </w:pPr>
    <w:rPr>
      <w:rFonts w:ascii="Century Gothic" w:hAnsi="Century Gothic"/>
      <w:bCs/>
      <w:iCs/>
      <w:sz w:val="16"/>
      <w:szCs w:val="16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949B9"/>
    <w:rPr>
      <w:rFonts w:ascii="Century Gothic" w:eastAsia="SimSun" w:hAnsi="Century Gothic" w:cs="Arial"/>
      <w:bCs/>
      <w:iCs/>
      <w:sz w:val="16"/>
      <w:szCs w:val="16"/>
      <w:lang w:eastAsia="zh-CN"/>
    </w:rPr>
  </w:style>
  <w:style w:type="table" w:customStyle="1" w:styleId="TableGrid1">
    <w:name w:val="Table Grid1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949B9"/>
    <w:rPr>
      <w:rFonts w:asciiTheme="minorHAnsi" w:eastAsiaTheme="minorHAnsi" w:hAnsiTheme="minorHAnsi" w:cstheme="minorBidi"/>
      <w:sz w:val="22"/>
      <w:szCs w:val="22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B9"/>
    <w:rPr>
      <w:rFonts w:asciiTheme="minorHAnsi" w:eastAsiaTheme="minorHAnsi" w:hAnsiTheme="minorHAnsi" w:cstheme="minorBidi"/>
      <w:sz w:val="22"/>
      <w:szCs w:val="22"/>
      <w:lang w:val="fr-CA"/>
    </w:rPr>
  </w:style>
  <w:style w:type="paragraph" w:styleId="BodyTextIndent3">
    <w:name w:val="Body Text Indent 3"/>
    <w:basedOn w:val="Normal"/>
    <w:link w:val="BodyTextIndent3Char"/>
    <w:rsid w:val="00D949B9"/>
    <w:pPr>
      <w:ind w:left="360"/>
    </w:pPr>
    <w:rPr>
      <w:rFonts w:ascii="Century Gothic" w:hAnsi="Century Gothic"/>
      <w:color w:val="00B050"/>
      <w:sz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949B9"/>
    <w:rPr>
      <w:rFonts w:ascii="Century Gothic" w:eastAsia="SimSun" w:hAnsi="Century Gothic" w:cs="Arial"/>
      <w:color w:val="00B050"/>
      <w:lang w:eastAsia="zh-CN"/>
    </w:rPr>
  </w:style>
  <w:style w:type="table" w:styleId="MediumShading1">
    <w:name w:val="Medium Shading 1"/>
    <w:basedOn w:val="TableNormal"/>
    <w:uiPriority w:val="63"/>
    <w:rsid w:val="00D949B9"/>
    <w:rPr>
      <w:rFonts w:asciiTheme="minorHAnsi" w:eastAsiaTheme="minorHAnsi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erChar">
    <w:name w:val="Header Char"/>
    <w:basedOn w:val="DefaultParagraphFont"/>
    <w:link w:val="Header"/>
    <w:rsid w:val="00D949B9"/>
    <w:rPr>
      <w:rFonts w:ascii="Arial" w:eastAsia="SimSun" w:hAnsi="Arial" w:cs="Arial"/>
      <w:sz w:val="22"/>
      <w:lang w:val="es-ES" w:eastAsia="zh-CN"/>
    </w:rPr>
  </w:style>
  <w:style w:type="paragraph" w:customStyle="1" w:styleId="Subsection">
    <w:name w:val="Subsection"/>
    <w:basedOn w:val="Normal"/>
    <w:link w:val="SubsectionChar"/>
    <w:qFormat/>
    <w:rsid w:val="00D949B9"/>
    <w:pPr>
      <w:keepNext/>
    </w:pPr>
    <w:rPr>
      <w:b/>
      <w:lang w:val="en-US"/>
    </w:rPr>
  </w:style>
  <w:style w:type="character" w:customStyle="1" w:styleId="SubsectionChar">
    <w:name w:val="Subsection Char"/>
    <w:basedOn w:val="DefaultParagraphFont"/>
    <w:link w:val="Subsection"/>
    <w:rsid w:val="00D949B9"/>
    <w:rPr>
      <w:rFonts w:ascii="Arial" w:eastAsia="SimSun" w:hAnsi="Arial" w:cs="Arial"/>
      <w:b/>
      <w:sz w:val="22"/>
      <w:lang w:eastAsia="zh-CN"/>
    </w:rPr>
  </w:style>
  <w:style w:type="character" w:customStyle="1" w:styleId="shorttext">
    <w:name w:val="short_text"/>
    <w:basedOn w:val="DefaultParagraphFont"/>
    <w:uiPriority w:val="99"/>
    <w:rsid w:val="004C58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\\wipogvafs01\Dat2\Orglan\Shared\Originaux\41716\&#8206;dipp.nic.in\English\Schemes\Intellectual_Property_Rights\National_IPR_Policy_08.08.2016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3066-66B2-4104-9495-B536849B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2838</Words>
  <Characters>15808</Characters>
  <Application>Microsoft Office Word</Application>
  <DocSecurity>0</DocSecurity>
  <Lines>235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PCT/CTC/30/6</vt:lpstr>
      <vt:lpstr>PCT/CTC/30/6</vt:lpstr>
    </vt:vector>
  </TitlesOfParts>
  <Company>WIPO</Company>
  <LinksUpToDate>false</LinksUpToDate>
  <CharactersWithSpaces>18594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PCT/CTC/30/6</dc:title>
  <dc:subject>Application for Extension of Appointment of Indian Patent Office as an International Searching and Preliminary Examining Authority under the PCT</dc:subject>
  <dc:creator>CEVALLOS DUQUE Nilo</dc:creator>
  <cp:lastModifiedBy>MARLOW Thomas</cp:lastModifiedBy>
  <cp:revision>3</cp:revision>
  <dcterms:created xsi:type="dcterms:W3CDTF">2017-03-22T17:59:00Z</dcterms:created>
  <dcterms:modified xsi:type="dcterms:W3CDTF">2017-03-29T10:21:00Z</dcterms:modified>
</cp:coreProperties>
</file>