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6B7AA3" w:rsidTr="0088395E">
        <w:tc>
          <w:tcPr>
            <w:tcW w:w="4513" w:type="dxa"/>
            <w:tcBorders>
              <w:bottom w:val="single" w:sz="4" w:space="0" w:color="auto"/>
            </w:tcBorders>
            <w:tcMar>
              <w:bottom w:w="170" w:type="dxa"/>
            </w:tcMar>
          </w:tcPr>
          <w:p w:rsidR="00E504E5" w:rsidRPr="006B7AA3" w:rsidRDefault="00E504E5" w:rsidP="00AB613D">
            <w:bookmarkStart w:id="0" w:name="_GoBack"/>
            <w:bookmarkEnd w:id="0"/>
          </w:p>
        </w:tc>
        <w:tc>
          <w:tcPr>
            <w:tcW w:w="4337" w:type="dxa"/>
            <w:tcBorders>
              <w:bottom w:val="single" w:sz="4" w:space="0" w:color="auto"/>
            </w:tcBorders>
            <w:tcMar>
              <w:left w:w="0" w:type="dxa"/>
              <w:right w:w="0" w:type="dxa"/>
            </w:tcMar>
          </w:tcPr>
          <w:p w:rsidR="00E504E5" w:rsidRPr="006B7AA3" w:rsidRDefault="00B66E1D" w:rsidP="00AB613D">
            <w:r w:rsidRPr="006B7AA3">
              <w:rPr>
                <w:noProof/>
                <w:lang w:val="en-US" w:eastAsia="en-US"/>
              </w:rPr>
              <w:drawing>
                <wp:inline distT="0" distB="0" distL="0" distR="0" wp14:anchorId="47D61DC3" wp14:editId="7C408BDE">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B7AA3" w:rsidRDefault="00E504E5" w:rsidP="00AB613D">
            <w:pPr>
              <w:jc w:val="right"/>
            </w:pPr>
            <w:r w:rsidRPr="006B7AA3">
              <w:rPr>
                <w:b/>
                <w:sz w:val="40"/>
                <w:szCs w:val="40"/>
              </w:rPr>
              <w:t>S</w:t>
            </w:r>
          </w:p>
        </w:tc>
      </w:tr>
      <w:tr w:rsidR="008B2CC1" w:rsidRPr="006B7AA3"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6B7AA3" w:rsidRDefault="00B66E1D" w:rsidP="00BD52B2">
            <w:pPr>
              <w:jc w:val="right"/>
              <w:rPr>
                <w:rFonts w:ascii="Arial Black" w:hAnsi="Arial Black"/>
                <w:caps/>
                <w:sz w:val="15"/>
              </w:rPr>
            </w:pPr>
            <w:r w:rsidRPr="006B7AA3">
              <w:rPr>
                <w:rFonts w:ascii="Arial Black" w:hAnsi="Arial Black"/>
                <w:caps/>
                <w:sz w:val="15"/>
              </w:rPr>
              <w:t>PCT/CTC/30/</w:t>
            </w:r>
            <w:bookmarkStart w:id="1" w:name="Code"/>
            <w:bookmarkEnd w:id="1"/>
            <w:r w:rsidR="00BD52B2" w:rsidRPr="006B7AA3">
              <w:rPr>
                <w:rFonts w:ascii="Arial Black" w:hAnsi="Arial Black"/>
                <w:caps/>
                <w:sz w:val="15"/>
              </w:rPr>
              <w:t>10</w:t>
            </w:r>
          </w:p>
        </w:tc>
      </w:tr>
      <w:tr w:rsidR="008B2CC1" w:rsidRPr="006B7AA3" w:rsidTr="00AB613D">
        <w:trPr>
          <w:trHeight w:hRule="exact" w:val="170"/>
        </w:trPr>
        <w:tc>
          <w:tcPr>
            <w:tcW w:w="9356" w:type="dxa"/>
            <w:gridSpan w:val="3"/>
            <w:noWrap/>
            <w:tcMar>
              <w:left w:w="0" w:type="dxa"/>
              <w:right w:w="0" w:type="dxa"/>
            </w:tcMar>
            <w:vAlign w:val="bottom"/>
          </w:tcPr>
          <w:p w:rsidR="008B2CC1" w:rsidRPr="006B7AA3" w:rsidRDefault="008B2CC1" w:rsidP="0046793F">
            <w:pPr>
              <w:jc w:val="right"/>
              <w:rPr>
                <w:rFonts w:ascii="Arial Black" w:hAnsi="Arial Black"/>
                <w:caps/>
                <w:sz w:val="15"/>
              </w:rPr>
            </w:pPr>
            <w:r w:rsidRPr="006B7AA3">
              <w:rPr>
                <w:rFonts w:ascii="Arial Black" w:hAnsi="Arial Black"/>
                <w:caps/>
                <w:sz w:val="15"/>
              </w:rPr>
              <w:t xml:space="preserve">ORIGINAL: </w:t>
            </w:r>
            <w:bookmarkStart w:id="2" w:name="Original"/>
            <w:bookmarkEnd w:id="2"/>
            <w:r w:rsidR="00396AE9" w:rsidRPr="006B7AA3">
              <w:rPr>
                <w:rFonts w:ascii="Arial Black" w:hAnsi="Arial Black"/>
                <w:caps/>
                <w:sz w:val="15"/>
              </w:rPr>
              <w:t xml:space="preserve"> </w:t>
            </w:r>
            <w:r w:rsidR="003F5AAE" w:rsidRPr="006B7AA3">
              <w:rPr>
                <w:rFonts w:ascii="Arial Black" w:hAnsi="Arial Black"/>
                <w:caps/>
                <w:sz w:val="15"/>
              </w:rPr>
              <w:t>INGLÉS</w:t>
            </w:r>
          </w:p>
        </w:tc>
      </w:tr>
      <w:tr w:rsidR="008B2CC1" w:rsidRPr="006B7AA3" w:rsidTr="00AB613D">
        <w:trPr>
          <w:trHeight w:hRule="exact" w:val="198"/>
        </w:trPr>
        <w:tc>
          <w:tcPr>
            <w:tcW w:w="9356" w:type="dxa"/>
            <w:gridSpan w:val="3"/>
            <w:tcMar>
              <w:left w:w="0" w:type="dxa"/>
              <w:right w:w="0" w:type="dxa"/>
            </w:tcMar>
            <w:vAlign w:val="bottom"/>
          </w:tcPr>
          <w:p w:rsidR="008B2CC1" w:rsidRPr="006B7AA3" w:rsidRDefault="00675021" w:rsidP="0046793F">
            <w:pPr>
              <w:jc w:val="right"/>
              <w:rPr>
                <w:rFonts w:ascii="Arial Black" w:hAnsi="Arial Black"/>
                <w:caps/>
                <w:sz w:val="15"/>
              </w:rPr>
            </w:pPr>
            <w:r w:rsidRPr="006B7AA3">
              <w:rPr>
                <w:rFonts w:ascii="Arial Black" w:hAnsi="Arial Black"/>
                <w:caps/>
                <w:sz w:val="15"/>
              </w:rPr>
              <w:t>fecha</w:t>
            </w:r>
            <w:r w:rsidR="008B2CC1" w:rsidRPr="006B7AA3">
              <w:rPr>
                <w:rFonts w:ascii="Arial Black" w:hAnsi="Arial Black"/>
                <w:caps/>
                <w:sz w:val="15"/>
              </w:rPr>
              <w:t xml:space="preserve">: </w:t>
            </w:r>
            <w:bookmarkStart w:id="3" w:name="Date"/>
            <w:bookmarkEnd w:id="3"/>
            <w:r w:rsidR="00396AE9" w:rsidRPr="006B7AA3">
              <w:rPr>
                <w:rFonts w:ascii="Arial Black" w:hAnsi="Arial Black"/>
                <w:caps/>
                <w:sz w:val="15"/>
              </w:rPr>
              <w:t xml:space="preserve"> </w:t>
            </w:r>
            <w:r w:rsidR="003F5AAE" w:rsidRPr="006B7AA3">
              <w:rPr>
                <w:rFonts w:ascii="Arial Black" w:hAnsi="Arial Black"/>
                <w:caps/>
                <w:sz w:val="15"/>
              </w:rPr>
              <w:t>16 DE MARZO DE 2017</w:t>
            </w:r>
          </w:p>
        </w:tc>
      </w:tr>
    </w:tbl>
    <w:p w:rsidR="004F1BFB" w:rsidRPr="006B7AA3" w:rsidRDefault="004F1BFB" w:rsidP="008B2CC1"/>
    <w:p w:rsidR="004F1BFB" w:rsidRPr="006B7AA3" w:rsidRDefault="004F1BFB" w:rsidP="008B2CC1"/>
    <w:p w:rsidR="004F1BFB" w:rsidRPr="006B7AA3" w:rsidRDefault="004F1BFB" w:rsidP="008B2CC1"/>
    <w:p w:rsidR="004F1BFB" w:rsidRPr="006B7AA3" w:rsidRDefault="004F1BFB" w:rsidP="008B2CC1"/>
    <w:p w:rsidR="004F1BFB" w:rsidRPr="006B7AA3" w:rsidRDefault="004F1BFB" w:rsidP="008B2CC1"/>
    <w:p w:rsidR="004F1BFB" w:rsidRPr="006B7AA3" w:rsidRDefault="00B66E1D" w:rsidP="00B67CDC">
      <w:pPr>
        <w:rPr>
          <w:b/>
          <w:sz w:val="28"/>
          <w:szCs w:val="28"/>
        </w:rPr>
      </w:pPr>
      <w:r w:rsidRPr="006B7AA3">
        <w:rPr>
          <w:b/>
          <w:sz w:val="28"/>
          <w:szCs w:val="28"/>
        </w:rPr>
        <w:t>Tratado de</w:t>
      </w:r>
      <w:r w:rsidR="00C12500">
        <w:rPr>
          <w:b/>
          <w:sz w:val="28"/>
          <w:szCs w:val="28"/>
        </w:rPr>
        <w:t xml:space="preserve"> C</w:t>
      </w:r>
      <w:r w:rsidRPr="006B7AA3">
        <w:rPr>
          <w:b/>
          <w:sz w:val="28"/>
          <w:szCs w:val="28"/>
        </w:rPr>
        <w:t>ooperac</w:t>
      </w:r>
      <w:r w:rsidR="007D2978" w:rsidRPr="006B7AA3">
        <w:rPr>
          <w:b/>
          <w:sz w:val="28"/>
          <w:szCs w:val="28"/>
        </w:rPr>
        <w:t>ió</w:t>
      </w:r>
      <w:r w:rsidRPr="006B7AA3">
        <w:rPr>
          <w:b/>
          <w:sz w:val="28"/>
          <w:szCs w:val="28"/>
        </w:rPr>
        <w:t>n en materia de Patentes (PCT)</w:t>
      </w:r>
    </w:p>
    <w:p w:rsidR="004F1BFB" w:rsidRPr="006B7AA3" w:rsidRDefault="007D2978" w:rsidP="00B67CDC">
      <w:pPr>
        <w:rPr>
          <w:b/>
          <w:sz w:val="28"/>
          <w:szCs w:val="28"/>
        </w:rPr>
      </w:pPr>
      <w:r w:rsidRPr="006B7AA3">
        <w:rPr>
          <w:b/>
          <w:sz w:val="28"/>
          <w:szCs w:val="28"/>
        </w:rPr>
        <w:t>Comité de Cooperació</w:t>
      </w:r>
      <w:r w:rsidR="00B66E1D" w:rsidRPr="006B7AA3">
        <w:rPr>
          <w:b/>
          <w:sz w:val="28"/>
          <w:szCs w:val="28"/>
        </w:rPr>
        <w:t>n Técnica</w:t>
      </w:r>
    </w:p>
    <w:p w:rsidR="004F1BFB" w:rsidRPr="006B7AA3" w:rsidRDefault="004F1BFB" w:rsidP="003845C1"/>
    <w:p w:rsidR="004F1BFB" w:rsidRPr="006B7AA3" w:rsidRDefault="004F1BFB" w:rsidP="003845C1"/>
    <w:p w:rsidR="004F1BFB" w:rsidRPr="006B7AA3" w:rsidRDefault="007D2978" w:rsidP="00B67CDC">
      <w:pPr>
        <w:rPr>
          <w:b/>
          <w:sz w:val="24"/>
          <w:szCs w:val="24"/>
        </w:rPr>
      </w:pPr>
      <w:r w:rsidRPr="006B7AA3">
        <w:rPr>
          <w:b/>
          <w:sz w:val="24"/>
          <w:szCs w:val="24"/>
        </w:rPr>
        <w:t>Trigésima sesió</w:t>
      </w:r>
      <w:r w:rsidR="00B66E1D" w:rsidRPr="006B7AA3">
        <w:rPr>
          <w:b/>
          <w:sz w:val="24"/>
          <w:szCs w:val="24"/>
        </w:rPr>
        <w:t>n</w:t>
      </w:r>
    </w:p>
    <w:p w:rsidR="004F1BFB" w:rsidRPr="006B7AA3" w:rsidRDefault="00B66E1D" w:rsidP="00B67CDC">
      <w:pPr>
        <w:rPr>
          <w:b/>
          <w:sz w:val="24"/>
          <w:szCs w:val="24"/>
        </w:rPr>
      </w:pPr>
      <w:r w:rsidRPr="006B7AA3">
        <w:rPr>
          <w:b/>
          <w:sz w:val="24"/>
          <w:szCs w:val="24"/>
        </w:rPr>
        <w:t>Ginebra, 8 a 12 de mayo de 2017</w:t>
      </w:r>
    </w:p>
    <w:p w:rsidR="004F1BFB" w:rsidRPr="006B7AA3" w:rsidRDefault="004F1BFB" w:rsidP="008B2CC1"/>
    <w:p w:rsidR="004F1BFB" w:rsidRPr="006B7AA3" w:rsidRDefault="004F1BFB" w:rsidP="008B2CC1"/>
    <w:p w:rsidR="004F1BFB" w:rsidRPr="006B7AA3" w:rsidRDefault="004F1BFB" w:rsidP="008B2CC1"/>
    <w:p w:rsidR="004F1BFB" w:rsidRPr="006B7AA3" w:rsidRDefault="005306DE" w:rsidP="0061059B">
      <w:pPr>
        <w:rPr>
          <w:caps/>
          <w:sz w:val="24"/>
        </w:rPr>
      </w:pPr>
      <w:bookmarkStart w:id="4" w:name="TitleOfDoc"/>
      <w:bookmarkEnd w:id="4"/>
      <w:r w:rsidRPr="006B7AA3">
        <w:rPr>
          <w:caps/>
          <w:sz w:val="24"/>
        </w:rPr>
        <w:t>PRÓRROGA</w:t>
      </w:r>
      <w:r w:rsidR="0061059B" w:rsidRPr="006B7AA3">
        <w:rPr>
          <w:caps/>
          <w:sz w:val="24"/>
        </w:rPr>
        <w:t xml:space="preserve"> de la designación de la Oficina Europea de Patentes en calidad de Administración encargada de la búsqueda y del examen preliminar internacional</w:t>
      </w:r>
      <w:r w:rsidRPr="006B7AA3">
        <w:rPr>
          <w:caps/>
          <w:sz w:val="24"/>
        </w:rPr>
        <w:t>ES</w:t>
      </w:r>
      <w:r w:rsidR="0061059B" w:rsidRPr="006B7AA3">
        <w:rPr>
          <w:caps/>
          <w:sz w:val="24"/>
        </w:rPr>
        <w:t xml:space="preserve"> en virtud del PCT</w:t>
      </w:r>
    </w:p>
    <w:p w:rsidR="004F1BFB" w:rsidRPr="006B7AA3" w:rsidRDefault="004F1BFB" w:rsidP="00BD52B2"/>
    <w:p w:rsidR="004F1BFB" w:rsidRPr="006B7AA3" w:rsidRDefault="0061059B" w:rsidP="0061059B">
      <w:pPr>
        <w:rPr>
          <w:i/>
        </w:rPr>
      </w:pPr>
      <w:bookmarkStart w:id="5" w:name="Prepared"/>
      <w:bookmarkEnd w:id="5"/>
      <w:r w:rsidRPr="006B7AA3">
        <w:rPr>
          <w:i/>
        </w:rPr>
        <w:t>Documento preparado por la Oficina Internacional</w:t>
      </w:r>
    </w:p>
    <w:p w:rsidR="004F1BFB" w:rsidRPr="006B7AA3" w:rsidRDefault="004F1BFB" w:rsidP="00BD52B2"/>
    <w:p w:rsidR="004F1BFB" w:rsidRPr="006B7AA3" w:rsidRDefault="004F1BFB" w:rsidP="00BD52B2"/>
    <w:p w:rsidR="004F1BFB" w:rsidRPr="006B7AA3" w:rsidRDefault="004F1BFB" w:rsidP="00BD52B2"/>
    <w:p w:rsidR="004F1BFB" w:rsidRPr="006B7AA3" w:rsidRDefault="004F1BFB" w:rsidP="00BD52B2"/>
    <w:p w:rsidR="004F1BFB" w:rsidRPr="006B7AA3" w:rsidRDefault="00307D49" w:rsidP="00930AF7">
      <w:pPr>
        <w:pStyle w:val="ONUMFS"/>
        <w:rPr>
          <w:szCs w:val="22"/>
        </w:rPr>
      </w:pPr>
      <w:bookmarkStart w:id="6" w:name="_Ref447032909"/>
      <w:r w:rsidRPr="006B7AA3">
        <w:t xml:space="preserve">Todas las Administraciones </w:t>
      </w:r>
      <w:r w:rsidR="00C23CF2" w:rsidRPr="006B7AA3">
        <w:t xml:space="preserve">internacionales </w:t>
      </w:r>
      <w:r w:rsidRPr="006B7AA3">
        <w:t>existentes fueron designadas por la Asamblea de la Unión PCT por un plazo que expirará el 31 de diciembre de 2017.</w:t>
      </w:r>
      <w:r w:rsidR="00BE6EA6">
        <w:t xml:space="preserve"> </w:t>
      </w:r>
      <w:r w:rsidRPr="006B7AA3">
        <w:t xml:space="preserve"> Por consiguiente, en 2017 la Asamblea estará llamada a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w:t>
      </w:r>
      <w:r w:rsidR="003A3423">
        <w:t>.</w:t>
      </w:r>
      <w:r w:rsidRPr="006B7AA3">
        <w:t>e) y 32.3 del PCT).</w:t>
      </w:r>
      <w:r w:rsidR="00BE6EA6">
        <w:t xml:space="preserve"> </w:t>
      </w:r>
      <w:r w:rsidRPr="006B7AA3">
        <w:t xml:space="preserve"> El documento PCT/CTC/30/INF/1 contiene más información sobre este proceso y sobre la función del Comité en el marco del mismo.</w:t>
      </w:r>
    </w:p>
    <w:bookmarkEnd w:id="6"/>
    <w:p w:rsidR="004F1BFB" w:rsidRPr="006B7AA3" w:rsidRDefault="005306DE" w:rsidP="00930AF7">
      <w:pPr>
        <w:pStyle w:val="ONUMFS"/>
      </w:pPr>
      <w:r w:rsidRPr="006B7AA3">
        <w:t xml:space="preserve">El 2 de marzo de 2017, la Oficina Europea de Patentes presentó una solicitud para prorrogar su designación como Administración encargada de la búsqueda internacional </w:t>
      </w:r>
      <w:r w:rsidR="00B70092">
        <w:t xml:space="preserve">(ISA) </w:t>
      </w:r>
      <w:r w:rsidRPr="006B7AA3">
        <w:t xml:space="preserve">y Administración encargada del examen preliminar internacional </w:t>
      </w:r>
      <w:r w:rsidR="00B70092">
        <w:t xml:space="preserve">(IPEA) </w:t>
      </w:r>
      <w:r w:rsidRPr="006B7AA3">
        <w:t xml:space="preserve">en </w:t>
      </w:r>
      <w:r w:rsidR="000C109F" w:rsidRPr="006B7AA3">
        <w:t xml:space="preserve">virtud </w:t>
      </w:r>
      <w:r w:rsidRPr="006B7AA3">
        <w:t>del PCT</w:t>
      </w:r>
      <w:r w:rsidR="00EC7EF5" w:rsidRPr="006B7AA3">
        <w:t>.  E</w:t>
      </w:r>
      <w:r w:rsidRPr="006B7AA3">
        <w:t>sta solicitud figura en el Anexo del presente documento.</w:t>
      </w:r>
    </w:p>
    <w:p w:rsidR="004F1BFB" w:rsidRPr="006B7AA3" w:rsidRDefault="005306DE" w:rsidP="00930AF7">
      <w:pPr>
        <w:pStyle w:val="ONUMFS"/>
        <w:ind w:left="5534"/>
        <w:rPr>
          <w:i/>
        </w:rPr>
      </w:pPr>
      <w:r w:rsidRPr="006B7AA3">
        <w:rPr>
          <w:i/>
        </w:rPr>
        <w:t>Se invita al Comité a dar su opinión sobre este asunto.</w:t>
      </w:r>
    </w:p>
    <w:p w:rsidR="004F1BFB" w:rsidRPr="006B7AA3" w:rsidRDefault="004F1BFB" w:rsidP="00D949B9">
      <w:pPr>
        <w:pStyle w:val="ONUME"/>
        <w:numPr>
          <w:ilvl w:val="0"/>
          <w:numId w:val="0"/>
        </w:numPr>
      </w:pPr>
    </w:p>
    <w:p w:rsidR="004F1BFB" w:rsidRPr="006B7AA3" w:rsidRDefault="00D949B9" w:rsidP="00D949B9">
      <w:pPr>
        <w:pStyle w:val="Endofdocument-Annex"/>
        <w:rPr>
          <w:lang w:val="es-ES"/>
        </w:rPr>
      </w:pPr>
      <w:r w:rsidRPr="006B7AA3">
        <w:rPr>
          <w:lang w:val="es-ES"/>
        </w:rPr>
        <w:t>[Sigue el Anexo]</w:t>
      </w:r>
    </w:p>
    <w:p w:rsidR="004F1BFB" w:rsidRPr="006B7AA3" w:rsidRDefault="004F1BFB" w:rsidP="00D949B9">
      <w:pPr>
        <w:pStyle w:val="Endofdocument-Annex"/>
        <w:rPr>
          <w:lang w:val="es-ES"/>
        </w:rPr>
      </w:pPr>
    </w:p>
    <w:p w:rsidR="00D949B9" w:rsidRPr="006B7AA3" w:rsidRDefault="00D949B9">
      <w:pPr>
        <w:sectPr w:rsidR="00D949B9" w:rsidRPr="006B7AA3" w:rsidSect="003F5AAE">
          <w:headerReference w:type="default" r:id="rId9"/>
          <w:pgSz w:w="11907" w:h="16840" w:code="9"/>
          <w:pgMar w:top="567" w:right="1134" w:bottom="1418" w:left="1418" w:header="510" w:footer="1021" w:gutter="0"/>
          <w:cols w:space="720"/>
          <w:titlePg/>
          <w:docGrid w:linePitch="299"/>
        </w:sectPr>
      </w:pPr>
    </w:p>
    <w:p w:rsidR="004F1BFB" w:rsidRPr="006B7AA3" w:rsidRDefault="00CA1CF6" w:rsidP="00CA1CF6">
      <w:pPr>
        <w:spacing w:after="220"/>
        <w:jc w:val="center"/>
        <w:rPr>
          <w:caps/>
        </w:rPr>
      </w:pPr>
      <w:r w:rsidRPr="006B7AA3">
        <w:rPr>
          <w:caps/>
        </w:rPr>
        <w:lastRenderedPageBreak/>
        <w:t xml:space="preserve">SOLICITUD DE LA Oficina Europea de Patentes PARA PRORROGAR SU DESIGNACIÓN </w:t>
      </w:r>
      <w:r w:rsidR="00515752">
        <w:rPr>
          <w:caps/>
        </w:rPr>
        <w:t>como</w:t>
      </w:r>
      <w:r w:rsidRPr="006B7AA3">
        <w:rPr>
          <w:caps/>
        </w:rPr>
        <w:t xml:space="preserve"> ADMINISTRACIÓN ENCARGADA DE LA BÚSQUEDA Y DEL EXAMEN PRELIMINAR INTERNACIONALES EN VIRTUD DEL PCT</w:t>
      </w:r>
    </w:p>
    <w:p w:rsidR="004F1BFB" w:rsidRPr="006B7AA3" w:rsidRDefault="004F1BFB" w:rsidP="00BD52B2"/>
    <w:p w:rsidR="004F1BFB" w:rsidRPr="006B7AA3" w:rsidRDefault="004F1BFB" w:rsidP="00BD52B2"/>
    <w:p w:rsidR="004F1BFB" w:rsidRPr="006B7AA3" w:rsidRDefault="00515752" w:rsidP="00D04D96">
      <w:pPr>
        <w:keepNext/>
        <w:pBdr>
          <w:top w:val="single" w:sz="4" w:space="1" w:color="auto"/>
          <w:bottom w:val="single" w:sz="4" w:space="1" w:color="auto"/>
        </w:pBdr>
        <w:spacing w:before="360" w:after="200"/>
        <w:outlineLvl w:val="0"/>
        <w:rPr>
          <w:b/>
          <w:bCs/>
          <w:caps/>
          <w:kern w:val="32"/>
          <w:szCs w:val="32"/>
        </w:rPr>
      </w:pPr>
      <w:r>
        <w:rPr>
          <w:b/>
          <w:bCs/>
          <w:caps/>
          <w:kern w:val="32"/>
          <w:szCs w:val="32"/>
        </w:rPr>
        <w:t xml:space="preserve">1 – </w:t>
      </w:r>
      <w:r w:rsidR="00D04D96" w:rsidRPr="006B7AA3">
        <w:rPr>
          <w:b/>
          <w:bCs/>
          <w:caps/>
          <w:kern w:val="32"/>
          <w:szCs w:val="32"/>
        </w:rPr>
        <w:t>GENERAL</w:t>
      </w:r>
    </w:p>
    <w:p w:rsidR="004F1BFB" w:rsidRPr="006B7AA3" w:rsidRDefault="00D04D96" w:rsidP="00D04D96">
      <w:pPr>
        <w:rPr>
          <w:b/>
          <w:bCs/>
          <w:szCs w:val="22"/>
        </w:rPr>
      </w:pPr>
      <w:r w:rsidRPr="006B7AA3">
        <w:rPr>
          <w:b/>
          <w:bCs/>
          <w:szCs w:val="22"/>
        </w:rPr>
        <w:t>Nombre de la Oficina nacional o la organización intergubernamental</w:t>
      </w:r>
      <w:proofErr w:type="gramStart"/>
      <w:r w:rsidRPr="006B7AA3">
        <w:rPr>
          <w:bCs/>
          <w:szCs w:val="22"/>
        </w:rPr>
        <w:t>:  Oficina</w:t>
      </w:r>
      <w:proofErr w:type="gramEnd"/>
      <w:r w:rsidRPr="006B7AA3">
        <w:rPr>
          <w:bCs/>
          <w:szCs w:val="22"/>
        </w:rPr>
        <w:t xml:space="preserve"> Europea de Patentes (OEP)</w:t>
      </w:r>
      <w:r w:rsidR="008C5C2B">
        <w:rPr>
          <w:bCs/>
          <w:szCs w:val="22"/>
        </w:rPr>
        <w:t>.</w:t>
      </w:r>
    </w:p>
    <w:p w:rsidR="004F1BFB" w:rsidRPr="006B7AA3" w:rsidRDefault="004F1BFB" w:rsidP="00BD52B2">
      <w:pPr>
        <w:rPr>
          <w:szCs w:val="22"/>
        </w:rPr>
      </w:pPr>
    </w:p>
    <w:p w:rsidR="004F1BFB" w:rsidRPr="006B7AA3" w:rsidRDefault="00D04D96" w:rsidP="00D04D96">
      <w:pPr>
        <w:rPr>
          <w:szCs w:val="22"/>
        </w:rPr>
      </w:pPr>
      <w:r w:rsidRPr="006B7AA3">
        <w:rPr>
          <w:b/>
          <w:szCs w:val="22"/>
        </w:rPr>
        <w:t xml:space="preserve">Fecha en que el </w:t>
      </w:r>
      <w:r w:rsidR="00D54A42" w:rsidRPr="006B7AA3">
        <w:rPr>
          <w:b/>
          <w:szCs w:val="22"/>
        </w:rPr>
        <w:t xml:space="preserve">director general </w:t>
      </w:r>
      <w:r w:rsidRPr="006B7AA3">
        <w:rPr>
          <w:b/>
          <w:szCs w:val="22"/>
        </w:rPr>
        <w:t>recibió la solicitud de designación</w:t>
      </w:r>
      <w:proofErr w:type="gramStart"/>
      <w:r w:rsidRPr="006B7AA3">
        <w:rPr>
          <w:szCs w:val="22"/>
        </w:rPr>
        <w:t>:  2</w:t>
      </w:r>
      <w:proofErr w:type="gramEnd"/>
      <w:r w:rsidRPr="006B7AA3">
        <w:rPr>
          <w:szCs w:val="22"/>
        </w:rPr>
        <w:t xml:space="preserve"> de marzo de 2017</w:t>
      </w:r>
      <w:r w:rsidR="008C5C2B">
        <w:rPr>
          <w:szCs w:val="22"/>
        </w:rPr>
        <w:t>.</w:t>
      </w:r>
    </w:p>
    <w:p w:rsidR="004F1BFB" w:rsidRPr="006B7AA3" w:rsidRDefault="004F1BFB" w:rsidP="00BD52B2">
      <w:pPr>
        <w:rPr>
          <w:szCs w:val="22"/>
        </w:rPr>
      </w:pPr>
    </w:p>
    <w:p w:rsidR="004F1BFB" w:rsidRPr="006B7AA3" w:rsidRDefault="0002355F" w:rsidP="0002355F">
      <w:pPr>
        <w:rPr>
          <w:szCs w:val="22"/>
        </w:rPr>
      </w:pPr>
      <w:r w:rsidRPr="006B7AA3">
        <w:rPr>
          <w:b/>
          <w:szCs w:val="22"/>
        </w:rPr>
        <w:t>Período de sesiones de la Asamblea en que se solicita la designación</w:t>
      </w:r>
      <w:proofErr w:type="gramStart"/>
      <w:r w:rsidRPr="006B7AA3">
        <w:rPr>
          <w:szCs w:val="22"/>
        </w:rPr>
        <w:t>:  2017</w:t>
      </w:r>
      <w:proofErr w:type="gramEnd"/>
      <w:r w:rsidR="008C5C2B">
        <w:rPr>
          <w:szCs w:val="22"/>
        </w:rPr>
        <w:t>.</w:t>
      </w:r>
    </w:p>
    <w:p w:rsidR="004F1BFB" w:rsidRPr="006B7AA3" w:rsidRDefault="004F1BFB" w:rsidP="00BD52B2">
      <w:pPr>
        <w:rPr>
          <w:szCs w:val="22"/>
        </w:rPr>
      </w:pPr>
    </w:p>
    <w:p w:rsidR="004F1BFB" w:rsidRPr="006B7AA3" w:rsidRDefault="0002355F" w:rsidP="0002355F">
      <w:pPr>
        <w:rPr>
          <w:szCs w:val="22"/>
        </w:rPr>
      </w:pPr>
      <w:r w:rsidRPr="006B7AA3">
        <w:rPr>
          <w:b/>
          <w:szCs w:val="22"/>
        </w:rPr>
        <w:t>Fecha en que comenzó a funcionar como ISA/IPEA</w:t>
      </w:r>
      <w:proofErr w:type="gramStart"/>
      <w:r w:rsidRPr="006B7AA3">
        <w:rPr>
          <w:szCs w:val="22"/>
        </w:rPr>
        <w:t>:  la</w:t>
      </w:r>
      <w:proofErr w:type="gramEnd"/>
      <w:r w:rsidRPr="006B7AA3">
        <w:rPr>
          <w:szCs w:val="22"/>
        </w:rPr>
        <w:t xml:space="preserve"> OEP comenzó a funcionar como ISA e IPEA en 1978.</w:t>
      </w:r>
      <w:r w:rsidR="00BD52B2" w:rsidRPr="006B7AA3">
        <w:rPr>
          <w:szCs w:val="22"/>
        </w:rPr>
        <w:t xml:space="preserve"> </w:t>
      </w:r>
    </w:p>
    <w:p w:rsidR="004F1BFB" w:rsidRPr="006B7AA3" w:rsidRDefault="004F1BFB" w:rsidP="00BD52B2">
      <w:pPr>
        <w:rPr>
          <w:szCs w:val="22"/>
        </w:rPr>
      </w:pPr>
    </w:p>
    <w:p w:rsidR="004F1BFB" w:rsidRPr="006B7AA3" w:rsidRDefault="00E926A2" w:rsidP="00E926A2">
      <w:pPr>
        <w:rPr>
          <w:szCs w:val="22"/>
        </w:rPr>
      </w:pPr>
      <w:r w:rsidRPr="006B7AA3">
        <w:rPr>
          <w:b/>
          <w:szCs w:val="22"/>
        </w:rPr>
        <w:t>ISA/IPEA existentes que ayudan a evaluar el grado de cumplimiento de los criterios</w:t>
      </w:r>
      <w:proofErr w:type="gramStart"/>
      <w:r w:rsidRPr="006B7AA3">
        <w:rPr>
          <w:szCs w:val="22"/>
        </w:rPr>
        <w:t>:  n.d</w:t>
      </w:r>
      <w:proofErr w:type="gramEnd"/>
      <w:r w:rsidRPr="006B7AA3">
        <w:rPr>
          <w:szCs w:val="22"/>
        </w:rPr>
        <w:t>.</w:t>
      </w:r>
    </w:p>
    <w:p w:rsidR="004F1BFB" w:rsidRPr="006B7AA3" w:rsidRDefault="002D6241" w:rsidP="002D6241">
      <w:pPr>
        <w:keepNext/>
        <w:pBdr>
          <w:top w:val="single" w:sz="4" w:space="1" w:color="auto"/>
          <w:bottom w:val="single" w:sz="4" w:space="1" w:color="auto"/>
        </w:pBdr>
        <w:spacing w:before="360" w:after="200"/>
        <w:outlineLvl w:val="0"/>
        <w:rPr>
          <w:b/>
          <w:bCs/>
          <w:caps/>
          <w:kern w:val="32"/>
          <w:szCs w:val="32"/>
        </w:rPr>
      </w:pPr>
      <w:r w:rsidRPr="006B7AA3">
        <w:rPr>
          <w:b/>
          <w:bCs/>
          <w:caps/>
          <w:kern w:val="32"/>
          <w:szCs w:val="32"/>
        </w:rPr>
        <w:t>2 – criterios sustantivos</w:t>
      </w:r>
      <w:proofErr w:type="gramStart"/>
      <w:r w:rsidRPr="006B7AA3">
        <w:rPr>
          <w:b/>
          <w:bCs/>
          <w:caps/>
          <w:kern w:val="32"/>
          <w:szCs w:val="32"/>
        </w:rPr>
        <w:t>:  requisitos</w:t>
      </w:r>
      <w:proofErr w:type="gramEnd"/>
      <w:r w:rsidRPr="006B7AA3">
        <w:rPr>
          <w:b/>
          <w:bCs/>
          <w:caps/>
          <w:kern w:val="32"/>
          <w:szCs w:val="32"/>
        </w:rPr>
        <w:t xml:space="preserve"> mínimos para la designación</w:t>
      </w:r>
    </w:p>
    <w:p w:rsidR="004F1BFB" w:rsidRPr="006B7AA3" w:rsidRDefault="004F1BFB" w:rsidP="00BD52B2">
      <w:pPr>
        <w:rPr>
          <w:sz w:val="16"/>
          <w:szCs w:val="16"/>
        </w:rPr>
      </w:pPr>
    </w:p>
    <w:p w:rsidR="004F1BFB" w:rsidRPr="006B7AA3" w:rsidRDefault="002D6241" w:rsidP="002D6241">
      <w:pPr>
        <w:keepNext/>
        <w:pBdr>
          <w:top w:val="single" w:sz="4" w:space="1" w:color="auto"/>
          <w:bottom w:val="single" w:sz="4" w:space="1" w:color="auto"/>
        </w:pBdr>
        <w:spacing w:after="200"/>
        <w:outlineLvl w:val="0"/>
        <w:rPr>
          <w:b/>
          <w:bCs/>
          <w:caps/>
          <w:kern w:val="32"/>
          <w:szCs w:val="32"/>
        </w:rPr>
      </w:pPr>
      <w:r w:rsidRPr="006B7AA3">
        <w:rPr>
          <w:b/>
          <w:bCs/>
          <w:caps/>
          <w:kern w:val="32"/>
          <w:szCs w:val="32"/>
        </w:rPr>
        <w:t>2.1 – capacidad de búsqueda y examen</w:t>
      </w:r>
    </w:p>
    <w:p w:rsidR="004F1BFB" w:rsidRPr="006B7AA3" w:rsidRDefault="00D468A1" w:rsidP="00D468A1">
      <w:pPr>
        <w:rPr>
          <w:b/>
          <w:i/>
        </w:rPr>
      </w:pPr>
      <w:r w:rsidRPr="006B7AA3">
        <w:rPr>
          <w:b/>
          <w:i/>
        </w:rPr>
        <w:t>Reglas 36.1.i) y 63.1.i)</w:t>
      </w:r>
      <w:proofErr w:type="gramStart"/>
      <w:r w:rsidRPr="006B7AA3">
        <w:rPr>
          <w:b/>
          <w:i/>
        </w:rPr>
        <w:t>:  la</w:t>
      </w:r>
      <w:proofErr w:type="gramEnd"/>
      <w:r w:rsidRPr="006B7AA3">
        <w:rPr>
          <w:b/>
          <w:i/>
        </w:rPr>
        <w:t xml:space="preserve"> Oficina nacional o la organización intergubernamental deberá tener, por lo menos, 100 empleados con plena dedicación, con calificaciones técnicas suficientes para efectuar las búsquedas y los exámenes.</w:t>
      </w:r>
    </w:p>
    <w:p w:rsidR="004F1BFB" w:rsidRPr="006B7AA3" w:rsidRDefault="004F1BFB" w:rsidP="00BD52B2">
      <w:pPr>
        <w:keepNext/>
        <w:keepLines/>
        <w:rPr>
          <w:b/>
          <w:bCs/>
          <w:szCs w:val="22"/>
        </w:rPr>
      </w:pPr>
    </w:p>
    <w:p w:rsidR="004F1BFB" w:rsidRPr="006B7AA3" w:rsidRDefault="00D468A1" w:rsidP="00D468A1">
      <w:pPr>
        <w:keepNext/>
        <w:keepLines/>
        <w:rPr>
          <w:b/>
          <w:bCs/>
          <w:szCs w:val="22"/>
        </w:rPr>
      </w:pPr>
      <w:r w:rsidRPr="006B7AA3">
        <w:rPr>
          <w:szCs w:val="22"/>
        </w:rPr>
        <w:t>Empleados calificados para efectuar las búsquedas y los exámenes (finales de 2015):</w:t>
      </w:r>
      <w:r w:rsidR="00BD52B2" w:rsidRPr="006B7AA3">
        <w:rPr>
          <w:szCs w:val="22"/>
        </w:rPr>
        <w:t xml:space="preserve">  </w:t>
      </w:r>
    </w:p>
    <w:p w:rsidR="00BD52B2" w:rsidRPr="006B7AA3" w:rsidRDefault="00BD52B2" w:rsidP="00BD52B2">
      <w:pPr>
        <w:keepNext/>
        <w:keepLines/>
        <w:rPr>
          <w:szCs w:val="22"/>
        </w:rPr>
      </w:pPr>
    </w:p>
    <w:tbl>
      <w:tblPr>
        <w:tblW w:w="8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7"/>
        <w:gridCol w:w="1719"/>
        <w:gridCol w:w="1910"/>
        <w:gridCol w:w="1851"/>
      </w:tblGrid>
      <w:tr w:rsidR="00BD52B2" w:rsidRPr="006B7AA3" w:rsidTr="001C4BD4">
        <w:trPr>
          <w:cantSplit/>
          <w:trHeight w:val="1253"/>
        </w:trPr>
        <w:tc>
          <w:tcPr>
            <w:tcW w:w="2957" w:type="dxa"/>
            <w:shd w:val="clear" w:color="auto" w:fill="auto"/>
          </w:tcPr>
          <w:p w:rsidR="00BD52B2" w:rsidRPr="006B7AA3" w:rsidRDefault="00D468A1" w:rsidP="00D468A1">
            <w:pPr>
              <w:keepNext/>
              <w:keepLines/>
              <w:rPr>
                <w:b/>
                <w:bCs/>
                <w:szCs w:val="22"/>
              </w:rPr>
            </w:pPr>
            <w:r w:rsidRPr="006B7AA3">
              <w:rPr>
                <w:b/>
                <w:bCs/>
                <w:szCs w:val="22"/>
              </w:rPr>
              <w:t>Campo técnico</w:t>
            </w:r>
          </w:p>
        </w:tc>
        <w:tc>
          <w:tcPr>
            <w:tcW w:w="1719" w:type="dxa"/>
            <w:shd w:val="clear" w:color="auto" w:fill="auto"/>
          </w:tcPr>
          <w:p w:rsidR="00BD52B2" w:rsidRPr="006B7AA3" w:rsidRDefault="00D468A1" w:rsidP="00D468A1">
            <w:pPr>
              <w:keepNext/>
              <w:keepLines/>
              <w:rPr>
                <w:b/>
                <w:bCs/>
                <w:szCs w:val="22"/>
              </w:rPr>
            </w:pPr>
            <w:r w:rsidRPr="006B7AA3">
              <w:rPr>
                <w:b/>
                <w:bCs/>
                <w:szCs w:val="22"/>
              </w:rPr>
              <w:t>Nº de examinadores</w:t>
            </w:r>
          </w:p>
        </w:tc>
        <w:tc>
          <w:tcPr>
            <w:tcW w:w="1910" w:type="dxa"/>
            <w:shd w:val="clear" w:color="auto" w:fill="auto"/>
          </w:tcPr>
          <w:p w:rsidR="00BD52B2" w:rsidRPr="006B7AA3" w:rsidRDefault="00D468A1" w:rsidP="004F3920">
            <w:pPr>
              <w:keepNext/>
              <w:keepLines/>
              <w:rPr>
                <w:b/>
                <w:bCs/>
                <w:szCs w:val="22"/>
              </w:rPr>
            </w:pPr>
            <w:r w:rsidRPr="006B7AA3">
              <w:rPr>
                <w:b/>
                <w:bCs/>
                <w:szCs w:val="22"/>
              </w:rPr>
              <w:t>Nº (</w:t>
            </w:r>
            <w:r w:rsidR="004F3920" w:rsidRPr="006B7AA3">
              <w:rPr>
                <w:b/>
                <w:bCs/>
                <w:szCs w:val="22"/>
              </w:rPr>
              <w:t>en tiempo completo equivalente</w:t>
            </w:r>
            <w:r w:rsidRPr="006B7AA3">
              <w:rPr>
                <w:b/>
                <w:bCs/>
                <w:szCs w:val="22"/>
              </w:rPr>
              <w:t>)*</w:t>
            </w:r>
          </w:p>
        </w:tc>
        <w:tc>
          <w:tcPr>
            <w:tcW w:w="1851" w:type="dxa"/>
          </w:tcPr>
          <w:p w:rsidR="00BD52B2" w:rsidRPr="006B7AA3" w:rsidRDefault="004F3920" w:rsidP="00D468A1">
            <w:pPr>
              <w:keepNext/>
              <w:keepLines/>
              <w:rPr>
                <w:b/>
                <w:bCs/>
                <w:szCs w:val="22"/>
              </w:rPr>
            </w:pPr>
            <w:r w:rsidRPr="006B7AA3">
              <w:rPr>
                <w:b/>
                <w:bCs/>
                <w:szCs w:val="22"/>
              </w:rPr>
              <w:t xml:space="preserve">Experiencia media </w:t>
            </w:r>
            <w:r w:rsidR="00D468A1" w:rsidRPr="006B7AA3">
              <w:rPr>
                <w:b/>
                <w:bCs/>
                <w:szCs w:val="22"/>
              </w:rPr>
              <w:t>como examinadores (años)</w:t>
            </w:r>
          </w:p>
        </w:tc>
      </w:tr>
      <w:tr w:rsidR="00BD52B2" w:rsidRPr="006B7AA3" w:rsidTr="001C4BD4">
        <w:trPr>
          <w:cantSplit/>
          <w:trHeight w:val="253"/>
        </w:trPr>
        <w:tc>
          <w:tcPr>
            <w:tcW w:w="2957" w:type="dxa"/>
            <w:shd w:val="clear" w:color="auto" w:fill="auto"/>
          </w:tcPr>
          <w:p w:rsidR="00BD52B2" w:rsidRPr="006B7AA3" w:rsidRDefault="00D468A1" w:rsidP="00D468A1">
            <w:pPr>
              <w:keepNext/>
              <w:keepLines/>
              <w:rPr>
                <w:szCs w:val="22"/>
              </w:rPr>
            </w:pPr>
            <w:r w:rsidRPr="006B7AA3">
              <w:rPr>
                <w:szCs w:val="22"/>
              </w:rPr>
              <w:t>Mecánica</w:t>
            </w:r>
          </w:p>
        </w:tc>
        <w:tc>
          <w:tcPr>
            <w:tcW w:w="1719" w:type="dxa"/>
            <w:shd w:val="clear" w:color="auto" w:fill="auto"/>
            <w:vAlign w:val="bottom"/>
          </w:tcPr>
          <w:p w:rsidR="00BD52B2" w:rsidRPr="006B7AA3" w:rsidRDefault="00D468A1" w:rsidP="00D468A1">
            <w:pPr>
              <w:keepNext/>
              <w:keepLines/>
              <w:ind w:right="491"/>
              <w:jc w:val="right"/>
              <w:rPr>
                <w:szCs w:val="22"/>
                <w:highlight w:val="yellow"/>
              </w:rPr>
            </w:pPr>
            <w:r w:rsidRPr="006B7AA3">
              <w:rPr>
                <w:szCs w:val="22"/>
              </w:rPr>
              <w:t>1.724</w:t>
            </w:r>
          </w:p>
        </w:tc>
        <w:tc>
          <w:tcPr>
            <w:tcW w:w="1910" w:type="dxa"/>
            <w:shd w:val="clear" w:color="auto" w:fill="auto"/>
            <w:vAlign w:val="bottom"/>
          </w:tcPr>
          <w:p w:rsidR="00BD52B2" w:rsidRPr="006B7AA3" w:rsidRDefault="00D468A1" w:rsidP="00D468A1">
            <w:pPr>
              <w:keepNext/>
              <w:keepLines/>
              <w:ind w:right="491"/>
              <w:jc w:val="right"/>
              <w:rPr>
                <w:szCs w:val="22"/>
              </w:rPr>
            </w:pPr>
            <w:r w:rsidRPr="006B7AA3">
              <w:rPr>
                <w:szCs w:val="22"/>
              </w:rPr>
              <w:t>1.499</w:t>
            </w:r>
          </w:p>
        </w:tc>
        <w:tc>
          <w:tcPr>
            <w:tcW w:w="1851" w:type="dxa"/>
            <w:vAlign w:val="bottom"/>
          </w:tcPr>
          <w:p w:rsidR="00BD52B2" w:rsidRPr="006B7AA3" w:rsidRDefault="00BD52B2" w:rsidP="00BD52B2">
            <w:pPr>
              <w:keepNext/>
              <w:keepLines/>
              <w:ind w:right="491"/>
              <w:jc w:val="right"/>
              <w:rPr>
                <w:szCs w:val="22"/>
              </w:rPr>
            </w:pPr>
            <w:r w:rsidRPr="006B7AA3">
              <w:rPr>
                <w:color w:val="000000"/>
              </w:rPr>
              <w:t>12</w:t>
            </w:r>
            <w:r w:rsidR="00640255" w:rsidRPr="006B7AA3">
              <w:rPr>
                <w:color w:val="000000"/>
              </w:rPr>
              <w:t>,</w:t>
            </w:r>
            <w:r w:rsidRPr="006B7AA3">
              <w:rPr>
                <w:color w:val="000000"/>
              </w:rPr>
              <w:t>5</w:t>
            </w:r>
          </w:p>
        </w:tc>
      </w:tr>
      <w:tr w:rsidR="00BD52B2" w:rsidRPr="006B7AA3" w:rsidTr="001C4BD4">
        <w:trPr>
          <w:cantSplit/>
          <w:trHeight w:val="235"/>
        </w:trPr>
        <w:tc>
          <w:tcPr>
            <w:tcW w:w="2957" w:type="dxa"/>
            <w:shd w:val="clear" w:color="auto" w:fill="auto"/>
          </w:tcPr>
          <w:p w:rsidR="00BD52B2" w:rsidRPr="006B7AA3" w:rsidRDefault="00D468A1" w:rsidP="00D468A1">
            <w:pPr>
              <w:keepNext/>
              <w:keepLines/>
              <w:rPr>
                <w:szCs w:val="22"/>
              </w:rPr>
            </w:pPr>
            <w:r w:rsidRPr="006B7AA3">
              <w:rPr>
                <w:szCs w:val="22"/>
              </w:rPr>
              <w:t>Electricidad/electrónica</w:t>
            </w:r>
          </w:p>
        </w:tc>
        <w:tc>
          <w:tcPr>
            <w:tcW w:w="1719" w:type="dxa"/>
            <w:shd w:val="clear" w:color="auto" w:fill="auto"/>
            <w:vAlign w:val="bottom"/>
          </w:tcPr>
          <w:p w:rsidR="00BD52B2" w:rsidRPr="006B7AA3" w:rsidRDefault="00D468A1" w:rsidP="00D468A1">
            <w:pPr>
              <w:keepNext/>
              <w:keepLines/>
              <w:ind w:right="491"/>
              <w:jc w:val="right"/>
              <w:rPr>
                <w:szCs w:val="22"/>
              </w:rPr>
            </w:pPr>
            <w:r w:rsidRPr="006B7AA3">
              <w:rPr>
                <w:szCs w:val="22"/>
              </w:rPr>
              <w:t>1.467</w:t>
            </w:r>
          </w:p>
        </w:tc>
        <w:tc>
          <w:tcPr>
            <w:tcW w:w="1910" w:type="dxa"/>
            <w:shd w:val="clear" w:color="auto" w:fill="auto"/>
            <w:vAlign w:val="bottom"/>
          </w:tcPr>
          <w:p w:rsidR="00BD52B2" w:rsidRPr="006B7AA3" w:rsidRDefault="00D468A1" w:rsidP="00D468A1">
            <w:pPr>
              <w:keepNext/>
              <w:keepLines/>
              <w:ind w:right="491"/>
              <w:jc w:val="right"/>
              <w:rPr>
                <w:szCs w:val="22"/>
              </w:rPr>
            </w:pPr>
            <w:r w:rsidRPr="006B7AA3">
              <w:rPr>
                <w:szCs w:val="22"/>
              </w:rPr>
              <w:t>1.238</w:t>
            </w:r>
          </w:p>
        </w:tc>
        <w:tc>
          <w:tcPr>
            <w:tcW w:w="1851" w:type="dxa"/>
            <w:vAlign w:val="bottom"/>
          </w:tcPr>
          <w:p w:rsidR="00BD52B2" w:rsidRPr="006B7AA3" w:rsidRDefault="00BD52B2" w:rsidP="00BD52B2">
            <w:pPr>
              <w:keepNext/>
              <w:keepLines/>
              <w:ind w:right="491"/>
              <w:jc w:val="right"/>
              <w:rPr>
                <w:szCs w:val="22"/>
              </w:rPr>
            </w:pPr>
            <w:r w:rsidRPr="006B7AA3">
              <w:rPr>
                <w:color w:val="000000"/>
              </w:rPr>
              <w:t>12</w:t>
            </w:r>
            <w:r w:rsidR="00640255" w:rsidRPr="006B7AA3">
              <w:rPr>
                <w:color w:val="000000"/>
              </w:rPr>
              <w:t>,</w:t>
            </w:r>
            <w:r w:rsidRPr="006B7AA3">
              <w:rPr>
                <w:color w:val="000000"/>
              </w:rPr>
              <w:t>0</w:t>
            </w:r>
          </w:p>
        </w:tc>
      </w:tr>
      <w:tr w:rsidR="00BD52B2" w:rsidRPr="006B7AA3" w:rsidTr="001C4BD4">
        <w:trPr>
          <w:cantSplit/>
          <w:trHeight w:val="253"/>
        </w:trPr>
        <w:tc>
          <w:tcPr>
            <w:tcW w:w="2957" w:type="dxa"/>
            <w:shd w:val="clear" w:color="auto" w:fill="auto"/>
          </w:tcPr>
          <w:p w:rsidR="00BD52B2" w:rsidRPr="006B7AA3" w:rsidRDefault="00D468A1" w:rsidP="00D468A1">
            <w:pPr>
              <w:keepNext/>
              <w:keepLines/>
              <w:rPr>
                <w:szCs w:val="22"/>
              </w:rPr>
            </w:pPr>
            <w:r w:rsidRPr="006B7AA3">
              <w:rPr>
                <w:szCs w:val="22"/>
              </w:rPr>
              <w:t>Química</w:t>
            </w:r>
          </w:p>
        </w:tc>
        <w:tc>
          <w:tcPr>
            <w:tcW w:w="1719" w:type="dxa"/>
            <w:shd w:val="clear" w:color="auto" w:fill="auto"/>
            <w:vAlign w:val="bottom"/>
          </w:tcPr>
          <w:p w:rsidR="00BD52B2" w:rsidRPr="006B7AA3" w:rsidRDefault="00D468A1" w:rsidP="00D468A1">
            <w:pPr>
              <w:keepNext/>
              <w:keepLines/>
              <w:ind w:right="491"/>
              <w:jc w:val="right"/>
              <w:rPr>
                <w:szCs w:val="22"/>
              </w:rPr>
            </w:pPr>
            <w:r w:rsidRPr="006B7AA3">
              <w:rPr>
                <w:szCs w:val="22"/>
              </w:rPr>
              <w:t>822</w:t>
            </w:r>
          </w:p>
        </w:tc>
        <w:tc>
          <w:tcPr>
            <w:tcW w:w="1910" w:type="dxa"/>
            <w:shd w:val="clear" w:color="auto" w:fill="auto"/>
            <w:vAlign w:val="bottom"/>
          </w:tcPr>
          <w:p w:rsidR="00BD52B2" w:rsidRPr="006B7AA3" w:rsidRDefault="00D468A1" w:rsidP="00D468A1">
            <w:pPr>
              <w:keepNext/>
              <w:keepLines/>
              <w:ind w:right="491"/>
              <w:jc w:val="right"/>
              <w:rPr>
                <w:szCs w:val="22"/>
              </w:rPr>
            </w:pPr>
            <w:r w:rsidRPr="006B7AA3">
              <w:rPr>
                <w:szCs w:val="22"/>
              </w:rPr>
              <w:t>683</w:t>
            </w:r>
          </w:p>
        </w:tc>
        <w:tc>
          <w:tcPr>
            <w:tcW w:w="1851" w:type="dxa"/>
            <w:vAlign w:val="bottom"/>
          </w:tcPr>
          <w:p w:rsidR="00BD52B2" w:rsidRPr="006B7AA3" w:rsidRDefault="00BD52B2" w:rsidP="00BD52B2">
            <w:pPr>
              <w:keepNext/>
              <w:keepLines/>
              <w:ind w:right="491"/>
              <w:jc w:val="right"/>
              <w:rPr>
                <w:szCs w:val="22"/>
              </w:rPr>
            </w:pPr>
            <w:r w:rsidRPr="006B7AA3">
              <w:rPr>
                <w:color w:val="000000"/>
              </w:rPr>
              <w:t>13</w:t>
            </w:r>
            <w:r w:rsidR="00640255" w:rsidRPr="006B7AA3">
              <w:rPr>
                <w:color w:val="000000"/>
              </w:rPr>
              <w:t>,</w:t>
            </w:r>
            <w:r w:rsidRPr="006B7AA3">
              <w:rPr>
                <w:color w:val="000000"/>
              </w:rPr>
              <w:t>8</w:t>
            </w:r>
          </w:p>
        </w:tc>
      </w:tr>
      <w:tr w:rsidR="00BD52B2" w:rsidRPr="006B7AA3" w:rsidTr="001C4BD4">
        <w:trPr>
          <w:cantSplit/>
          <w:trHeight w:val="253"/>
        </w:trPr>
        <w:tc>
          <w:tcPr>
            <w:tcW w:w="2957" w:type="dxa"/>
            <w:shd w:val="clear" w:color="auto" w:fill="auto"/>
          </w:tcPr>
          <w:p w:rsidR="00BD52B2" w:rsidRPr="006B7AA3" w:rsidRDefault="00D468A1" w:rsidP="00D468A1">
            <w:pPr>
              <w:keepNext/>
              <w:keepLines/>
              <w:rPr>
                <w:szCs w:val="22"/>
              </w:rPr>
            </w:pPr>
            <w:r w:rsidRPr="006B7AA3">
              <w:rPr>
                <w:szCs w:val="22"/>
              </w:rPr>
              <w:t>Biotecnología</w:t>
            </w:r>
          </w:p>
        </w:tc>
        <w:tc>
          <w:tcPr>
            <w:tcW w:w="1719" w:type="dxa"/>
            <w:shd w:val="clear" w:color="auto" w:fill="auto"/>
            <w:vAlign w:val="bottom"/>
          </w:tcPr>
          <w:p w:rsidR="00BD52B2" w:rsidRPr="006B7AA3" w:rsidRDefault="00D468A1" w:rsidP="00D468A1">
            <w:pPr>
              <w:keepNext/>
              <w:keepLines/>
              <w:ind w:right="491"/>
              <w:jc w:val="right"/>
              <w:rPr>
                <w:szCs w:val="22"/>
              </w:rPr>
            </w:pPr>
            <w:r w:rsidRPr="006B7AA3">
              <w:rPr>
                <w:szCs w:val="22"/>
              </w:rPr>
              <w:t>213</w:t>
            </w:r>
          </w:p>
        </w:tc>
        <w:tc>
          <w:tcPr>
            <w:tcW w:w="1910" w:type="dxa"/>
            <w:shd w:val="clear" w:color="auto" w:fill="auto"/>
            <w:vAlign w:val="bottom"/>
          </w:tcPr>
          <w:p w:rsidR="00BD52B2" w:rsidRPr="006B7AA3" w:rsidRDefault="00D468A1" w:rsidP="00D468A1">
            <w:pPr>
              <w:keepNext/>
              <w:keepLines/>
              <w:ind w:right="491"/>
              <w:jc w:val="right"/>
              <w:rPr>
                <w:szCs w:val="22"/>
              </w:rPr>
            </w:pPr>
            <w:r w:rsidRPr="006B7AA3">
              <w:rPr>
                <w:szCs w:val="22"/>
              </w:rPr>
              <w:t>177</w:t>
            </w:r>
          </w:p>
        </w:tc>
        <w:tc>
          <w:tcPr>
            <w:tcW w:w="1851" w:type="dxa"/>
            <w:vAlign w:val="bottom"/>
          </w:tcPr>
          <w:p w:rsidR="00BD52B2" w:rsidRPr="006B7AA3" w:rsidRDefault="00BD52B2" w:rsidP="00BD52B2">
            <w:pPr>
              <w:keepNext/>
              <w:keepLines/>
              <w:ind w:right="491"/>
              <w:jc w:val="right"/>
              <w:rPr>
                <w:szCs w:val="22"/>
              </w:rPr>
            </w:pPr>
            <w:r w:rsidRPr="006B7AA3">
              <w:rPr>
                <w:color w:val="000000"/>
              </w:rPr>
              <w:t>15</w:t>
            </w:r>
            <w:r w:rsidR="00640255" w:rsidRPr="006B7AA3">
              <w:rPr>
                <w:color w:val="000000"/>
              </w:rPr>
              <w:t>,</w:t>
            </w:r>
            <w:r w:rsidRPr="006B7AA3">
              <w:rPr>
                <w:color w:val="000000"/>
              </w:rPr>
              <w:t>2</w:t>
            </w:r>
          </w:p>
        </w:tc>
      </w:tr>
      <w:tr w:rsidR="00BD52B2" w:rsidRPr="006B7AA3" w:rsidTr="001C4BD4">
        <w:trPr>
          <w:cantSplit/>
          <w:trHeight w:val="253"/>
        </w:trPr>
        <w:tc>
          <w:tcPr>
            <w:tcW w:w="2957" w:type="dxa"/>
            <w:shd w:val="clear" w:color="auto" w:fill="auto"/>
          </w:tcPr>
          <w:p w:rsidR="00BD52B2" w:rsidRPr="006B7AA3" w:rsidRDefault="00640255" w:rsidP="00D468A1">
            <w:pPr>
              <w:rPr>
                <w:i/>
                <w:iCs/>
                <w:szCs w:val="22"/>
              </w:rPr>
            </w:pPr>
            <w:r w:rsidRPr="006B7AA3">
              <w:rPr>
                <w:i/>
                <w:iCs/>
                <w:szCs w:val="22"/>
              </w:rPr>
              <w:t>Total</w:t>
            </w:r>
          </w:p>
        </w:tc>
        <w:tc>
          <w:tcPr>
            <w:tcW w:w="1719" w:type="dxa"/>
            <w:shd w:val="clear" w:color="auto" w:fill="auto"/>
            <w:vAlign w:val="bottom"/>
          </w:tcPr>
          <w:p w:rsidR="00BD52B2" w:rsidRPr="006B7AA3" w:rsidRDefault="00D468A1" w:rsidP="00D468A1">
            <w:pPr>
              <w:ind w:right="491"/>
              <w:jc w:val="right"/>
              <w:rPr>
                <w:b/>
                <w:iCs/>
                <w:szCs w:val="22"/>
              </w:rPr>
            </w:pPr>
            <w:r w:rsidRPr="006B7AA3">
              <w:rPr>
                <w:b/>
                <w:iCs/>
                <w:szCs w:val="22"/>
              </w:rPr>
              <w:t>4.226</w:t>
            </w:r>
          </w:p>
        </w:tc>
        <w:tc>
          <w:tcPr>
            <w:tcW w:w="1910" w:type="dxa"/>
            <w:shd w:val="clear" w:color="auto" w:fill="auto"/>
            <w:vAlign w:val="bottom"/>
          </w:tcPr>
          <w:p w:rsidR="00BD52B2" w:rsidRPr="006B7AA3" w:rsidRDefault="00D468A1" w:rsidP="00D468A1">
            <w:pPr>
              <w:ind w:right="491"/>
              <w:jc w:val="right"/>
              <w:rPr>
                <w:b/>
                <w:iCs/>
                <w:szCs w:val="22"/>
              </w:rPr>
            </w:pPr>
            <w:r w:rsidRPr="006B7AA3">
              <w:rPr>
                <w:b/>
                <w:iCs/>
                <w:szCs w:val="22"/>
              </w:rPr>
              <w:t>3.596</w:t>
            </w:r>
          </w:p>
        </w:tc>
        <w:tc>
          <w:tcPr>
            <w:tcW w:w="1851" w:type="dxa"/>
            <w:vAlign w:val="bottom"/>
          </w:tcPr>
          <w:p w:rsidR="00BD52B2" w:rsidRPr="006B7AA3" w:rsidRDefault="00BD52B2" w:rsidP="00BD52B2">
            <w:pPr>
              <w:ind w:right="491"/>
              <w:jc w:val="right"/>
              <w:rPr>
                <w:i/>
                <w:iCs/>
                <w:szCs w:val="22"/>
              </w:rPr>
            </w:pPr>
            <w:r w:rsidRPr="006B7AA3">
              <w:rPr>
                <w:b/>
                <w:bCs/>
                <w:color w:val="000000"/>
              </w:rPr>
              <w:t>12</w:t>
            </w:r>
            <w:r w:rsidR="00640255" w:rsidRPr="006B7AA3">
              <w:rPr>
                <w:b/>
                <w:bCs/>
                <w:color w:val="000000"/>
              </w:rPr>
              <w:t>,</w:t>
            </w:r>
            <w:r w:rsidRPr="006B7AA3">
              <w:rPr>
                <w:b/>
                <w:bCs/>
                <w:color w:val="000000"/>
              </w:rPr>
              <w:t>7</w:t>
            </w:r>
          </w:p>
        </w:tc>
      </w:tr>
    </w:tbl>
    <w:p w:rsidR="004F1BFB" w:rsidRPr="006B7AA3" w:rsidRDefault="0049342D" w:rsidP="0049342D">
      <w:pPr>
        <w:rPr>
          <w:rFonts w:ascii="Calibri" w:eastAsiaTheme="minorHAnsi" w:hAnsi="Calibri"/>
          <w:i/>
          <w:iCs/>
          <w:sz w:val="24"/>
          <w:szCs w:val="24"/>
          <w:lang w:eastAsia="en-US"/>
        </w:rPr>
      </w:pPr>
      <w:r w:rsidRPr="006B7AA3">
        <w:rPr>
          <w:rFonts w:ascii="Calibri" w:eastAsiaTheme="minorHAnsi" w:hAnsi="Calibri"/>
          <w:iCs/>
          <w:sz w:val="24"/>
          <w:szCs w:val="24"/>
          <w:lang w:eastAsia="en-US"/>
        </w:rPr>
        <w:t>(*</w:t>
      </w:r>
      <w:r w:rsidR="00466624" w:rsidRPr="006B7AA3">
        <w:rPr>
          <w:rFonts w:ascii="Calibri" w:eastAsiaTheme="minorHAnsi" w:hAnsi="Calibri"/>
          <w:iCs/>
          <w:sz w:val="24"/>
          <w:szCs w:val="24"/>
          <w:lang w:eastAsia="en-US"/>
        </w:rPr>
        <w:t xml:space="preserve"> </w:t>
      </w:r>
      <w:proofErr w:type="gramStart"/>
      <w:r w:rsidRPr="006B7AA3">
        <w:rPr>
          <w:rFonts w:ascii="Calibri" w:eastAsiaTheme="minorHAnsi" w:hAnsi="Calibri"/>
          <w:b/>
          <w:iCs/>
          <w:sz w:val="24"/>
          <w:szCs w:val="24"/>
          <w:lang w:eastAsia="en-US"/>
        </w:rPr>
        <w:t>tiempo</w:t>
      </w:r>
      <w:proofErr w:type="gramEnd"/>
      <w:r w:rsidRPr="006B7AA3">
        <w:rPr>
          <w:rFonts w:ascii="Calibri" w:eastAsiaTheme="minorHAnsi" w:hAnsi="Calibri"/>
          <w:b/>
          <w:iCs/>
          <w:sz w:val="24"/>
          <w:szCs w:val="24"/>
          <w:lang w:eastAsia="en-US"/>
        </w:rPr>
        <w:t xml:space="preserve"> completo</w:t>
      </w:r>
      <w:r w:rsidRPr="006B7AA3">
        <w:rPr>
          <w:rFonts w:ascii="Calibri" w:eastAsiaTheme="minorHAnsi" w:hAnsi="Calibri"/>
          <w:iCs/>
          <w:sz w:val="24"/>
          <w:szCs w:val="24"/>
          <w:lang w:eastAsia="en-US"/>
        </w:rPr>
        <w:t xml:space="preserve"> </w:t>
      </w:r>
      <w:r w:rsidR="00466624" w:rsidRPr="006B7AA3">
        <w:rPr>
          <w:rFonts w:ascii="Calibri" w:eastAsiaTheme="minorHAnsi" w:hAnsi="Calibri"/>
          <w:b/>
          <w:iCs/>
          <w:sz w:val="24"/>
          <w:szCs w:val="24"/>
          <w:lang w:eastAsia="en-US"/>
        </w:rPr>
        <w:t xml:space="preserve">equivalente </w:t>
      </w:r>
      <w:r w:rsidRPr="006B7AA3">
        <w:rPr>
          <w:rFonts w:ascii="Calibri" w:eastAsiaTheme="minorHAnsi" w:hAnsi="Calibri"/>
          <w:iCs/>
          <w:sz w:val="24"/>
          <w:szCs w:val="24"/>
          <w:lang w:eastAsia="en-US"/>
        </w:rPr>
        <w:t xml:space="preserve">= tiempo total </w:t>
      </w:r>
      <w:r w:rsidR="00466624" w:rsidRPr="006B7AA3">
        <w:rPr>
          <w:rFonts w:ascii="Calibri" w:eastAsiaTheme="minorHAnsi" w:hAnsi="Calibri"/>
          <w:iCs/>
          <w:sz w:val="24"/>
          <w:szCs w:val="24"/>
          <w:lang w:eastAsia="en-US"/>
        </w:rPr>
        <w:t xml:space="preserve">de </w:t>
      </w:r>
      <w:r w:rsidRPr="006B7AA3">
        <w:rPr>
          <w:rFonts w:ascii="Calibri" w:eastAsiaTheme="minorHAnsi" w:hAnsi="Calibri"/>
          <w:iCs/>
          <w:sz w:val="24"/>
          <w:szCs w:val="24"/>
          <w:lang w:eastAsia="en-US"/>
        </w:rPr>
        <w:t>búsq</w:t>
      </w:r>
      <w:r w:rsidR="00466624" w:rsidRPr="006B7AA3">
        <w:rPr>
          <w:rFonts w:ascii="Calibri" w:eastAsiaTheme="minorHAnsi" w:hAnsi="Calibri"/>
          <w:iCs/>
          <w:sz w:val="24"/>
          <w:szCs w:val="24"/>
          <w:lang w:eastAsia="en-US"/>
        </w:rPr>
        <w:t>ueda y examen / 200 d.)</w:t>
      </w:r>
    </w:p>
    <w:p w:rsidR="004F1BFB" w:rsidRPr="006B7AA3" w:rsidRDefault="004F1BFB" w:rsidP="00BD52B2">
      <w:pPr>
        <w:rPr>
          <w:i/>
          <w:iCs/>
          <w:szCs w:val="22"/>
        </w:rPr>
      </w:pPr>
    </w:p>
    <w:p w:rsidR="004F1BFB" w:rsidRPr="006B7AA3" w:rsidRDefault="0049342D" w:rsidP="0049342D">
      <w:pPr>
        <w:rPr>
          <w:b/>
        </w:rPr>
      </w:pPr>
      <w:r w:rsidRPr="006B7AA3">
        <w:rPr>
          <w:b/>
        </w:rPr>
        <w:t>Programas de formación</w:t>
      </w:r>
    </w:p>
    <w:p w:rsidR="004F1BFB" w:rsidRPr="006B7AA3" w:rsidRDefault="004F1BFB" w:rsidP="00BD52B2">
      <w:pPr>
        <w:rPr>
          <w:szCs w:val="22"/>
        </w:rPr>
      </w:pPr>
    </w:p>
    <w:p w:rsidR="004F1BFB" w:rsidRPr="006B7AA3" w:rsidRDefault="0022235C" w:rsidP="0022235C">
      <w:pPr>
        <w:rPr>
          <w:szCs w:val="22"/>
        </w:rPr>
      </w:pPr>
      <w:r w:rsidRPr="006B7AA3">
        <w:rPr>
          <w:szCs w:val="22"/>
        </w:rPr>
        <w:t>La OEP cuenta con un amplio programa de cursos de formación, que incluye tanto clases presenciales como talleres y módulos de aprendizaje en línea.</w:t>
      </w:r>
      <w:r w:rsidR="00BD52B2" w:rsidRPr="006B7AA3">
        <w:rPr>
          <w:szCs w:val="22"/>
        </w:rPr>
        <w:t xml:space="preserve"> </w:t>
      </w:r>
    </w:p>
    <w:p w:rsidR="004F1BFB" w:rsidRPr="006B7AA3" w:rsidRDefault="004F1BFB" w:rsidP="00BD52B2">
      <w:pPr>
        <w:rPr>
          <w:szCs w:val="22"/>
        </w:rPr>
      </w:pPr>
    </w:p>
    <w:p w:rsidR="004F1BFB" w:rsidRPr="006B7AA3" w:rsidRDefault="0022235C" w:rsidP="00D74C2B">
      <w:pPr>
        <w:rPr>
          <w:szCs w:val="22"/>
        </w:rPr>
      </w:pPr>
      <w:r w:rsidRPr="006B7AA3">
        <w:rPr>
          <w:szCs w:val="22"/>
        </w:rPr>
        <w:t>Los nuevos examinadores deben realizar una formación obligatoria de 39 días de cursos presenciales durante los dos primeros años</w:t>
      </w:r>
      <w:r w:rsidR="00EC7EF5" w:rsidRPr="006B7AA3">
        <w:rPr>
          <w:szCs w:val="22"/>
        </w:rPr>
        <w:t>.  E</w:t>
      </w:r>
      <w:r w:rsidRPr="006B7AA3">
        <w:rPr>
          <w:szCs w:val="22"/>
        </w:rPr>
        <w:t>sta formación abarca todos los aspectos de la búsqueda, el examen y la clasificación.</w:t>
      </w:r>
      <w:r w:rsidR="00BD52B2" w:rsidRPr="006B7AA3">
        <w:rPr>
          <w:szCs w:val="22"/>
        </w:rPr>
        <w:t xml:space="preserve">  </w:t>
      </w:r>
      <w:r w:rsidR="00D74C2B" w:rsidRPr="006B7AA3">
        <w:rPr>
          <w:szCs w:val="22"/>
        </w:rPr>
        <w:t>Además, durante los dos primeros años, se asigna a cada nuevo examinador dos examinadores altamente experimentados en calidad de instructores.</w:t>
      </w:r>
    </w:p>
    <w:p w:rsidR="004F1BFB" w:rsidRPr="006B7AA3" w:rsidRDefault="004F1BFB" w:rsidP="00BD52B2">
      <w:pPr>
        <w:rPr>
          <w:szCs w:val="22"/>
        </w:rPr>
      </w:pPr>
    </w:p>
    <w:p w:rsidR="004F1BFB" w:rsidRPr="006B7AA3" w:rsidRDefault="004F3920" w:rsidP="006E07ED">
      <w:pPr>
        <w:keepLines/>
        <w:rPr>
          <w:szCs w:val="22"/>
        </w:rPr>
      </w:pPr>
      <w:r w:rsidRPr="006B7AA3">
        <w:rPr>
          <w:szCs w:val="22"/>
        </w:rPr>
        <w:lastRenderedPageBreak/>
        <w:t>Para los examinadores experimentados, existe un amplio programa de formación más avanzada que abarca temas especializados (por ejemplo, la búsqueda en bases de datos externas específicas), otras funciones que asumen los examinadores en una etapa posterior (por ejemplo, casos de oposición) y cursos centrados en aspectos específicos de las búsquedas o los exámenes.</w:t>
      </w:r>
      <w:r w:rsidR="00BD52B2" w:rsidRPr="006B7AA3">
        <w:rPr>
          <w:szCs w:val="22"/>
        </w:rPr>
        <w:t xml:space="preserve">  </w:t>
      </w:r>
      <w:r w:rsidR="006E07ED" w:rsidRPr="006B7AA3">
        <w:rPr>
          <w:szCs w:val="22"/>
        </w:rPr>
        <w:t>Estos cursos se ofrecen a los examinadores en función de las necesidades para que desempeñen su labor con la máxima eficacia.</w:t>
      </w:r>
      <w:r w:rsidR="00BD52B2" w:rsidRPr="006B7AA3">
        <w:rPr>
          <w:szCs w:val="22"/>
        </w:rPr>
        <w:t xml:space="preserve">  </w:t>
      </w:r>
      <w:r w:rsidR="006E07ED" w:rsidRPr="006B7AA3">
        <w:rPr>
          <w:szCs w:val="22"/>
        </w:rPr>
        <w:t>Además, las áreas técnicas también organizan formación P2P adaptada a las características específicas del área en cuestión.</w:t>
      </w:r>
      <w:r w:rsidR="00BD52B2" w:rsidRPr="006B7AA3">
        <w:rPr>
          <w:szCs w:val="22"/>
        </w:rPr>
        <w:t xml:space="preserve"> </w:t>
      </w:r>
    </w:p>
    <w:p w:rsidR="004F1BFB" w:rsidRPr="006B7AA3" w:rsidRDefault="004F1BFB" w:rsidP="00BD52B2">
      <w:pPr>
        <w:rPr>
          <w:szCs w:val="22"/>
        </w:rPr>
      </w:pPr>
    </w:p>
    <w:p w:rsidR="004F1BFB" w:rsidRPr="006B7AA3" w:rsidRDefault="004F1BFB" w:rsidP="00BD52B2">
      <w:pPr>
        <w:rPr>
          <w:szCs w:val="22"/>
          <w:highlight w:val="yellow"/>
        </w:rPr>
      </w:pPr>
    </w:p>
    <w:p w:rsidR="004F1BFB" w:rsidRPr="006B7AA3" w:rsidRDefault="006E07ED" w:rsidP="006E07ED">
      <w:pPr>
        <w:rPr>
          <w:b/>
          <w:i/>
        </w:rPr>
      </w:pPr>
      <w:r w:rsidRPr="006B7AA3">
        <w:rPr>
          <w:b/>
          <w:i/>
        </w:rPr>
        <w:t>Reglas 36.1.ii) y 63.1.ii):  esa Oficina u organización deberá poseer, por lo menos, la documentación mínima mencionada en la Regla 34, o tener acceso a esa documentación mínima, la cual deberá estar ordenada en forma adecuada a los fines de la búsqueda y presentarse en papel, en microformato o en soporte electrónico.</w:t>
      </w:r>
    </w:p>
    <w:p w:rsidR="004F1BFB" w:rsidRPr="006B7AA3" w:rsidRDefault="004F1BFB" w:rsidP="00BD52B2">
      <w:pPr>
        <w:rPr>
          <w:szCs w:val="22"/>
        </w:rPr>
      </w:pPr>
    </w:p>
    <w:p w:rsidR="004F1BFB" w:rsidRPr="006B7AA3" w:rsidRDefault="00621399" w:rsidP="00621399">
      <w:pPr>
        <w:keepNext/>
        <w:rPr>
          <w:b/>
          <w:bCs/>
          <w:szCs w:val="22"/>
        </w:rPr>
      </w:pPr>
      <w:r w:rsidRPr="006B7AA3">
        <w:rPr>
          <w:szCs w:val="22"/>
        </w:rPr>
        <w:t>Acceso a la documentación mínima para fines de búsqueda:</w:t>
      </w:r>
      <w:r w:rsidR="00BD52B2" w:rsidRPr="006B7AA3">
        <w:rPr>
          <w:szCs w:val="22"/>
        </w:rPr>
        <w:t xml:space="preserve">  </w:t>
      </w:r>
    </w:p>
    <w:p w:rsidR="004F1BFB" w:rsidRPr="006B7AA3" w:rsidRDefault="00621399" w:rsidP="00621399">
      <w:pPr>
        <w:rPr>
          <w:szCs w:val="22"/>
        </w:rPr>
      </w:pPr>
      <w:r w:rsidRPr="006B7AA3">
        <w:rPr>
          <w:szCs w:val="22"/>
        </w:rPr>
        <w:t>(X)</w:t>
      </w:r>
      <w:r w:rsidRPr="006B7AA3">
        <w:rPr>
          <w:szCs w:val="22"/>
        </w:rPr>
        <w:tab/>
        <w:t>Pleno acceso</w:t>
      </w:r>
    </w:p>
    <w:p w:rsidR="004F1BFB" w:rsidRPr="006B7AA3" w:rsidRDefault="004F1BFB" w:rsidP="00BD52B2">
      <w:pPr>
        <w:rPr>
          <w:szCs w:val="22"/>
        </w:rPr>
      </w:pPr>
    </w:p>
    <w:p w:rsidR="004F1BFB" w:rsidRPr="006B7AA3" w:rsidRDefault="00621399" w:rsidP="00621399">
      <w:pPr>
        <w:rPr>
          <w:szCs w:val="22"/>
        </w:rPr>
      </w:pPr>
      <w:r w:rsidRPr="006B7AA3">
        <w:rPr>
          <w:szCs w:val="22"/>
        </w:rPr>
        <w:t>Sistemas de búsqueda:</w:t>
      </w:r>
      <w:r w:rsidR="00BD52B2" w:rsidRPr="006B7AA3">
        <w:rPr>
          <w:szCs w:val="22"/>
        </w:rPr>
        <w:t xml:space="preserve">  </w:t>
      </w:r>
    </w:p>
    <w:p w:rsidR="004F1BFB" w:rsidRPr="006B7AA3" w:rsidRDefault="004F1BFB" w:rsidP="00BD52B2"/>
    <w:p w:rsidR="004F1BFB" w:rsidRPr="006B7AA3" w:rsidRDefault="00421189" w:rsidP="007D36E7">
      <w:pPr>
        <w:rPr>
          <w:szCs w:val="22"/>
        </w:rPr>
      </w:pPr>
      <w:r w:rsidRPr="006B7AA3">
        <w:rPr>
          <w:iCs/>
          <w:szCs w:val="22"/>
        </w:rPr>
        <w:t xml:space="preserve">La </w:t>
      </w:r>
      <w:r w:rsidR="00515752">
        <w:rPr>
          <w:iCs/>
          <w:szCs w:val="22"/>
        </w:rPr>
        <w:t>O</w:t>
      </w:r>
      <w:r w:rsidRPr="006B7AA3">
        <w:rPr>
          <w:iCs/>
          <w:szCs w:val="22"/>
        </w:rPr>
        <w:t xml:space="preserve">EP utiliza su propio sistema de búsqueda, denominado EPOQUE, para buscar tanto en la parte dedicada a la literatura de patentes como en la dedicada a la literatura </w:t>
      </w:r>
      <w:r w:rsidR="00515752">
        <w:rPr>
          <w:iCs/>
          <w:szCs w:val="22"/>
        </w:rPr>
        <w:t>no-</w:t>
      </w:r>
      <w:r w:rsidRPr="006B7AA3">
        <w:rPr>
          <w:iCs/>
          <w:szCs w:val="22"/>
        </w:rPr>
        <w:t>patente de la documentación mínima del PCT.</w:t>
      </w:r>
      <w:r w:rsidR="00BD52B2" w:rsidRPr="006B7AA3">
        <w:rPr>
          <w:iCs/>
          <w:szCs w:val="22"/>
        </w:rPr>
        <w:t xml:space="preserve">  </w:t>
      </w:r>
      <w:r w:rsidR="007D36E7" w:rsidRPr="006B7AA3">
        <w:rPr>
          <w:iCs/>
          <w:szCs w:val="22"/>
        </w:rPr>
        <w:t>Además, contamos con una biblioteca virtual electrónica interna que brinda acceso en línea a más de 10.000 publicaciones científicas y técnicas, así como acceso en línea a bases de datos especializadas para buscar secuencias genéticas y estructuras de compuestos químicos.</w:t>
      </w:r>
    </w:p>
    <w:p w:rsidR="004F1BFB" w:rsidRPr="006B7AA3" w:rsidRDefault="004F1BFB" w:rsidP="00BD52B2">
      <w:pPr>
        <w:rPr>
          <w:szCs w:val="22"/>
        </w:rPr>
      </w:pPr>
    </w:p>
    <w:p w:rsidR="004F1BFB" w:rsidRPr="006B7AA3" w:rsidRDefault="004F1BFB" w:rsidP="00BD52B2">
      <w:pPr>
        <w:rPr>
          <w:szCs w:val="22"/>
        </w:rPr>
      </w:pPr>
    </w:p>
    <w:p w:rsidR="004F1BFB" w:rsidRPr="006B7AA3" w:rsidRDefault="007D36E7" w:rsidP="007D36E7">
      <w:pPr>
        <w:rPr>
          <w:b/>
          <w:i/>
        </w:rPr>
      </w:pPr>
      <w:r w:rsidRPr="006B7AA3">
        <w:rPr>
          <w:b/>
          <w:i/>
        </w:rPr>
        <w:t>Reglas 36.1.iii) y 63.1.iii)</w:t>
      </w:r>
      <w:proofErr w:type="gramStart"/>
      <w:r w:rsidRPr="006B7AA3">
        <w:rPr>
          <w:b/>
          <w:i/>
        </w:rPr>
        <w:t>:  esa</w:t>
      </w:r>
      <w:proofErr w:type="gramEnd"/>
      <w:r w:rsidRPr="006B7AA3">
        <w:rPr>
          <w:b/>
          <w:i/>
        </w:rPr>
        <w:t xml:space="preserve"> Oficina u organización deberá disponer de un personal capacitado para proceder a la búsqueda y el examen en los sectores técnicos en los que deba realizarse la búsqueda y que posea los conocimientos lingüísticos necesarios para comprender, por lo menos, los idiomas en los que esté redactada o traducida la documentación mínima mencionada en la Regla 34.</w:t>
      </w:r>
    </w:p>
    <w:p w:rsidR="004F1BFB" w:rsidRPr="006B7AA3" w:rsidRDefault="004F1BFB" w:rsidP="00BD52B2">
      <w:pPr>
        <w:rPr>
          <w:b/>
          <w:bCs/>
          <w:szCs w:val="22"/>
        </w:rPr>
      </w:pPr>
    </w:p>
    <w:p w:rsidR="004F1BFB" w:rsidRPr="006B7AA3" w:rsidRDefault="008B0AD0" w:rsidP="00CD7DF4">
      <w:pPr>
        <w:rPr>
          <w:b/>
          <w:bCs/>
          <w:szCs w:val="22"/>
        </w:rPr>
      </w:pPr>
      <w:r>
        <w:rPr>
          <w:b/>
          <w:szCs w:val="22"/>
        </w:rPr>
        <w:t>Idioma</w:t>
      </w:r>
      <w:r w:rsidR="00CD7DF4" w:rsidRPr="006B7AA3">
        <w:rPr>
          <w:b/>
          <w:szCs w:val="22"/>
        </w:rPr>
        <w:t>s en los que las solicitudes regionales pueden ser presentadas y tramitadas:</w:t>
      </w:r>
      <w:r w:rsidR="00BD52B2" w:rsidRPr="006B7AA3">
        <w:rPr>
          <w:szCs w:val="22"/>
        </w:rPr>
        <w:t xml:space="preserve">  </w:t>
      </w:r>
    </w:p>
    <w:p w:rsidR="004F1BFB" w:rsidRPr="006B7AA3" w:rsidRDefault="00CD7DF4" w:rsidP="00CD7DF4">
      <w:pPr>
        <w:rPr>
          <w:szCs w:val="22"/>
        </w:rPr>
      </w:pPr>
      <w:r w:rsidRPr="006B7AA3">
        <w:rPr>
          <w:szCs w:val="22"/>
        </w:rPr>
        <w:t>Inglés, francés, alemán y neerlandés (solo en el caso de las solicitudes presentadas en Bélgica y los Países Bajos)</w:t>
      </w:r>
      <w:r w:rsidR="009C6AA3">
        <w:rPr>
          <w:szCs w:val="22"/>
        </w:rPr>
        <w:t>.</w:t>
      </w:r>
    </w:p>
    <w:p w:rsidR="004F1BFB" w:rsidRPr="006B7AA3" w:rsidRDefault="004F1BFB" w:rsidP="00BD52B2">
      <w:pPr>
        <w:rPr>
          <w:szCs w:val="22"/>
        </w:rPr>
      </w:pPr>
    </w:p>
    <w:p w:rsidR="004F1BFB" w:rsidRPr="006B7AA3" w:rsidRDefault="00E04579" w:rsidP="00307D49">
      <w:r w:rsidRPr="006B7AA3">
        <w:t>Además de sus búsquedas regionales, la Oficina Europea de Patentes, en virtud del Convenio sobre la Patente Europea, prepara informes nacionales de búsqueda con opiniones escritas en inglés, francés o alemán para los siguientes Estados:  Bélgica, Chipre, Francia, Grecia, Italia, Letonia, Lituania, Luxemburgo, Malta, Mónaco, Países Bajos y San Marino.</w:t>
      </w:r>
      <w:r w:rsidR="00BD52B2" w:rsidRPr="006B7AA3">
        <w:t xml:space="preserve">  </w:t>
      </w:r>
      <w:r w:rsidR="00307D49" w:rsidRPr="006B7AA3">
        <w:t>Además, la Oficina Europea de Patentes prepara informes de búsqueda de tipo internacional sin opinión escrita para los siguientes Estados</w:t>
      </w:r>
      <w:proofErr w:type="gramStart"/>
      <w:r w:rsidR="00307D49" w:rsidRPr="006B7AA3">
        <w:t>:  Dinamarca</w:t>
      </w:r>
      <w:proofErr w:type="gramEnd"/>
      <w:r w:rsidR="00307D49" w:rsidRPr="006B7AA3">
        <w:t>, Finlandia, Noruega y Suiza</w:t>
      </w:r>
      <w:r w:rsidR="00EC7EF5" w:rsidRPr="006B7AA3">
        <w:t>;  e</w:t>
      </w:r>
      <w:r w:rsidR="00307D49" w:rsidRPr="006B7AA3">
        <w:t xml:space="preserve"> informes de búsqueda de tipo internacional con opinión escrita para los </w:t>
      </w:r>
      <w:r w:rsidR="009C6AA3" w:rsidRPr="006B7AA3">
        <w:t xml:space="preserve">siguientes </w:t>
      </w:r>
      <w:r w:rsidR="00307D49" w:rsidRPr="006B7AA3">
        <w:t>Estados:  Bélgica y Países Bajos.</w:t>
      </w:r>
    </w:p>
    <w:p w:rsidR="004F1BFB" w:rsidRPr="006B7AA3" w:rsidRDefault="004F1BFB" w:rsidP="00BD52B2">
      <w:pPr>
        <w:rPr>
          <w:szCs w:val="22"/>
        </w:rPr>
      </w:pPr>
    </w:p>
    <w:p w:rsidR="004F1BFB" w:rsidRPr="006B7AA3" w:rsidRDefault="00C23CF2" w:rsidP="00C23CF2">
      <w:pPr>
        <w:rPr>
          <w:szCs w:val="22"/>
        </w:rPr>
      </w:pPr>
      <w:r w:rsidRPr="006B7AA3">
        <w:rPr>
          <w:b/>
          <w:bCs/>
          <w:szCs w:val="22"/>
        </w:rPr>
        <w:t>Otros idiomas en los que un gran número de examinadores son competentes:</w:t>
      </w:r>
    </w:p>
    <w:p w:rsidR="004F1BFB" w:rsidRPr="006B7AA3" w:rsidRDefault="004F1BFB" w:rsidP="00BD52B2">
      <w:pPr>
        <w:rPr>
          <w:b/>
          <w:bCs/>
          <w:szCs w:val="22"/>
        </w:rPr>
      </w:pPr>
    </w:p>
    <w:p w:rsidR="004F1BFB" w:rsidRPr="006B7AA3" w:rsidRDefault="00DA1FEB" w:rsidP="00DA1FEB">
      <w:pPr>
        <w:rPr>
          <w:szCs w:val="22"/>
        </w:rPr>
      </w:pPr>
      <w:r w:rsidRPr="006B7AA3">
        <w:rPr>
          <w:szCs w:val="22"/>
        </w:rPr>
        <w:t>Teniendo en cuenta a 50 o más empleados de la OEP a finales de diciembre de 2015 (algunos pueden ser personal no examinador):</w:t>
      </w:r>
      <w:r w:rsidR="00BD52B2" w:rsidRPr="006B7AA3">
        <w:rPr>
          <w:szCs w:val="22"/>
        </w:rPr>
        <w:t xml:space="preserve"> </w:t>
      </w:r>
    </w:p>
    <w:p w:rsidR="004F1BFB" w:rsidRPr="006B7AA3" w:rsidRDefault="00DA1FEB" w:rsidP="00DA1FEB">
      <w:pPr>
        <w:rPr>
          <w:szCs w:val="22"/>
        </w:rPr>
      </w:pPr>
      <w:r w:rsidRPr="006B7AA3">
        <w:rPr>
          <w:szCs w:val="22"/>
        </w:rPr>
        <w:t>Italiano, neerlandés, español, griego, rumano, sueco, portugués, polaco y danés.</w:t>
      </w:r>
    </w:p>
    <w:p w:rsidR="004F1BFB" w:rsidRPr="006B7AA3" w:rsidRDefault="004F1BFB" w:rsidP="00BD52B2">
      <w:pPr>
        <w:rPr>
          <w:szCs w:val="22"/>
        </w:rPr>
      </w:pPr>
    </w:p>
    <w:p w:rsidR="004F1BFB" w:rsidRPr="006B7AA3" w:rsidRDefault="006B704A" w:rsidP="00515752">
      <w:pPr>
        <w:keepNext/>
        <w:keepLines/>
        <w:rPr>
          <w:szCs w:val="22"/>
        </w:rPr>
      </w:pPr>
      <w:r w:rsidRPr="006B7AA3">
        <w:rPr>
          <w:b/>
          <w:szCs w:val="22"/>
        </w:rPr>
        <w:lastRenderedPageBreak/>
        <w:t>Servicios disponibles de ayuda a la búsqueda y para la comprensión del estado de la técnica en otros idiomas:</w:t>
      </w:r>
      <w:r w:rsidR="00BD52B2" w:rsidRPr="006B7AA3">
        <w:rPr>
          <w:szCs w:val="22"/>
        </w:rPr>
        <w:t xml:space="preserve">  </w:t>
      </w:r>
    </w:p>
    <w:p w:rsidR="004F1BFB" w:rsidRPr="006B7AA3" w:rsidRDefault="004F1BFB" w:rsidP="00515752">
      <w:pPr>
        <w:keepNext/>
        <w:keepLines/>
        <w:rPr>
          <w:szCs w:val="22"/>
        </w:rPr>
      </w:pPr>
    </w:p>
    <w:p w:rsidR="004F1BFB" w:rsidRPr="006B7AA3" w:rsidRDefault="006B704A" w:rsidP="00515752">
      <w:pPr>
        <w:keepNext/>
        <w:keepLines/>
        <w:ind w:left="567" w:hanging="567"/>
      </w:pPr>
      <w:r w:rsidRPr="006B7AA3">
        <w:t xml:space="preserve"> –</w:t>
      </w:r>
      <w:r w:rsidRPr="006B7AA3">
        <w:tab/>
      </w:r>
      <w:r w:rsidRPr="00515752">
        <w:rPr>
          <w:i/>
        </w:rPr>
        <w:t>Patent Translate</w:t>
      </w:r>
      <w:r w:rsidRPr="006B7AA3">
        <w:t xml:space="preserve"> ofrece la traducción instantánea de documentos de patente en 28 idiomas oficiales de los 38 Estados miembros de la OEP, además de chino, japonés, coreano y ruso.</w:t>
      </w:r>
    </w:p>
    <w:p w:rsidR="004F1BFB" w:rsidRPr="006B7AA3" w:rsidRDefault="00BD52B2" w:rsidP="00D63DD7">
      <w:pPr>
        <w:ind w:left="567" w:hanging="567"/>
      </w:pPr>
      <w:r w:rsidRPr="006B7AA3">
        <w:tab/>
      </w:r>
      <w:r w:rsidR="00D63DD7" w:rsidRPr="006B7AA3">
        <w:t>Lista detallada:  albanés, búlgaro, croata, checo, danés, neerlandés, estonio, finlandés, francés, alemán, griego, húngaro, islandés, italiano, letón, lituano, macedonio, noruego, polaco, portugués, rumano, ruso, serbio, eslovaco, esloveno, español, sueco y turco.</w:t>
      </w:r>
    </w:p>
    <w:p w:rsidR="004F1BFB" w:rsidRPr="006B7AA3" w:rsidRDefault="004F1BFB" w:rsidP="00BD52B2">
      <w:pPr>
        <w:ind w:left="567" w:hanging="567"/>
      </w:pPr>
    </w:p>
    <w:p w:rsidR="004F1BFB" w:rsidRPr="006B7AA3" w:rsidRDefault="00850AD1" w:rsidP="00EF314B">
      <w:pPr>
        <w:ind w:left="567" w:hanging="567"/>
      </w:pPr>
      <w:r w:rsidRPr="006B7AA3">
        <w:t xml:space="preserve"> – </w:t>
      </w:r>
      <w:r w:rsidRPr="006B7AA3">
        <w:tab/>
      </w:r>
      <w:r w:rsidRPr="00515752">
        <w:rPr>
          <w:i/>
        </w:rPr>
        <w:t>Translation on the Fly</w:t>
      </w:r>
      <w:r w:rsidRPr="006B7AA3">
        <w:t xml:space="preserve"> (TFLY) es una aplicación para navegador que gestiona las solicitudes de traducción recibidas del visor que utilizan los examinadores</w:t>
      </w:r>
      <w:r w:rsidR="00EC7EF5" w:rsidRPr="006B7AA3">
        <w:t>.  T</w:t>
      </w:r>
      <w:r w:rsidRPr="006B7AA3">
        <w:t xml:space="preserve">FLY proporciona la traducción automática de cualquier documento de texto completo o facsímil de documento de patente en numerosos idiomas mediante el motor de Google Translate. </w:t>
      </w:r>
      <w:r w:rsidR="00EF314B" w:rsidRPr="006B7AA3">
        <w:t xml:space="preserve"> En caso de que solo se disponga de un facsímil, se realizará primero un reconocimiento óptico de los caracteres del documento, seguido de una traducción</w:t>
      </w:r>
      <w:r w:rsidR="00EC7EF5" w:rsidRPr="006B7AA3">
        <w:t>.  E</w:t>
      </w:r>
      <w:r w:rsidR="00EF314B" w:rsidRPr="006B7AA3">
        <w:t>sta nueva y potente función de reconocimiento óptico de caracteres permite traducir la mayoría de los documentos de patente en EPODOC</w:t>
      </w:r>
      <w:r w:rsidR="00BD52B2" w:rsidRPr="006B7AA3">
        <w:t xml:space="preserve">. </w:t>
      </w:r>
    </w:p>
    <w:p w:rsidR="004F1BFB" w:rsidRPr="006B7AA3" w:rsidRDefault="004F1BFB" w:rsidP="00BD52B2">
      <w:pPr>
        <w:ind w:left="567" w:hanging="567"/>
      </w:pPr>
    </w:p>
    <w:p w:rsidR="004F1BFB" w:rsidRPr="006B7AA3" w:rsidRDefault="0042148C" w:rsidP="0042148C">
      <w:pPr>
        <w:ind w:left="567" w:hanging="567"/>
      </w:pPr>
      <w:r w:rsidRPr="006B7AA3">
        <w:t xml:space="preserve">– </w:t>
      </w:r>
      <w:r w:rsidRPr="006B7AA3">
        <w:tab/>
        <w:t xml:space="preserve">Además de la aplicación TFLY, pueden utilizarse otras herramientas y servicios para traducir documentos de patente y de otro tipo </w:t>
      </w:r>
      <w:r w:rsidR="009C6AA3">
        <w:t>presentados</w:t>
      </w:r>
      <w:r w:rsidRPr="006B7AA3">
        <w:t xml:space="preserve"> en idiomas asiáticos u otros idiomas, como el ruso o el español</w:t>
      </w:r>
      <w:proofErr w:type="gramStart"/>
      <w:r w:rsidRPr="006B7AA3">
        <w:t>:  traducción</w:t>
      </w:r>
      <w:proofErr w:type="gramEnd"/>
      <w:r w:rsidRPr="006B7AA3">
        <w:t xml:space="preserve"> automática de otras oficinas de patentes, traducción automática mejorada por un </w:t>
      </w:r>
      <w:r w:rsidR="00D9638B">
        <w:t xml:space="preserve">ser </w:t>
      </w:r>
      <w:r w:rsidRPr="006B7AA3">
        <w:t>humano (disponible en un plazo de 2 a 3 días).</w:t>
      </w:r>
      <w:r w:rsidR="00BD52B2" w:rsidRPr="006B7AA3">
        <w:t> </w:t>
      </w:r>
    </w:p>
    <w:p w:rsidR="004F1BFB" w:rsidRPr="006B7AA3" w:rsidRDefault="004F1BFB" w:rsidP="00BD52B2">
      <w:pPr>
        <w:ind w:left="567" w:hanging="567"/>
      </w:pPr>
    </w:p>
    <w:p w:rsidR="004F1BFB" w:rsidRPr="006B7AA3" w:rsidRDefault="00472040" w:rsidP="00472040">
      <w:pPr>
        <w:ind w:left="567" w:hanging="567"/>
      </w:pPr>
      <w:r w:rsidRPr="006B7AA3">
        <w:t>–</w:t>
      </w:r>
      <w:r w:rsidRPr="006B7AA3">
        <w:tab/>
        <w:t>Los examinadores también tienen acceso a documentos traducidos en su totalidad por profesionales o colegas.</w:t>
      </w:r>
    </w:p>
    <w:p w:rsidR="004F1BFB" w:rsidRPr="006B7AA3" w:rsidRDefault="004F1BFB" w:rsidP="00BD52B2">
      <w:pPr>
        <w:rPr>
          <w:szCs w:val="22"/>
        </w:rPr>
      </w:pPr>
    </w:p>
    <w:p w:rsidR="004F1BFB" w:rsidRPr="006B7AA3" w:rsidRDefault="00472040" w:rsidP="004F010B">
      <w:pPr>
        <w:rPr>
          <w:szCs w:val="22"/>
        </w:rPr>
      </w:pPr>
      <w:r w:rsidRPr="006B7AA3">
        <w:rPr>
          <w:szCs w:val="22"/>
        </w:rPr>
        <w:t>Los examinadores de la OEP tienen acceso a aproximadamente 25 millones de registros traducidos automáticamente al inglés que están perfectamente integrados en el sistema de búsqueda.</w:t>
      </w:r>
      <w:r w:rsidR="00BD52B2" w:rsidRPr="006B7AA3">
        <w:rPr>
          <w:szCs w:val="22"/>
        </w:rPr>
        <w:t xml:space="preserve">  </w:t>
      </w:r>
      <w:r w:rsidR="00281945" w:rsidRPr="006B7AA3">
        <w:rPr>
          <w:szCs w:val="22"/>
        </w:rPr>
        <w:t>Las bases de datos de texto completo de las patentes traducidas se alimentan con la traducción automática facilitada por proveedores externos (como Thomson Reuters</w:t>
      </w:r>
      <w:r w:rsidR="004F010B" w:rsidRPr="006B7AA3">
        <w:rPr>
          <w:szCs w:val="22"/>
        </w:rPr>
        <w:t xml:space="preserve"> o</w:t>
      </w:r>
      <w:r w:rsidR="00281945" w:rsidRPr="006B7AA3">
        <w:rPr>
          <w:szCs w:val="22"/>
        </w:rPr>
        <w:t xml:space="preserve"> SciPat).</w:t>
      </w:r>
      <w:r w:rsidR="00BD52B2" w:rsidRPr="006B7AA3">
        <w:rPr>
          <w:szCs w:val="22"/>
        </w:rPr>
        <w:t xml:space="preserve">  </w:t>
      </w:r>
      <w:r w:rsidR="004F010B" w:rsidRPr="006B7AA3">
        <w:rPr>
          <w:szCs w:val="22"/>
        </w:rPr>
        <w:t xml:space="preserve">Estas bases de datos incluyen un gran número de solicitudes de patente y modelos de utilidad publicados y concedidos </w:t>
      </w:r>
      <w:r w:rsidR="00936064">
        <w:rPr>
          <w:szCs w:val="22"/>
        </w:rPr>
        <w:t>en chino</w:t>
      </w:r>
      <w:r w:rsidR="004F010B" w:rsidRPr="006B7AA3">
        <w:rPr>
          <w:szCs w:val="22"/>
        </w:rPr>
        <w:t xml:space="preserve"> (13,7 millones de traducciones en inglés), solicitudes de patente publicadas y </w:t>
      </w:r>
      <w:r w:rsidR="00870CCD">
        <w:rPr>
          <w:szCs w:val="22"/>
        </w:rPr>
        <w:t xml:space="preserve">patentes </w:t>
      </w:r>
      <w:r w:rsidR="004F010B" w:rsidRPr="006B7AA3">
        <w:rPr>
          <w:szCs w:val="22"/>
        </w:rPr>
        <w:t xml:space="preserve">concedidas </w:t>
      </w:r>
      <w:r w:rsidR="00936064">
        <w:rPr>
          <w:szCs w:val="22"/>
        </w:rPr>
        <w:t>en japonés</w:t>
      </w:r>
      <w:r w:rsidR="004F010B" w:rsidRPr="006B7AA3">
        <w:rPr>
          <w:szCs w:val="22"/>
        </w:rPr>
        <w:t xml:space="preserve"> (9,2 millones de traducciones en inglés) y solicitudes de patente publicadas y </w:t>
      </w:r>
      <w:r w:rsidR="00870CCD">
        <w:rPr>
          <w:szCs w:val="22"/>
        </w:rPr>
        <w:t xml:space="preserve">patentes </w:t>
      </w:r>
      <w:r w:rsidR="004F010B" w:rsidRPr="006B7AA3">
        <w:rPr>
          <w:szCs w:val="22"/>
        </w:rPr>
        <w:t xml:space="preserve">concedidas </w:t>
      </w:r>
      <w:r w:rsidR="00936064">
        <w:rPr>
          <w:szCs w:val="22"/>
        </w:rPr>
        <w:t>en coreano</w:t>
      </w:r>
      <w:r w:rsidR="004F010B" w:rsidRPr="006B7AA3">
        <w:rPr>
          <w:szCs w:val="22"/>
        </w:rPr>
        <w:t xml:space="preserve"> (1,8 millones de traducciones en inglés).</w:t>
      </w:r>
    </w:p>
    <w:p w:rsidR="004F1BFB" w:rsidRPr="006B7AA3" w:rsidRDefault="004F1BFB" w:rsidP="00BD52B2">
      <w:pPr>
        <w:rPr>
          <w:szCs w:val="22"/>
        </w:rPr>
      </w:pPr>
    </w:p>
    <w:p w:rsidR="004F1BFB" w:rsidRPr="006B7AA3" w:rsidRDefault="00484226" w:rsidP="002338FE">
      <w:pPr>
        <w:rPr>
          <w:szCs w:val="22"/>
        </w:rPr>
      </w:pPr>
      <w:r w:rsidRPr="006B7AA3">
        <w:rPr>
          <w:szCs w:val="22"/>
        </w:rPr>
        <w:t>El proyecto de traducción de grandes volúmenes de la OEP tiene por objeto traducir, mediante Patent Translate (como en el caso de la aplicación TFLY), publicaciones de patentes al inglés antes de ponerlas a disposición de los examinadores en las colecciones de texto completo de la literatura de patentes.</w:t>
      </w:r>
      <w:r w:rsidR="00BD52B2" w:rsidRPr="006B7AA3">
        <w:rPr>
          <w:szCs w:val="22"/>
        </w:rPr>
        <w:t xml:space="preserve">  </w:t>
      </w:r>
      <w:r w:rsidR="00B5629B" w:rsidRPr="006B7AA3">
        <w:rPr>
          <w:szCs w:val="22"/>
        </w:rPr>
        <w:t>Actualmente, nuestras colecciones del estado de la técnica cuentan con más de 317.000 documentos en español, portugués y lituano del período comprendido entre 1970 y 2016, y más de 103.000 documentos en ruso, chino, japonés y coreano del período comprendido entre 2014 y 2016, en los que pueden realizarse búsquedas con facilidad.</w:t>
      </w:r>
      <w:r w:rsidR="00BD52B2" w:rsidRPr="006B7AA3">
        <w:rPr>
          <w:szCs w:val="22"/>
        </w:rPr>
        <w:t xml:space="preserve">  </w:t>
      </w:r>
      <w:r w:rsidR="00B5629B" w:rsidRPr="006B7AA3">
        <w:rPr>
          <w:szCs w:val="22"/>
        </w:rPr>
        <w:t xml:space="preserve">Las traducciones automáticas </w:t>
      </w:r>
      <w:r w:rsidR="00D9638B">
        <w:rPr>
          <w:szCs w:val="22"/>
        </w:rPr>
        <w:t>al</w:t>
      </w:r>
      <w:r w:rsidR="00B5629B" w:rsidRPr="006B7AA3">
        <w:rPr>
          <w:szCs w:val="22"/>
        </w:rPr>
        <w:t xml:space="preserve"> inglés están disponibles </w:t>
      </w:r>
      <w:r w:rsidR="00BA0B8E">
        <w:rPr>
          <w:szCs w:val="22"/>
        </w:rPr>
        <w:t>en ANSERA y en EPOQUE (desde el </w:t>
      </w:r>
      <w:r w:rsidR="00B5629B" w:rsidRPr="006B7AA3">
        <w:rPr>
          <w:szCs w:val="22"/>
        </w:rPr>
        <w:t>20 de septiembre de 2016).</w:t>
      </w:r>
      <w:r w:rsidR="00BD52B2" w:rsidRPr="006B7AA3">
        <w:rPr>
          <w:szCs w:val="22"/>
        </w:rPr>
        <w:t xml:space="preserve">  </w:t>
      </w:r>
      <w:r w:rsidR="002338FE" w:rsidRPr="006B7AA3">
        <w:rPr>
          <w:szCs w:val="22"/>
        </w:rPr>
        <w:t xml:space="preserve">Las colecciones traducidas se complementarán progresivamente, de forma diaria, con publicaciones </w:t>
      </w:r>
      <w:r w:rsidR="00D9638B">
        <w:rPr>
          <w:szCs w:val="22"/>
        </w:rPr>
        <w:t>de CN, JP, KR y RU</w:t>
      </w:r>
      <w:r w:rsidR="002338FE" w:rsidRPr="006B7AA3">
        <w:rPr>
          <w:szCs w:val="22"/>
        </w:rPr>
        <w:t xml:space="preserve"> del período comprendido entre 1993 y 2013, y se actualizará la base de datos EPOQUE correspondiente.</w:t>
      </w:r>
    </w:p>
    <w:p w:rsidR="004F1BFB" w:rsidRPr="006B7AA3" w:rsidRDefault="004F1BFB" w:rsidP="00BD52B2">
      <w:pPr>
        <w:rPr>
          <w:szCs w:val="22"/>
        </w:rPr>
      </w:pPr>
    </w:p>
    <w:p w:rsidR="004F1BFB" w:rsidRPr="006B7AA3" w:rsidRDefault="009503FA" w:rsidP="009503FA">
      <w:pPr>
        <w:keepNext/>
        <w:pBdr>
          <w:top w:val="single" w:sz="4" w:space="1" w:color="auto"/>
          <w:bottom w:val="single" w:sz="4" w:space="1" w:color="auto"/>
        </w:pBdr>
        <w:spacing w:before="360" w:after="200"/>
        <w:outlineLvl w:val="0"/>
        <w:rPr>
          <w:b/>
          <w:bCs/>
          <w:caps/>
          <w:kern w:val="32"/>
          <w:szCs w:val="32"/>
        </w:rPr>
      </w:pPr>
      <w:r w:rsidRPr="006B7AA3">
        <w:rPr>
          <w:b/>
          <w:bCs/>
          <w:caps/>
          <w:kern w:val="32"/>
          <w:szCs w:val="32"/>
        </w:rPr>
        <w:lastRenderedPageBreak/>
        <w:t>2.2 – GESTIÓN DE CALIDAD</w:t>
      </w:r>
      <w:r w:rsidR="00BD52B2" w:rsidRPr="006B7AA3">
        <w:rPr>
          <w:b/>
          <w:bCs/>
          <w:caps/>
          <w:kern w:val="32"/>
          <w:szCs w:val="32"/>
        </w:rPr>
        <w:t xml:space="preserve"> </w:t>
      </w:r>
    </w:p>
    <w:p w:rsidR="004F1BFB" w:rsidRPr="006B7AA3" w:rsidRDefault="007A0978" w:rsidP="007A0978">
      <w:pPr>
        <w:rPr>
          <w:b/>
          <w:i/>
        </w:rPr>
      </w:pPr>
      <w:r w:rsidRPr="006B7AA3">
        <w:rPr>
          <w:b/>
          <w:i/>
        </w:rPr>
        <w:t>Reglas 36.1.iv) y 63.1.iv)</w:t>
      </w:r>
      <w:proofErr w:type="gramStart"/>
      <w:r w:rsidRPr="006B7AA3">
        <w:rPr>
          <w:b/>
          <w:i/>
        </w:rPr>
        <w:t>:  esa</w:t>
      </w:r>
      <w:proofErr w:type="gramEnd"/>
      <w:r w:rsidRPr="006B7AA3">
        <w:rPr>
          <w:b/>
          <w:i/>
        </w:rPr>
        <w:t xml:space="preserve"> Oficina u organización deberá disponer de un sistema de gestión de calidad y un sistema de revisión interna, conforme a las reglas comunes de la búsqueda internacional.</w:t>
      </w:r>
    </w:p>
    <w:p w:rsidR="004F1BFB" w:rsidRPr="006B7AA3" w:rsidRDefault="004F1BFB" w:rsidP="00BD52B2">
      <w:pPr>
        <w:rPr>
          <w:b/>
          <w:bCs/>
          <w:szCs w:val="22"/>
        </w:rPr>
      </w:pPr>
    </w:p>
    <w:p w:rsidR="004F1BFB" w:rsidRPr="006B7AA3" w:rsidRDefault="007A0978" w:rsidP="00ED2767">
      <w:pPr>
        <w:keepNext/>
        <w:rPr>
          <w:szCs w:val="22"/>
        </w:rPr>
      </w:pPr>
      <w:r w:rsidRPr="006B7AA3">
        <w:rPr>
          <w:b/>
          <w:szCs w:val="22"/>
        </w:rPr>
        <w:t>Sistema nacional de gestión de la calidad</w:t>
      </w:r>
      <w:r w:rsidRPr="006B7AA3">
        <w:rPr>
          <w:szCs w:val="22"/>
        </w:rPr>
        <w:t>:</w:t>
      </w:r>
      <w:r w:rsidR="00BD52B2" w:rsidRPr="006B7AA3">
        <w:rPr>
          <w:szCs w:val="22"/>
        </w:rPr>
        <w:t xml:space="preserve">  </w:t>
      </w:r>
    </w:p>
    <w:p w:rsidR="004F1BFB" w:rsidRPr="006B7AA3" w:rsidRDefault="004F1BFB" w:rsidP="00ED2767">
      <w:pPr>
        <w:keepNext/>
        <w:rPr>
          <w:szCs w:val="22"/>
        </w:rPr>
      </w:pPr>
    </w:p>
    <w:p w:rsidR="004F1BFB" w:rsidRPr="006B7AA3" w:rsidRDefault="007A0978" w:rsidP="00ED2767">
      <w:pPr>
        <w:keepNext/>
        <w:rPr>
          <w:szCs w:val="22"/>
        </w:rPr>
      </w:pPr>
      <w:r w:rsidRPr="006B7AA3">
        <w:rPr>
          <w:szCs w:val="22"/>
        </w:rPr>
        <w:t>Véase el informe publicado</w:t>
      </w:r>
      <w:r w:rsidR="00936064">
        <w:rPr>
          <w:szCs w:val="22"/>
        </w:rPr>
        <w:t>.</w:t>
      </w:r>
      <w:r w:rsidRPr="006B7AA3">
        <w:rPr>
          <w:rStyle w:val="FootnoteReference"/>
          <w:szCs w:val="22"/>
        </w:rPr>
        <w:footnoteReference w:id="2"/>
      </w:r>
    </w:p>
    <w:p w:rsidR="004F1BFB" w:rsidRPr="006B7AA3" w:rsidRDefault="00BD52B2" w:rsidP="007A0978">
      <w:pPr>
        <w:keepNext/>
        <w:pBdr>
          <w:top w:val="single" w:sz="4" w:space="1" w:color="auto"/>
          <w:bottom w:val="single" w:sz="4" w:space="1" w:color="auto"/>
        </w:pBdr>
        <w:spacing w:before="360" w:after="200"/>
        <w:outlineLvl w:val="0"/>
        <w:rPr>
          <w:b/>
          <w:bCs/>
          <w:caps/>
          <w:kern w:val="32"/>
          <w:szCs w:val="32"/>
        </w:rPr>
      </w:pPr>
      <w:r w:rsidRPr="006B7AA3">
        <w:rPr>
          <w:b/>
          <w:bCs/>
          <w:caps/>
          <w:kern w:val="32"/>
          <w:szCs w:val="32"/>
        </w:rPr>
        <w:t xml:space="preserve">3 – </w:t>
      </w:r>
      <w:r w:rsidR="007A0978" w:rsidRPr="006B7AA3">
        <w:rPr>
          <w:b/>
          <w:bCs/>
          <w:caps/>
          <w:kern w:val="32"/>
          <w:szCs w:val="32"/>
        </w:rPr>
        <w:t>ÁMBITO DE APLICACIÓN PREVISTO</w:t>
      </w:r>
    </w:p>
    <w:p w:rsidR="004F1BFB" w:rsidRPr="006B7AA3" w:rsidRDefault="0013458F" w:rsidP="0013458F">
      <w:pPr>
        <w:keepNext/>
        <w:rPr>
          <w:b/>
          <w:bCs/>
          <w:szCs w:val="22"/>
        </w:rPr>
      </w:pPr>
      <w:r w:rsidRPr="006B7AA3">
        <w:rPr>
          <w:b/>
          <w:bCs/>
          <w:szCs w:val="22"/>
        </w:rPr>
        <w:t>Idioma(s) en que se ofrecerían los servicios:</w:t>
      </w:r>
      <w:r w:rsidR="00BD52B2" w:rsidRPr="006B7AA3">
        <w:rPr>
          <w:b/>
          <w:bCs/>
          <w:szCs w:val="22"/>
        </w:rPr>
        <w:t xml:space="preserve"> </w:t>
      </w:r>
    </w:p>
    <w:p w:rsidR="004F1BFB" w:rsidRPr="006B7AA3" w:rsidRDefault="0013458F" w:rsidP="0013458F">
      <w:pPr>
        <w:keepNext/>
        <w:autoSpaceDE w:val="0"/>
        <w:autoSpaceDN w:val="0"/>
        <w:adjustRightInd w:val="0"/>
        <w:spacing w:before="80" w:after="80"/>
        <w:rPr>
          <w:rFonts w:ascii="Times New Roman" w:eastAsia="Times New Roman" w:hAnsi="Times New Roman" w:cs="Times New Roman"/>
          <w:color w:val="000000"/>
          <w:sz w:val="24"/>
          <w:szCs w:val="24"/>
          <w:lang w:eastAsia="en-AU"/>
        </w:rPr>
      </w:pPr>
      <w:r w:rsidRPr="006B7AA3">
        <w:rPr>
          <w:bCs/>
          <w:szCs w:val="22"/>
        </w:rPr>
        <w:t>Inglés, francés y alemán.</w:t>
      </w:r>
      <w:r w:rsidR="00BD52B2" w:rsidRPr="006B7AA3">
        <w:rPr>
          <w:bCs/>
          <w:szCs w:val="22"/>
        </w:rPr>
        <w:t xml:space="preserve"> </w:t>
      </w:r>
    </w:p>
    <w:p w:rsidR="004F1BFB" w:rsidRPr="006B7AA3" w:rsidRDefault="004F1BFB" w:rsidP="00BD52B2">
      <w:pPr>
        <w:keepNext/>
        <w:rPr>
          <w:szCs w:val="22"/>
        </w:rPr>
      </w:pPr>
    </w:p>
    <w:p w:rsidR="004F1BFB" w:rsidRPr="006B7AA3" w:rsidRDefault="0013458F" w:rsidP="0013458F">
      <w:pPr>
        <w:rPr>
          <w:b/>
          <w:bCs/>
          <w:szCs w:val="22"/>
        </w:rPr>
      </w:pPr>
      <w:r w:rsidRPr="006B7AA3">
        <w:rPr>
          <w:b/>
          <w:bCs/>
          <w:szCs w:val="22"/>
        </w:rPr>
        <w:t>Estados u Oficinas receptoras para las cuales la Oficina se ofrecería como Administración competente:</w:t>
      </w:r>
      <w:r w:rsidR="00BD52B2" w:rsidRPr="006B7AA3">
        <w:rPr>
          <w:b/>
          <w:bCs/>
          <w:szCs w:val="22"/>
        </w:rPr>
        <w:t xml:space="preserve"> </w:t>
      </w:r>
    </w:p>
    <w:p w:rsidR="004F1BFB" w:rsidRPr="006B7AA3" w:rsidRDefault="009D5AFE" w:rsidP="009D5AFE">
      <w:pPr>
        <w:rPr>
          <w:bCs/>
          <w:szCs w:val="22"/>
        </w:rPr>
      </w:pPr>
      <w:r w:rsidRPr="006B7AA3">
        <w:rPr>
          <w:bCs/>
          <w:szCs w:val="22"/>
        </w:rPr>
        <w:t xml:space="preserve">La OEP actúa </w:t>
      </w:r>
      <w:r w:rsidR="003774CC">
        <w:rPr>
          <w:bCs/>
          <w:szCs w:val="22"/>
        </w:rPr>
        <w:t xml:space="preserve">en calidad de </w:t>
      </w:r>
      <w:r w:rsidR="00B70092">
        <w:rPr>
          <w:bCs/>
          <w:szCs w:val="22"/>
        </w:rPr>
        <w:t xml:space="preserve">ISA </w:t>
      </w:r>
      <w:r w:rsidRPr="006B7AA3">
        <w:rPr>
          <w:bCs/>
          <w:szCs w:val="22"/>
        </w:rPr>
        <w:t>de toda Oficina receptora que la seleccione.</w:t>
      </w:r>
    </w:p>
    <w:p w:rsidR="004F1BFB" w:rsidRPr="006B7AA3" w:rsidRDefault="004F1BFB" w:rsidP="00BD52B2">
      <w:pPr>
        <w:rPr>
          <w:b/>
          <w:bCs/>
          <w:szCs w:val="22"/>
        </w:rPr>
      </w:pPr>
    </w:p>
    <w:p w:rsidR="004F1BFB" w:rsidRPr="006B7AA3" w:rsidRDefault="00405F9A" w:rsidP="00405F9A">
      <w:pPr>
        <w:rPr>
          <w:bCs/>
          <w:szCs w:val="22"/>
        </w:rPr>
      </w:pPr>
      <w:r w:rsidRPr="006B7AA3">
        <w:rPr>
          <w:bCs/>
          <w:szCs w:val="22"/>
        </w:rPr>
        <w:t xml:space="preserve">La OEP actúa en calidad de </w:t>
      </w:r>
      <w:r w:rsidR="003774CC">
        <w:t>IPEA</w:t>
      </w:r>
      <w:r w:rsidR="003774CC" w:rsidRPr="006B7AA3">
        <w:rPr>
          <w:bCs/>
          <w:szCs w:val="22"/>
        </w:rPr>
        <w:t xml:space="preserve"> </w:t>
      </w:r>
      <w:r w:rsidRPr="006B7AA3">
        <w:rPr>
          <w:bCs/>
          <w:szCs w:val="22"/>
        </w:rPr>
        <w:t xml:space="preserve">si la OEP o una </w:t>
      </w:r>
      <w:r w:rsidR="00B70092">
        <w:rPr>
          <w:bCs/>
          <w:szCs w:val="22"/>
        </w:rPr>
        <w:t xml:space="preserve">ISA </w:t>
      </w:r>
      <w:r w:rsidRPr="006B7AA3">
        <w:rPr>
          <w:bCs/>
          <w:szCs w:val="22"/>
        </w:rPr>
        <w:t xml:space="preserve">europea </w:t>
      </w:r>
      <w:proofErr w:type="gramStart"/>
      <w:r w:rsidRPr="006B7AA3">
        <w:rPr>
          <w:bCs/>
          <w:szCs w:val="22"/>
        </w:rPr>
        <w:t>ha</w:t>
      </w:r>
      <w:proofErr w:type="gramEnd"/>
      <w:r w:rsidRPr="006B7AA3">
        <w:rPr>
          <w:bCs/>
          <w:szCs w:val="22"/>
        </w:rPr>
        <w:t xml:space="preserve"> actuado en calidad de </w:t>
      </w:r>
      <w:r w:rsidR="00B70092">
        <w:rPr>
          <w:bCs/>
          <w:szCs w:val="22"/>
        </w:rPr>
        <w:t>ISA</w:t>
      </w:r>
      <w:r w:rsidRPr="006B7AA3">
        <w:rPr>
          <w:bCs/>
          <w:szCs w:val="22"/>
        </w:rPr>
        <w:t>.</w:t>
      </w:r>
      <w:r w:rsidR="00BD52B2" w:rsidRPr="006B7AA3">
        <w:rPr>
          <w:bCs/>
          <w:szCs w:val="22"/>
        </w:rPr>
        <w:t xml:space="preserve"> </w:t>
      </w:r>
    </w:p>
    <w:p w:rsidR="004F1BFB" w:rsidRPr="006B7AA3" w:rsidRDefault="004F1BFB" w:rsidP="00BD52B2">
      <w:pPr>
        <w:rPr>
          <w:b/>
          <w:bCs/>
          <w:szCs w:val="22"/>
        </w:rPr>
      </w:pPr>
    </w:p>
    <w:p w:rsidR="004F1BFB" w:rsidRPr="006B7AA3" w:rsidRDefault="00405F9A" w:rsidP="00405F9A">
      <w:pPr>
        <w:rPr>
          <w:szCs w:val="22"/>
        </w:rPr>
      </w:pPr>
      <w:r w:rsidRPr="006B7AA3">
        <w:rPr>
          <w:szCs w:val="22"/>
        </w:rPr>
        <w:t>Limitaciones en el ámbito de aplicación:</w:t>
      </w:r>
    </w:p>
    <w:p w:rsidR="004F1BFB" w:rsidRPr="006B7AA3" w:rsidRDefault="007E32D9" w:rsidP="007E32D9">
      <w:pPr>
        <w:autoSpaceDE w:val="0"/>
        <w:autoSpaceDN w:val="0"/>
        <w:adjustRightInd w:val="0"/>
        <w:spacing w:before="120" w:after="120"/>
        <w:rPr>
          <w:bCs/>
          <w:szCs w:val="22"/>
        </w:rPr>
      </w:pPr>
      <w:r w:rsidRPr="006B7AA3">
        <w:rPr>
          <w:bCs/>
          <w:szCs w:val="22"/>
        </w:rPr>
        <w:t xml:space="preserve">Como </w:t>
      </w:r>
      <w:r w:rsidR="00B70092">
        <w:rPr>
          <w:bCs/>
          <w:szCs w:val="22"/>
        </w:rPr>
        <w:t>ISA</w:t>
      </w:r>
      <w:proofErr w:type="gramStart"/>
      <w:r w:rsidRPr="006B7AA3">
        <w:rPr>
          <w:bCs/>
          <w:szCs w:val="22"/>
        </w:rPr>
        <w:t>:  la</w:t>
      </w:r>
      <w:proofErr w:type="gramEnd"/>
      <w:r w:rsidRPr="006B7AA3">
        <w:rPr>
          <w:bCs/>
          <w:szCs w:val="22"/>
        </w:rPr>
        <w:t xml:space="preserve"> materia especificada en los incisos i) a vi) de la Regla 39.1 del PCT, con excepción de toda la materia que es objeto de búsqueda en el marco del procedimiento de concesión de patentes europeas.</w:t>
      </w:r>
      <w:r w:rsidR="00BD52B2" w:rsidRPr="006B7AA3">
        <w:rPr>
          <w:bCs/>
          <w:szCs w:val="22"/>
        </w:rPr>
        <w:t xml:space="preserve"> </w:t>
      </w:r>
    </w:p>
    <w:p w:rsidR="004F1BFB" w:rsidRPr="006B7AA3" w:rsidRDefault="004F1BFB" w:rsidP="00BD52B2">
      <w:pPr>
        <w:autoSpaceDE w:val="0"/>
        <w:autoSpaceDN w:val="0"/>
        <w:adjustRightInd w:val="0"/>
        <w:rPr>
          <w:bCs/>
          <w:szCs w:val="22"/>
        </w:rPr>
      </w:pPr>
    </w:p>
    <w:p w:rsidR="004F1BFB" w:rsidRPr="006B7AA3" w:rsidRDefault="007E32D9" w:rsidP="007E32D9">
      <w:pPr>
        <w:autoSpaceDE w:val="0"/>
        <w:autoSpaceDN w:val="0"/>
        <w:adjustRightInd w:val="0"/>
        <w:rPr>
          <w:bCs/>
          <w:szCs w:val="22"/>
        </w:rPr>
      </w:pPr>
      <w:r w:rsidRPr="006B7AA3">
        <w:rPr>
          <w:bCs/>
          <w:szCs w:val="22"/>
        </w:rPr>
        <w:t xml:space="preserve">Como </w:t>
      </w:r>
      <w:r w:rsidR="003774CC">
        <w:t>IPEA</w:t>
      </w:r>
      <w:proofErr w:type="gramStart"/>
      <w:r w:rsidRPr="006B7AA3">
        <w:rPr>
          <w:bCs/>
          <w:szCs w:val="22"/>
        </w:rPr>
        <w:t>:  la</w:t>
      </w:r>
      <w:proofErr w:type="gramEnd"/>
      <w:r w:rsidRPr="006B7AA3">
        <w:rPr>
          <w:bCs/>
          <w:szCs w:val="22"/>
        </w:rPr>
        <w:t xml:space="preserve"> materia especificada en los incisos i) a vi) de la Regla 67.1 del PCT, con excepción de toda la materia que es objeto de examen en el marco del procedimiento de concesión de patentes europeas.</w:t>
      </w:r>
    </w:p>
    <w:p w:rsidR="004F1BFB" w:rsidRPr="006B7AA3" w:rsidRDefault="00D9638B" w:rsidP="009C449F">
      <w:pPr>
        <w:keepNext/>
        <w:pBdr>
          <w:top w:val="single" w:sz="4" w:space="1" w:color="auto"/>
          <w:bottom w:val="single" w:sz="4" w:space="1" w:color="auto"/>
        </w:pBdr>
        <w:shd w:val="clear" w:color="auto" w:fill="FFFFFF" w:themeFill="background1"/>
        <w:spacing w:before="360" w:after="200"/>
        <w:outlineLvl w:val="0"/>
        <w:rPr>
          <w:b/>
          <w:bCs/>
          <w:caps/>
          <w:kern w:val="32"/>
          <w:szCs w:val="32"/>
        </w:rPr>
      </w:pPr>
      <w:r>
        <w:rPr>
          <w:b/>
          <w:bCs/>
          <w:caps/>
          <w:kern w:val="32"/>
          <w:szCs w:val="32"/>
        </w:rPr>
        <w:t>4 – DECLARACIÓN DE MOTIVOS</w:t>
      </w:r>
    </w:p>
    <w:p w:rsidR="004F1BFB" w:rsidRPr="006B7AA3" w:rsidRDefault="009C449F" w:rsidP="00580E17">
      <w:pPr>
        <w:shd w:val="clear" w:color="auto" w:fill="FFFFFF" w:themeFill="background1"/>
        <w:rPr>
          <w:szCs w:val="22"/>
        </w:rPr>
      </w:pPr>
      <w:r w:rsidRPr="006B7AA3">
        <w:rPr>
          <w:szCs w:val="22"/>
        </w:rPr>
        <w:t>Desde el principio, la OEP ha estado profundamente implicada en el proceso de armonización, lo que ha llevado a la adopción del PCT, y siempre ha creído firmemente que este sistema ofrece grandes ventajas a los usuarios.</w:t>
      </w:r>
      <w:r w:rsidR="00BD52B2" w:rsidRPr="006B7AA3">
        <w:rPr>
          <w:szCs w:val="22"/>
        </w:rPr>
        <w:t xml:space="preserve">  </w:t>
      </w:r>
      <w:r w:rsidR="00580E17" w:rsidRPr="006B7AA3">
        <w:rPr>
          <w:szCs w:val="22"/>
        </w:rPr>
        <w:t>Tras la entrada en vigor del PCT, la OEP ha seguido cooperando activamente con las demás Oficinas y la Oficina Internacional para mejorar aún más el sistema aplicado, entre otras cosas, introduciendo nuevos servicios, proponiendo cambios en el marco jurídico para aumentar la seguridad jurídica y abordando las prácticas divergentes para garantizar la coherencia.</w:t>
      </w:r>
      <w:r w:rsidR="00BD52B2" w:rsidRPr="006B7AA3">
        <w:rPr>
          <w:szCs w:val="22"/>
        </w:rPr>
        <w:t xml:space="preserve">  </w:t>
      </w:r>
    </w:p>
    <w:p w:rsidR="004F1BFB" w:rsidRPr="006B7AA3" w:rsidRDefault="004F1BFB" w:rsidP="00BD52B2">
      <w:pPr>
        <w:rPr>
          <w:szCs w:val="22"/>
        </w:rPr>
      </w:pPr>
    </w:p>
    <w:p w:rsidR="004F1BFB" w:rsidRPr="006B7AA3" w:rsidRDefault="00580E17" w:rsidP="00836707">
      <w:pPr>
        <w:rPr>
          <w:szCs w:val="22"/>
        </w:rPr>
      </w:pPr>
      <w:r w:rsidRPr="006B7AA3">
        <w:rPr>
          <w:szCs w:val="22"/>
        </w:rPr>
        <w:t xml:space="preserve">La OEP comenzó a ofrecer sus servicios en calidad de </w:t>
      </w:r>
      <w:r w:rsidR="00B70092">
        <w:rPr>
          <w:bCs/>
          <w:szCs w:val="22"/>
        </w:rPr>
        <w:t xml:space="preserve">ISA e </w:t>
      </w:r>
      <w:r w:rsidR="003774CC">
        <w:t>IPEA</w:t>
      </w:r>
      <w:r w:rsidR="003774CC" w:rsidRPr="006B7AA3">
        <w:rPr>
          <w:szCs w:val="22"/>
        </w:rPr>
        <w:t xml:space="preserve"> </w:t>
      </w:r>
      <w:r w:rsidRPr="006B7AA3">
        <w:rPr>
          <w:szCs w:val="22"/>
        </w:rPr>
        <w:t>en 1978 y actualmente es seleccionada por la mayoría de las Oficinas receptoras.</w:t>
      </w:r>
      <w:r w:rsidR="00BD52B2" w:rsidRPr="006B7AA3">
        <w:rPr>
          <w:szCs w:val="22"/>
        </w:rPr>
        <w:t xml:space="preserve">  </w:t>
      </w:r>
      <w:r w:rsidR="00752C7F" w:rsidRPr="006B7AA3">
        <w:rPr>
          <w:szCs w:val="22"/>
        </w:rPr>
        <w:t>Las búsquedas de la OEP en la fase internacional son de alcance mundial y en ellas se aplican los mismos criterios de calidad que en las búsquedas europeas y se utilizan las mismas herramientas.</w:t>
      </w:r>
      <w:r w:rsidR="00BD52B2" w:rsidRPr="006B7AA3">
        <w:rPr>
          <w:szCs w:val="22"/>
        </w:rPr>
        <w:t xml:space="preserve">  </w:t>
      </w:r>
      <w:r w:rsidR="00871B56" w:rsidRPr="006B7AA3">
        <w:rPr>
          <w:szCs w:val="22"/>
        </w:rPr>
        <w:t>Los examinadores encargados de las búsquedas y el examen de las solicitudes de patente están altamente calificados, trabajan en equipos de tres personas y utilizan las bases de datos más completas a escala mundial.</w:t>
      </w:r>
      <w:r w:rsidR="00BD52B2" w:rsidRPr="006B7AA3">
        <w:rPr>
          <w:szCs w:val="22"/>
        </w:rPr>
        <w:t xml:space="preserve">  </w:t>
      </w:r>
      <w:r w:rsidR="00BE461F" w:rsidRPr="006B7AA3">
        <w:rPr>
          <w:szCs w:val="22"/>
        </w:rPr>
        <w:t>La OEP otorga gran importancia a la calidad de sus búsquedas y evaluaciones, y es consciente de que tienen consecuencias de gran alcance en las decisiones de los usuarios sobre el futuro de las solicitudes de patente.</w:t>
      </w:r>
      <w:r w:rsidR="00BD52B2" w:rsidRPr="006B7AA3">
        <w:rPr>
          <w:szCs w:val="22"/>
        </w:rPr>
        <w:t xml:space="preserve">  </w:t>
      </w:r>
      <w:r w:rsidR="00836707" w:rsidRPr="006B7AA3">
        <w:rPr>
          <w:szCs w:val="22"/>
        </w:rPr>
        <w:t xml:space="preserve">A pesar del gran volumen de </w:t>
      </w:r>
      <w:r w:rsidR="00836707" w:rsidRPr="006B7AA3">
        <w:rPr>
          <w:szCs w:val="22"/>
        </w:rPr>
        <w:lastRenderedPageBreak/>
        <w:t>informes de búsqueda internacional (81.131 en 2015), la OEP, en el transcurso de los años, ha logrado mejorar considerablemente su puntualidad para satisfacer las necesidades de los usuarios.</w:t>
      </w:r>
      <w:r w:rsidR="00BD52B2" w:rsidRPr="006B7AA3">
        <w:rPr>
          <w:szCs w:val="22"/>
        </w:rPr>
        <w:t xml:space="preserve">  </w:t>
      </w:r>
      <w:r w:rsidR="00836707" w:rsidRPr="006B7AA3">
        <w:rPr>
          <w:szCs w:val="22"/>
        </w:rPr>
        <w:t xml:space="preserve">Desde 2010, la OEP también actúa en calidad de Administración designada para la búsqueda internacional suplementaria </w:t>
      </w:r>
      <w:r w:rsidR="00B70092">
        <w:rPr>
          <w:szCs w:val="22"/>
        </w:rPr>
        <w:t xml:space="preserve">(SISA) </w:t>
      </w:r>
      <w:r w:rsidR="00836707" w:rsidRPr="006B7AA3">
        <w:rPr>
          <w:szCs w:val="22"/>
        </w:rPr>
        <w:t>y se esfuerza para que este servicio sea más atractivo para los usuarios.</w:t>
      </w:r>
      <w:r w:rsidR="00BD52B2" w:rsidRPr="006B7AA3">
        <w:rPr>
          <w:szCs w:val="22"/>
        </w:rPr>
        <w:t xml:space="preserve">  </w:t>
      </w:r>
    </w:p>
    <w:p w:rsidR="004F1BFB" w:rsidRPr="006B7AA3" w:rsidRDefault="004F1BFB" w:rsidP="00BD52B2">
      <w:pPr>
        <w:rPr>
          <w:szCs w:val="22"/>
        </w:rPr>
      </w:pPr>
    </w:p>
    <w:p w:rsidR="004F1BFB" w:rsidRPr="006B7AA3" w:rsidRDefault="00F135FF" w:rsidP="000D24BA">
      <w:pPr>
        <w:rPr>
          <w:szCs w:val="22"/>
        </w:rPr>
      </w:pPr>
      <w:r w:rsidRPr="006B7AA3">
        <w:rPr>
          <w:szCs w:val="22"/>
        </w:rPr>
        <w:t>La vía internacional es muy utilizada por los solicitantes interesados en una protección global que prefieren aplazar las decisiones importantes y los costos.</w:t>
      </w:r>
      <w:r w:rsidR="00BD52B2" w:rsidRPr="006B7AA3">
        <w:rPr>
          <w:szCs w:val="22"/>
        </w:rPr>
        <w:t xml:space="preserve">  </w:t>
      </w:r>
      <w:r w:rsidRPr="006B7AA3">
        <w:rPr>
          <w:szCs w:val="22"/>
        </w:rPr>
        <w:t>En 2015, el 61,4% de las solicitudes recibidas por la OEP en la fase regional fueron, en realidad, solicitudes Euro-PCT.</w:t>
      </w:r>
      <w:r w:rsidR="00BD52B2" w:rsidRPr="006B7AA3">
        <w:rPr>
          <w:szCs w:val="22"/>
        </w:rPr>
        <w:t xml:space="preserve">  </w:t>
      </w:r>
      <w:r w:rsidRPr="006B7AA3">
        <w:rPr>
          <w:szCs w:val="22"/>
        </w:rPr>
        <w:t>A lo largo de los años, ha aumentado increíblemente el porcentaje de solicitudes que entran en la fase europea después de la fase internacional.</w:t>
      </w:r>
      <w:r w:rsidR="00BD52B2" w:rsidRPr="006B7AA3">
        <w:rPr>
          <w:szCs w:val="22"/>
        </w:rPr>
        <w:t xml:space="preserve">  </w:t>
      </w:r>
      <w:r w:rsidR="000D24BA" w:rsidRPr="006B7AA3">
        <w:rPr>
          <w:szCs w:val="22"/>
        </w:rPr>
        <w:t xml:space="preserve">La actividad de la OEP en calidad de </w:t>
      </w:r>
      <w:r w:rsidR="003774CC">
        <w:rPr>
          <w:bCs/>
          <w:szCs w:val="22"/>
        </w:rPr>
        <w:t xml:space="preserve">ISA e </w:t>
      </w:r>
      <w:r w:rsidR="003774CC">
        <w:t>IPEA</w:t>
      </w:r>
      <w:r w:rsidR="003774CC" w:rsidRPr="006B7AA3">
        <w:rPr>
          <w:szCs w:val="22"/>
        </w:rPr>
        <w:t xml:space="preserve"> </w:t>
      </w:r>
      <w:r w:rsidR="000D24BA" w:rsidRPr="006B7AA3">
        <w:rPr>
          <w:szCs w:val="22"/>
        </w:rPr>
        <w:t>permite que los solicitantes interesados en entrar en la fase europea comprendan el valor de su patente en una etapa temprana y, si la respuesta es positiva, obtengan rápidamente la patente en la fase regional y a un costo menor.</w:t>
      </w:r>
    </w:p>
    <w:p w:rsidR="004F1BFB" w:rsidRPr="006B7AA3" w:rsidRDefault="004F1BFB" w:rsidP="00BD52B2">
      <w:pPr>
        <w:rPr>
          <w:szCs w:val="22"/>
        </w:rPr>
      </w:pPr>
    </w:p>
    <w:p w:rsidR="004F1BFB" w:rsidRPr="006B7AA3" w:rsidRDefault="00F63A72" w:rsidP="00F63A72">
      <w:pPr>
        <w:rPr>
          <w:szCs w:val="22"/>
        </w:rPr>
      </w:pPr>
      <w:r w:rsidRPr="006B7AA3">
        <w:rPr>
          <w:szCs w:val="22"/>
        </w:rPr>
        <w:t>Por consiguiente, la OEP se complacería en continuar proporcionando a los usuarios sus servicios como Autoridad internacional y seguir contribuyendo al mantenimiento y la mejora del sistema del PCT en el marco internacional.</w:t>
      </w:r>
    </w:p>
    <w:p w:rsidR="004F1BFB" w:rsidRPr="006B7AA3" w:rsidRDefault="004F1BFB" w:rsidP="00BD52B2">
      <w:pPr>
        <w:rPr>
          <w:szCs w:val="22"/>
        </w:rPr>
      </w:pPr>
    </w:p>
    <w:p w:rsidR="004F1BFB" w:rsidRPr="006B7AA3" w:rsidRDefault="00F63A72" w:rsidP="00F63A72">
      <w:pPr>
        <w:keepNext/>
        <w:pBdr>
          <w:top w:val="single" w:sz="4" w:space="1" w:color="auto"/>
          <w:bottom w:val="single" w:sz="4" w:space="1" w:color="auto"/>
        </w:pBdr>
        <w:spacing w:before="360" w:after="200"/>
        <w:outlineLvl w:val="0"/>
        <w:rPr>
          <w:b/>
          <w:bCs/>
          <w:caps/>
          <w:kern w:val="32"/>
          <w:szCs w:val="32"/>
        </w:rPr>
      </w:pPr>
      <w:r w:rsidRPr="006B7AA3">
        <w:rPr>
          <w:bCs/>
          <w:caps/>
          <w:kern w:val="32"/>
          <w:szCs w:val="32"/>
        </w:rPr>
        <w:t>5 – ESTADO(S) SOLICITANTE(S)</w:t>
      </w:r>
      <w:r w:rsidR="00BD52B2" w:rsidRPr="006B7AA3">
        <w:rPr>
          <w:bCs/>
          <w:caps/>
          <w:kern w:val="32"/>
          <w:szCs w:val="32"/>
        </w:rPr>
        <w:t xml:space="preserve"> </w:t>
      </w:r>
    </w:p>
    <w:p w:rsidR="00BD52B2" w:rsidRPr="006B7AA3" w:rsidRDefault="00F63A72" w:rsidP="00F63A72">
      <w:pPr>
        <w:keepNext/>
        <w:rPr>
          <w:b/>
          <w:bCs/>
          <w:szCs w:val="22"/>
        </w:rPr>
      </w:pPr>
      <w:r w:rsidRPr="006B7AA3">
        <w:rPr>
          <w:b/>
          <w:bCs/>
          <w:szCs w:val="22"/>
        </w:rPr>
        <w:t>Ubicación regional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BD52B2" w:rsidRPr="006B7AA3" w:rsidTr="001C4BD4">
        <w:trPr>
          <w:trHeight w:val="4234"/>
        </w:trPr>
        <w:tc>
          <w:tcPr>
            <w:tcW w:w="6165" w:type="dxa"/>
            <w:shd w:val="clear" w:color="auto" w:fill="auto"/>
          </w:tcPr>
          <w:p w:rsidR="00BD52B2" w:rsidRPr="006B7AA3" w:rsidRDefault="00BD52B2" w:rsidP="00BD52B2">
            <w:pPr>
              <w:rPr>
                <w:szCs w:val="22"/>
              </w:rPr>
            </w:pPr>
            <w:r w:rsidRPr="006B7AA3">
              <w:rPr>
                <w:noProof/>
                <w:lang w:val="en-US" w:eastAsia="en-US"/>
              </w:rPr>
              <w:drawing>
                <wp:inline distT="0" distB="0" distL="0" distR="0" wp14:anchorId="5342AF2B" wp14:editId="4046F7A3">
                  <wp:extent cx="5973505" cy="4508205"/>
                  <wp:effectExtent l="0" t="0" r="8255" b="6985"/>
                  <wp:docPr id="3" name="Picture 3" descr="http://documents.epo.org/projects/babylon/eponet.nsf/0/8C003885190F73D2C1257EEE002E4EBB/$File/European_patents_coverage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ocuments.epo.org/projects/babylon/eponet.nsf/0/8C003885190F73D2C1257EEE002E4EBB/$File/European_patents_coverage_e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87321" cy="4518632"/>
                          </a:xfrm>
                          <a:prstGeom prst="rect">
                            <a:avLst/>
                          </a:prstGeom>
                          <a:noFill/>
                          <a:ln>
                            <a:noFill/>
                          </a:ln>
                        </pic:spPr>
                      </pic:pic>
                    </a:graphicData>
                  </a:graphic>
                </wp:inline>
              </w:drawing>
            </w:r>
          </w:p>
        </w:tc>
      </w:tr>
    </w:tbl>
    <w:p w:rsidR="004F1BFB" w:rsidRPr="006B7AA3" w:rsidRDefault="00F63A72" w:rsidP="00F63A72">
      <w:pPr>
        <w:rPr>
          <w:i/>
          <w:iCs/>
          <w:szCs w:val="22"/>
        </w:rPr>
      </w:pPr>
      <w:r w:rsidRPr="006B7AA3">
        <w:rPr>
          <w:i/>
          <w:iCs/>
          <w:szCs w:val="22"/>
        </w:rPr>
        <w:t>Mapa de los Estados y los Estados vecinos</w:t>
      </w:r>
    </w:p>
    <w:p w:rsidR="004F1BFB" w:rsidRPr="006B7AA3" w:rsidRDefault="00F63A72" w:rsidP="00F63A72">
      <w:pPr>
        <w:keepNext/>
        <w:pBdr>
          <w:top w:val="single" w:sz="4" w:space="1" w:color="auto"/>
          <w:bottom w:val="single" w:sz="4" w:space="1" w:color="auto"/>
        </w:pBdr>
        <w:spacing w:before="360" w:after="200"/>
        <w:outlineLvl w:val="0"/>
        <w:rPr>
          <w:b/>
          <w:bCs/>
          <w:caps/>
          <w:kern w:val="32"/>
          <w:szCs w:val="32"/>
        </w:rPr>
      </w:pPr>
      <w:r w:rsidRPr="006B7AA3">
        <w:rPr>
          <w:b/>
          <w:bCs/>
          <w:caps/>
          <w:kern w:val="32"/>
          <w:szCs w:val="32"/>
        </w:rPr>
        <w:lastRenderedPageBreak/>
        <w:t xml:space="preserve">6 – Perfil de las </w:t>
      </w:r>
      <w:r w:rsidR="00AF467B">
        <w:rPr>
          <w:b/>
          <w:bCs/>
          <w:caps/>
          <w:kern w:val="32"/>
          <w:szCs w:val="32"/>
        </w:rPr>
        <w:t>solicitudes de patente</w:t>
      </w:r>
    </w:p>
    <w:p w:rsidR="00BD52B2" w:rsidRPr="006B7AA3" w:rsidRDefault="00F63A72" w:rsidP="00F63A72">
      <w:pPr>
        <w:keepNext/>
        <w:keepLines/>
        <w:rPr>
          <w:b/>
          <w:bCs/>
          <w:szCs w:val="22"/>
        </w:rPr>
      </w:pPr>
      <w:r w:rsidRPr="006B7AA3">
        <w:rPr>
          <w:b/>
          <w:bCs/>
          <w:szCs w:val="22"/>
        </w:rPr>
        <w:t>Número de solicitudes de patente nacional recibidas – por campo técnico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BD52B2" w:rsidRPr="006B7AA3" w:rsidTr="001C4BD4">
        <w:trPr>
          <w:cantSplit/>
        </w:trPr>
        <w:tc>
          <w:tcPr>
            <w:tcW w:w="2518" w:type="dxa"/>
            <w:tcBorders>
              <w:tl2br w:val="single" w:sz="4" w:space="0" w:color="auto"/>
            </w:tcBorders>
            <w:shd w:val="clear" w:color="auto" w:fill="auto"/>
          </w:tcPr>
          <w:p w:rsidR="004F1BFB" w:rsidRPr="006B7AA3" w:rsidRDefault="004F1BFB" w:rsidP="00BD52B2">
            <w:pPr>
              <w:keepNext/>
              <w:jc w:val="right"/>
              <w:rPr>
                <w:b/>
                <w:bCs/>
                <w:szCs w:val="22"/>
              </w:rPr>
            </w:pPr>
          </w:p>
          <w:p w:rsidR="004F1BFB" w:rsidRPr="006B7AA3" w:rsidRDefault="00F63A72" w:rsidP="00F63A72">
            <w:pPr>
              <w:keepNext/>
              <w:jc w:val="right"/>
              <w:rPr>
                <w:b/>
                <w:bCs/>
                <w:szCs w:val="22"/>
              </w:rPr>
            </w:pPr>
            <w:r w:rsidRPr="006B7AA3">
              <w:rPr>
                <w:b/>
                <w:bCs/>
                <w:szCs w:val="22"/>
              </w:rPr>
              <w:t>Año</w:t>
            </w:r>
          </w:p>
          <w:p w:rsidR="00BD52B2" w:rsidRPr="006B7AA3" w:rsidRDefault="00F63A72" w:rsidP="00F63A72">
            <w:pPr>
              <w:keepNext/>
              <w:rPr>
                <w:b/>
                <w:bCs/>
                <w:szCs w:val="22"/>
              </w:rPr>
            </w:pPr>
            <w:r w:rsidRPr="006B7AA3">
              <w:rPr>
                <w:b/>
                <w:bCs/>
                <w:szCs w:val="22"/>
              </w:rPr>
              <w:t>Campo técnico</w:t>
            </w:r>
          </w:p>
        </w:tc>
        <w:tc>
          <w:tcPr>
            <w:tcW w:w="1360" w:type="dxa"/>
            <w:shd w:val="clear" w:color="auto" w:fill="auto"/>
            <w:vAlign w:val="center"/>
          </w:tcPr>
          <w:p w:rsidR="00BD52B2" w:rsidRPr="006B7AA3" w:rsidRDefault="00BD52B2" w:rsidP="00BD52B2">
            <w:pPr>
              <w:keepNext/>
              <w:jc w:val="center"/>
              <w:rPr>
                <w:szCs w:val="22"/>
              </w:rPr>
            </w:pPr>
            <w:r w:rsidRPr="006B7AA3">
              <w:rPr>
                <w:szCs w:val="22"/>
              </w:rPr>
              <w:t>2011</w:t>
            </w:r>
          </w:p>
        </w:tc>
        <w:tc>
          <w:tcPr>
            <w:tcW w:w="1361" w:type="dxa"/>
            <w:shd w:val="clear" w:color="auto" w:fill="auto"/>
            <w:vAlign w:val="center"/>
          </w:tcPr>
          <w:p w:rsidR="00BD52B2" w:rsidRPr="006B7AA3" w:rsidRDefault="00BD52B2" w:rsidP="00BD52B2">
            <w:pPr>
              <w:keepNext/>
              <w:jc w:val="center"/>
              <w:rPr>
                <w:szCs w:val="22"/>
              </w:rPr>
            </w:pPr>
            <w:r w:rsidRPr="006B7AA3">
              <w:rPr>
                <w:szCs w:val="22"/>
              </w:rPr>
              <w:t>2012</w:t>
            </w:r>
          </w:p>
        </w:tc>
        <w:tc>
          <w:tcPr>
            <w:tcW w:w="1361" w:type="dxa"/>
            <w:shd w:val="clear" w:color="auto" w:fill="auto"/>
            <w:vAlign w:val="center"/>
          </w:tcPr>
          <w:p w:rsidR="00BD52B2" w:rsidRPr="006B7AA3" w:rsidRDefault="00BD52B2" w:rsidP="00BD52B2">
            <w:pPr>
              <w:keepNext/>
              <w:jc w:val="center"/>
              <w:rPr>
                <w:szCs w:val="22"/>
              </w:rPr>
            </w:pPr>
            <w:r w:rsidRPr="006B7AA3">
              <w:rPr>
                <w:szCs w:val="22"/>
              </w:rPr>
              <w:t>2013</w:t>
            </w:r>
          </w:p>
        </w:tc>
        <w:tc>
          <w:tcPr>
            <w:tcW w:w="1361" w:type="dxa"/>
            <w:shd w:val="clear" w:color="auto" w:fill="auto"/>
            <w:vAlign w:val="center"/>
          </w:tcPr>
          <w:p w:rsidR="00BD52B2" w:rsidRPr="006B7AA3" w:rsidRDefault="00BD52B2" w:rsidP="00BD52B2">
            <w:pPr>
              <w:keepNext/>
              <w:jc w:val="center"/>
              <w:rPr>
                <w:szCs w:val="22"/>
              </w:rPr>
            </w:pPr>
            <w:r w:rsidRPr="006B7AA3">
              <w:rPr>
                <w:szCs w:val="22"/>
              </w:rPr>
              <w:t>2014</w:t>
            </w:r>
          </w:p>
        </w:tc>
        <w:tc>
          <w:tcPr>
            <w:tcW w:w="1361" w:type="dxa"/>
            <w:shd w:val="clear" w:color="auto" w:fill="auto"/>
            <w:vAlign w:val="center"/>
          </w:tcPr>
          <w:p w:rsidR="00BD52B2" w:rsidRPr="006B7AA3" w:rsidRDefault="00BD52B2" w:rsidP="00BD52B2">
            <w:pPr>
              <w:keepNext/>
              <w:jc w:val="center"/>
              <w:rPr>
                <w:szCs w:val="22"/>
              </w:rPr>
            </w:pPr>
            <w:r w:rsidRPr="006B7AA3">
              <w:rPr>
                <w:szCs w:val="22"/>
              </w:rPr>
              <w:t>2015</w:t>
            </w:r>
          </w:p>
        </w:tc>
      </w:tr>
      <w:tr w:rsidR="00BD52B2" w:rsidRPr="006B7AA3" w:rsidTr="001C4BD4">
        <w:trPr>
          <w:cantSplit/>
        </w:trPr>
        <w:tc>
          <w:tcPr>
            <w:tcW w:w="2518" w:type="dxa"/>
            <w:shd w:val="clear" w:color="auto" w:fill="auto"/>
          </w:tcPr>
          <w:p w:rsidR="00BD52B2" w:rsidRPr="006B7AA3" w:rsidRDefault="00F63A72" w:rsidP="00F63A72">
            <w:pPr>
              <w:keepNext/>
              <w:rPr>
                <w:szCs w:val="22"/>
              </w:rPr>
            </w:pPr>
            <w:r w:rsidRPr="006B7AA3">
              <w:rPr>
                <w:szCs w:val="22"/>
              </w:rPr>
              <w:t>Mecánica</w:t>
            </w:r>
          </w:p>
        </w:tc>
        <w:tc>
          <w:tcPr>
            <w:tcW w:w="1360" w:type="dxa"/>
            <w:shd w:val="clear" w:color="auto" w:fill="auto"/>
          </w:tcPr>
          <w:p w:rsidR="00BD52B2" w:rsidRPr="006B7AA3" w:rsidRDefault="00F63A72" w:rsidP="00F63A72">
            <w:pPr>
              <w:keepNext/>
              <w:ind w:right="260"/>
              <w:jc w:val="right"/>
              <w:rPr>
                <w:szCs w:val="22"/>
              </w:rPr>
            </w:pPr>
            <w:r w:rsidRPr="006B7AA3">
              <w:rPr>
                <w:szCs w:val="22"/>
              </w:rPr>
              <w:t>29.942</w:t>
            </w:r>
          </w:p>
        </w:tc>
        <w:tc>
          <w:tcPr>
            <w:tcW w:w="1361" w:type="dxa"/>
            <w:shd w:val="clear" w:color="auto" w:fill="auto"/>
          </w:tcPr>
          <w:p w:rsidR="00BD52B2" w:rsidRPr="006B7AA3" w:rsidRDefault="00F63A72" w:rsidP="00F63A72">
            <w:pPr>
              <w:keepNext/>
              <w:ind w:right="260"/>
              <w:jc w:val="right"/>
              <w:rPr>
                <w:szCs w:val="22"/>
              </w:rPr>
            </w:pPr>
            <w:r w:rsidRPr="006B7AA3">
              <w:rPr>
                <w:szCs w:val="22"/>
              </w:rPr>
              <w:t>33.075</w:t>
            </w:r>
          </w:p>
        </w:tc>
        <w:tc>
          <w:tcPr>
            <w:tcW w:w="1361" w:type="dxa"/>
            <w:shd w:val="clear" w:color="auto" w:fill="auto"/>
          </w:tcPr>
          <w:p w:rsidR="00BD52B2" w:rsidRPr="006B7AA3" w:rsidRDefault="00F63A72" w:rsidP="00F63A72">
            <w:pPr>
              <w:keepNext/>
              <w:ind w:right="260"/>
              <w:jc w:val="right"/>
              <w:rPr>
                <w:szCs w:val="22"/>
              </w:rPr>
            </w:pPr>
            <w:r w:rsidRPr="006B7AA3">
              <w:rPr>
                <w:szCs w:val="22"/>
              </w:rPr>
              <w:t>32.801</w:t>
            </w:r>
          </w:p>
        </w:tc>
        <w:tc>
          <w:tcPr>
            <w:tcW w:w="1361" w:type="dxa"/>
            <w:shd w:val="clear" w:color="auto" w:fill="auto"/>
          </w:tcPr>
          <w:p w:rsidR="00BD52B2" w:rsidRPr="006B7AA3" w:rsidRDefault="00F63A72" w:rsidP="00F63A72">
            <w:pPr>
              <w:keepNext/>
              <w:ind w:right="260"/>
              <w:jc w:val="right"/>
              <w:rPr>
                <w:szCs w:val="22"/>
              </w:rPr>
            </w:pPr>
            <w:r w:rsidRPr="006B7AA3">
              <w:rPr>
                <w:szCs w:val="22"/>
              </w:rPr>
              <w:t>33.380</w:t>
            </w:r>
          </w:p>
        </w:tc>
        <w:tc>
          <w:tcPr>
            <w:tcW w:w="1361" w:type="dxa"/>
            <w:shd w:val="clear" w:color="auto" w:fill="auto"/>
          </w:tcPr>
          <w:p w:rsidR="00BD52B2" w:rsidRPr="006B7AA3" w:rsidRDefault="00F63A72" w:rsidP="00F63A72">
            <w:pPr>
              <w:keepNext/>
              <w:ind w:right="260"/>
              <w:jc w:val="right"/>
              <w:rPr>
                <w:szCs w:val="22"/>
              </w:rPr>
            </w:pPr>
            <w:r w:rsidRPr="006B7AA3">
              <w:rPr>
                <w:szCs w:val="22"/>
              </w:rPr>
              <w:t>36.016</w:t>
            </w:r>
          </w:p>
        </w:tc>
      </w:tr>
      <w:tr w:rsidR="00BD52B2" w:rsidRPr="006B7AA3" w:rsidTr="001C4BD4">
        <w:trPr>
          <w:cantSplit/>
        </w:trPr>
        <w:tc>
          <w:tcPr>
            <w:tcW w:w="2518" w:type="dxa"/>
            <w:shd w:val="clear" w:color="auto" w:fill="auto"/>
          </w:tcPr>
          <w:p w:rsidR="00BD52B2" w:rsidRPr="006B7AA3" w:rsidRDefault="00F63A72" w:rsidP="00F63A72">
            <w:pPr>
              <w:keepNext/>
              <w:rPr>
                <w:szCs w:val="22"/>
              </w:rPr>
            </w:pPr>
            <w:r w:rsidRPr="006B7AA3">
              <w:rPr>
                <w:szCs w:val="22"/>
              </w:rPr>
              <w:t>Electricidad/electrónica</w:t>
            </w:r>
          </w:p>
        </w:tc>
        <w:tc>
          <w:tcPr>
            <w:tcW w:w="1360" w:type="dxa"/>
            <w:shd w:val="clear" w:color="auto" w:fill="auto"/>
          </w:tcPr>
          <w:p w:rsidR="00BD52B2" w:rsidRPr="006B7AA3" w:rsidRDefault="00F63A72" w:rsidP="00F63A72">
            <w:pPr>
              <w:keepNext/>
              <w:ind w:right="260"/>
              <w:jc w:val="right"/>
              <w:rPr>
                <w:szCs w:val="22"/>
              </w:rPr>
            </w:pPr>
            <w:r w:rsidRPr="006B7AA3">
              <w:rPr>
                <w:szCs w:val="22"/>
              </w:rPr>
              <w:t>39.000</w:t>
            </w:r>
          </w:p>
        </w:tc>
        <w:tc>
          <w:tcPr>
            <w:tcW w:w="1361" w:type="dxa"/>
            <w:shd w:val="clear" w:color="auto" w:fill="auto"/>
          </w:tcPr>
          <w:p w:rsidR="00BD52B2" w:rsidRPr="006B7AA3" w:rsidRDefault="00F63A72" w:rsidP="00F63A72">
            <w:pPr>
              <w:keepNext/>
              <w:ind w:right="260"/>
              <w:jc w:val="right"/>
              <w:rPr>
                <w:szCs w:val="22"/>
              </w:rPr>
            </w:pPr>
            <w:r w:rsidRPr="006B7AA3">
              <w:rPr>
                <w:szCs w:val="22"/>
              </w:rPr>
              <w:t>42.422</w:t>
            </w:r>
          </w:p>
        </w:tc>
        <w:tc>
          <w:tcPr>
            <w:tcW w:w="1361" w:type="dxa"/>
            <w:shd w:val="clear" w:color="auto" w:fill="auto"/>
          </w:tcPr>
          <w:p w:rsidR="00BD52B2" w:rsidRPr="006B7AA3" w:rsidRDefault="00F63A72" w:rsidP="00F63A72">
            <w:pPr>
              <w:keepNext/>
              <w:ind w:right="260"/>
              <w:jc w:val="right"/>
              <w:rPr>
                <w:szCs w:val="22"/>
              </w:rPr>
            </w:pPr>
            <w:r w:rsidRPr="006B7AA3">
              <w:rPr>
                <w:szCs w:val="22"/>
              </w:rPr>
              <w:t>41.974</w:t>
            </w:r>
          </w:p>
        </w:tc>
        <w:tc>
          <w:tcPr>
            <w:tcW w:w="1361" w:type="dxa"/>
            <w:shd w:val="clear" w:color="auto" w:fill="auto"/>
          </w:tcPr>
          <w:p w:rsidR="00BD52B2" w:rsidRPr="006B7AA3" w:rsidRDefault="00F63A72" w:rsidP="00F63A72">
            <w:pPr>
              <w:keepNext/>
              <w:ind w:right="260"/>
              <w:jc w:val="right"/>
              <w:rPr>
                <w:szCs w:val="22"/>
              </w:rPr>
            </w:pPr>
            <w:r w:rsidRPr="006B7AA3">
              <w:rPr>
                <w:szCs w:val="22"/>
              </w:rPr>
              <w:t>44.040</w:t>
            </w:r>
          </w:p>
        </w:tc>
        <w:tc>
          <w:tcPr>
            <w:tcW w:w="1361" w:type="dxa"/>
            <w:shd w:val="clear" w:color="auto" w:fill="auto"/>
          </w:tcPr>
          <w:p w:rsidR="00BD52B2" w:rsidRPr="006B7AA3" w:rsidRDefault="00F63A72" w:rsidP="00F63A72">
            <w:pPr>
              <w:keepNext/>
              <w:ind w:right="260"/>
              <w:jc w:val="right"/>
              <w:rPr>
                <w:szCs w:val="22"/>
              </w:rPr>
            </w:pPr>
            <w:r w:rsidRPr="006B7AA3">
              <w:rPr>
                <w:szCs w:val="22"/>
              </w:rPr>
              <w:t>45.434</w:t>
            </w:r>
          </w:p>
        </w:tc>
      </w:tr>
      <w:tr w:rsidR="00BD52B2" w:rsidRPr="006B7AA3" w:rsidTr="001C4BD4">
        <w:trPr>
          <w:cantSplit/>
        </w:trPr>
        <w:tc>
          <w:tcPr>
            <w:tcW w:w="2518" w:type="dxa"/>
            <w:shd w:val="clear" w:color="auto" w:fill="auto"/>
          </w:tcPr>
          <w:p w:rsidR="00BD52B2" w:rsidRPr="006B7AA3" w:rsidRDefault="00F63A72" w:rsidP="00F63A72">
            <w:pPr>
              <w:keepNext/>
              <w:rPr>
                <w:szCs w:val="22"/>
              </w:rPr>
            </w:pPr>
            <w:r w:rsidRPr="006B7AA3">
              <w:rPr>
                <w:szCs w:val="22"/>
              </w:rPr>
              <w:t>Química</w:t>
            </w:r>
          </w:p>
        </w:tc>
        <w:tc>
          <w:tcPr>
            <w:tcW w:w="1360" w:type="dxa"/>
            <w:shd w:val="clear" w:color="auto" w:fill="auto"/>
          </w:tcPr>
          <w:p w:rsidR="00BD52B2" w:rsidRPr="006B7AA3" w:rsidRDefault="00F63A72" w:rsidP="00F63A72">
            <w:pPr>
              <w:keepNext/>
              <w:ind w:right="260"/>
              <w:jc w:val="right"/>
              <w:rPr>
                <w:szCs w:val="22"/>
              </w:rPr>
            </w:pPr>
            <w:r w:rsidRPr="006B7AA3">
              <w:rPr>
                <w:szCs w:val="22"/>
              </w:rPr>
              <w:t>35.971</w:t>
            </w:r>
          </w:p>
        </w:tc>
        <w:tc>
          <w:tcPr>
            <w:tcW w:w="1361" w:type="dxa"/>
            <w:shd w:val="clear" w:color="auto" w:fill="auto"/>
          </w:tcPr>
          <w:p w:rsidR="00BD52B2" w:rsidRPr="006B7AA3" w:rsidRDefault="00F63A72" w:rsidP="00F63A72">
            <w:pPr>
              <w:keepNext/>
              <w:ind w:right="260"/>
              <w:jc w:val="right"/>
              <w:rPr>
                <w:szCs w:val="22"/>
              </w:rPr>
            </w:pPr>
            <w:r w:rsidRPr="006B7AA3">
              <w:rPr>
                <w:szCs w:val="22"/>
              </w:rPr>
              <w:t>38.651</w:t>
            </w:r>
          </w:p>
        </w:tc>
        <w:tc>
          <w:tcPr>
            <w:tcW w:w="1361" w:type="dxa"/>
            <w:shd w:val="clear" w:color="auto" w:fill="auto"/>
          </w:tcPr>
          <w:p w:rsidR="00BD52B2" w:rsidRPr="006B7AA3" w:rsidRDefault="00F63A72" w:rsidP="00F63A72">
            <w:pPr>
              <w:keepNext/>
              <w:ind w:right="260"/>
              <w:jc w:val="right"/>
              <w:rPr>
                <w:szCs w:val="22"/>
              </w:rPr>
            </w:pPr>
            <w:r w:rsidRPr="006B7AA3">
              <w:rPr>
                <w:szCs w:val="22"/>
              </w:rPr>
              <w:t>37.117</w:t>
            </w:r>
          </w:p>
        </w:tc>
        <w:tc>
          <w:tcPr>
            <w:tcW w:w="1361" w:type="dxa"/>
            <w:shd w:val="clear" w:color="auto" w:fill="auto"/>
          </w:tcPr>
          <w:p w:rsidR="00BD52B2" w:rsidRPr="006B7AA3" w:rsidRDefault="00F63A72" w:rsidP="00F63A72">
            <w:pPr>
              <w:keepNext/>
              <w:ind w:right="260"/>
              <w:jc w:val="right"/>
              <w:rPr>
                <w:szCs w:val="22"/>
              </w:rPr>
            </w:pPr>
            <w:r w:rsidRPr="006B7AA3">
              <w:rPr>
                <w:szCs w:val="22"/>
              </w:rPr>
              <w:t>38.454</w:t>
            </w:r>
          </w:p>
        </w:tc>
        <w:tc>
          <w:tcPr>
            <w:tcW w:w="1361" w:type="dxa"/>
            <w:shd w:val="clear" w:color="auto" w:fill="auto"/>
          </w:tcPr>
          <w:p w:rsidR="00BD52B2" w:rsidRPr="006B7AA3" w:rsidRDefault="00F63A72" w:rsidP="00F63A72">
            <w:pPr>
              <w:keepNext/>
              <w:ind w:right="260"/>
              <w:jc w:val="right"/>
              <w:rPr>
                <w:szCs w:val="22"/>
              </w:rPr>
            </w:pPr>
            <w:r w:rsidRPr="006B7AA3">
              <w:rPr>
                <w:szCs w:val="22"/>
              </w:rPr>
              <w:t>39.572</w:t>
            </w:r>
          </w:p>
        </w:tc>
      </w:tr>
      <w:tr w:rsidR="00BD52B2" w:rsidRPr="006B7AA3" w:rsidTr="001C4BD4">
        <w:trPr>
          <w:cantSplit/>
        </w:trPr>
        <w:tc>
          <w:tcPr>
            <w:tcW w:w="2518" w:type="dxa"/>
            <w:shd w:val="clear" w:color="auto" w:fill="auto"/>
          </w:tcPr>
          <w:p w:rsidR="00BD52B2" w:rsidRPr="006B7AA3" w:rsidRDefault="00F63A72" w:rsidP="00F63A72">
            <w:pPr>
              <w:keepNext/>
              <w:rPr>
                <w:szCs w:val="22"/>
              </w:rPr>
            </w:pPr>
            <w:r w:rsidRPr="006B7AA3">
              <w:rPr>
                <w:szCs w:val="22"/>
              </w:rPr>
              <w:t>Instrumentos</w:t>
            </w:r>
          </w:p>
        </w:tc>
        <w:tc>
          <w:tcPr>
            <w:tcW w:w="1360" w:type="dxa"/>
            <w:shd w:val="clear" w:color="auto" w:fill="auto"/>
          </w:tcPr>
          <w:p w:rsidR="00BD52B2" w:rsidRPr="006B7AA3" w:rsidRDefault="00F63A72" w:rsidP="00F63A72">
            <w:pPr>
              <w:keepNext/>
              <w:ind w:right="260"/>
              <w:jc w:val="right"/>
              <w:rPr>
                <w:szCs w:val="22"/>
              </w:rPr>
            </w:pPr>
            <w:r w:rsidRPr="006B7AA3">
              <w:rPr>
                <w:szCs w:val="22"/>
              </w:rPr>
              <w:t>23.207</w:t>
            </w:r>
          </w:p>
        </w:tc>
        <w:tc>
          <w:tcPr>
            <w:tcW w:w="1361" w:type="dxa"/>
            <w:shd w:val="clear" w:color="auto" w:fill="auto"/>
          </w:tcPr>
          <w:p w:rsidR="00BD52B2" w:rsidRPr="006B7AA3" w:rsidRDefault="00F63A72" w:rsidP="00F63A72">
            <w:pPr>
              <w:keepNext/>
              <w:ind w:right="260"/>
              <w:jc w:val="right"/>
              <w:rPr>
                <w:szCs w:val="22"/>
              </w:rPr>
            </w:pPr>
            <w:r w:rsidRPr="006B7AA3">
              <w:rPr>
                <w:szCs w:val="22"/>
              </w:rPr>
              <w:t>23.943</w:t>
            </w:r>
          </w:p>
        </w:tc>
        <w:tc>
          <w:tcPr>
            <w:tcW w:w="1361" w:type="dxa"/>
            <w:shd w:val="clear" w:color="auto" w:fill="auto"/>
          </w:tcPr>
          <w:p w:rsidR="00BD52B2" w:rsidRPr="006B7AA3" w:rsidRDefault="00F63A72" w:rsidP="00F63A72">
            <w:pPr>
              <w:keepNext/>
              <w:ind w:right="260"/>
              <w:jc w:val="right"/>
              <w:rPr>
                <w:szCs w:val="22"/>
              </w:rPr>
            </w:pPr>
            <w:r w:rsidRPr="006B7AA3">
              <w:rPr>
                <w:szCs w:val="22"/>
              </w:rPr>
              <w:t>23.963</w:t>
            </w:r>
          </w:p>
        </w:tc>
        <w:tc>
          <w:tcPr>
            <w:tcW w:w="1361" w:type="dxa"/>
            <w:shd w:val="clear" w:color="auto" w:fill="auto"/>
          </w:tcPr>
          <w:p w:rsidR="00BD52B2" w:rsidRPr="006B7AA3" w:rsidRDefault="00F63A72" w:rsidP="00F63A72">
            <w:pPr>
              <w:keepNext/>
              <w:ind w:right="260"/>
              <w:jc w:val="right"/>
              <w:rPr>
                <w:szCs w:val="22"/>
              </w:rPr>
            </w:pPr>
            <w:r w:rsidRPr="006B7AA3">
              <w:rPr>
                <w:szCs w:val="22"/>
              </w:rPr>
              <w:t>25.405</w:t>
            </w:r>
          </w:p>
        </w:tc>
        <w:tc>
          <w:tcPr>
            <w:tcW w:w="1361" w:type="dxa"/>
            <w:shd w:val="clear" w:color="auto" w:fill="auto"/>
          </w:tcPr>
          <w:p w:rsidR="00BD52B2" w:rsidRPr="006B7AA3" w:rsidRDefault="00F63A72" w:rsidP="00F63A72">
            <w:pPr>
              <w:keepNext/>
              <w:ind w:right="260"/>
              <w:jc w:val="right"/>
              <w:rPr>
                <w:szCs w:val="22"/>
              </w:rPr>
            </w:pPr>
            <w:r w:rsidRPr="006B7AA3">
              <w:rPr>
                <w:szCs w:val="22"/>
              </w:rPr>
              <w:t>27.464</w:t>
            </w:r>
          </w:p>
        </w:tc>
      </w:tr>
      <w:tr w:rsidR="00BD52B2" w:rsidRPr="006B7AA3" w:rsidTr="001C4BD4">
        <w:trPr>
          <w:cantSplit/>
        </w:trPr>
        <w:tc>
          <w:tcPr>
            <w:tcW w:w="2518" w:type="dxa"/>
            <w:shd w:val="clear" w:color="auto" w:fill="auto"/>
          </w:tcPr>
          <w:p w:rsidR="00BD52B2" w:rsidRPr="006B7AA3" w:rsidRDefault="00F63A72" w:rsidP="00F63A72">
            <w:pPr>
              <w:keepNext/>
              <w:rPr>
                <w:i/>
                <w:iCs/>
                <w:szCs w:val="22"/>
              </w:rPr>
            </w:pPr>
            <w:r w:rsidRPr="006B7AA3">
              <w:rPr>
                <w:i/>
                <w:iCs/>
                <w:szCs w:val="22"/>
              </w:rPr>
              <w:t>Otros campos (se incluyen las solicitudes que aún no han sido clasificadas)</w:t>
            </w:r>
          </w:p>
        </w:tc>
        <w:tc>
          <w:tcPr>
            <w:tcW w:w="1360" w:type="dxa"/>
            <w:shd w:val="clear" w:color="auto" w:fill="auto"/>
          </w:tcPr>
          <w:p w:rsidR="00BD52B2" w:rsidRPr="006B7AA3" w:rsidRDefault="00F63A72" w:rsidP="00F63A72">
            <w:pPr>
              <w:keepNext/>
              <w:ind w:right="260"/>
              <w:jc w:val="right"/>
              <w:rPr>
                <w:szCs w:val="22"/>
              </w:rPr>
            </w:pPr>
            <w:r w:rsidRPr="006B7AA3">
              <w:rPr>
                <w:szCs w:val="22"/>
              </w:rPr>
              <w:t>14.722</w:t>
            </w:r>
          </w:p>
        </w:tc>
        <w:tc>
          <w:tcPr>
            <w:tcW w:w="1361" w:type="dxa"/>
            <w:shd w:val="clear" w:color="auto" w:fill="auto"/>
          </w:tcPr>
          <w:p w:rsidR="00BD52B2" w:rsidRPr="006B7AA3" w:rsidRDefault="00BD52B2" w:rsidP="00BD52B2">
            <w:pPr>
              <w:keepNext/>
              <w:ind w:right="260"/>
              <w:jc w:val="right"/>
              <w:rPr>
                <w:szCs w:val="22"/>
              </w:rPr>
            </w:pPr>
            <w:r w:rsidRPr="006B7AA3">
              <w:rPr>
                <w:szCs w:val="22"/>
              </w:rPr>
              <w:t>10</w:t>
            </w:r>
            <w:r w:rsidR="00AF467B">
              <w:rPr>
                <w:szCs w:val="22"/>
              </w:rPr>
              <w:t>.</w:t>
            </w:r>
            <w:r w:rsidRPr="006B7AA3">
              <w:rPr>
                <w:szCs w:val="22"/>
              </w:rPr>
              <w:t>403</w:t>
            </w:r>
          </w:p>
        </w:tc>
        <w:tc>
          <w:tcPr>
            <w:tcW w:w="1361" w:type="dxa"/>
            <w:shd w:val="clear" w:color="auto" w:fill="auto"/>
          </w:tcPr>
          <w:p w:rsidR="00BD52B2" w:rsidRPr="006B7AA3" w:rsidRDefault="00BD52B2" w:rsidP="00BD52B2">
            <w:pPr>
              <w:keepNext/>
              <w:ind w:right="260"/>
              <w:jc w:val="right"/>
              <w:rPr>
                <w:szCs w:val="22"/>
              </w:rPr>
            </w:pPr>
            <w:r w:rsidRPr="006B7AA3">
              <w:rPr>
                <w:szCs w:val="22"/>
              </w:rPr>
              <w:t>12</w:t>
            </w:r>
            <w:r w:rsidR="00AF467B">
              <w:rPr>
                <w:szCs w:val="22"/>
              </w:rPr>
              <w:t>.</w:t>
            </w:r>
            <w:r w:rsidRPr="006B7AA3">
              <w:rPr>
                <w:szCs w:val="22"/>
              </w:rPr>
              <w:t>014</w:t>
            </w:r>
          </w:p>
        </w:tc>
        <w:tc>
          <w:tcPr>
            <w:tcW w:w="1361" w:type="dxa"/>
            <w:shd w:val="clear" w:color="auto" w:fill="auto"/>
          </w:tcPr>
          <w:p w:rsidR="00BD52B2" w:rsidRPr="006B7AA3" w:rsidRDefault="00BD52B2" w:rsidP="00BD52B2">
            <w:pPr>
              <w:keepNext/>
              <w:ind w:right="260"/>
              <w:jc w:val="right"/>
              <w:rPr>
                <w:szCs w:val="22"/>
              </w:rPr>
            </w:pPr>
            <w:r w:rsidRPr="006B7AA3">
              <w:rPr>
                <w:szCs w:val="22"/>
              </w:rPr>
              <w:t>10</w:t>
            </w:r>
            <w:r w:rsidR="00AF467B">
              <w:rPr>
                <w:szCs w:val="22"/>
              </w:rPr>
              <w:t>.</w:t>
            </w:r>
            <w:r w:rsidRPr="006B7AA3">
              <w:rPr>
                <w:szCs w:val="22"/>
              </w:rPr>
              <w:t>974</w:t>
            </w:r>
          </w:p>
        </w:tc>
        <w:tc>
          <w:tcPr>
            <w:tcW w:w="1361" w:type="dxa"/>
            <w:shd w:val="clear" w:color="auto" w:fill="auto"/>
          </w:tcPr>
          <w:p w:rsidR="00BD52B2" w:rsidRPr="006B7AA3" w:rsidRDefault="00BD52B2" w:rsidP="00BD52B2">
            <w:pPr>
              <w:keepNext/>
              <w:ind w:right="260"/>
              <w:jc w:val="right"/>
              <w:rPr>
                <w:szCs w:val="22"/>
              </w:rPr>
            </w:pPr>
            <w:r w:rsidRPr="006B7AA3">
              <w:rPr>
                <w:szCs w:val="22"/>
              </w:rPr>
              <w:t>11</w:t>
            </w:r>
            <w:r w:rsidR="00AF467B">
              <w:rPr>
                <w:szCs w:val="22"/>
              </w:rPr>
              <w:t>.</w:t>
            </w:r>
            <w:r w:rsidRPr="006B7AA3">
              <w:rPr>
                <w:szCs w:val="22"/>
              </w:rPr>
              <w:t>536</w:t>
            </w:r>
          </w:p>
        </w:tc>
      </w:tr>
      <w:tr w:rsidR="00BD52B2" w:rsidRPr="006B7AA3" w:rsidTr="001C4BD4">
        <w:trPr>
          <w:cantSplit/>
        </w:trPr>
        <w:tc>
          <w:tcPr>
            <w:tcW w:w="2518" w:type="dxa"/>
            <w:shd w:val="clear" w:color="auto" w:fill="auto"/>
          </w:tcPr>
          <w:p w:rsidR="00BD52B2" w:rsidRPr="006B7AA3" w:rsidRDefault="00BD52B2" w:rsidP="00BD52B2">
            <w:pPr>
              <w:rPr>
                <w:i/>
                <w:iCs/>
                <w:szCs w:val="22"/>
              </w:rPr>
            </w:pPr>
            <w:r w:rsidRPr="006B7AA3">
              <w:rPr>
                <w:i/>
                <w:iCs/>
                <w:szCs w:val="22"/>
              </w:rPr>
              <w:t>Total</w:t>
            </w:r>
          </w:p>
        </w:tc>
        <w:tc>
          <w:tcPr>
            <w:tcW w:w="1360" w:type="dxa"/>
            <w:shd w:val="clear" w:color="auto" w:fill="auto"/>
          </w:tcPr>
          <w:p w:rsidR="00BD52B2" w:rsidRPr="006B7AA3" w:rsidRDefault="00BD52B2" w:rsidP="00BD52B2">
            <w:pPr>
              <w:ind w:right="260"/>
              <w:jc w:val="right"/>
              <w:rPr>
                <w:szCs w:val="22"/>
              </w:rPr>
            </w:pPr>
            <w:r w:rsidRPr="006B7AA3">
              <w:rPr>
                <w:szCs w:val="22"/>
              </w:rPr>
              <w:t>142</w:t>
            </w:r>
            <w:r w:rsidR="004F1BFB" w:rsidRPr="006B7AA3">
              <w:rPr>
                <w:szCs w:val="22"/>
              </w:rPr>
              <w:t>.</w:t>
            </w:r>
            <w:r w:rsidRPr="006B7AA3">
              <w:rPr>
                <w:szCs w:val="22"/>
              </w:rPr>
              <w:t>842</w:t>
            </w:r>
          </w:p>
        </w:tc>
        <w:tc>
          <w:tcPr>
            <w:tcW w:w="1361" w:type="dxa"/>
            <w:shd w:val="clear" w:color="auto" w:fill="auto"/>
          </w:tcPr>
          <w:p w:rsidR="00BD52B2" w:rsidRPr="006B7AA3" w:rsidRDefault="00BD52B2" w:rsidP="00BD52B2">
            <w:pPr>
              <w:ind w:right="260"/>
              <w:jc w:val="right"/>
              <w:rPr>
                <w:szCs w:val="22"/>
              </w:rPr>
            </w:pPr>
            <w:r w:rsidRPr="006B7AA3">
              <w:rPr>
                <w:szCs w:val="22"/>
              </w:rPr>
              <w:t>148</w:t>
            </w:r>
            <w:r w:rsidR="004F1BFB" w:rsidRPr="006B7AA3">
              <w:rPr>
                <w:szCs w:val="22"/>
              </w:rPr>
              <w:t>.</w:t>
            </w:r>
            <w:r w:rsidRPr="006B7AA3">
              <w:rPr>
                <w:szCs w:val="22"/>
              </w:rPr>
              <w:t>494</w:t>
            </w:r>
          </w:p>
        </w:tc>
        <w:tc>
          <w:tcPr>
            <w:tcW w:w="1361" w:type="dxa"/>
            <w:shd w:val="clear" w:color="auto" w:fill="auto"/>
          </w:tcPr>
          <w:p w:rsidR="00BD52B2" w:rsidRPr="006B7AA3" w:rsidRDefault="00BD52B2" w:rsidP="00BD52B2">
            <w:pPr>
              <w:ind w:right="260"/>
              <w:jc w:val="right"/>
              <w:rPr>
                <w:szCs w:val="22"/>
              </w:rPr>
            </w:pPr>
            <w:r w:rsidRPr="006B7AA3">
              <w:rPr>
                <w:szCs w:val="22"/>
              </w:rPr>
              <w:t>147</w:t>
            </w:r>
            <w:r w:rsidR="004F1BFB" w:rsidRPr="006B7AA3">
              <w:rPr>
                <w:szCs w:val="22"/>
              </w:rPr>
              <w:t>.</w:t>
            </w:r>
            <w:r w:rsidRPr="006B7AA3">
              <w:rPr>
                <w:szCs w:val="22"/>
              </w:rPr>
              <w:t>869</w:t>
            </w:r>
          </w:p>
        </w:tc>
        <w:tc>
          <w:tcPr>
            <w:tcW w:w="1361" w:type="dxa"/>
            <w:shd w:val="clear" w:color="auto" w:fill="auto"/>
          </w:tcPr>
          <w:p w:rsidR="00BD52B2" w:rsidRPr="006B7AA3" w:rsidRDefault="00BD52B2" w:rsidP="00BD52B2">
            <w:pPr>
              <w:ind w:right="260"/>
              <w:jc w:val="right"/>
              <w:rPr>
                <w:szCs w:val="22"/>
              </w:rPr>
            </w:pPr>
            <w:r w:rsidRPr="006B7AA3">
              <w:rPr>
                <w:szCs w:val="22"/>
              </w:rPr>
              <w:t>152</w:t>
            </w:r>
            <w:r w:rsidR="004F1BFB" w:rsidRPr="006B7AA3">
              <w:rPr>
                <w:szCs w:val="22"/>
              </w:rPr>
              <w:t>.</w:t>
            </w:r>
            <w:r w:rsidRPr="006B7AA3">
              <w:rPr>
                <w:szCs w:val="22"/>
              </w:rPr>
              <w:t>703</w:t>
            </w:r>
          </w:p>
        </w:tc>
        <w:tc>
          <w:tcPr>
            <w:tcW w:w="1361" w:type="dxa"/>
            <w:shd w:val="clear" w:color="auto" w:fill="auto"/>
          </w:tcPr>
          <w:p w:rsidR="00BD52B2" w:rsidRPr="006B7AA3" w:rsidRDefault="00BD52B2" w:rsidP="00BD52B2">
            <w:pPr>
              <w:ind w:right="260"/>
              <w:jc w:val="right"/>
              <w:rPr>
                <w:szCs w:val="22"/>
              </w:rPr>
            </w:pPr>
            <w:r w:rsidRPr="006B7AA3">
              <w:rPr>
                <w:szCs w:val="22"/>
              </w:rPr>
              <w:t>160</w:t>
            </w:r>
            <w:r w:rsidR="004F1BFB" w:rsidRPr="006B7AA3">
              <w:rPr>
                <w:szCs w:val="22"/>
              </w:rPr>
              <w:t>.</w:t>
            </w:r>
            <w:r w:rsidRPr="006B7AA3">
              <w:rPr>
                <w:szCs w:val="22"/>
              </w:rPr>
              <w:t>022</w:t>
            </w:r>
          </w:p>
        </w:tc>
      </w:tr>
    </w:tbl>
    <w:p w:rsidR="004F1BFB" w:rsidRPr="006B7AA3" w:rsidRDefault="004F1BFB" w:rsidP="00BD52B2">
      <w:pPr>
        <w:rPr>
          <w:i/>
          <w:iCs/>
          <w:szCs w:val="22"/>
        </w:rPr>
      </w:pPr>
    </w:p>
    <w:p w:rsidR="00BD52B2" w:rsidRPr="006B7AA3" w:rsidRDefault="004F1BFB" w:rsidP="004F1BFB">
      <w:pPr>
        <w:keepNext/>
        <w:rPr>
          <w:b/>
          <w:bCs/>
          <w:szCs w:val="22"/>
        </w:rPr>
      </w:pPr>
      <w:r w:rsidRPr="006B7AA3">
        <w:rPr>
          <w:b/>
          <w:bCs/>
          <w:szCs w:val="22"/>
        </w:rPr>
        <w:t>Número de solicitudes de patente nacional recibidas – según la vía utilizada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BD52B2" w:rsidRPr="006B7AA3" w:rsidTr="001C4BD4">
        <w:trPr>
          <w:cantSplit/>
        </w:trPr>
        <w:tc>
          <w:tcPr>
            <w:tcW w:w="2518" w:type="dxa"/>
            <w:tcBorders>
              <w:tl2br w:val="single" w:sz="4" w:space="0" w:color="auto"/>
            </w:tcBorders>
            <w:shd w:val="clear" w:color="auto" w:fill="auto"/>
          </w:tcPr>
          <w:p w:rsidR="004F1BFB" w:rsidRPr="006B7AA3" w:rsidRDefault="004F1BFB" w:rsidP="00BD52B2">
            <w:pPr>
              <w:keepNext/>
              <w:jc w:val="right"/>
              <w:rPr>
                <w:b/>
                <w:bCs/>
                <w:szCs w:val="22"/>
              </w:rPr>
            </w:pPr>
          </w:p>
          <w:p w:rsidR="004F1BFB" w:rsidRPr="006B7AA3" w:rsidRDefault="004F1BFB" w:rsidP="004F1BFB">
            <w:pPr>
              <w:keepNext/>
              <w:jc w:val="right"/>
              <w:rPr>
                <w:b/>
                <w:bCs/>
                <w:szCs w:val="22"/>
              </w:rPr>
            </w:pPr>
            <w:r w:rsidRPr="006B7AA3">
              <w:rPr>
                <w:b/>
                <w:bCs/>
                <w:szCs w:val="22"/>
              </w:rPr>
              <w:t>Año</w:t>
            </w:r>
          </w:p>
          <w:p w:rsidR="00BD52B2" w:rsidRPr="006B7AA3" w:rsidRDefault="004F1BFB" w:rsidP="004F1BFB">
            <w:pPr>
              <w:keepNext/>
              <w:rPr>
                <w:b/>
                <w:bCs/>
                <w:szCs w:val="22"/>
              </w:rPr>
            </w:pPr>
            <w:r w:rsidRPr="006B7AA3">
              <w:rPr>
                <w:b/>
                <w:bCs/>
                <w:szCs w:val="22"/>
              </w:rPr>
              <w:t>Vía</w:t>
            </w:r>
          </w:p>
        </w:tc>
        <w:tc>
          <w:tcPr>
            <w:tcW w:w="1360" w:type="dxa"/>
            <w:shd w:val="clear" w:color="auto" w:fill="auto"/>
            <w:vAlign w:val="center"/>
          </w:tcPr>
          <w:p w:rsidR="00BD52B2" w:rsidRPr="006B7AA3" w:rsidRDefault="004F1BFB" w:rsidP="004F1BFB">
            <w:pPr>
              <w:keepNext/>
              <w:jc w:val="center"/>
              <w:rPr>
                <w:szCs w:val="22"/>
              </w:rPr>
            </w:pPr>
            <w:r w:rsidRPr="006B7AA3">
              <w:rPr>
                <w:szCs w:val="22"/>
              </w:rPr>
              <w:t>2011</w:t>
            </w:r>
          </w:p>
        </w:tc>
        <w:tc>
          <w:tcPr>
            <w:tcW w:w="1361" w:type="dxa"/>
            <w:shd w:val="clear" w:color="auto" w:fill="auto"/>
            <w:vAlign w:val="center"/>
          </w:tcPr>
          <w:p w:rsidR="00BD52B2" w:rsidRPr="006B7AA3" w:rsidRDefault="004F1BFB" w:rsidP="004F1BFB">
            <w:pPr>
              <w:keepNext/>
              <w:jc w:val="center"/>
              <w:rPr>
                <w:szCs w:val="22"/>
              </w:rPr>
            </w:pPr>
            <w:r w:rsidRPr="006B7AA3">
              <w:rPr>
                <w:szCs w:val="22"/>
              </w:rPr>
              <w:t>2012</w:t>
            </w:r>
          </w:p>
        </w:tc>
        <w:tc>
          <w:tcPr>
            <w:tcW w:w="1361" w:type="dxa"/>
            <w:shd w:val="clear" w:color="auto" w:fill="auto"/>
            <w:vAlign w:val="center"/>
          </w:tcPr>
          <w:p w:rsidR="00BD52B2" w:rsidRPr="006B7AA3" w:rsidRDefault="004F1BFB" w:rsidP="004F1BFB">
            <w:pPr>
              <w:keepNext/>
              <w:jc w:val="center"/>
              <w:rPr>
                <w:szCs w:val="22"/>
              </w:rPr>
            </w:pPr>
            <w:r w:rsidRPr="006B7AA3">
              <w:rPr>
                <w:szCs w:val="22"/>
              </w:rPr>
              <w:t>2013</w:t>
            </w:r>
          </w:p>
        </w:tc>
        <w:tc>
          <w:tcPr>
            <w:tcW w:w="1361" w:type="dxa"/>
            <w:shd w:val="clear" w:color="auto" w:fill="auto"/>
            <w:vAlign w:val="center"/>
          </w:tcPr>
          <w:p w:rsidR="00BD52B2" w:rsidRPr="006B7AA3" w:rsidRDefault="004F1BFB" w:rsidP="004F1BFB">
            <w:pPr>
              <w:keepNext/>
              <w:jc w:val="center"/>
              <w:rPr>
                <w:szCs w:val="22"/>
              </w:rPr>
            </w:pPr>
            <w:r w:rsidRPr="006B7AA3">
              <w:rPr>
                <w:szCs w:val="22"/>
              </w:rPr>
              <w:t>2014</w:t>
            </w:r>
          </w:p>
        </w:tc>
        <w:tc>
          <w:tcPr>
            <w:tcW w:w="1361" w:type="dxa"/>
            <w:shd w:val="clear" w:color="auto" w:fill="auto"/>
            <w:vAlign w:val="center"/>
          </w:tcPr>
          <w:p w:rsidR="00BD52B2" w:rsidRPr="006B7AA3" w:rsidRDefault="004F1BFB" w:rsidP="004F1BFB">
            <w:pPr>
              <w:keepNext/>
              <w:jc w:val="center"/>
              <w:rPr>
                <w:szCs w:val="22"/>
              </w:rPr>
            </w:pPr>
            <w:r w:rsidRPr="006B7AA3">
              <w:rPr>
                <w:szCs w:val="22"/>
              </w:rPr>
              <w:t>2015</w:t>
            </w:r>
          </w:p>
        </w:tc>
      </w:tr>
      <w:tr w:rsidR="00BD52B2" w:rsidRPr="006B7AA3" w:rsidTr="001C4BD4">
        <w:trPr>
          <w:cantSplit/>
        </w:trPr>
        <w:tc>
          <w:tcPr>
            <w:tcW w:w="2518" w:type="dxa"/>
            <w:shd w:val="clear" w:color="auto" w:fill="auto"/>
          </w:tcPr>
          <w:p w:rsidR="00BD52B2" w:rsidRPr="006B7AA3" w:rsidRDefault="004F1BFB" w:rsidP="004F1BFB">
            <w:pPr>
              <w:keepNext/>
              <w:rPr>
                <w:szCs w:val="22"/>
              </w:rPr>
            </w:pPr>
            <w:r w:rsidRPr="006B7AA3">
              <w:rPr>
                <w:szCs w:val="22"/>
              </w:rPr>
              <w:t>Primera presentación</w:t>
            </w:r>
          </w:p>
        </w:tc>
        <w:tc>
          <w:tcPr>
            <w:tcW w:w="1360" w:type="dxa"/>
            <w:shd w:val="clear" w:color="auto" w:fill="auto"/>
          </w:tcPr>
          <w:p w:rsidR="00BD52B2" w:rsidRPr="006B7AA3" w:rsidRDefault="00BD52B2" w:rsidP="00BD52B2">
            <w:pPr>
              <w:keepNext/>
              <w:ind w:right="260"/>
              <w:jc w:val="right"/>
              <w:rPr>
                <w:szCs w:val="22"/>
              </w:rPr>
            </w:pPr>
            <w:r w:rsidRPr="006B7AA3">
              <w:rPr>
                <w:szCs w:val="22"/>
              </w:rPr>
              <w:t>20</w:t>
            </w:r>
            <w:r w:rsidR="004F1BFB" w:rsidRPr="006B7AA3">
              <w:rPr>
                <w:szCs w:val="22"/>
              </w:rPr>
              <w:t>.</w:t>
            </w:r>
            <w:r w:rsidRPr="006B7AA3">
              <w:rPr>
                <w:szCs w:val="22"/>
              </w:rPr>
              <w:t>879</w:t>
            </w:r>
          </w:p>
        </w:tc>
        <w:tc>
          <w:tcPr>
            <w:tcW w:w="1361" w:type="dxa"/>
            <w:shd w:val="clear" w:color="auto" w:fill="auto"/>
          </w:tcPr>
          <w:p w:rsidR="00BD52B2" w:rsidRPr="006B7AA3" w:rsidRDefault="00BD52B2" w:rsidP="00BD52B2">
            <w:pPr>
              <w:keepNext/>
              <w:ind w:right="260"/>
              <w:jc w:val="right"/>
              <w:rPr>
                <w:szCs w:val="22"/>
              </w:rPr>
            </w:pPr>
            <w:r w:rsidRPr="006B7AA3">
              <w:rPr>
                <w:szCs w:val="22"/>
              </w:rPr>
              <w:t>21</w:t>
            </w:r>
            <w:r w:rsidR="004F1BFB" w:rsidRPr="006B7AA3">
              <w:rPr>
                <w:szCs w:val="22"/>
              </w:rPr>
              <w:t>.</w:t>
            </w:r>
            <w:r w:rsidRPr="006B7AA3">
              <w:rPr>
                <w:szCs w:val="22"/>
              </w:rPr>
              <w:t>345</w:t>
            </w:r>
          </w:p>
        </w:tc>
        <w:tc>
          <w:tcPr>
            <w:tcW w:w="1361" w:type="dxa"/>
            <w:shd w:val="clear" w:color="auto" w:fill="auto"/>
          </w:tcPr>
          <w:p w:rsidR="00BD52B2" w:rsidRPr="006B7AA3" w:rsidRDefault="00BD52B2" w:rsidP="00BD52B2">
            <w:pPr>
              <w:keepNext/>
              <w:ind w:right="260"/>
              <w:jc w:val="right"/>
              <w:rPr>
                <w:szCs w:val="22"/>
              </w:rPr>
            </w:pPr>
            <w:r w:rsidRPr="006B7AA3">
              <w:rPr>
                <w:szCs w:val="22"/>
              </w:rPr>
              <w:t>22</w:t>
            </w:r>
            <w:r w:rsidR="004F1BFB" w:rsidRPr="006B7AA3">
              <w:rPr>
                <w:szCs w:val="22"/>
              </w:rPr>
              <w:t>.</w:t>
            </w:r>
            <w:r w:rsidRPr="006B7AA3">
              <w:rPr>
                <w:szCs w:val="22"/>
              </w:rPr>
              <w:t>373</w:t>
            </w:r>
          </w:p>
        </w:tc>
        <w:tc>
          <w:tcPr>
            <w:tcW w:w="1361" w:type="dxa"/>
            <w:shd w:val="clear" w:color="auto" w:fill="auto"/>
          </w:tcPr>
          <w:p w:rsidR="00BD52B2" w:rsidRPr="006B7AA3" w:rsidRDefault="00BD52B2" w:rsidP="00BD52B2">
            <w:pPr>
              <w:keepNext/>
              <w:ind w:right="260"/>
              <w:jc w:val="right"/>
              <w:rPr>
                <w:szCs w:val="22"/>
              </w:rPr>
            </w:pPr>
            <w:r w:rsidRPr="006B7AA3">
              <w:rPr>
                <w:szCs w:val="22"/>
              </w:rPr>
              <w:t>23</w:t>
            </w:r>
            <w:r w:rsidR="004F1BFB" w:rsidRPr="006B7AA3">
              <w:rPr>
                <w:szCs w:val="22"/>
              </w:rPr>
              <w:t>.</w:t>
            </w:r>
            <w:r w:rsidRPr="006B7AA3">
              <w:rPr>
                <w:szCs w:val="22"/>
              </w:rPr>
              <w:t>437</w:t>
            </w:r>
          </w:p>
        </w:tc>
        <w:tc>
          <w:tcPr>
            <w:tcW w:w="1361" w:type="dxa"/>
            <w:shd w:val="clear" w:color="auto" w:fill="auto"/>
          </w:tcPr>
          <w:p w:rsidR="00BD52B2" w:rsidRPr="006B7AA3" w:rsidRDefault="00BD52B2" w:rsidP="00BD52B2">
            <w:pPr>
              <w:keepNext/>
              <w:ind w:right="260"/>
              <w:jc w:val="right"/>
              <w:rPr>
                <w:szCs w:val="22"/>
              </w:rPr>
            </w:pPr>
            <w:r w:rsidRPr="006B7AA3">
              <w:rPr>
                <w:szCs w:val="22"/>
              </w:rPr>
              <w:t>23</w:t>
            </w:r>
            <w:r w:rsidR="004F1BFB" w:rsidRPr="006B7AA3">
              <w:rPr>
                <w:szCs w:val="22"/>
              </w:rPr>
              <w:t>.</w:t>
            </w:r>
            <w:r w:rsidRPr="006B7AA3">
              <w:rPr>
                <w:szCs w:val="22"/>
              </w:rPr>
              <w:t>390</w:t>
            </w:r>
          </w:p>
        </w:tc>
      </w:tr>
      <w:tr w:rsidR="00BD52B2" w:rsidRPr="006B7AA3" w:rsidTr="001C4BD4">
        <w:trPr>
          <w:cantSplit/>
        </w:trPr>
        <w:tc>
          <w:tcPr>
            <w:tcW w:w="2518" w:type="dxa"/>
            <w:shd w:val="clear" w:color="auto" w:fill="auto"/>
          </w:tcPr>
          <w:p w:rsidR="00BD52B2" w:rsidRPr="006B7AA3" w:rsidRDefault="004F1BFB" w:rsidP="004F1BFB">
            <w:pPr>
              <w:keepNext/>
              <w:rPr>
                <w:szCs w:val="22"/>
              </w:rPr>
            </w:pPr>
            <w:r w:rsidRPr="006B7AA3">
              <w:rPr>
                <w:szCs w:val="22"/>
              </w:rPr>
              <w:t>Prioridad por la vía de París</w:t>
            </w:r>
          </w:p>
        </w:tc>
        <w:tc>
          <w:tcPr>
            <w:tcW w:w="1360" w:type="dxa"/>
            <w:shd w:val="clear" w:color="auto" w:fill="auto"/>
          </w:tcPr>
          <w:p w:rsidR="00BD52B2" w:rsidRPr="006B7AA3" w:rsidRDefault="00BD52B2" w:rsidP="00BD52B2">
            <w:pPr>
              <w:keepNext/>
              <w:ind w:right="260"/>
              <w:jc w:val="right"/>
              <w:rPr>
                <w:szCs w:val="22"/>
              </w:rPr>
            </w:pPr>
            <w:r w:rsidRPr="006B7AA3">
              <w:rPr>
                <w:szCs w:val="22"/>
              </w:rPr>
              <w:t>41</w:t>
            </w:r>
            <w:r w:rsidR="004F1BFB" w:rsidRPr="006B7AA3">
              <w:rPr>
                <w:szCs w:val="22"/>
              </w:rPr>
              <w:t>.</w:t>
            </w:r>
            <w:r w:rsidRPr="006B7AA3">
              <w:rPr>
                <w:szCs w:val="22"/>
              </w:rPr>
              <w:t>679</w:t>
            </w:r>
          </w:p>
        </w:tc>
        <w:tc>
          <w:tcPr>
            <w:tcW w:w="1361" w:type="dxa"/>
            <w:shd w:val="clear" w:color="auto" w:fill="auto"/>
          </w:tcPr>
          <w:p w:rsidR="00BD52B2" w:rsidRPr="006B7AA3" w:rsidRDefault="00BD52B2" w:rsidP="00BD52B2">
            <w:pPr>
              <w:keepNext/>
              <w:ind w:right="260"/>
              <w:jc w:val="right"/>
              <w:rPr>
                <w:szCs w:val="22"/>
              </w:rPr>
            </w:pPr>
            <w:r w:rsidRPr="006B7AA3">
              <w:rPr>
                <w:szCs w:val="22"/>
              </w:rPr>
              <w:t>41</w:t>
            </w:r>
            <w:r w:rsidR="004F1BFB" w:rsidRPr="006B7AA3">
              <w:rPr>
                <w:szCs w:val="22"/>
              </w:rPr>
              <w:t>.</w:t>
            </w:r>
            <w:r w:rsidRPr="006B7AA3">
              <w:rPr>
                <w:szCs w:val="22"/>
              </w:rPr>
              <w:t>821</w:t>
            </w:r>
          </w:p>
        </w:tc>
        <w:tc>
          <w:tcPr>
            <w:tcW w:w="1361" w:type="dxa"/>
            <w:shd w:val="clear" w:color="auto" w:fill="auto"/>
          </w:tcPr>
          <w:p w:rsidR="00BD52B2" w:rsidRPr="006B7AA3" w:rsidRDefault="00BD52B2" w:rsidP="00BD52B2">
            <w:pPr>
              <w:keepNext/>
              <w:ind w:right="260"/>
              <w:jc w:val="right"/>
              <w:rPr>
                <w:szCs w:val="22"/>
              </w:rPr>
            </w:pPr>
            <w:r w:rsidRPr="006B7AA3">
              <w:rPr>
                <w:szCs w:val="22"/>
              </w:rPr>
              <w:t>38</w:t>
            </w:r>
            <w:r w:rsidR="004F1BFB" w:rsidRPr="006B7AA3">
              <w:rPr>
                <w:szCs w:val="22"/>
              </w:rPr>
              <w:t>.</w:t>
            </w:r>
            <w:r w:rsidRPr="006B7AA3">
              <w:rPr>
                <w:szCs w:val="22"/>
              </w:rPr>
              <w:t>283</w:t>
            </w:r>
          </w:p>
        </w:tc>
        <w:tc>
          <w:tcPr>
            <w:tcW w:w="1361" w:type="dxa"/>
            <w:shd w:val="clear" w:color="auto" w:fill="auto"/>
          </w:tcPr>
          <w:p w:rsidR="00BD52B2" w:rsidRPr="006B7AA3" w:rsidRDefault="00BD52B2" w:rsidP="00BD52B2">
            <w:pPr>
              <w:keepNext/>
              <w:ind w:right="260"/>
              <w:jc w:val="right"/>
              <w:rPr>
                <w:szCs w:val="22"/>
              </w:rPr>
            </w:pPr>
            <w:r w:rsidRPr="006B7AA3">
              <w:rPr>
                <w:szCs w:val="22"/>
              </w:rPr>
              <w:t>36</w:t>
            </w:r>
            <w:r w:rsidR="004F1BFB" w:rsidRPr="006B7AA3">
              <w:rPr>
                <w:szCs w:val="22"/>
              </w:rPr>
              <w:t>.</w:t>
            </w:r>
            <w:r w:rsidRPr="006B7AA3">
              <w:rPr>
                <w:szCs w:val="22"/>
              </w:rPr>
              <w:t>609</w:t>
            </w:r>
          </w:p>
        </w:tc>
        <w:tc>
          <w:tcPr>
            <w:tcW w:w="1361" w:type="dxa"/>
            <w:shd w:val="clear" w:color="auto" w:fill="auto"/>
          </w:tcPr>
          <w:p w:rsidR="00BD52B2" w:rsidRPr="006B7AA3" w:rsidRDefault="00BD52B2" w:rsidP="00BD52B2">
            <w:pPr>
              <w:keepNext/>
              <w:ind w:right="260"/>
              <w:jc w:val="right"/>
              <w:rPr>
                <w:szCs w:val="22"/>
              </w:rPr>
            </w:pPr>
            <w:r w:rsidRPr="006B7AA3">
              <w:rPr>
                <w:szCs w:val="22"/>
              </w:rPr>
              <w:t>38</w:t>
            </w:r>
            <w:r w:rsidR="004F1BFB" w:rsidRPr="006B7AA3">
              <w:rPr>
                <w:szCs w:val="22"/>
              </w:rPr>
              <w:t>.</w:t>
            </w:r>
            <w:r w:rsidRPr="006B7AA3">
              <w:rPr>
                <w:szCs w:val="22"/>
              </w:rPr>
              <w:t>335</w:t>
            </w:r>
          </w:p>
        </w:tc>
      </w:tr>
      <w:tr w:rsidR="00BD52B2" w:rsidRPr="006B7AA3" w:rsidTr="001C4BD4">
        <w:trPr>
          <w:cantSplit/>
        </w:trPr>
        <w:tc>
          <w:tcPr>
            <w:tcW w:w="2518" w:type="dxa"/>
            <w:shd w:val="clear" w:color="auto" w:fill="auto"/>
          </w:tcPr>
          <w:p w:rsidR="00BD52B2" w:rsidRPr="006B7AA3" w:rsidRDefault="004F1BFB" w:rsidP="004F1BFB">
            <w:pPr>
              <w:rPr>
                <w:szCs w:val="22"/>
              </w:rPr>
            </w:pPr>
            <w:r w:rsidRPr="006B7AA3">
              <w:rPr>
                <w:szCs w:val="22"/>
              </w:rPr>
              <w:t>Entrada en la fase regional del PCT</w:t>
            </w:r>
          </w:p>
        </w:tc>
        <w:tc>
          <w:tcPr>
            <w:tcW w:w="1360" w:type="dxa"/>
            <w:shd w:val="clear" w:color="auto" w:fill="auto"/>
          </w:tcPr>
          <w:p w:rsidR="00BD52B2" w:rsidRPr="006B7AA3" w:rsidRDefault="00BD52B2" w:rsidP="00BD52B2">
            <w:pPr>
              <w:ind w:right="260"/>
              <w:jc w:val="right"/>
              <w:rPr>
                <w:szCs w:val="22"/>
              </w:rPr>
            </w:pPr>
            <w:r w:rsidRPr="006B7AA3">
              <w:rPr>
                <w:szCs w:val="22"/>
              </w:rPr>
              <w:t>80</w:t>
            </w:r>
            <w:r w:rsidR="004F1BFB" w:rsidRPr="006B7AA3">
              <w:rPr>
                <w:szCs w:val="22"/>
              </w:rPr>
              <w:t>.</w:t>
            </w:r>
            <w:r w:rsidRPr="006B7AA3">
              <w:rPr>
                <w:szCs w:val="22"/>
              </w:rPr>
              <w:t>264</w:t>
            </w:r>
          </w:p>
        </w:tc>
        <w:tc>
          <w:tcPr>
            <w:tcW w:w="1361" w:type="dxa"/>
            <w:shd w:val="clear" w:color="auto" w:fill="auto"/>
          </w:tcPr>
          <w:p w:rsidR="00BD52B2" w:rsidRPr="006B7AA3" w:rsidRDefault="00BD52B2" w:rsidP="00BD52B2">
            <w:pPr>
              <w:ind w:right="260"/>
              <w:jc w:val="right"/>
              <w:rPr>
                <w:szCs w:val="22"/>
              </w:rPr>
            </w:pPr>
            <w:r w:rsidRPr="006B7AA3">
              <w:rPr>
                <w:szCs w:val="22"/>
              </w:rPr>
              <w:t>85</w:t>
            </w:r>
            <w:r w:rsidR="004F1BFB" w:rsidRPr="006B7AA3">
              <w:rPr>
                <w:szCs w:val="22"/>
              </w:rPr>
              <w:t>.</w:t>
            </w:r>
            <w:r w:rsidRPr="006B7AA3">
              <w:rPr>
                <w:szCs w:val="22"/>
              </w:rPr>
              <w:t>396</w:t>
            </w:r>
          </w:p>
        </w:tc>
        <w:tc>
          <w:tcPr>
            <w:tcW w:w="1361" w:type="dxa"/>
            <w:shd w:val="clear" w:color="auto" w:fill="auto"/>
          </w:tcPr>
          <w:p w:rsidR="00BD52B2" w:rsidRPr="006B7AA3" w:rsidRDefault="00BD52B2" w:rsidP="00BD52B2">
            <w:pPr>
              <w:ind w:right="260"/>
              <w:jc w:val="right"/>
              <w:rPr>
                <w:szCs w:val="22"/>
              </w:rPr>
            </w:pPr>
            <w:r w:rsidRPr="006B7AA3">
              <w:rPr>
                <w:szCs w:val="22"/>
              </w:rPr>
              <w:t>87</w:t>
            </w:r>
            <w:r w:rsidR="004F1BFB" w:rsidRPr="006B7AA3">
              <w:rPr>
                <w:szCs w:val="22"/>
              </w:rPr>
              <w:t>.</w:t>
            </w:r>
            <w:r w:rsidRPr="006B7AA3">
              <w:rPr>
                <w:szCs w:val="22"/>
              </w:rPr>
              <w:t>377</w:t>
            </w:r>
          </w:p>
        </w:tc>
        <w:tc>
          <w:tcPr>
            <w:tcW w:w="1361" w:type="dxa"/>
            <w:shd w:val="clear" w:color="auto" w:fill="auto"/>
          </w:tcPr>
          <w:p w:rsidR="00BD52B2" w:rsidRPr="006B7AA3" w:rsidRDefault="00BD52B2" w:rsidP="00BD52B2">
            <w:pPr>
              <w:ind w:right="260"/>
              <w:jc w:val="right"/>
              <w:rPr>
                <w:szCs w:val="22"/>
              </w:rPr>
            </w:pPr>
            <w:r w:rsidRPr="006B7AA3">
              <w:rPr>
                <w:szCs w:val="22"/>
              </w:rPr>
              <w:t>92</w:t>
            </w:r>
            <w:r w:rsidR="004F1BFB" w:rsidRPr="006B7AA3">
              <w:rPr>
                <w:szCs w:val="22"/>
              </w:rPr>
              <w:t>.</w:t>
            </w:r>
            <w:r w:rsidRPr="006B7AA3">
              <w:rPr>
                <w:szCs w:val="22"/>
              </w:rPr>
              <w:t>657</w:t>
            </w:r>
          </w:p>
        </w:tc>
        <w:tc>
          <w:tcPr>
            <w:tcW w:w="1361" w:type="dxa"/>
            <w:shd w:val="clear" w:color="auto" w:fill="auto"/>
          </w:tcPr>
          <w:p w:rsidR="00BD52B2" w:rsidRPr="006B7AA3" w:rsidRDefault="00BD52B2" w:rsidP="00BD52B2">
            <w:pPr>
              <w:ind w:right="260"/>
              <w:jc w:val="right"/>
              <w:rPr>
                <w:szCs w:val="22"/>
              </w:rPr>
            </w:pPr>
            <w:r w:rsidRPr="006B7AA3">
              <w:rPr>
                <w:szCs w:val="22"/>
              </w:rPr>
              <w:t>98</w:t>
            </w:r>
            <w:r w:rsidR="004F1BFB" w:rsidRPr="006B7AA3">
              <w:rPr>
                <w:szCs w:val="22"/>
              </w:rPr>
              <w:t>.</w:t>
            </w:r>
            <w:r w:rsidRPr="006B7AA3">
              <w:rPr>
                <w:szCs w:val="22"/>
              </w:rPr>
              <w:t>297</w:t>
            </w:r>
          </w:p>
        </w:tc>
      </w:tr>
    </w:tbl>
    <w:p w:rsidR="004F1BFB" w:rsidRPr="006B7AA3" w:rsidRDefault="004F1BFB" w:rsidP="00BD52B2">
      <w:pPr>
        <w:rPr>
          <w:szCs w:val="22"/>
        </w:rPr>
      </w:pPr>
    </w:p>
    <w:p w:rsidR="00BD52B2" w:rsidRPr="006B7AA3" w:rsidRDefault="004F1BFB" w:rsidP="004F1BFB">
      <w:pPr>
        <w:keepNext/>
        <w:rPr>
          <w:b/>
          <w:bCs/>
          <w:szCs w:val="22"/>
        </w:rPr>
      </w:pPr>
      <w:r w:rsidRPr="006B7AA3">
        <w:rPr>
          <w:b/>
          <w:bCs/>
          <w:szCs w:val="22"/>
        </w:rPr>
        <w:t>Número de solicitudes</w:t>
      </w:r>
      <w:r w:rsidR="00AF467B">
        <w:rPr>
          <w:b/>
          <w:bCs/>
          <w:szCs w:val="22"/>
        </w:rPr>
        <w:t xml:space="preserve"> de patente</w:t>
      </w:r>
      <w:r w:rsidRPr="006B7AA3">
        <w:rPr>
          <w:b/>
          <w:bCs/>
          <w:szCs w:val="22"/>
        </w:rPr>
        <w:t xml:space="preserve"> internacional recibidas como Oficina receptora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BD52B2" w:rsidRPr="006B7AA3" w:rsidTr="001C4BD4">
        <w:trPr>
          <w:cantSplit/>
        </w:trPr>
        <w:tc>
          <w:tcPr>
            <w:tcW w:w="2518" w:type="dxa"/>
            <w:tcBorders>
              <w:tl2br w:val="single" w:sz="4" w:space="0" w:color="auto"/>
            </w:tcBorders>
            <w:shd w:val="clear" w:color="auto" w:fill="auto"/>
          </w:tcPr>
          <w:p w:rsidR="004F1BFB" w:rsidRPr="006B7AA3" w:rsidRDefault="004F1BFB" w:rsidP="00BD52B2">
            <w:pPr>
              <w:jc w:val="right"/>
              <w:rPr>
                <w:b/>
                <w:bCs/>
                <w:szCs w:val="22"/>
              </w:rPr>
            </w:pPr>
          </w:p>
          <w:p w:rsidR="004F1BFB" w:rsidRPr="006B7AA3" w:rsidRDefault="004F1BFB" w:rsidP="004F1BFB">
            <w:pPr>
              <w:jc w:val="right"/>
              <w:rPr>
                <w:b/>
                <w:bCs/>
                <w:szCs w:val="22"/>
              </w:rPr>
            </w:pPr>
            <w:r w:rsidRPr="006B7AA3">
              <w:rPr>
                <w:b/>
                <w:bCs/>
                <w:szCs w:val="22"/>
              </w:rPr>
              <w:t>Año</w:t>
            </w:r>
          </w:p>
          <w:p w:rsidR="00BD52B2" w:rsidRPr="006B7AA3" w:rsidRDefault="004F1BFB" w:rsidP="004F1BFB">
            <w:pPr>
              <w:rPr>
                <w:b/>
                <w:bCs/>
                <w:szCs w:val="22"/>
              </w:rPr>
            </w:pPr>
            <w:r w:rsidRPr="006B7AA3">
              <w:rPr>
                <w:b/>
                <w:bCs/>
                <w:szCs w:val="22"/>
              </w:rPr>
              <w:t>Campo técnico</w:t>
            </w:r>
          </w:p>
        </w:tc>
        <w:tc>
          <w:tcPr>
            <w:tcW w:w="1360" w:type="dxa"/>
            <w:shd w:val="clear" w:color="auto" w:fill="auto"/>
            <w:vAlign w:val="center"/>
          </w:tcPr>
          <w:p w:rsidR="00BD52B2" w:rsidRPr="006B7AA3" w:rsidRDefault="004F1BFB" w:rsidP="004F1BFB">
            <w:pPr>
              <w:jc w:val="center"/>
              <w:rPr>
                <w:szCs w:val="22"/>
              </w:rPr>
            </w:pPr>
            <w:r w:rsidRPr="006B7AA3">
              <w:rPr>
                <w:szCs w:val="22"/>
              </w:rPr>
              <w:t>2011</w:t>
            </w:r>
          </w:p>
        </w:tc>
        <w:tc>
          <w:tcPr>
            <w:tcW w:w="1361" w:type="dxa"/>
            <w:shd w:val="clear" w:color="auto" w:fill="auto"/>
            <w:vAlign w:val="center"/>
          </w:tcPr>
          <w:p w:rsidR="00BD52B2" w:rsidRPr="006B7AA3" w:rsidRDefault="004F1BFB" w:rsidP="004F1BFB">
            <w:pPr>
              <w:jc w:val="center"/>
              <w:rPr>
                <w:szCs w:val="22"/>
              </w:rPr>
            </w:pPr>
            <w:r w:rsidRPr="006B7AA3">
              <w:rPr>
                <w:szCs w:val="22"/>
              </w:rPr>
              <w:t>2012</w:t>
            </w:r>
          </w:p>
        </w:tc>
        <w:tc>
          <w:tcPr>
            <w:tcW w:w="1361" w:type="dxa"/>
            <w:shd w:val="clear" w:color="auto" w:fill="auto"/>
            <w:vAlign w:val="center"/>
          </w:tcPr>
          <w:p w:rsidR="00BD52B2" w:rsidRPr="006B7AA3" w:rsidRDefault="004F1BFB" w:rsidP="004F1BFB">
            <w:pPr>
              <w:jc w:val="center"/>
              <w:rPr>
                <w:szCs w:val="22"/>
              </w:rPr>
            </w:pPr>
            <w:r w:rsidRPr="006B7AA3">
              <w:rPr>
                <w:szCs w:val="22"/>
              </w:rPr>
              <w:t>2013</w:t>
            </w:r>
          </w:p>
        </w:tc>
        <w:tc>
          <w:tcPr>
            <w:tcW w:w="1361" w:type="dxa"/>
            <w:shd w:val="clear" w:color="auto" w:fill="auto"/>
            <w:vAlign w:val="center"/>
          </w:tcPr>
          <w:p w:rsidR="00BD52B2" w:rsidRPr="006B7AA3" w:rsidRDefault="004F1BFB" w:rsidP="004F1BFB">
            <w:pPr>
              <w:jc w:val="center"/>
              <w:rPr>
                <w:szCs w:val="22"/>
              </w:rPr>
            </w:pPr>
            <w:r w:rsidRPr="006B7AA3">
              <w:rPr>
                <w:szCs w:val="22"/>
              </w:rPr>
              <w:t>2014</w:t>
            </w:r>
          </w:p>
        </w:tc>
        <w:tc>
          <w:tcPr>
            <w:tcW w:w="1361" w:type="dxa"/>
            <w:shd w:val="clear" w:color="auto" w:fill="auto"/>
            <w:vAlign w:val="center"/>
          </w:tcPr>
          <w:p w:rsidR="00BD52B2" w:rsidRPr="006B7AA3" w:rsidRDefault="004F1BFB" w:rsidP="004F1BFB">
            <w:pPr>
              <w:jc w:val="center"/>
              <w:rPr>
                <w:szCs w:val="22"/>
              </w:rPr>
            </w:pPr>
            <w:r w:rsidRPr="006B7AA3">
              <w:rPr>
                <w:szCs w:val="22"/>
              </w:rPr>
              <w:t>2015</w:t>
            </w:r>
          </w:p>
        </w:tc>
      </w:tr>
      <w:tr w:rsidR="00BD52B2" w:rsidRPr="006B7AA3" w:rsidTr="001C4BD4">
        <w:trPr>
          <w:cantSplit/>
        </w:trPr>
        <w:tc>
          <w:tcPr>
            <w:tcW w:w="2518" w:type="dxa"/>
            <w:shd w:val="clear" w:color="auto" w:fill="auto"/>
          </w:tcPr>
          <w:p w:rsidR="00BD52B2" w:rsidRPr="006B7AA3" w:rsidRDefault="004F1BFB" w:rsidP="004F1BFB">
            <w:pPr>
              <w:rPr>
                <w:szCs w:val="22"/>
              </w:rPr>
            </w:pPr>
            <w:r w:rsidRPr="006B7AA3">
              <w:rPr>
                <w:szCs w:val="22"/>
              </w:rPr>
              <w:t>Mecánica</w:t>
            </w:r>
          </w:p>
        </w:tc>
        <w:tc>
          <w:tcPr>
            <w:tcW w:w="1360" w:type="dxa"/>
            <w:shd w:val="clear" w:color="auto" w:fill="auto"/>
          </w:tcPr>
          <w:p w:rsidR="00BD52B2" w:rsidRPr="006B7AA3" w:rsidRDefault="00BD52B2" w:rsidP="00BD52B2">
            <w:pPr>
              <w:ind w:right="324"/>
              <w:jc w:val="right"/>
              <w:rPr>
                <w:szCs w:val="22"/>
              </w:rPr>
            </w:pPr>
            <w:r w:rsidRPr="006B7AA3">
              <w:rPr>
                <w:szCs w:val="22"/>
              </w:rPr>
              <w:t>8</w:t>
            </w:r>
            <w:r w:rsidR="004F1BFB" w:rsidRPr="006B7AA3">
              <w:rPr>
                <w:szCs w:val="22"/>
              </w:rPr>
              <w:t>.</w:t>
            </w:r>
            <w:r w:rsidRPr="006B7AA3">
              <w:rPr>
                <w:szCs w:val="22"/>
              </w:rPr>
              <w:t>437</w:t>
            </w:r>
          </w:p>
        </w:tc>
        <w:tc>
          <w:tcPr>
            <w:tcW w:w="1361" w:type="dxa"/>
            <w:shd w:val="clear" w:color="auto" w:fill="auto"/>
          </w:tcPr>
          <w:p w:rsidR="00BD52B2" w:rsidRPr="006B7AA3" w:rsidRDefault="00BD52B2" w:rsidP="00BD52B2">
            <w:pPr>
              <w:ind w:right="324"/>
              <w:jc w:val="right"/>
              <w:rPr>
                <w:szCs w:val="22"/>
              </w:rPr>
            </w:pPr>
            <w:r w:rsidRPr="006B7AA3">
              <w:rPr>
                <w:szCs w:val="22"/>
              </w:rPr>
              <w:t>8</w:t>
            </w:r>
            <w:r w:rsidR="004F1BFB" w:rsidRPr="006B7AA3">
              <w:rPr>
                <w:szCs w:val="22"/>
              </w:rPr>
              <w:t>.</w:t>
            </w:r>
            <w:r w:rsidRPr="006B7AA3">
              <w:rPr>
                <w:szCs w:val="22"/>
              </w:rPr>
              <w:t>735</w:t>
            </w:r>
          </w:p>
        </w:tc>
        <w:tc>
          <w:tcPr>
            <w:tcW w:w="1361" w:type="dxa"/>
            <w:shd w:val="clear" w:color="auto" w:fill="auto"/>
          </w:tcPr>
          <w:p w:rsidR="00BD52B2" w:rsidRPr="006B7AA3" w:rsidRDefault="00BD52B2" w:rsidP="00BD52B2">
            <w:pPr>
              <w:ind w:right="324"/>
              <w:jc w:val="right"/>
              <w:rPr>
                <w:szCs w:val="22"/>
              </w:rPr>
            </w:pPr>
            <w:r w:rsidRPr="006B7AA3">
              <w:rPr>
                <w:szCs w:val="22"/>
              </w:rPr>
              <w:t>8</w:t>
            </w:r>
            <w:r w:rsidR="004F1BFB" w:rsidRPr="006B7AA3">
              <w:rPr>
                <w:szCs w:val="22"/>
              </w:rPr>
              <w:t>.</w:t>
            </w:r>
            <w:r w:rsidRPr="006B7AA3">
              <w:rPr>
                <w:szCs w:val="22"/>
              </w:rPr>
              <w:t>566</w:t>
            </w:r>
          </w:p>
        </w:tc>
        <w:tc>
          <w:tcPr>
            <w:tcW w:w="1361" w:type="dxa"/>
            <w:shd w:val="clear" w:color="auto" w:fill="auto"/>
          </w:tcPr>
          <w:p w:rsidR="00BD52B2" w:rsidRPr="006B7AA3" w:rsidRDefault="00BD52B2" w:rsidP="00BD52B2">
            <w:pPr>
              <w:ind w:right="324"/>
              <w:jc w:val="right"/>
              <w:rPr>
                <w:szCs w:val="22"/>
              </w:rPr>
            </w:pPr>
            <w:r w:rsidRPr="006B7AA3">
              <w:rPr>
                <w:szCs w:val="22"/>
              </w:rPr>
              <w:t>8</w:t>
            </w:r>
            <w:r w:rsidR="004F1BFB" w:rsidRPr="006B7AA3">
              <w:rPr>
                <w:szCs w:val="22"/>
              </w:rPr>
              <w:t>.</w:t>
            </w:r>
            <w:r w:rsidRPr="006B7AA3">
              <w:rPr>
                <w:szCs w:val="22"/>
              </w:rPr>
              <w:t>904</w:t>
            </w:r>
          </w:p>
        </w:tc>
        <w:tc>
          <w:tcPr>
            <w:tcW w:w="1361" w:type="dxa"/>
            <w:shd w:val="clear" w:color="auto" w:fill="auto"/>
          </w:tcPr>
          <w:p w:rsidR="00BD52B2" w:rsidRPr="006B7AA3" w:rsidRDefault="00BD52B2" w:rsidP="00BD52B2">
            <w:pPr>
              <w:ind w:right="324"/>
              <w:jc w:val="right"/>
              <w:rPr>
                <w:szCs w:val="22"/>
              </w:rPr>
            </w:pPr>
            <w:r w:rsidRPr="006B7AA3">
              <w:rPr>
                <w:szCs w:val="22"/>
              </w:rPr>
              <w:t>8</w:t>
            </w:r>
            <w:r w:rsidR="004F1BFB" w:rsidRPr="006B7AA3">
              <w:rPr>
                <w:szCs w:val="22"/>
              </w:rPr>
              <w:t>.</w:t>
            </w:r>
            <w:r w:rsidRPr="006B7AA3">
              <w:rPr>
                <w:szCs w:val="22"/>
              </w:rPr>
              <w:t>586</w:t>
            </w:r>
          </w:p>
        </w:tc>
      </w:tr>
      <w:tr w:rsidR="00BD52B2" w:rsidRPr="006B7AA3" w:rsidTr="001C4BD4">
        <w:trPr>
          <w:cantSplit/>
        </w:trPr>
        <w:tc>
          <w:tcPr>
            <w:tcW w:w="2518" w:type="dxa"/>
            <w:shd w:val="clear" w:color="auto" w:fill="auto"/>
          </w:tcPr>
          <w:p w:rsidR="00BD52B2" w:rsidRPr="006B7AA3" w:rsidRDefault="004F1BFB" w:rsidP="004F1BFB">
            <w:pPr>
              <w:rPr>
                <w:szCs w:val="22"/>
              </w:rPr>
            </w:pPr>
            <w:r w:rsidRPr="006B7AA3">
              <w:rPr>
                <w:szCs w:val="22"/>
              </w:rPr>
              <w:t>Electricidad/electrónica</w:t>
            </w:r>
          </w:p>
        </w:tc>
        <w:tc>
          <w:tcPr>
            <w:tcW w:w="1360" w:type="dxa"/>
            <w:shd w:val="clear" w:color="auto" w:fill="auto"/>
          </w:tcPr>
          <w:p w:rsidR="00BD52B2" w:rsidRPr="006B7AA3" w:rsidRDefault="00BD52B2" w:rsidP="00BD52B2">
            <w:pPr>
              <w:ind w:right="324"/>
              <w:jc w:val="right"/>
              <w:rPr>
                <w:szCs w:val="22"/>
              </w:rPr>
            </w:pPr>
            <w:r w:rsidRPr="006B7AA3">
              <w:rPr>
                <w:szCs w:val="22"/>
              </w:rPr>
              <w:t>6</w:t>
            </w:r>
            <w:r w:rsidR="004F1BFB" w:rsidRPr="006B7AA3">
              <w:rPr>
                <w:szCs w:val="22"/>
              </w:rPr>
              <w:t>.</w:t>
            </w:r>
            <w:r w:rsidRPr="006B7AA3">
              <w:rPr>
                <w:szCs w:val="22"/>
              </w:rPr>
              <w:t>938</w:t>
            </w:r>
          </w:p>
        </w:tc>
        <w:tc>
          <w:tcPr>
            <w:tcW w:w="1361" w:type="dxa"/>
            <w:shd w:val="clear" w:color="auto" w:fill="auto"/>
          </w:tcPr>
          <w:p w:rsidR="00BD52B2" w:rsidRPr="006B7AA3" w:rsidRDefault="00BD52B2" w:rsidP="00BD52B2">
            <w:pPr>
              <w:ind w:right="324"/>
              <w:jc w:val="right"/>
              <w:rPr>
                <w:szCs w:val="22"/>
              </w:rPr>
            </w:pPr>
            <w:r w:rsidRPr="006B7AA3">
              <w:rPr>
                <w:szCs w:val="22"/>
              </w:rPr>
              <w:t>7</w:t>
            </w:r>
            <w:r w:rsidR="004F1BFB" w:rsidRPr="006B7AA3">
              <w:rPr>
                <w:szCs w:val="22"/>
              </w:rPr>
              <w:t>.</w:t>
            </w:r>
            <w:r w:rsidRPr="006B7AA3">
              <w:rPr>
                <w:szCs w:val="22"/>
              </w:rPr>
              <w:t>382</w:t>
            </w:r>
          </w:p>
        </w:tc>
        <w:tc>
          <w:tcPr>
            <w:tcW w:w="1361" w:type="dxa"/>
            <w:shd w:val="clear" w:color="auto" w:fill="auto"/>
          </w:tcPr>
          <w:p w:rsidR="00BD52B2" w:rsidRPr="006B7AA3" w:rsidRDefault="00BD52B2" w:rsidP="00BD52B2">
            <w:pPr>
              <w:ind w:right="324"/>
              <w:jc w:val="right"/>
              <w:rPr>
                <w:szCs w:val="22"/>
              </w:rPr>
            </w:pPr>
            <w:r w:rsidRPr="006B7AA3">
              <w:rPr>
                <w:szCs w:val="22"/>
              </w:rPr>
              <w:t>7</w:t>
            </w:r>
            <w:r w:rsidR="004F1BFB" w:rsidRPr="006B7AA3">
              <w:rPr>
                <w:szCs w:val="22"/>
              </w:rPr>
              <w:t>.</w:t>
            </w:r>
            <w:r w:rsidRPr="006B7AA3">
              <w:rPr>
                <w:szCs w:val="22"/>
              </w:rPr>
              <w:t>241</w:t>
            </w:r>
          </w:p>
        </w:tc>
        <w:tc>
          <w:tcPr>
            <w:tcW w:w="1361" w:type="dxa"/>
            <w:shd w:val="clear" w:color="auto" w:fill="auto"/>
          </w:tcPr>
          <w:p w:rsidR="00BD52B2" w:rsidRPr="006B7AA3" w:rsidRDefault="00BD52B2" w:rsidP="00BD52B2">
            <w:pPr>
              <w:ind w:right="324"/>
              <w:jc w:val="right"/>
              <w:rPr>
                <w:szCs w:val="22"/>
              </w:rPr>
            </w:pPr>
            <w:r w:rsidRPr="006B7AA3">
              <w:rPr>
                <w:szCs w:val="22"/>
              </w:rPr>
              <w:t>7</w:t>
            </w:r>
            <w:r w:rsidR="004F1BFB" w:rsidRPr="006B7AA3">
              <w:rPr>
                <w:szCs w:val="22"/>
              </w:rPr>
              <w:t>.</w:t>
            </w:r>
            <w:r w:rsidRPr="006B7AA3">
              <w:rPr>
                <w:szCs w:val="22"/>
              </w:rPr>
              <w:t>249</w:t>
            </w:r>
          </w:p>
        </w:tc>
        <w:tc>
          <w:tcPr>
            <w:tcW w:w="1361" w:type="dxa"/>
            <w:shd w:val="clear" w:color="auto" w:fill="auto"/>
          </w:tcPr>
          <w:p w:rsidR="00BD52B2" w:rsidRPr="006B7AA3" w:rsidRDefault="00BD52B2" w:rsidP="00BD52B2">
            <w:pPr>
              <w:ind w:right="324"/>
              <w:jc w:val="right"/>
              <w:rPr>
                <w:szCs w:val="22"/>
              </w:rPr>
            </w:pPr>
            <w:r w:rsidRPr="006B7AA3">
              <w:rPr>
                <w:szCs w:val="22"/>
              </w:rPr>
              <w:t>6</w:t>
            </w:r>
            <w:r w:rsidR="004F1BFB" w:rsidRPr="006B7AA3">
              <w:rPr>
                <w:szCs w:val="22"/>
              </w:rPr>
              <w:t>.</w:t>
            </w:r>
            <w:r w:rsidRPr="006B7AA3">
              <w:rPr>
                <w:szCs w:val="22"/>
              </w:rPr>
              <w:t>293</w:t>
            </w:r>
          </w:p>
        </w:tc>
      </w:tr>
      <w:tr w:rsidR="00BD52B2" w:rsidRPr="006B7AA3" w:rsidTr="001C4BD4">
        <w:trPr>
          <w:cantSplit/>
        </w:trPr>
        <w:tc>
          <w:tcPr>
            <w:tcW w:w="2518" w:type="dxa"/>
            <w:shd w:val="clear" w:color="auto" w:fill="auto"/>
          </w:tcPr>
          <w:p w:rsidR="00BD52B2" w:rsidRPr="006B7AA3" w:rsidRDefault="004F1BFB" w:rsidP="004F1BFB">
            <w:pPr>
              <w:rPr>
                <w:szCs w:val="22"/>
              </w:rPr>
            </w:pPr>
            <w:r w:rsidRPr="006B7AA3">
              <w:rPr>
                <w:szCs w:val="22"/>
              </w:rPr>
              <w:t>Química</w:t>
            </w:r>
          </w:p>
        </w:tc>
        <w:tc>
          <w:tcPr>
            <w:tcW w:w="1360" w:type="dxa"/>
            <w:shd w:val="clear" w:color="auto" w:fill="auto"/>
          </w:tcPr>
          <w:p w:rsidR="00BD52B2" w:rsidRPr="006B7AA3" w:rsidRDefault="00BD52B2" w:rsidP="00BD52B2">
            <w:pPr>
              <w:ind w:right="324"/>
              <w:jc w:val="right"/>
              <w:rPr>
                <w:szCs w:val="22"/>
              </w:rPr>
            </w:pPr>
            <w:r w:rsidRPr="006B7AA3">
              <w:rPr>
                <w:szCs w:val="22"/>
              </w:rPr>
              <w:t>8</w:t>
            </w:r>
            <w:r w:rsidR="004F1BFB" w:rsidRPr="006B7AA3">
              <w:rPr>
                <w:szCs w:val="22"/>
              </w:rPr>
              <w:t>.</w:t>
            </w:r>
            <w:r w:rsidRPr="006B7AA3">
              <w:rPr>
                <w:szCs w:val="22"/>
              </w:rPr>
              <w:t>608</w:t>
            </w:r>
          </w:p>
        </w:tc>
        <w:tc>
          <w:tcPr>
            <w:tcW w:w="1361" w:type="dxa"/>
            <w:shd w:val="clear" w:color="auto" w:fill="auto"/>
          </w:tcPr>
          <w:p w:rsidR="00BD52B2" w:rsidRPr="006B7AA3" w:rsidRDefault="00BD52B2" w:rsidP="00BD52B2">
            <w:pPr>
              <w:ind w:right="324"/>
              <w:jc w:val="right"/>
              <w:rPr>
                <w:szCs w:val="22"/>
              </w:rPr>
            </w:pPr>
            <w:r w:rsidRPr="006B7AA3">
              <w:rPr>
                <w:szCs w:val="22"/>
              </w:rPr>
              <w:t>9</w:t>
            </w:r>
            <w:r w:rsidR="004F1BFB" w:rsidRPr="006B7AA3">
              <w:rPr>
                <w:szCs w:val="22"/>
              </w:rPr>
              <w:t>.</w:t>
            </w:r>
            <w:r w:rsidRPr="006B7AA3">
              <w:rPr>
                <w:szCs w:val="22"/>
              </w:rPr>
              <w:t>131</w:t>
            </w:r>
          </w:p>
        </w:tc>
        <w:tc>
          <w:tcPr>
            <w:tcW w:w="1361" w:type="dxa"/>
            <w:shd w:val="clear" w:color="auto" w:fill="auto"/>
          </w:tcPr>
          <w:p w:rsidR="00BD52B2" w:rsidRPr="006B7AA3" w:rsidRDefault="00BD52B2" w:rsidP="00BD52B2">
            <w:pPr>
              <w:ind w:right="324"/>
              <w:jc w:val="right"/>
              <w:rPr>
                <w:szCs w:val="22"/>
              </w:rPr>
            </w:pPr>
            <w:r w:rsidRPr="006B7AA3">
              <w:rPr>
                <w:szCs w:val="22"/>
              </w:rPr>
              <w:t>8</w:t>
            </w:r>
            <w:r w:rsidR="004F1BFB" w:rsidRPr="006B7AA3">
              <w:rPr>
                <w:szCs w:val="22"/>
              </w:rPr>
              <w:t>.</w:t>
            </w:r>
            <w:r w:rsidRPr="006B7AA3">
              <w:rPr>
                <w:szCs w:val="22"/>
              </w:rPr>
              <w:t>826</w:t>
            </w:r>
          </w:p>
        </w:tc>
        <w:tc>
          <w:tcPr>
            <w:tcW w:w="1361" w:type="dxa"/>
            <w:shd w:val="clear" w:color="auto" w:fill="auto"/>
          </w:tcPr>
          <w:p w:rsidR="00BD52B2" w:rsidRPr="006B7AA3" w:rsidRDefault="00BD52B2" w:rsidP="00BD52B2">
            <w:pPr>
              <w:ind w:right="324"/>
              <w:jc w:val="right"/>
              <w:rPr>
                <w:szCs w:val="22"/>
              </w:rPr>
            </w:pPr>
            <w:r w:rsidRPr="006B7AA3">
              <w:rPr>
                <w:szCs w:val="22"/>
              </w:rPr>
              <w:t>8</w:t>
            </w:r>
            <w:r w:rsidR="004F1BFB" w:rsidRPr="006B7AA3">
              <w:rPr>
                <w:szCs w:val="22"/>
              </w:rPr>
              <w:t>.</w:t>
            </w:r>
            <w:r w:rsidRPr="006B7AA3">
              <w:rPr>
                <w:szCs w:val="22"/>
              </w:rPr>
              <w:t>773</w:t>
            </w:r>
          </w:p>
        </w:tc>
        <w:tc>
          <w:tcPr>
            <w:tcW w:w="1361" w:type="dxa"/>
            <w:shd w:val="clear" w:color="auto" w:fill="auto"/>
          </w:tcPr>
          <w:p w:rsidR="00BD52B2" w:rsidRPr="006B7AA3" w:rsidRDefault="00BD52B2" w:rsidP="00BD52B2">
            <w:pPr>
              <w:ind w:right="324"/>
              <w:jc w:val="right"/>
              <w:rPr>
                <w:szCs w:val="22"/>
              </w:rPr>
            </w:pPr>
            <w:r w:rsidRPr="006B7AA3">
              <w:rPr>
                <w:szCs w:val="22"/>
              </w:rPr>
              <w:t>8</w:t>
            </w:r>
            <w:r w:rsidR="004F1BFB" w:rsidRPr="006B7AA3">
              <w:rPr>
                <w:szCs w:val="22"/>
              </w:rPr>
              <w:t>.</w:t>
            </w:r>
            <w:r w:rsidRPr="006B7AA3">
              <w:rPr>
                <w:szCs w:val="22"/>
              </w:rPr>
              <w:t>623</w:t>
            </w:r>
          </w:p>
        </w:tc>
      </w:tr>
      <w:tr w:rsidR="00BD52B2" w:rsidRPr="006B7AA3" w:rsidTr="001C4BD4">
        <w:trPr>
          <w:cantSplit/>
        </w:trPr>
        <w:tc>
          <w:tcPr>
            <w:tcW w:w="2518" w:type="dxa"/>
            <w:shd w:val="clear" w:color="auto" w:fill="auto"/>
          </w:tcPr>
          <w:p w:rsidR="00BD52B2" w:rsidRPr="006B7AA3" w:rsidRDefault="004F1BFB" w:rsidP="004F1BFB">
            <w:pPr>
              <w:rPr>
                <w:szCs w:val="22"/>
              </w:rPr>
            </w:pPr>
            <w:r w:rsidRPr="006B7AA3">
              <w:rPr>
                <w:szCs w:val="22"/>
              </w:rPr>
              <w:t>Instrumentos</w:t>
            </w:r>
          </w:p>
        </w:tc>
        <w:tc>
          <w:tcPr>
            <w:tcW w:w="1360" w:type="dxa"/>
            <w:shd w:val="clear" w:color="auto" w:fill="auto"/>
          </w:tcPr>
          <w:p w:rsidR="00BD52B2" w:rsidRPr="006B7AA3" w:rsidRDefault="00BD52B2" w:rsidP="00BD52B2">
            <w:pPr>
              <w:ind w:right="324"/>
              <w:jc w:val="right"/>
              <w:rPr>
                <w:szCs w:val="22"/>
              </w:rPr>
            </w:pPr>
            <w:r w:rsidRPr="006B7AA3">
              <w:rPr>
                <w:szCs w:val="22"/>
              </w:rPr>
              <w:t>4</w:t>
            </w:r>
            <w:r w:rsidR="004F1BFB" w:rsidRPr="006B7AA3">
              <w:rPr>
                <w:szCs w:val="22"/>
              </w:rPr>
              <w:t>.</w:t>
            </w:r>
            <w:r w:rsidRPr="006B7AA3">
              <w:rPr>
                <w:szCs w:val="22"/>
              </w:rPr>
              <w:t>152</w:t>
            </w:r>
          </w:p>
        </w:tc>
        <w:tc>
          <w:tcPr>
            <w:tcW w:w="1361" w:type="dxa"/>
            <w:shd w:val="clear" w:color="auto" w:fill="auto"/>
          </w:tcPr>
          <w:p w:rsidR="00BD52B2" w:rsidRPr="006B7AA3" w:rsidRDefault="00BD52B2" w:rsidP="00BD52B2">
            <w:pPr>
              <w:ind w:right="324"/>
              <w:jc w:val="right"/>
              <w:rPr>
                <w:szCs w:val="22"/>
              </w:rPr>
            </w:pPr>
            <w:r w:rsidRPr="006B7AA3">
              <w:rPr>
                <w:szCs w:val="22"/>
              </w:rPr>
              <w:t>4</w:t>
            </w:r>
            <w:r w:rsidR="004F1BFB" w:rsidRPr="006B7AA3">
              <w:rPr>
                <w:szCs w:val="22"/>
              </w:rPr>
              <w:t>.</w:t>
            </w:r>
            <w:r w:rsidRPr="006B7AA3">
              <w:rPr>
                <w:szCs w:val="22"/>
              </w:rPr>
              <w:t>484</w:t>
            </w:r>
          </w:p>
        </w:tc>
        <w:tc>
          <w:tcPr>
            <w:tcW w:w="1361" w:type="dxa"/>
            <w:shd w:val="clear" w:color="auto" w:fill="auto"/>
          </w:tcPr>
          <w:p w:rsidR="00BD52B2" w:rsidRPr="006B7AA3" w:rsidRDefault="00BD52B2" w:rsidP="00BD52B2">
            <w:pPr>
              <w:ind w:right="324"/>
              <w:jc w:val="right"/>
              <w:rPr>
                <w:szCs w:val="22"/>
              </w:rPr>
            </w:pPr>
            <w:r w:rsidRPr="006B7AA3">
              <w:rPr>
                <w:szCs w:val="22"/>
              </w:rPr>
              <w:t>4</w:t>
            </w:r>
            <w:r w:rsidR="004F1BFB" w:rsidRPr="006B7AA3">
              <w:rPr>
                <w:szCs w:val="22"/>
              </w:rPr>
              <w:t>.</w:t>
            </w:r>
            <w:r w:rsidRPr="006B7AA3">
              <w:rPr>
                <w:szCs w:val="22"/>
              </w:rPr>
              <w:t>643</w:t>
            </w:r>
          </w:p>
        </w:tc>
        <w:tc>
          <w:tcPr>
            <w:tcW w:w="1361" w:type="dxa"/>
            <w:shd w:val="clear" w:color="auto" w:fill="auto"/>
          </w:tcPr>
          <w:p w:rsidR="00BD52B2" w:rsidRPr="006B7AA3" w:rsidRDefault="00BD52B2" w:rsidP="00BD52B2">
            <w:pPr>
              <w:ind w:right="324"/>
              <w:jc w:val="right"/>
              <w:rPr>
                <w:szCs w:val="22"/>
              </w:rPr>
            </w:pPr>
            <w:r w:rsidRPr="006B7AA3">
              <w:rPr>
                <w:szCs w:val="22"/>
              </w:rPr>
              <w:t>5</w:t>
            </w:r>
            <w:r w:rsidR="004F1BFB" w:rsidRPr="006B7AA3">
              <w:rPr>
                <w:szCs w:val="22"/>
              </w:rPr>
              <w:t>.</w:t>
            </w:r>
            <w:r w:rsidRPr="006B7AA3">
              <w:rPr>
                <w:szCs w:val="22"/>
              </w:rPr>
              <w:t>152</w:t>
            </w:r>
          </w:p>
        </w:tc>
        <w:tc>
          <w:tcPr>
            <w:tcW w:w="1361" w:type="dxa"/>
            <w:shd w:val="clear" w:color="auto" w:fill="auto"/>
          </w:tcPr>
          <w:p w:rsidR="00BD52B2" w:rsidRPr="006B7AA3" w:rsidRDefault="00BD52B2" w:rsidP="00BD52B2">
            <w:pPr>
              <w:ind w:right="324"/>
              <w:jc w:val="right"/>
              <w:rPr>
                <w:szCs w:val="22"/>
              </w:rPr>
            </w:pPr>
            <w:r w:rsidRPr="006B7AA3">
              <w:rPr>
                <w:szCs w:val="22"/>
              </w:rPr>
              <w:t>4</w:t>
            </w:r>
            <w:r w:rsidR="004F1BFB" w:rsidRPr="006B7AA3">
              <w:rPr>
                <w:szCs w:val="22"/>
              </w:rPr>
              <w:t>.</w:t>
            </w:r>
            <w:r w:rsidRPr="006B7AA3">
              <w:rPr>
                <w:szCs w:val="22"/>
              </w:rPr>
              <w:t>771</w:t>
            </w:r>
          </w:p>
        </w:tc>
      </w:tr>
      <w:tr w:rsidR="00BD52B2" w:rsidRPr="006B7AA3" w:rsidTr="001C4BD4">
        <w:trPr>
          <w:cantSplit/>
        </w:trPr>
        <w:tc>
          <w:tcPr>
            <w:tcW w:w="2518" w:type="dxa"/>
            <w:shd w:val="clear" w:color="auto" w:fill="auto"/>
          </w:tcPr>
          <w:p w:rsidR="00BD52B2" w:rsidRPr="006B7AA3" w:rsidRDefault="004F1BFB" w:rsidP="004F1BFB">
            <w:pPr>
              <w:rPr>
                <w:i/>
                <w:iCs/>
                <w:szCs w:val="22"/>
              </w:rPr>
            </w:pPr>
            <w:r w:rsidRPr="006B7AA3">
              <w:rPr>
                <w:i/>
                <w:iCs/>
                <w:szCs w:val="22"/>
              </w:rPr>
              <w:t>Otros campos (se incluyen las solicitudes que aún no han sido clasificadas)</w:t>
            </w:r>
          </w:p>
        </w:tc>
        <w:tc>
          <w:tcPr>
            <w:tcW w:w="1360" w:type="dxa"/>
            <w:shd w:val="clear" w:color="auto" w:fill="auto"/>
          </w:tcPr>
          <w:p w:rsidR="00BD52B2" w:rsidRPr="006B7AA3" w:rsidRDefault="00BD52B2" w:rsidP="00BD52B2">
            <w:pPr>
              <w:ind w:right="324"/>
              <w:jc w:val="right"/>
              <w:rPr>
                <w:szCs w:val="22"/>
              </w:rPr>
            </w:pPr>
            <w:r w:rsidRPr="006B7AA3">
              <w:rPr>
                <w:szCs w:val="22"/>
              </w:rPr>
              <w:t>2</w:t>
            </w:r>
            <w:r w:rsidR="00F63A72" w:rsidRPr="006B7AA3">
              <w:rPr>
                <w:szCs w:val="22"/>
              </w:rPr>
              <w:t>.</w:t>
            </w:r>
            <w:r w:rsidRPr="006B7AA3">
              <w:rPr>
                <w:szCs w:val="22"/>
              </w:rPr>
              <w:t>758</w:t>
            </w:r>
          </w:p>
        </w:tc>
        <w:tc>
          <w:tcPr>
            <w:tcW w:w="1361" w:type="dxa"/>
            <w:shd w:val="clear" w:color="auto" w:fill="auto"/>
          </w:tcPr>
          <w:p w:rsidR="00BD52B2" w:rsidRPr="006B7AA3" w:rsidRDefault="00BD52B2" w:rsidP="00BD52B2">
            <w:pPr>
              <w:ind w:right="324"/>
              <w:jc w:val="right"/>
              <w:rPr>
                <w:szCs w:val="22"/>
              </w:rPr>
            </w:pPr>
            <w:r w:rsidRPr="006B7AA3">
              <w:rPr>
                <w:szCs w:val="22"/>
              </w:rPr>
              <w:t>2</w:t>
            </w:r>
            <w:r w:rsidR="00F63A72" w:rsidRPr="006B7AA3">
              <w:rPr>
                <w:szCs w:val="22"/>
              </w:rPr>
              <w:t>.</w:t>
            </w:r>
            <w:r w:rsidRPr="006B7AA3">
              <w:rPr>
                <w:szCs w:val="22"/>
              </w:rPr>
              <w:t>698</w:t>
            </w:r>
          </w:p>
        </w:tc>
        <w:tc>
          <w:tcPr>
            <w:tcW w:w="1361" w:type="dxa"/>
            <w:shd w:val="clear" w:color="auto" w:fill="auto"/>
          </w:tcPr>
          <w:p w:rsidR="00BD52B2" w:rsidRPr="006B7AA3" w:rsidRDefault="00BD52B2" w:rsidP="00BD52B2">
            <w:pPr>
              <w:ind w:right="324"/>
              <w:jc w:val="right"/>
              <w:rPr>
                <w:szCs w:val="22"/>
              </w:rPr>
            </w:pPr>
            <w:r w:rsidRPr="006B7AA3">
              <w:rPr>
                <w:szCs w:val="22"/>
              </w:rPr>
              <w:t>2</w:t>
            </w:r>
            <w:r w:rsidR="00F63A72" w:rsidRPr="006B7AA3">
              <w:rPr>
                <w:szCs w:val="22"/>
              </w:rPr>
              <w:t>.</w:t>
            </w:r>
            <w:r w:rsidRPr="006B7AA3">
              <w:rPr>
                <w:szCs w:val="22"/>
              </w:rPr>
              <w:t>760</w:t>
            </w:r>
          </w:p>
        </w:tc>
        <w:tc>
          <w:tcPr>
            <w:tcW w:w="1361" w:type="dxa"/>
            <w:shd w:val="clear" w:color="auto" w:fill="auto"/>
          </w:tcPr>
          <w:p w:rsidR="00BD52B2" w:rsidRPr="006B7AA3" w:rsidRDefault="00BD52B2" w:rsidP="00BD52B2">
            <w:pPr>
              <w:ind w:right="324"/>
              <w:jc w:val="right"/>
              <w:rPr>
                <w:szCs w:val="22"/>
              </w:rPr>
            </w:pPr>
            <w:r w:rsidRPr="006B7AA3">
              <w:rPr>
                <w:szCs w:val="22"/>
              </w:rPr>
              <w:t>2</w:t>
            </w:r>
            <w:r w:rsidR="00F63A72" w:rsidRPr="006B7AA3">
              <w:rPr>
                <w:szCs w:val="22"/>
              </w:rPr>
              <w:t>.</w:t>
            </w:r>
            <w:r w:rsidRPr="006B7AA3">
              <w:rPr>
                <w:szCs w:val="22"/>
              </w:rPr>
              <w:t>824</w:t>
            </w:r>
          </w:p>
        </w:tc>
        <w:tc>
          <w:tcPr>
            <w:tcW w:w="1361" w:type="dxa"/>
            <w:shd w:val="clear" w:color="auto" w:fill="auto"/>
          </w:tcPr>
          <w:p w:rsidR="00BD52B2" w:rsidRPr="006B7AA3" w:rsidRDefault="00BD52B2" w:rsidP="00BD52B2">
            <w:pPr>
              <w:ind w:right="324"/>
              <w:jc w:val="right"/>
              <w:rPr>
                <w:szCs w:val="22"/>
              </w:rPr>
            </w:pPr>
            <w:r w:rsidRPr="006B7AA3">
              <w:rPr>
                <w:szCs w:val="22"/>
              </w:rPr>
              <w:t>5</w:t>
            </w:r>
            <w:r w:rsidR="00F63A72" w:rsidRPr="006B7AA3">
              <w:rPr>
                <w:szCs w:val="22"/>
              </w:rPr>
              <w:t>.</w:t>
            </w:r>
            <w:r w:rsidRPr="006B7AA3">
              <w:rPr>
                <w:szCs w:val="22"/>
              </w:rPr>
              <w:t>878</w:t>
            </w:r>
          </w:p>
        </w:tc>
      </w:tr>
      <w:tr w:rsidR="00BD52B2" w:rsidRPr="006B7AA3" w:rsidTr="001C4BD4">
        <w:trPr>
          <w:cantSplit/>
        </w:trPr>
        <w:tc>
          <w:tcPr>
            <w:tcW w:w="2518" w:type="dxa"/>
            <w:shd w:val="clear" w:color="auto" w:fill="auto"/>
          </w:tcPr>
          <w:p w:rsidR="00BD52B2" w:rsidRPr="006B7AA3" w:rsidRDefault="004F1BFB" w:rsidP="004F1BFB">
            <w:pPr>
              <w:rPr>
                <w:i/>
                <w:iCs/>
                <w:szCs w:val="22"/>
              </w:rPr>
            </w:pPr>
            <w:r w:rsidRPr="006B7AA3">
              <w:rPr>
                <w:i/>
                <w:iCs/>
                <w:szCs w:val="22"/>
              </w:rPr>
              <w:t>Total</w:t>
            </w:r>
          </w:p>
        </w:tc>
        <w:tc>
          <w:tcPr>
            <w:tcW w:w="1360" w:type="dxa"/>
            <w:shd w:val="clear" w:color="auto" w:fill="auto"/>
          </w:tcPr>
          <w:p w:rsidR="00BD52B2" w:rsidRPr="006B7AA3" w:rsidRDefault="00BD52B2" w:rsidP="00BD52B2">
            <w:pPr>
              <w:ind w:right="324"/>
              <w:jc w:val="right"/>
              <w:rPr>
                <w:szCs w:val="22"/>
              </w:rPr>
            </w:pPr>
            <w:r w:rsidRPr="006B7AA3">
              <w:rPr>
                <w:szCs w:val="22"/>
              </w:rPr>
              <w:t>30</w:t>
            </w:r>
            <w:r w:rsidR="00F63A72" w:rsidRPr="006B7AA3">
              <w:rPr>
                <w:szCs w:val="22"/>
              </w:rPr>
              <w:t>.</w:t>
            </w:r>
            <w:r w:rsidRPr="006B7AA3">
              <w:rPr>
                <w:szCs w:val="22"/>
              </w:rPr>
              <w:t>893</w:t>
            </w:r>
          </w:p>
        </w:tc>
        <w:tc>
          <w:tcPr>
            <w:tcW w:w="1361" w:type="dxa"/>
            <w:shd w:val="clear" w:color="auto" w:fill="auto"/>
          </w:tcPr>
          <w:p w:rsidR="00BD52B2" w:rsidRPr="006B7AA3" w:rsidRDefault="00BD52B2" w:rsidP="00BD52B2">
            <w:pPr>
              <w:ind w:right="324"/>
              <w:jc w:val="right"/>
              <w:rPr>
                <w:szCs w:val="22"/>
              </w:rPr>
            </w:pPr>
            <w:r w:rsidRPr="006B7AA3">
              <w:rPr>
                <w:szCs w:val="22"/>
              </w:rPr>
              <w:t>32</w:t>
            </w:r>
            <w:r w:rsidR="00F63A72" w:rsidRPr="006B7AA3">
              <w:rPr>
                <w:szCs w:val="22"/>
              </w:rPr>
              <w:t>.</w:t>
            </w:r>
            <w:r w:rsidRPr="006B7AA3">
              <w:rPr>
                <w:szCs w:val="22"/>
              </w:rPr>
              <w:t>430</w:t>
            </w:r>
          </w:p>
        </w:tc>
        <w:tc>
          <w:tcPr>
            <w:tcW w:w="1361" w:type="dxa"/>
            <w:shd w:val="clear" w:color="auto" w:fill="auto"/>
          </w:tcPr>
          <w:p w:rsidR="00BD52B2" w:rsidRPr="006B7AA3" w:rsidRDefault="00BD52B2" w:rsidP="00BD52B2">
            <w:pPr>
              <w:ind w:right="324"/>
              <w:jc w:val="right"/>
              <w:rPr>
                <w:szCs w:val="22"/>
              </w:rPr>
            </w:pPr>
            <w:r w:rsidRPr="006B7AA3">
              <w:rPr>
                <w:szCs w:val="22"/>
              </w:rPr>
              <w:t>32</w:t>
            </w:r>
            <w:r w:rsidR="00F63A72" w:rsidRPr="006B7AA3">
              <w:rPr>
                <w:szCs w:val="22"/>
              </w:rPr>
              <w:t>.</w:t>
            </w:r>
            <w:r w:rsidRPr="006B7AA3">
              <w:rPr>
                <w:szCs w:val="22"/>
              </w:rPr>
              <w:t>036</w:t>
            </w:r>
          </w:p>
        </w:tc>
        <w:tc>
          <w:tcPr>
            <w:tcW w:w="1361" w:type="dxa"/>
            <w:shd w:val="clear" w:color="auto" w:fill="auto"/>
          </w:tcPr>
          <w:p w:rsidR="00BD52B2" w:rsidRPr="006B7AA3" w:rsidRDefault="00BD52B2" w:rsidP="00BD52B2">
            <w:pPr>
              <w:ind w:right="324"/>
              <w:jc w:val="right"/>
              <w:rPr>
                <w:szCs w:val="22"/>
              </w:rPr>
            </w:pPr>
            <w:r w:rsidRPr="006B7AA3">
              <w:rPr>
                <w:szCs w:val="22"/>
              </w:rPr>
              <w:t>32</w:t>
            </w:r>
            <w:r w:rsidR="00F63A72" w:rsidRPr="006B7AA3">
              <w:rPr>
                <w:szCs w:val="22"/>
              </w:rPr>
              <w:t>.</w:t>
            </w:r>
            <w:r w:rsidRPr="006B7AA3">
              <w:rPr>
                <w:szCs w:val="22"/>
              </w:rPr>
              <w:t>902</w:t>
            </w:r>
          </w:p>
        </w:tc>
        <w:tc>
          <w:tcPr>
            <w:tcW w:w="1361" w:type="dxa"/>
            <w:shd w:val="clear" w:color="auto" w:fill="auto"/>
          </w:tcPr>
          <w:p w:rsidR="00BD52B2" w:rsidRPr="006B7AA3" w:rsidRDefault="00BD52B2" w:rsidP="00BD52B2">
            <w:pPr>
              <w:ind w:right="324"/>
              <w:jc w:val="right"/>
              <w:rPr>
                <w:szCs w:val="22"/>
              </w:rPr>
            </w:pPr>
            <w:r w:rsidRPr="006B7AA3">
              <w:rPr>
                <w:szCs w:val="22"/>
              </w:rPr>
              <w:t>34</w:t>
            </w:r>
            <w:r w:rsidR="00F63A72" w:rsidRPr="006B7AA3">
              <w:rPr>
                <w:szCs w:val="22"/>
              </w:rPr>
              <w:t>.</w:t>
            </w:r>
            <w:r w:rsidRPr="006B7AA3">
              <w:rPr>
                <w:szCs w:val="22"/>
              </w:rPr>
              <w:t>151</w:t>
            </w:r>
          </w:p>
        </w:tc>
      </w:tr>
    </w:tbl>
    <w:p w:rsidR="004F1BFB" w:rsidRPr="006B7AA3" w:rsidRDefault="004F1BFB" w:rsidP="00BD52B2">
      <w:pPr>
        <w:rPr>
          <w:szCs w:val="22"/>
        </w:rPr>
      </w:pPr>
    </w:p>
    <w:p w:rsidR="00BD52B2" w:rsidRPr="006B7AA3" w:rsidRDefault="004F1BFB" w:rsidP="004F1BFB">
      <w:pPr>
        <w:rPr>
          <w:b/>
          <w:bCs/>
          <w:szCs w:val="22"/>
        </w:rPr>
      </w:pPr>
      <w:r w:rsidRPr="006B7AA3">
        <w:rPr>
          <w:b/>
          <w:bCs/>
          <w:szCs w:val="22"/>
        </w:rPr>
        <w:t>Tiempo medio de tramitación de las patentes nacionales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3118"/>
      </w:tblGrid>
      <w:tr w:rsidR="00BD52B2" w:rsidRPr="006B7AA3" w:rsidTr="001C4BD4">
        <w:trPr>
          <w:cantSplit/>
        </w:trPr>
        <w:tc>
          <w:tcPr>
            <w:tcW w:w="2518" w:type="dxa"/>
            <w:shd w:val="clear" w:color="auto" w:fill="auto"/>
          </w:tcPr>
          <w:p w:rsidR="00BD52B2" w:rsidRPr="006B7AA3" w:rsidRDefault="004F1BFB" w:rsidP="004F1BFB">
            <w:pPr>
              <w:rPr>
                <w:b/>
                <w:bCs/>
                <w:szCs w:val="22"/>
              </w:rPr>
            </w:pPr>
            <w:r w:rsidRPr="006B7AA3">
              <w:rPr>
                <w:b/>
                <w:bCs/>
                <w:szCs w:val="22"/>
              </w:rPr>
              <w:t>Indicador</w:t>
            </w:r>
          </w:p>
        </w:tc>
        <w:tc>
          <w:tcPr>
            <w:tcW w:w="3402" w:type="dxa"/>
            <w:shd w:val="clear" w:color="auto" w:fill="auto"/>
          </w:tcPr>
          <w:p w:rsidR="00BD52B2" w:rsidRPr="006B7AA3" w:rsidRDefault="004F5051" w:rsidP="004F5051">
            <w:pPr>
              <w:rPr>
                <w:b/>
                <w:bCs/>
                <w:szCs w:val="22"/>
              </w:rPr>
            </w:pPr>
            <w:r w:rsidRPr="006B7AA3">
              <w:rPr>
                <w:b/>
                <w:bCs/>
                <w:szCs w:val="22"/>
              </w:rPr>
              <w:t>Calculado a partir de</w:t>
            </w:r>
          </w:p>
        </w:tc>
        <w:tc>
          <w:tcPr>
            <w:tcW w:w="3118" w:type="dxa"/>
            <w:shd w:val="clear" w:color="auto" w:fill="auto"/>
          </w:tcPr>
          <w:p w:rsidR="00BD52B2" w:rsidRPr="006B7AA3" w:rsidRDefault="004F5051" w:rsidP="004F5051">
            <w:pPr>
              <w:rPr>
                <w:b/>
                <w:bCs/>
                <w:szCs w:val="22"/>
              </w:rPr>
            </w:pPr>
            <w:r w:rsidRPr="006B7AA3">
              <w:rPr>
                <w:b/>
                <w:bCs/>
                <w:szCs w:val="22"/>
              </w:rPr>
              <w:t>Plazo (en meses) en 2015</w:t>
            </w:r>
          </w:p>
        </w:tc>
      </w:tr>
      <w:tr w:rsidR="00BD52B2" w:rsidRPr="006B7AA3" w:rsidTr="001C4BD4">
        <w:trPr>
          <w:cantSplit/>
        </w:trPr>
        <w:tc>
          <w:tcPr>
            <w:tcW w:w="2518" w:type="dxa"/>
            <w:shd w:val="clear" w:color="auto" w:fill="auto"/>
          </w:tcPr>
          <w:p w:rsidR="00BD52B2" w:rsidRPr="006B7AA3" w:rsidRDefault="004F5051" w:rsidP="004F5051">
            <w:pPr>
              <w:rPr>
                <w:szCs w:val="22"/>
              </w:rPr>
            </w:pPr>
            <w:r w:rsidRPr="006B7AA3">
              <w:rPr>
                <w:szCs w:val="22"/>
              </w:rPr>
              <w:t>Hasta la búsqueda</w:t>
            </w:r>
          </w:p>
        </w:tc>
        <w:tc>
          <w:tcPr>
            <w:tcW w:w="3402" w:type="dxa"/>
            <w:shd w:val="clear" w:color="auto" w:fill="auto"/>
          </w:tcPr>
          <w:p w:rsidR="00BD52B2" w:rsidRPr="006B7AA3" w:rsidRDefault="004F5051" w:rsidP="004F5051">
            <w:pPr>
              <w:rPr>
                <w:szCs w:val="22"/>
              </w:rPr>
            </w:pPr>
            <w:r w:rsidRPr="006B7AA3">
              <w:rPr>
                <w:szCs w:val="22"/>
              </w:rPr>
              <w:t>Fecha de presentación</w:t>
            </w:r>
          </w:p>
        </w:tc>
        <w:tc>
          <w:tcPr>
            <w:tcW w:w="3118" w:type="dxa"/>
            <w:shd w:val="clear" w:color="auto" w:fill="auto"/>
          </w:tcPr>
          <w:p w:rsidR="00BD52B2" w:rsidRPr="006B7AA3" w:rsidRDefault="00BD52B2" w:rsidP="004F5051">
            <w:pPr>
              <w:ind w:right="1309"/>
              <w:jc w:val="right"/>
              <w:rPr>
                <w:szCs w:val="22"/>
              </w:rPr>
            </w:pPr>
            <w:r w:rsidRPr="006B7AA3">
              <w:rPr>
                <w:szCs w:val="22"/>
              </w:rPr>
              <w:t>5</w:t>
            </w:r>
            <w:r w:rsidR="004F5051" w:rsidRPr="006B7AA3">
              <w:rPr>
                <w:szCs w:val="22"/>
              </w:rPr>
              <w:t>,</w:t>
            </w:r>
            <w:r w:rsidRPr="006B7AA3">
              <w:rPr>
                <w:szCs w:val="22"/>
              </w:rPr>
              <w:t>7</w:t>
            </w:r>
          </w:p>
        </w:tc>
      </w:tr>
      <w:tr w:rsidR="00BD52B2" w:rsidRPr="006B7AA3" w:rsidTr="001C4BD4">
        <w:trPr>
          <w:cantSplit/>
        </w:trPr>
        <w:tc>
          <w:tcPr>
            <w:tcW w:w="2518" w:type="dxa"/>
            <w:shd w:val="clear" w:color="auto" w:fill="auto"/>
          </w:tcPr>
          <w:p w:rsidR="00BD52B2" w:rsidRPr="006B7AA3" w:rsidRDefault="004F5051" w:rsidP="004F5051">
            <w:pPr>
              <w:rPr>
                <w:szCs w:val="22"/>
              </w:rPr>
            </w:pPr>
            <w:r w:rsidRPr="006B7AA3">
              <w:rPr>
                <w:szCs w:val="22"/>
              </w:rPr>
              <w:t>Hasta el primer examen</w:t>
            </w:r>
          </w:p>
        </w:tc>
        <w:tc>
          <w:tcPr>
            <w:tcW w:w="3402" w:type="dxa"/>
            <w:shd w:val="clear" w:color="auto" w:fill="auto"/>
          </w:tcPr>
          <w:p w:rsidR="00BD52B2" w:rsidRPr="006B7AA3" w:rsidRDefault="00BD52B2" w:rsidP="00BD52B2">
            <w:pPr>
              <w:rPr>
                <w:szCs w:val="22"/>
              </w:rPr>
            </w:pPr>
          </w:p>
        </w:tc>
        <w:tc>
          <w:tcPr>
            <w:tcW w:w="3118" w:type="dxa"/>
            <w:shd w:val="clear" w:color="auto" w:fill="auto"/>
          </w:tcPr>
          <w:p w:rsidR="00BD52B2" w:rsidRPr="006B7AA3" w:rsidRDefault="00BD52B2" w:rsidP="00BD52B2">
            <w:pPr>
              <w:ind w:right="1309"/>
              <w:jc w:val="right"/>
              <w:rPr>
                <w:szCs w:val="22"/>
              </w:rPr>
            </w:pPr>
          </w:p>
        </w:tc>
      </w:tr>
      <w:tr w:rsidR="00BD52B2" w:rsidRPr="006B7AA3" w:rsidTr="001C4BD4">
        <w:trPr>
          <w:cantSplit/>
        </w:trPr>
        <w:tc>
          <w:tcPr>
            <w:tcW w:w="2518" w:type="dxa"/>
            <w:shd w:val="clear" w:color="auto" w:fill="auto"/>
          </w:tcPr>
          <w:p w:rsidR="00BD52B2" w:rsidRPr="006B7AA3" w:rsidRDefault="004F5051" w:rsidP="004F5051">
            <w:pPr>
              <w:rPr>
                <w:szCs w:val="22"/>
              </w:rPr>
            </w:pPr>
            <w:r w:rsidRPr="006B7AA3">
              <w:rPr>
                <w:szCs w:val="22"/>
              </w:rPr>
              <w:t>Hasta la concesión</w:t>
            </w:r>
          </w:p>
        </w:tc>
        <w:tc>
          <w:tcPr>
            <w:tcW w:w="3402" w:type="dxa"/>
            <w:shd w:val="clear" w:color="auto" w:fill="auto"/>
          </w:tcPr>
          <w:p w:rsidR="00BD52B2" w:rsidRPr="006B7AA3" w:rsidRDefault="004F5051" w:rsidP="004F5051">
            <w:pPr>
              <w:rPr>
                <w:szCs w:val="22"/>
              </w:rPr>
            </w:pPr>
            <w:r w:rsidRPr="006B7AA3">
              <w:rPr>
                <w:szCs w:val="22"/>
              </w:rPr>
              <w:t>Registro de la petición de examen</w:t>
            </w:r>
          </w:p>
        </w:tc>
        <w:tc>
          <w:tcPr>
            <w:tcW w:w="3118" w:type="dxa"/>
            <w:shd w:val="clear" w:color="auto" w:fill="auto"/>
          </w:tcPr>
          <w:p w:rsidR="00BD52B2" w:rsidRPr="006B7AA3" w:rsidRDefault="00BD52B2" w:rsidP="004F5051">
            <w:pPr>
              <w:ind w:right="1309"/>
              <w:jc w:val="right"/>
              <w:rPr>
                <w:szCs w:val="22"/>
              </w:rPr>
            </w:pPr>
            <w:r w:rsidRPr="006B7AA3">
              <w:rPr>
                <w:szCs w:val="22"/>
              </w:rPr>
              <w:t>28</w:t>
            </w:r>
            <w:r w:rsidR="004F5051" w:rsidRPr="006B7AA3">
              <w:rPr>
                <w:szCs w:val="22"/>
              </w:rPr>
              <w:t>,</w:t>
            </w:r>
            <w:r w:rsidRPr="006B7AA3">
              <w:rPr>
                <w:szCs w:val="22"/>
              </w:rPr>
              <w:t>9</w:t>
            </w:r>
          </w:p>
        </w:tc>
      </w:tr>
    </w:tbl>
    <w:p w:rsidR="004F1BFB" w:rsidRPr="006B7AA3" w:rsidRDefault="004F1BFB" w:rsidP="00BD52B2">
      <w:pPr>
        <w:rPr>
          <w:szCs w:val="22"/>
        </w:rPr>
      </w:pPr>
    </w:p>
    <w:p w:rsidR="00BD52B2" w:rsidRPr="006B7AA3" w:rsidRDefault="004F5051" w:rsidP="004F5051">
      <w:pPr>
        <w:keepNext/>
        <w:keepLines/>
        <w:shd w:val="clear" w:color="auto" w:fill="FFFFFF" w:themeFill="background1"/>
        <w:rPr>
          <w:b/>
          <w:bCs/>
          <w:szCs w:val="22"/>
        </w:rPr>
      </w:pPr>
      <w:r w:rsidRPr="006B7AA3">
        <w:rPr>
          <w:b/>
          <w:bCs/>
          <w:szCs w:val="22"/>
        </w:rPr>
        <w:lastRenderedPageBreak/>
        <w:t>Carga de trabajo</w:t>
      </w:r>
      <w:r w:rsidRPr="006B7AA3">
        <w:rPr>
          <w:bCs/>
          <w:szCs w:val="22"/>
        </w:rPr>
        <w:t xml:space="preserve"> </w:t>
      </w:r>
      <w:r w:rsidRPr="006B7AA3">
        <w:rPr>
          <w:b/>
          <w:bCs/>
          <w:szCs w:val="22"/>
        </w:rPr>
        <w:t>nacional</w:t>
      </w:r>
      <w:r w:rsidR="00BD52B2" w:rsidRPr="006B7AA3">
        <w:rPr>
          <w:b/>
          <w:bCs/>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43"/>
        <w:gridCol w:w="3403"/>
      </w:tblGrid>
      <w:tr w:rsidR="00BD52B2" w:rsidRPr="006B7AA3" w:rsidTr="001C4BD4">
        <w:trPr>
          <w:cantSplit/>
        </w:trPr>
        <w:tc>
          <w:tcPr>
            <w:tcW w:w="4643" w:type="dxa"/>
            <w:shd w:val="clear" w:color="auto" w:fill="FFFFFF" w:themeFill="background1"/>
          </w:tcPr>
          <w:p w:rsidR="00BD52B2" w:rsidRPr="006B7AA3" w:rsidRDefault="004F5051" w:rsidP="004F5051">
            <w:pPr>
              <w:keepNext/>
              <w:keepLines/>
              <w:shd w:val="clear" w:color="auto" w:fill="FFFFFF" w:themeFill="background1"/>
              <w:rPr>
                <w:b/>
                <w:bCs/>
                <w:szCs w:val="22"/>
              </w:rPr>
            </w:pPr>
            <w:r w:rsidRPr="006B7AA3">
              <w:rPr>
                <w:b/>
                <w:bCs/>
                <w:szCs w:val="22"/>
              </w:rPr>
              <w:t>Medida</w:t>
            </w:r>
          </w:p>
        </w:tc>
        <w:tc>
          <w:tcPr>
            <w:tcW w:w="3403" w:type="dxa"/>
            <w:shd w:val="clear" w:color="auto" w:fill="FFFFFF" w:themeFill="background1"/>
          </w:tcPr>
          <w:p w:rsidR="00BD52B2" w:rsidRPr="006B7AA3" w:rsidRDefault="004F5051" w:rsidP="004F5051">
            <w:pPr>
              <w:keepNext/>
              <w:keepLines/>
              <w:shd w:val="clear" w:color="auto" w:fill="FFFFFF" w:themeFill="background1"/>
              <w:rPr>
                <w:b/>
                <w:bCs/>
                <w:szCs w:val="22"/>
              </w:rPr>
            </w:pPr>
            <w:r w:rsidRPr="006B7AA3">
              <w:rPr>
                <w:b/>
                <w:bCs/>
                <w:szCs w:val="22"/>
              </w:rPr>
              <w:t>Número de solicitudes</w:t>
            </w:r>
          </w:p>
        </w:tc>
      </w:tr>
      <w:tr w:rsidR="00BD52B2" w:rsidRPr="006B7AA3" w:rsidTr="001C4BD4">
        <w:trPr>
          <w:cantSplit/>
        </w:trPr>
        <w:tc>
          <w:tcPr>
            <w:tcW w:w="4643" w:type="dxa"/>
            <w:shd w:val="clear" w:color="auto" w:fill="FFFFFF" w:themeFill="background1"/>
          </w:tcPr>
          <w:p w:rsidR="00BD52B2" w:rsidRPr="006B7AA3" w:rsidRDefault="004F5051" w:rsidP="004F5051">
            <w:pPr>
              <w:keepNext/>
              <w:keepLines/>
              <w:shd w:val="clear" w:color="auto" w:fill="FFFFFF" w:themeFill="background1"/>
              <w:rPr>
                <w:szCs w:val="22"/>
              </w:rPr>
            </w:pPr>
            <w:r w:rsidRPr="006B7AA3">
              <w:rPr>
                <w:szCs w:val="22"/>
              </w:rPr>
              <w:t>Todas las solicitudes pendientes</w:t>
            </w:r>
          </w:p>
        </w:tc>
        <w:tc>
          <w:tcPr>
            <w:tcW w:w="3403" w:type="dxa"/>
            <w:shd w:val="clear" w:color="auto" w:fill="FFFFFF" w:themeFill="background1"/>
          </w:tcPr>
          <w:p w:rsidR="00BD52B2" w:rsidRPr="006B7AA3" w:rsidRDefault="004F5051" w:rsidP="004F5051">
            <w:pPr>
              <w:keepNext/>
              <w:keepLines/>
              <w:shd w:val="clear" w:color="auto" w:fill="FFFFFF" w:themeFill="background1"/>
              <w:rPr>
                <w:szCs w:val="22"/>
              </w:rPr>
            </w:pPr>
            <w:r w:rsidRPr="006B7AA3">
              <w:rPr>
                <w:szCs w:val="22"/>
              </w:rPr>
              <w:t xml:space="preserve">684.004 en 2015 (Indicadores de </w:t>
            </w:r>
            <w:r w:rsidR="006B7AA3" w:rsidRPr="006B7AA3">
              <w:rPr>
                <w:szCs w:val="22"/>
              </w:rPr>
              <w:t>propiedad</w:t>
            </w:r>
            <w:r w:rsidRPr="006B7AA3">
              <w:rPr>
                <w:szCs w:val="22"/>
              </w:rPr>
              <w:t xml:space="preserve"> intelectual de la OMPI, 2016 - base de datos estadísticos de la OMPI)</w:t>
            </w:r>
          </w:p>
        </w:tc>
      </w:tr>
      <w:tr w:rsidR="00BD52B2" w:rsidRPr="006B7AA3" w:rsidTr="001C4BD4">
        <w:trPr>
          <w:cantSplit/>
        </w:trPr>
        <w:tc>
          <w:tcPr>
            <w:tcW w:w="4643" w:type="dxa"/>
            <w:shd w:val="clear" w:color="auto" w:fill="FFFFFF" w:themeFill="background1"/>
          </w:tcPr>
          <w:p w:rsidR="00BD52B2" w:rsidRPr="006B7AA3" w:rsidRDefault="00466624" w:rsidP="00466624">
            <w:pPr>
              <w:keepNext/>
              <w:keepLines/>
              <w:shd w:val="clear" w:color="auto" w:fill="FFFFFF" w:themeFill="background1"/>
              <w:rPr>
                <w:szCs w:val="22"/>
              </w:rPr>
            </w:pPr>
            <w:r w:rsidRPr="006B7AA3">
              <w:rPr>
                <w:szCs w:val="22"/>
              </w:rPr>
              <w:t>Solicitudes en espera de la búsqueda (una vez abonadas las tasas correspondientes)</w:t>
            </w:r>
          </w:p>
        </w:tc>
        <w:tc>
          <w:tcPr>
            <w:tcW w:w="3403" w:type="dxa"/>
            <w:shd w:val="clear" w:color="auto" w:fill="FFFFFF" w:themeFill="background1"/>
          </w:tcPr>
          <w:p w:rsidR="00BD52B2" w:rsidRPr="006B7AA3" w:rsidRDefault="00466624" w:rsidP="00466624">
            <w:pPr>
              <w:keepNext/>
              <w:keepLines/>
              <w:shd w:val="clear" w:color="auto" w:fill="FFFFFF" w:themeFill="background1"/>
              <w:rPr>
                <w:szCs w:val="22"/>
              </w:rPr>
            </w:pPr>
            <w:r w:rsidRPr="006B7AA3">
              <w:rPr>
                <w:szCs w:val="22"/>
              </w:rPr>
              <w:t>-</w:t>
            </w:r>
          </w:p>
        </w:tc>
      </w:tr>
      <w:tr w:rsidR="00BD52B2" w:rsidRPr="006B7AA3" w:rsidTr="001C4BD4">
        <w:trPr>
          <w:cantSplit/>
        </w:trPr>
        <w:tc>
          <w:tcPr>
            <w:tcW w:w="4643" w:type="dxa"/>
            <w:shd w:val="clear" w:color="auto" w:fill="FFFFFF" w:themeFill="background1"/>
          </w:tcPr>
          <w:p w:rsidR="00BD52B2" w:rsidRPr="006B7AA3" w:rsidRDefault="00466624" w:rsidP="001C7472">
            <w:pPr>
              <w:keepLines/>
              <w:shd w:val="clear" w:color="auto" w:fill="FFFFFF" w:themeFill="background1"/>
              <w:rPr>
                <w:szCs w:val="22"/>
              </w:rPr>
            </w:pPr>
            <w:r w:rsidRPr="006B7AA3">
              <w:rPr>
                <w:szCs w:val="22"/>
              </w:rPr>
              <w:t xml:space="preserve">Solicitudes en espera del primer examen (una vez abonadas </w:t>
            </w:r>
            <w:r w:rsidR="001C7472">
              <w:rPr>
                <w:szCs w:val="22"/>
              </w:rPr>
              <w:t xml:space="preserve">las </w:t>
            </w:r>
            <w:r w:rsidRPr="006B7AA3">
              <w:rPr>
                <w:szCs w:val="22"/>
              </w:rPr>
              <w:t>tasas correspondientes)</w:t>
            </w:r>
          </w:p>
        </w:tc>
        <w:tc>
          <w:tcPr>
            <w:tcW w:w="3403" w:type="dxa"/>
            <w:shd w:val="clear" w:color="auto" w:fill="FFFFFF" w:themeFill="background1"/>
          </w:tcPr>
          <w:p w:rsidR="00BD52B2" w:rsidRPr="006B7AA3" w:rsidRDefault="00BD52B2" w:rsidP="00BD52B2">
            <w:pPr>
              <w:shd w:val="clear" w:color="auto" w:fill="FFFFFF" w:themeFill="background1"/>
              <w:rPr>
                <w:szCs w:val="22"/>
              </w:rPr>
            </w:pPr>
            <w:r w:rsidRPr="006B7AA3">
              <w:rPr>
                <w:szCs w:val="22"/>
              </w:rPr>
              <w:t>-</w:t>
            </w:r>
          </w:p>
        </w:tc>
      </w:tr>
    </w:tbl>
    <w:p w:rsidR="004F1BFB" w:rsidRPr="006B7AA3" w:rsidRDefault="004F1BFB" w:rsidP="00BD52B2"/>
    <w:p w:rsidR="004F1BFB" w:rsidRPr="006B7AA3" w:rsidRDefault="004F1BFB" w:rsidP="0045694F">
      <w:pPr>
        <w:pStyle w:val="ONUME"/>
        <w:numPr>
          <w:ilvl w:val="0"/>
          <w:numId w:val="0"/>
        </w:numPr>
        <w:jc w:val="center"/>
      </w:pPr>
    </w:p>
    <w:p w:rsidR="004F1BFB" w:rsidRPr="006B7AA3" w:rsidRDefault="00BD52B2" w:rsidP="00BD52B2">
      <w:pPr>
        <w:pStyle w:val="Endofdocument-Annex"/>
        <w:rPr>
          <w:lang w:val="es-ES"/>
        </w:rPr>
      </w:pPr>
      <w:r w:rsidRPr="006B7AA3">
        <w:rPr>
          <w:lang w:val="es-ES"/>
        </w:rPr>
        <w:t>[Fin del Anexo y del documento]</w:t>
      </w:r>
    </w:p>
    <w:p w:rsidR="004F1BFB" w:rsidRPr="006B7AA3" w:rsidRDefault="004F1BFB" w:rsidP="00BD52B2">
      <w:pPr>
        <w:pStyle w:val="Endofdocument-Annex"/>
        <w:rPr>
          <w:lang w:val="es-ES"/>
        </w:rPr>
      </w:pPr>
    </w:p>
    <w:sectPr w:rsidR="004F1BFB" w:rsidRPr="006B7AA3" w:rsidSect="00AA5F7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838" w:rsidRDefault="003E2838">
      <w:r>
        <w:separator/>
      </w:r>
    </w:p>
  </w:endnote>
  <w:endnote w:type="continuationSeparator" w:id="0">
    <w:p w:rsidR="003E2838" w:rsidRPr="009D30E6" w:rsidRDefault="003E2838" w:rsidP="007E663E">
      <w:pPr>
        <w:rPr>
          <w:sz w:val="17"/>
          <w:szCs w:val="17"/>
        </w:rPr>
      </w:pPr>
      <w:r w:rsidRPr="009D30E6">
        <w:rPr>
          <w:sz w:val="17"/>
          <w:szCs w:val="17"/>
        </w:rPr>
        <w:separator/>
      </w:r>
    </w:p>
    <w:p w:rsidR="003E2838" w:rsidRPr="007E663E" w:rsidRDefault="003E2838" w:rsidP="007E663E">
      <w:pPr>
        <w:spacing w:after="60"/>
        <w:rPr>
          <w:sz w:val="17"/>
          <w:szCs w:val="17"/>
        </w:rPr>
      </w:pPr>
      <w:r>
        <w:rPr>
          <w:sz w:val="17"/>
        </w:rPr>
        <w:t>[Continuación de la nota de la página anterior]</w:t>
      </w:r>
    </w:p>
  </w:endnote>
  <w:endnote w:type="continuationNotice" w:id="1">
    <w:p w:rsidR="003E2838" w:rsidRPr="007E663E" w:rsidRDefault="003E283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838" w:rsidRDefault="003E2838">
      <w:r>
        <w:separator/>
      </w:r>
    </w:p>
  </w:footnote>
  <w:footnote w:type="continuationSeparator" w:id="0">
    <w:p w:rsidR="003E2838" w:rsidRPr="009D30E6" w:rsidRDefault="003E2838" w:rsidP="007E663E">
      <w:pPr>
        <w:rPr>
          <w:sz w:val="17"/>
          <w:szCs w:val="17"/>
        </w:rPr>
      </w:pPr>
      <w:r w:rsidRPr="009D30E6">
        <w:rPr>
          <w:sz w:val="17"/>
          <w:szCs w:val="17"/>
        </w:rPr>
        <w:separator/>
      </w:r>
    </w:p>
    <w:p w:rsidR="003E2838" w:rsidRPr="007E663E" w:rsidRDefault="003E2838" w:rsidP="007E663E">
      <w:pPr>
        <w:spacing w:after="60"/>
        <w:rPr>
          <w:sz w:val="17"/>
          <w:szCs w:val="17"/>
        </w:rPr>
      </w:pPr>
      <w:r>
        <w:rPr>
          <w:sz w:val="17"/>
        </w:rPr>
        <w:t>[Continuación de la nota de la página anterior]</w:t>
      </w:r>
    </w:p>
  </w:footnote>
  <w:footnote w:type="continuationNotice" w:id="1">
    <w:p w:rsidR="003E2838" w:rsidRPr="007E663E" w:rsidRDefault="003E2838" w:rsidP="007E663E">
      <w:pPr>
        <w:spacing w:before="60"/>
        <w:jc w:val="right"/>
        <w:rPr>
          <w:sz w:val="17"/>
          <w:szCs w:val="17"/>
        </w:rPr>
      </w:pPr>
      <w:r w:rsidRPr="007E663E">
        <w:rPr>
          <w:sz w:val="17"/>
          <w:szCs w:val="17"/>
        </w:rPr>
        <w:t>[Sigue la nota en la página siguiente]</w:t>
      </w:r>
    </w:p>
  </w:footnote>
  <w:footnote w:id="2">
    <w:p w:rsidR="007A0978" w:rsidRDefault="007A0978" w:rsidP="007A0978">
      <w:pPr>
        <w:pStyle w:val="FootnoteText"/>
      </w:pPr>
      <w:r>
        <w:rPr>
          <w:rStyle w:val="FootnoteReference"/>
        </w:rPr>
        <w:footnoteRef/>
      </w:r>
      <w:r>
        <w:t xml:space="preserve"> </w:t>
      </w:r>
      <w:r>
        <w:tab/>
      </w:r>
      <w:r w:rsidRPr="007A0978">
        <w:rPr>
          <w:lang w:val="es-ES_tradnl"/>
        </w:rPr>
        <w:t xml:space="preserve">Puede consultarse en el sitio web de la OMPI, en </w:t>
      </w:r>
      <w:hyperlink r:id="rId1" w:history="1">
        <w:r w:rsidRPr="007A0978">
          <w:rPr>
            <w:rStyle w:val="Hyperlink"/>
            <w:noProof w:val="0"/>
            <w:szCs w:val="20"/>
            <w:lang w:val="es-ES_tradnl"/>
          </w:rPr>
          <w:t>http://www.wipo.int/pct/en/quality/authorities.html</w:t>
        </w:r>
      </w:hyperlink>
      <w:r w:rsidRPr="007A0978">
        <w:rPr>
          <w:lang w:val="es-ES_tradnl"/>
        </w:rPr>
        <w:t>.</w:t>
      </w:r>
    </w:p>
    <w:p w:rsidR="007A0978" w:rsidRDefault="007A0978" w:rsidP="007A097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3F5AAE" w:rsidP="00477D6B">
    <w:pPr>
      <w:jc w:val="right"/>
    </w:pPr>
    <w:bookmarkStart w:id="7" w:name="Code2"/>
    <w:bookmarkEnd w:id="7"/>
    <w:r>
      <w:t>PCT/CTC/30/6</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DA1FEB">
      <w:rPr>
        <w:noProof/>
      </w:rPr>
      <w:t>6</w:t>
    </w:r>
    <w:r>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Pr="00AA5F79" w:rsidRDefault="0045694F" w:rsidP="00477D6B">
    <w:pPr>
      <w:jc w:val="right"/>
      <w:rPr>
        <w:lang w:val="fr-FR"/>
      </w:rPr>
    </w:pPr>
    <w:r w:rsidRPr="00AA5F79">
      <w:rPr>
        <w:lang w:val="fr-FR"/>
      </w:rPr>
      <w:t>PCT/CTC/30</w:t>
    </w:r>
    <w:r>
      <w:rPr>
        <w:lang w:val="fr-FR"/>
      </w:rPr>
      <w:t>/</w:t>
    </w:r>
    <w:r w:rsidR="00BD52B2">
      <w:rPr>
        <w:lang w:val="fr-FR"/>
      </w:rPr>
      <w:t>10</w:t>
    </w:r>
  </w:p>
  <w:p w:rsidR="00AA5F79" w:rsidRPr="00AA5F79" w:rsidRDefault="0045694F" w:rsidP="00477D6B">
    <w:pPr>
      <w:jc w:val="right"/>
      <w:rPr>
        <w:lang w:val="fr-FR"/>
      </w:rPr>
    </w:pPr>
    <w:r w:rsidRPr="00AA5F79">
      <w:rPr>
        <w:lang w:val="fr-FR"/>
      </w:rPr>
      <w:t>Anex</w:t>
    </w:r>
    <w:r w:rsidR="00EB20A3">
      <w:rPr>
        <w:lang w:val="fr-FR"/>
      </w:rPr>
      <w:t>o</w:t>
    </w:r>
    <w:r w:rsidRPr="00AA5F79">
      <w:rPr>
        <w:lang w:val="fr-FR"/>
      </w:rPr>
      <w:t xml:space="preserve">, </w:t>
    </w:r>
    <w:r w:rsidR="00EB20A3">
      <w:rPr>
        <w:lang w:val="fr-FR"/>
      </w:rPr>
      <w:t>página</w:t>
    </w:r>
    <w:r w:rsidRPr="00AA5F79">
      <w:rPr>
        <w:lang w:val="fr-FR"/>
      </w:rPr>
      <w:t xml:space="preserve"> </w:t>
    </w:r>
    <w:r>
      <w:fldChar w:fldCharType="begin"/>
    </w:r>
    <w:r w:rsidRPr="00AA5F79">
      <w:rPr>
        <w:lang w:val="fr-FR"/>
      </w:rPr>
      <w:instrText xml:space="preserve"> PAGE  \* MERGEFORMAT </w:instrText>
    </w:r>
    <w:r>
      <w:fldChar w:fldCharType="separate"/>
    </w:r>
    <w:r w:rsidR="00506454">
      <w:rPr>
        <w:noProof/>
        <w:lang w:val="fr-FR"/>
      </w:rPr>
      <w:t>2</w:t>
    </w:r>
    <w:r>
      <w:fldChar w:fldCharType="end"/>
    </w:r>
  </w:p>
  <w:p w:rsidR="00AA5F79" w:rsidRPr="00AA5F79" w:rsidRDefault="00506454"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Default="0045694F" w:rsidP="00AA5F79">
    <w:pPr>
      <w:pStyle w:val="Header"/>
      <w:jc w:val="right"/>
    </w:pPr>
    <w:r>
      <w:t>PCT/CTC/30/</w:t>
    </w:r>
    <w:r w:rsidR="00BD52B2">
      <w:t>10</w:t>
    </w:r>
  </w:p>
  <w:p w:rsidR="00AA5F79" w:rsidRDefault="0045694F" w:rsidP="00AA5F79">
    <w:pPr>
      <w:pStyle w:val="Header"/>
      <w:jc w:val="right"/>
    </w:pPr>
    <w:r>
      <w:t>A</w:t>
    </w:r>
    <w:r w:rsidR="00EB20A3">
      <w:t>N</w:t>
    </w:r>
    <w:r>
      <w:t>EX</w:t>
    </w:r>
    <w:r w:rsidR="00EB20A3">
      <w:t>O</w:t>
    </w:r>
  </w:p>
  <w:p w:rsidR="00AA5F79" w:rsidRDefault="005064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D54767"/>
    <w:multiLevelType w:val="multilevel"/>
    <w:tmpl w:val="10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574"/>
        </w:tabs>
        <w:ind w:left="574"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B5D232F"/>
    <w:multiLevelType w:val="multilevel"/>
    <w:tmpl w:val="FFD6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87606D"/>
    <w:multiLevelType w:val="multilevel"/>
    <w:tmpl w:val="E1D4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C45C73"/>
    <w:multiLevelType w:val="hybridMultilevel"/>
    <w:tmpl w:val="FA38FB9C"/>
    <w:lvl w:ilvl="0" w:tplc="F70ABB6E">
      <w:start w:val="9"/>
      <w:numFmt w:val="bullet"/>
      <w:lvlText w:val="-"/>
      <w:lvlJc w:val="left"/>
      <w:pPr>
        <w:ind w:left="720" w:hanging="360"/>
      </w:pPr>
      <w:rPr>
        <w:rFonts w:ascii="Arial" w:eastAsia="SimSu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F25568"/>
    <w:multiLevelType w:val="hybridMultilevel"/>
    <w:tmpl w:val="6F02001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C381A1A"/>
    <w:multiLevelType w:val="hybridMultilevel"/>
    <w:tmpl w:val="1050438A"/>
    <w:lvl w:ilvl="0" w:tplc="4F64034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2CC366DB"/>
    <w:multiLevelType w:val="hybridMultilevel"/>
    <w:tmpl w:val="3474D770"/>
    <w:lvl w:ilvl="0" w:tplc="4F64034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2EBA6089"/>
    <w:multiLevelType w:val="hybridMultilevel"/>
    <w:tmpl w:val="1AEC18E0"/>
    <w:lvl w:ilvl="0" w:tplc="1009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2F86543A"/>
    <w:multiLevelType w:val="hybridMultilevel"/>
    <w:tmpl w:val="18721A9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0BC5DC3"/>
    <w:multiLevelType w:val="hybridMultilevel"/>
    <w:tmpl w:val="ACEEA62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8A73041"/>
    <w:multiLevelType w:val="hybridMultilevel"/>
    <w:tmpl w:val="CA0601FC"/>
    <w:lvl w:ilvl="0" w:tplc="4F64034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2D22761"/>
    <w:multiLevelType w:val="hybridMultilevel"/>
    <w:tmpl w:val="2732F37C"/>
    <w:lvl w:ilvl="0" w:tplc="60E0E7FC">
      <w:start w:val="1"/>
      <w:numFmt w:val="lowerLetter"/>
      <w:pStyle w:val="Heading1"/>
      <w:lvlText w:val="%1."/>
      <w:lvlJc w:val="left"/>
      <w:pPr>
        <w:ind w:left="720" w:hanging="360"/>
      </w:pPr>
      <w:rPr>
        <w:rFonts w:hint="default"/>
        <w:b/>
      </w:rPr>
    </w:lvl>
    <w:lvl w:ilvl="1" w:tplc="0C0C0019" w:tentative="1">
      <w:start w:val="1"/>
      <w:numFmt w:val="lowerLetter"/>
      <w:pStyle w:val="Heading2"/>
      <w:lvlText w:val="%2."/>
      <w:lvlJc w:val="left"/>
      <w:pPr>
        <w:ind w:left="1440" w:hanging="360"/>
      </w:pPr>
    </w:lvl>
    <w:lvl w:ilvl="2" w:tplc="0C0C001B" w:tentative="1">
      <w:start w:val="1"/>
      <w:numFmt w:val="lowerRoman"/>
      <w:pStyle w:val="Heading3"/>
      <w:lvlText w:val="%3."/>
      <w:lvlJc w:val="right"/>
      <w:pPr>
        <w:ind w:left="2160" w:hanging="180"/>
      </w:pPr>
    </w:lvl>
    <w:lvl w:ilvl="3" w:tplc="0C0C000F" w:tentative="1">
      <w:start w:val="1"/>
      <w:numFmt w:val="decimal"/>
      <w:pStyle w:val="Heading4"/>
      <w:lvlText w:val="%4."/>
      <w:lvlJc w:val="left"/>
      <w:pPr>
        <w:ind w:left="2880" w:hanging="360"/>
      </w:pPr>
    </w:lvl>
    <w:lvl w:ilvl="4" w:tplc="0C0C0019" w:tentative="1">
      <w:start w:val="1"/>
      <w:numFmt w:val="lowerLetter"/>
      <w:pStyle w:val="Heading5"/>
      <w:lvlText w:val="%5."/>
      <w:lvlJc w:val="left"/>
      <w:pPr>
        <w:ind w:left="3600" w:hanging="360"/>
      </w:pPr>
    </w:lvl>
    <w:lvl w:ilvl="5" w:tplc="0C0C001B" w:tentative="1">
      <w:start w:val="1"/>
      <w:numFmt w:val="lowerRoman"/>
      <w:pStyle w:val="Heading6"/>
      <w:lvlText w:val="%6."/>
      <w:lvlJc w:val="right"/>
      <w:pPr>
        <w:ind w:left="4320" w:hanging="180"/>
      </w:pPr>
    </w:lvl>
    <w:lvl w:ilvl="6" w:tplc="0C0C000F" w:tentative="1">
      <w:start w:val="1"/>
      <w:numFmt w:val="decimal"/>
      <w:pStyle w:val="Heading7"/>
      <w:lvlText w:val="%7."/>
      <w:lvlJc w:val="left"/>
      <w:pPr>
        <w:ind w:left="5040" w:hanging="360"/>
      </w:pPr>
    </w:lvl>
    <w:lvl w:ilvl="7" w:tplc="0C0C0019" w:tentative="1">
      <w:start w:val="1"/>
      <w:numFmt w:val="lowerLetter"/>
      <w:pStyle w:val="Heading8"/>
      <w:lvlText w:val="%8."/>
      <w:lvlJc w:val="left"/>
      <w:pPr>
        <w:ind w:left="5760" w:hanging="360"/>
      </w:pPr>
    </w:lvl>
    <w:lvl w:ilvl="8" w:tplc="0C0C001B" w:tentative="1">
      <w:start w:val="1"/>
      <w:numFmt w:val="lowerRoman"/>
      <w:pStyle w:val="Heading9"/>
      <w:lvlText w:val="%9."/>
      <w:lvlJc w:val="right"/>
      <w:pPr>
        <w:ind w:left="6480" w:hanging="180"/>
      </w:pPr>
    </w:lvl>
  </w:abstractNum>
  <w:abstractNum w:abstractNumId="18">
    <w:nsid w:val="7FC57685"/>
    <w:multiLevelType w:val="hybridMultilevel"/>
    <w:tmpl w:val="1964634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16"/>
  </w:num>
  <w:num w:numId="5">
    <w:abstractNumId w:val="1"/>
  </w:num>
  <w:num w:numId="6">
    <w:abstractNumId w:val="8"/>
  </w:num>
  <w:num w:numId="7">
    <w:abstractNumId w:val="17"/>
  </w:num>
  <w:num w:numId="8">
    <w:abstractNumId w:val="5"/>
  </w:num>
  <w:num w:numId="9">
    <w:abstractNumId w:val="9"/>
  </w:num>
  <w:num w:numId="10">
    <w:abstractNumId w:val="4"/>
  </w:num>
  <w:num w:numId="11">
    <w:abstractNumId w:val="3"/>
  </w:num>
  <w:num w:numId="12">
    <w:abstractNumId w:val="2"/>
  </w:num>
  <w:num w:numId="13">
    <w:abstractNumId w:val="18"/>
  </w:num>
  <w:num w:numId="14">
    <w:abstractNumId w:val="11"/>
  </w:num>
  <w:num w:numId="15">
    <w:abstractNumId w:val="7"/>
  </w:num>
  <w:num w:numId="16">
    <w:abstractNumId w:val="10"/>
  </w:num>
  <w:num w:numId="17">
    <w:abstractNumId w:val="14"/>
  </w:num>
  <w:num w:numId="18">
    <w:abstractNumId w:val="12"/>
  </w:num>
  <w:num w:numId="19">
    <w:abstractNumId w:val="13"/>
  </w:num>
  <w:num w:numId="20">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
    <w:docVar w:name="TermBaseURL" w:val="empty"/>
    <w:docVar w:name="TextBases" w:val="TextBase TMs\WorkspaceSTS\Administration &amp; Finance\FAB Main|Team Server TMs\Spanish|TextBase TMs\WorkspaceSTS\Outreach\POW Main|TextBase TMs\WorkspaceSTS\Administration &amp; Finance\Current Budget|TextBase TMs\WorkspaceSTS\Administration &amp; Finance\FAB Instruments|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Patents &amp; Innovation\P Instruments|TextBase TMs\WorkspaceSTS\Treaties &amp; Laws\WIPO Lex|TextBase TMs\WorkspaceSTS\UPOV\UPOV Main|TextBase TMs\WorkspaceSTS\XLegacy\LegacySTS|TextBase TMs\WorkspaceSTS\Patents &amp; Innovation\Patents Main"/>
    <w:docVar w:name="TextBaseURL" w:val="empty"/>
    <w:docVar w:name="UILng" w:val="en"/>
  </w:docVars>
  <w:rsids>
    <w:rsidRoot w:val="003F5AAE"/>
    <w:rsid w:val="00010686"/>
    <w:rsid w:val="00015236"/>
    <w:rsid w:val="0002355F"/>
    <w:rsid w:val="00052915"/>
    <w:rsid w:val="000C109F"/>
    <w:rsid w:val="000D24BA"/>
    <w:rsid w:val="000E3BB3"/>
    <w:rsid w:val="000F5E56"/>
    <w:rsid w:val="0013458F"/>
    <w:rsid w:val="001362EE"/>
    <w:rsid w:val="00152CEA"/>
    <w:rsid w:val="00176B07"/>
    <w:rsid w:val="001832A6"/>
    <w:rsid w:val="001C7472"/>
    <w:rsid w:val="001E0C7A"/>
    <w:rsid w:val="0022235C"/>
    <w:rsid w:val="002338FE"/>
    <w:rsid w:val="00253927"/>
    <w:rsid w:val="002634C4"/>
    <w:rsid w:val="00281945"/>
    <w:rsid w:val="002A448A"/>
    <w:rsid w:val="002D6241"/>
    <w:rsid w:val="002E0F47"/>
    <w:rsid w:val="002F4E68"/>
    <w:rsid w:val="00307A6F"/>
    <w:rsid w:val="00307D49"/>
    <w:rsid w:val="003472CD"/>
    <w:rsid w:val="00354647"/>
    <w:rsid w:val="00377273"/>
    <w:rsid w:val="003774CC"/>
    <w:rsid w:val="003845C1"/>
    <w:rsid w:val="00387287"/>
    <w:rsid w:val="00396AE9"/>
    <w:rsid w:val="003A3423"/>
    <w:rsid w:val="003E2838"/>
    <w:rsid w:val="003E48F1"/>
    <w:rsid w:val="003F347A"/>
    <w:rsid w:val="003F5AAE"/>
    <w:rsid w:val="00405F9A"/>
    <w:rsid w:val="00421189"/>
    <w:rsid w:val="0042148C"/>
    <w:rsid w:val="00423E3E"/>
    <w:rsid w:val="00427AF4"/>
    <w:rsid w:val="0045231F"/>
    <w:rsid w:val="0045694F"/>
    <w:rsid w:val="004647DA"/>
    <w:rsid w:val="00466624"/>
    <w:rsid w:val="0046793F"/>
    <w:rsid w:val="00472040"/>
    <w:rsid w:val="00477808"/>
    <w:rsid w:val="00477D6B"/>
    <w:rsid w:val="00484226"/>
    <w:rsid w:val="0049342D"/>
    <w:rsid w:val="004A6C37"/>
    <w:rsid w:val="004C2ACE"/>
    <w:rsid w:val="004C588E"/>
    <w:rsid w:val="004E297D"/>
    <w:rsid w:val="004F010B"/>
    <w:rsid w:val="004F1BFB"/>
    <w:rsid w:val="004F3920"/>
    <w:rsid w:val="004F5051"/>
    <w:rsid w:val="00506454"/>
    <w:rsid w:val="00515752"/>
    <w:rsid w:val="005306DE"/>
    <w:rsid w:val="00531B02"/>
    <w:rsid w:val="005332F0"/>
    <w:rsid w:val="0055013B"/>
    <w:rsid w:val="00571B99"/>
    <w:rsid w:val="00580E17"/>
    <w:rsid w:val="00605827"/>
    <w:rsid w:val="0061059B"/>
    <w:rsid w:val="00621399"/>
    <w:rsid w:val="00627BDC"/>
    <w:rsid w:val="00640255"/>
    <w:rsid w:val="00675021"/>
    <w:rsid w:val="006A06C6"/>
    <w:rsid w:val="006B704A"/>
    <w:rsid w:val="006B7AA3"/>
    <w:rsid w:val="006E07ED"/>
    <w:rsid w:val="007224C8"/>
    <w:rsid w:val="00726112"/>
    <w:rsid w:val="00752C7F"/>
    <w:rsid w:val="00794BE2"/>
    <w:rsid w:val="007A0978"/>
    <w:rsid w:val="007A5581"/>
    <w:rsid w:val="007B71FE"/>
    <w:rsid w:val="007D2978"/>
    <w:rsid w:val="007D36E7"/>
    <w:rsid w:val="007D781E"/>
    <w:rsid w:val="007E32D9"/>
    <w:rsid w:val="007E663E"/>
    <w:rsid w:val="00815082"/>
    <w:rsid w:val="00836707"/>
    <w:rsid w:val="00850AD1"/>
    <w:rsid w:val="00870CCD"/>
    <w:rsid w:val="00871B56"/>
    <w:rsid w:val="0088395E"/>
    <w:rsid w:val="0089451A"/>
    <w:rsid w:val="008B0AD0"/>
    <w:rsid w:val="008B2CC1"/>
    <w:rsid w:val="008C5C2B"/>
    <w:rsid w:val="008E6BD6"/>
    <w:rsid w:val="0090731E"/>
    <w:rsid w:val="00930AF7"/>
    <w:rsid w:val="00936064"/>
    <w:rsid w:val="009503FA"/>
    <w:rsid w:val="00966A22"/>
    <w:rsid w:val="00972F03"/>
    <w:rsid w:val="009A0C8B"/>
    <w:rsid w:val="009B6241"/>
    <w:rsid w:val="009C449F"/>
    <w:rsid w:val="009C6AA3"/>
    <w:rsid w:val="009D5AFE"/>
    <w:rsid w:val="00A16FC0"/>
    <w:rsid w:val="00A32C9E"/>
    <w:rsid w:val="00AB613D"/>
    <w:rsid w:val="00AE7F20"/>
    <w:rsid w:val="00AF467B"/>
    <w:rsid w:val="00B23FB9"/>
    <w:rsid w:val="00B5629B"/>
    <w:rsid w:val="00B65A0A"/>
    <w:rsid w:val="00B66E1D"/>
    <w:rsid w:val="00B67CDC"/>
    <w:rsid w:val="00B70092"/>
    <w:rsid w:val="00B72D36"/>
    <w:rsid w:val="00B91465"/>
    <w:rsid w:val="00BA0B8E"/>
    <w:rsid w:val="00BC4164"/>
    <w:rsid w:val="00BD2DCC"/>
    <w:rsid w:val="00BD52B2"/>
    <w:rsid w:val="00BE461F"/>
    <w:rsid w:val="00BE6EA6"/>
    <w:rsid w:val="00C07ADD"/>
    <w:rsid w:val="00C12500"/>
    <w:rsid w:val="00C23CF2"/>
    <w:rsid w:val="00C90559"/>
    <w:rsid w:val="00CA1CF6"/>
    <w:rsid w:val="00CA2251"/>
    <w:rsid w:val="00CA7CB9"/>
    <w:rsid w:val="00CD7DF4"/>
    <w:rsid w:val="00CE1FD0"/>
    <w:rsid w:val="00D04D96"/>
    <w:rsid w:val="00D352D7"/>
    <w:rsid w:val="00D468A1"/>
    <w:rsid w:val="00D54A42"/>
    <w:rsid w:val="00D56C7C"/>
    <w:rsid w:val="00D63DD7"/>
    <w:rsid w:val="00D71B4D"/>
    <w:rsid w:val="00D74C2B"/>
    <w:rsid w:val="00D86991"/>
    <w:rsid w:val="00D90289"/>
    <w:rsid w:val="00D93D55"/>
    <w:rsid w:val="00D949B9"/>
    <w:rsid w:val="00D9638B"/>
    <w:rsid w:val="00DA1FEB"/>
    <w:rsid w:val="00DC4C60"/>
    <w:rsid w:val="00E0079A"/>
    <w:rsid w:val="00E04579"/>
    <w:rsid w:val="00E444DA"/>
    <w:rsid w:val="00E45C84"/>
    <w:rsid w:val="00E504E5"/>
    <w:rsid w:val="00E926A2"/>
    <w:rsid w:val="00EB20A3"/>
    <w:rsid w:val="00EB7A3E"/>
    <w:rsid w:val="00EC401A"/>
    <w:rsid w:val="00EC7EF5"/>
    <w:rsid w:val="00ED2767"/>
    <w:rsid w:val="00EF314B"/>
    <w:rsid w:val="00EF530A"/>
    <w:rsid w:val="00EF6622"/>
    <w:rsid w:val="00EF78A9"/>
    <w:rsid w:val="00F135FF"/>
    <w:rsid w:val="00F55408"/>
    <w:rsid w:val="00F63A72"/>
    <w:rsid w:val="00F66152"/>
    <w:rsid w:val="00F7659C"/>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1"/>
    <w:qFormat/>
    <w:rsid w:val="00A32C9E"/>
    <w:pPr>
      <w:keepNext/>
      <w:numPr>
        <w:numId w:val="7"/>
      </w:numPr>
      <w:spacing w:before="240" w:after="60"/>
      <w:outlineLvl w:val="0"/>
    </w:pPr>
    <w:rPr>
      <w:b/>
      <w:bCs/>
      <w:caps/>
      <w:kern w:val="32"/>
      <w:szCs w:val="32"/>
    </w:rPr>
  </w:style>
  <w:style w:type="paragraph" w:styleId="Heading2">
    <w:name w:val="heading 2"/>
    <w:basedOn w:val="Normal"/>
    <w:next w:val="Normal"/>
    <w:qFormat/>
    <w:rsid w:val="00A32C9E"/>
    <w:pPr>
      <w:keepNext/>
      <w:numPr>
        <w:ilvl w:val="1"/>
        <w:numId w:val="7"/>
      </w:numPr>
      <w:spacing w:before="240" w:after="60"/>
      <w:outlineLvl w:val="1"/>
    </w:pPr>
    <w:rPr>
      <w:bCs/>
      <w:iCs/>
      <w:caps/>
      <w:szCs w:val="28"/>
    </w:rPr>
  </w:style>
  <w:style w:type="paragraph" w:styleId="Heading3">
    <w:name w:val="heading 3"/>
    <w:basedOn w:val="Normal"/>
    <w:next w:val="Normal"/>
    <w:qFormat/>
    <w:rsid w:val="00A32C9E"/>
    <w:pPr>
      <w:keepNext/>
      <w:numPr>
        <w:ilvl w:val="2"/>
        <w:numId w:val="7"/>
      </w:numPr>
      <w:spacing w:before="240" w:after="60"/>
      <w:outlineLvl w:val="2"/>
    </w:pPr>
    <w:rPr>
      <w:bCs/>
      <w:szCs w:val="26"/>
      <w:u w:val="single"/>
    </w:rPr>
  </w:style>
  <w:style w:type="paragraph" w:styleId="Heading4">
    <w:name w:val="heading 4"/>
    <w:basedOn w:val="Normal"/>
    <w:next w:val="Normal"/>
    <w:qFormat/>
    <w:rsid w:val="00A32C9E"/>
    <w:pPr>
      <w:keepNext/>
      <w:numPr>
        <w:ilvl w:val="3"/>
        <w:numId w:val="7"/>
      </w:numPr>
      <w:spacing w:before="240" w:after="60"/>
      <w:outlineLvl w:val="3"/>
    </w:pPr>
    <w:rPr>
      <w:bCs/>
      <w:i/>
      <w:szCs w:val="28"/>
    </w:rPr>
  </w:style>
  <w:style w:type="paragraph" w:styleId="Heading5">
    <w:name w:val="heading 5"/>
    <w:basedOn w:val="Normal"/>
    <w:next w:val="Normal"/>
    <w:link w:val="Heading5Char"/>
    <w:qFormat/>
    <w:rsid w:val="00D949B9"/>
    <w:pPr>
      <w:numPr>
        <w:ilvl w:val="4"/>
        <w:numId w:val="7"/>
      </w:numPr>
      <w:spacing w:before="240" w:after="60"/>
      <w:ind w:left="1008" w:hanging="432"/>
      <w:outlineLvl w:val="4"/>
    </w:pPr>
    <w:rPr>
      <w:b/>
      <w:bCs/>
      <w:i/>
      <w:iCs/>
      <w:sz w:val="26"/>
      <w:szCs w:val="26"/>
      <w:lang w:val="en-US"/>
    </w:rPr>
  </w:style>
  <w:style w:type="paragraph" w:styleId="Heading6">
    <w:name w:val="heading 6"/>
    <w:basedOn w:val="Normal"/>
    <w:next w:val="Normal"/>
    <w:link w:val="Heading6Char"/>
    <w:unhideWhenUsed/>
    <w:qFormat/>
    <w:rsid w:val="00D949B9"/>
    <w:pPr>
      <w:keepNext/>
      <w:numPr>
        <w:ilvl w:val="5"/>
        <w:numId w:val="7"/>
      </w:numPr>
      <w:ind w:left="1152" w:hanging="432"/>
      <w:jc w:val="center"/>
      <w:outlineLvl w:val="5"/>
    </w:pPr>
    <w:rPr>
      <w:rFonts w:ascii="Century Gothic" w:hAnsi="Century Gothic"/>
      <w:sz w:val="28"/>
      <w:szCs w:val="28"/>
      <w:lang w:val="en-US"/>
    </w:rPr>
  </w:style>
  <w:style w:type="paragraph" w:styleId="Heading7">
    <w:name w:val="heading 7"/>
    <w:basedOn w:val="Normal"/>
    <w:next w:val="Normal"/>
    <w:link w:val="Heading7Char"/>
    <w:semiHidden/>
    <w:unhideWhenUsed/>
    <w:qFormat/>
    <w:rsid w:val="00D949B9"/>
    <w:pPr>
      <w:keepNext/>
      <w:keepLines/>
      <w:numPr>
        <w:ilvl w:val="6"/>
        <w:numId w:val="7"/>
      </w:numPr>
      <w:spacing w:before="200"/>
      <w:ind w:left="1296" w:hanging="288"/>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semiHidden/>
    <w:unhideWhenUsed/>
    <w:qFormat/>
    <w:rsid w:val="00D949B9"/>
    <w:pPr>
      <w:keepNext/>
      <w:keepLines/>
      <w:numPr>
        <w:ilvl w:val="7"/>
        <w:numId w:val="7"/>
      </w:numPr>
      <w:spacing w:before="200"/>
      <w:ind w:left="1440" w:hanging="432"/>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semiHidden/>
    <w:unhideWhenUsed/>
    <w:qFormat/>
    <w:rsid w:val="00D949B9"/>
    <w:pPr>
      <w:keepNext/>
      <w:keepLines/>
      <w:numPr>
        <w:ilvl w:val="8"/>
        <w:numId w:val="7"/>
      </w:numPr>
      <w:spacing w:before="200"/>
      <w:ind w:left="1584" w:hanging="144"/>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uiPriority w:val="99"/>
    <w:locked/>
    <w:rsid w:val="00D949B9"/>
    <w:rPr>
      <w:rFonts w:ascii="Arial" w:eastAsia="SimSun" w:hAnsi="Arial" w:cs="Arial"/>
      <w:sz w:val="22"/>
      <w:lang w:val="es-ES" w:eastAsia="zh-CN"/>
    </w:rPr>
  </w:style>
  <w:style w:type="character" w:customStyle="1" w:styleId="Heading5Char">
    <w:name w:val="Heading 5 Char"/>
    <w:basedOn w:val="DefaultParagraphFont"/>
    <w:link w:val="Heading5"/>
    <w:rsid w:val="00D949B9"/>
    <w:rPr>
      <w:rFonts w:ascii="Arial" w:eastAsia="SimSun" w:hAnsi="Arial" w:cs="Arial"/>
      <w:b/>
      <w:bCs/>
      <w:i/>
      <w:iCs/>
      <w:sz w:val="26"/>
      <w:szCs w:val="26"/>
      <w:lang w:eastAsia="zh-CN"/>
    </w:rPr>
  </w:style>
  <w:style w:type="character" w:customStyle="1" w:styleId="Heading6Char">
    <w:name w:val="Heading 6 Char"/>
    <w:basedOn w:val="DefaultParagraphFont"/>
    <w:link w:val="Heading6"/>
    <w:rsid w:val="00D949B9"/>
    <w:rPr>
      <w:rFonts w:ascii="Century Gothic" w:eastAsia="SimSun" w:hAnsi="Century Gothic" w:cs="Arial"/>
      <w:sz w:val="28"/>
      <w:szCs w:val="28"/>
      <w:lang w:eastAsia="zh-CN"/>
    </w:rPr>
  </w:style>
  <w:style w:type="character" w:customStyle="1" w:styleId="Heading7Char">
    <w:name w:val="Heading 7 Char"/>
    <w:basedOn w:val="DefaultParagraphFont"/>
    <w:link w:val="Heading7"/>
    <w:semiHidden/>
    <w:rsid w:val="00D949B9"/>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D949B9"/>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D949B9"/>
    <w:rPr>
      <w:rFonts w:asciiTheme="majorHAnsi" w:eastAsiaTheme="majorEastAsia" w:hAnsiTheme="majorHAnsi" w:cstheme="majorBidi"/>
      <w:i/>
      <w:iCs/>
      <w:color w:val="404040" w:themeColor="text1" w:themeTint="BF"/>
      <w:lang w:eastAsia="zh-CN"/>
    </w:rPr>
  </w:style>
  <w:style w:type="paragraph" w:styleId="BalloonText">
    <w:name w:val="Balloon Text"/>
    <w:basedOn w:val="Normal"/>
    <w:link w:val="BalloonTextChar"/>
    <w:rsid w:val="00D949B9"/>
    <w:rPr>
      <w:rFonts w:ascii="Tahoma" w:hAnsi="Tahoma" w:cs="Tahoma"/>
      <w:sz w:val="16"/>
      <w:szCs w:val="16"/>
      <w:lang w:val="en-US"/>
    </w:rPr>
  </w:style>
  <w:style w:type="character" w:customStyle="1" w:styleId="BalloonTextChar">
    <w:name w:val="Balloon Text Char"/>
    <w:basedOn w:val="DefaultParagraphFont"/>
    <w:link w:val="BalloonText"/>
    <w:rsid w:val="00D949B9"/>
    <w:rPr>
      <w:rFonts w:ascii="Tahoma" w:eastAsia="SimSun" w:hAnsi="Tahoma" w:cs="Tahoma"/>
      <w:sz w:val="16"/>
      <w:szCs w:val="16"/>
      <w:lang w:eastAsia="zh-CN"/>
    </w:rPr>
  </w:style>
  <w:style w:type="paragraph" w:styleId="List2">
    <w:name w:val="List 2"/>
    <w:basedOn w:val="Normal"/>
    <w:rsid w:val="00D949B9"/>
    <w:pPr>
      <w:ind w:left="566" w:hanging="283"/>
    </w:pPr>
    <w:rPr>
      <w:lang w:val="en-US"/>
    </w:rPr>
  </w:style>
  <w:style w:type="paragraph" w:customStyle="1" w:styleId="DateSignatureAligned">
    <w:name w:val="Date / Signature Aligned"/>
    <w:basedOn w:val="Normal"/>
    <w:rsid w:val="00D949B9"/>
    <w:pPr>
      <w:ind w:left="5250"/>
    </w:pPr>
    <w:rPr>
      <w:lang w:val="en-US"/>
    </w:rPr>
  </w:style>
  <w:style w:type="character" w:styleId="Hyperlink">
    <w:name w:val="Hyperlink"/>
    <w:basedOn w:val="DefaultParagraphFont"/>
    <w:uiPriority w:val="99"/>
    <w:rsid w:val="00D949B9"/>
    <w:rPr>
      <w:noProof/>
      <w:szCs w:val="22"/>
    </w:rPr>
  </w:style>
  <w:style w:type="paragraph" w:customStyle="1" w:styleId="ArtRuleRef">
    <w:name w:val="Art/Rule Ref"/>
    <w:basedOn w:val="Normal"/>
    <w:rsid w:val="00D949B9"/>
    <w:pPr>
      <w:keepNext/>
      <w:keepLines/>
      <w:jc w:val="right"/>
    </w:pPr>
    <w:rPr>
      <w:rFonts w:eastAsia="Arial Unicode MS"/>
      <w:i/>
      <w:snapToGrid w:val="0"/>
      <w:sz w:val="16"/>
      <w:lang w:val="en-US" w:eastAsia="ja-JP"/>
    </w:rPr>
  </w:style>
  <w:style w:type="character" w:styleId="PageNumber">
    <w:name w:val="page number"/>
    <w:basedOn w:val="DefaultParagraphFont"/>
    <w:rsid w:val="00D949B9"/>
  </w:style>
  <w:style w:type="character" w:styleId="FootnoteReference">
    <w:name w:val="footnote reference"/>
    <w:basedOn w:val="DefaultParagraphFont"/>
    <w:rsid w:val="00D949B9"/>
    <w:rPr>
      <w:vertAlign w:val="superscript"/>
    </w:rPr>
  </w:style>
  <w:style w:type="table" w:styleId="TableContemporary">
    <w:name w:val="Table Contemporary"/>
    <w:basedOn w:val="TableNormal"/>
    <w:rsid w:val="00D949B9"/>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D949B9"/>
    <w:pPr>
      <w:suppressAutoHyphens/>
      <w:ind w:left="1134"/>
    </w:pPr>
    <w:rPr>
      <w:rFonts w:eastAsia="Times New Roman"/>
      <w:sz w:val="24"/>
      <w:szCs w:val="24"/>
      <w:lang w:val="en-GB" w:eastAsia="en-GB"/>
    </w:rPr>
  </w:style>
  <w:style w:type="character" w:styleId="Emphasis">
    <w:name w:val="Emphasis"/>
    <w:basedOn w:val="DefaultParagraphFont"/>
    <w:qFormat/>
    <w:rsid w:val="00D949B9"/>
    <w:rPr>
      <w:i/>
      <w:iCs/>
    </w:rPr>
  </w:style>
  <w:style w:type="table" w:styleId="TableElegant">
    <w:name w:val="Table Elegant"/>
    <w:basedOn w:val="TableNormal"/>
    <w:rsid w:val="00D949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uiPriority w:val="1"/>
    <w:rsid w:val="00D949B9"/>
    <w:rPr>
      <w:rFonts w:ascii="Arial" w:eastAsia="SimSun" w:hAnsi="Arial" w:cs="Arial"/>
      <w:b/>
      <w:bCs/>
      <w:caps/>
      <w:kern w:val="32"/>
      <w:sz w:val="22"/>
      <w:szCs w:val="32"/>
      <w:lang w:val="es-ES" w:eastAsia="zh-CN"/>
    </w:rPr>
  </w:style>
  <w:style w:type="paragraph" w:customStyle="1" w:styleId="BodyTexti">
    <w:name w:val="Body Text (i)"/>
    <w:basedOn w:val="Normal"/>
    <w:rsid w:val="00D949B9"/>
    <w:pPr>
      <w:tabs>
        <w:tab w:val="right" w:pos="851"/>
        <w:tab w:val="left" w:pos="1134"/>
      </w:tabs>
      <w:spacing w:after="120"/>
    </w:pPr>
    <w:rPr>
      <w:rFonts w:eastAsia="Times New Roman" w:cs="Times New Roman"/>
      <w:snapToGrid w:val="0"/>
      <w:lang w:val="en-US" w:eastAsia="en-US"/>
    </w:rPr>
  </w:style>
  <w:style w:type="paragraph" w:customStyle="1" w:styleId="BodyTexta">
    <w:name w:val="Body Text (a)"/>
    <w:basedOn w:val="Normal"/>
    <w:rsid w:val="00D949B9"/>
    <w:pPr>
      <w:spacing w:after="120"/>
      <w:ind w:firstLine="567"/>
    </w:pPr>
    <w:rPr>
      <w:rFonts w:eastAsia="Times New Roman" w:cs="Times New Roman"/>
      <w:lang w:val="en-US" w:eastAsia="en-US"/>
    </w:rPr>
  </w:style>
  <w:style w:type="paragraph" w:customStyle="1" w:styleId="ExampleClaim">
    <w:name w:val="Example Claim"/>
    <w:basedOn w:val="ExampleText"/>
    <w:rsid w:val="00D949B9"/>
    <w:pPr>
      <w:ind w:left="1134" w:hanging="567"/>
    </w:pPr>
  </w:style>
  <w:style w:type="paragraph" w:customStyle="1" w:styleId="ExampleText">
    <w:name w:val="Example Text"/>
    <w:basedOn w:val="BodyTextIndent"/>
    <w:rsid w:val="00D949B9"/>
    <w:pPr>
      <w:ind w:left="567"/>
    </w:pPr>
    <w:rPr>
      <w:rFonts w:eastAsia="Times New Roman" w:cs="Times New Roman"/>
      <w:i/>
      <w:lang w:eastAsia="en-US"/>
    </w:rPr>
  </w:style>
  <w:style w:type="paragraph" w:customStyle="1" w:styleId="ExampleClaimSub">
    <w:name w:val="Example Claim Sub"/>
    <w:basedOn w:val="ExampleClaim"/>
    <w:rsid w:val="00D949B9"/>
    <w:pPr>
      <w:ind w:firstLine="567"/>
    </w:pPr>
  </w:style>
  <w:style w:type="paragraph" w:customStyle="1" w:styleId="ExampleClaimEnd">
    <w:name w:val="Example Claim End"/>
    <w:basedOn w:val="ExampleClaimSub"/>
    <w:rsid w:val="00D949B9"/>
    <w:pPr>
      <w:ind w:firstLine="0"/>
    </w:pPr>
  </w:style>
  <w:style w:type="paragraph" w:customStyle="1" w:styleId="ExamplePolymorphism">
    <w:name w:val="Example Polymorphism"/>
    <w:basedOn w:val="ExampleClaim"/>
    <w:rsid w:val="00D949B9"/>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D949B9"/>
    <w:pPr>
      <w:tabs>
        <w:tab w:val="clear" w:pos="1980"/>
        <w:tab w:val="clear" w:pos="5400"/>
        <w:tab w:val="clear" w:pos="5580"/>
        <w:tab w:val="left" w:pos="1134"/>
        <w:tab w:val="left" w:pos="3969"/>
      </w:tabs>
    </w:pPr>
  </w:style>
  <w:style w:type="character" w:customStyle="1" w:styleId="InsertedText">
    <w:name w:val="Inserted Text"/>
    <w:qFormat/>
    <w:rsid w:val="00D949B9"/>
    <w:rPr>
      <w:color w:val="0000FF"/>
      <w:u w:val="single"/>
    </w:rPr>
  </w:style>
  <w:style w:type="paragraph" w:styleId="BodyTextIndent">
    <w:name w:val="Body Text Indent"/>
    <w:basedOn w:val="Normal"/>
    <w:link w:val="BodyTextIndentChar"/>
    <w:rsid w:val="00D949B9"/>
    <w:pPr>
      <w:spacing w:after="120"/>
      <w:ind w:left="283"/>
    </w:pPr>
    <w:rPr>
      <w:lang w:val="en-US"/>
    </w:rPr>
  </w:style>
  <w:style w:type="character" w:customStyle="1" w:styleId="BodyTextIndentChar">
    <w:name w:val="Body Text Indent Char"/>
    <w:basedOn w:val="DefaultParagraphFont"/>
    <w:link w:val="BodyTextIndent"/>
    <w:rsid w:val="00D949B9"/>
    <w:rPr>
      <w:rFonts w:ascii="Arial" w:eastAsia="SimSun" w:hAnsi="Arial" w:cs="Arial"/>
      <w:sz w:val="22"/>
      <w:lang w:eastAsia="zh-CN"/>
    </w:rPr>
  </w:style>
  <w:style w:type="paragraph" w:customStyle="1" w:styleId="Default">
    <w:name w:val="Default"/>
    <w:rsid w:val="00D949B9"/>
    <w:pPr>
      <w:autoSpaceDE w:val="0"/>
      <w:autoSpaceDN w:val="0"/>
      <w:adjustRightInd w:val="0"/>
    </w:pPr>
    <w:rPr>
      <w:rFonts w:ascii="Arial" w:hAnsi="Arial"/>
      <w:color w:val="000000"/>
      <w:sz w:val="22"/>
      <w:szCs w:val="24"/>
      <w:lang w:val="en-AU" w:eastAsia="en-AU"/>
    </w:rPr>
  </w:style>
  <w:style w:type="table" w:styleId="TableGrid">
    <w:name w:val="Table Grid"/>
    <w:basedOn w:val="TableNormal"/>
    <w:rsid w:val="00D949B9"/>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949B9"/>
    <w:pPr>
      <w:spacing w:after="100"/>
    </w:pPr>
    <w:rPr>
      <w:lang w:val="en-US"/>
    </w:rPr>
  </w:style>
  <w:style w:type="paragraph" w:styleId="TOC3">
    <w:name w:val="toc 3"/>
    <w:basedOn w:val="Normal"/>
    <w:next w:val="Normal"/>
    <w:autoRedefine/>
    <w:uiPriority w:val="39"/>
    <w:rsid w:val="00D949B9"/>
    <w:pPr>
      <w:spacing w:after="100"/>
      <w:ind w:left="440"/>
    </w:pPr>
    <w:rPr>
      <w:lang w:val="en-US"/>
    </w:rPr>
  </w:style>
  <w:style w:type="paragraph" w:styleId="TOC4">
    <w:name w:val="toc 4"/>
    <w:basedOn w:val="Normal"/>
    <w:next w:val="Normal"/>
    <w:autoRedefine/>
    <w:uiPriority w:val="39"/>
    <w:rsid w:val="00D949B9"/>
    <w:pPr>
      <w:spacing w:after="100"/>
      <w:ind w:left="660"/>
    </w:pPr>
    <w:rPr>
      <w:lang w:val="en-US"/>
    </w:rPr>
  </w:style>
  <w:style w:type="character" w:customStyle="1" w:styleId="BodyTextChar">
    <w:name w:val="Body Text Char"/>
    <w:basedOn w:val="DefaultParagraphFont"/>
    <w:link w:val="BodyText"/>
    <w:uiPriority w:val="1"/>
    <w:rsid w:val="00D949B9"/>
    <w:rPr>
      <w:rFonts w:ascii="Arial" w:eastAsia="SimSun" w:hAnsi="Arial" w:cs="Arial"/>
      <w:sz w:val="22"/>
      <w:lang w:val="es-ES" w:eastAsia="zh-CN"/>
    </w:rPr>
  </w:style>
  <w:style w:type="character" w:styleId="CommentReference">
    <w:name w:val="annotation reference"/>
    <w:basedOn w:val="DefaultParagraphFont"/>
    <w:rsid w:val="00D949B9"/>
    <w:rPr>
      <w:sz w:val="16"/>
      <w:szCs w:val="16"/>
    </w:rPr>
  </w:style>
  <w:style w:type="paragraph" w:styleId="CommentSubject">
    <w:name w:val="annotation subject"/>
    <w:basedOn w:val="CommentText"/>
    <w:next w:val="CommentText"/>
    <w:link w:val="CommentSubjectChar"/>
    <w:rsid w:val="00D949B9"/>
    <w:rPr>
      <w:b/>
      <w:bCs/>
      <w:sz w:val="20"/>
      <w:lang w:val="en-US"/>
    </w:rPr>
  </w:style>
  <w:style w:type="character" w:customStyle="1" w:styleId="CommentTextChar">
    <w:name w:val="Comment Text Char"/>
    <w:basedOn w:val="DefaultParagraphFont"/>
    <w:link w:val="CommentText"/>
    <w:semiHidden/>
    <w:rsid w:val="00D949B9"/>
    <w:rPr>
      <w:rFonts w:ascii="Arial" w:eastAsia="SimSun" w:hAnsi="Arial" w:cs="Arial"/>
      <w:sz w:val="18"/>
      <w:lang w:val="es-ES" w:eastAsia="zh-CN"/>
    </w:rPr>
  </w:style>
  <w:style w:type="character" w:customStyle="1" w:styleId="CommentSubjectChar">
    <w:name w:val="Comment Subject Char"/>
    <w:basedOn w:val="CommentTextChar"/>
    <w:link w:val="CommentSubject"/>
    <w:rsid w:val="00D949B9"/>
    <w:rPr>
      <w:rFonts w:ascii="Arial" w:eastAsia="SimSun" w:hAnsi="Arial" w:cs="Arial"/>
      <w:b/>
      <w:bCs/>
      <w:sz w:val="18"/>
      <w:lang w:val="es-ES" w:eastAsia="zh-CN"/>
    </w:rPr>
  </w:style>
  <w:style w:type="paragraph" w:styleId="Revision">
    <w:name w:val="Revision"/>
    <w:hidden/>
    <w:uiPriority w:val="99"/>
    <w:semiHidden/>
    <w:rsid w:val="00D949B9"/>
    <w:rPr>
      <w:rFonts w:ascii="Arial" w:eastAsia="SimSun" w:hAnsi="Arial" w:cs="Arial"/>
      <w:sz w:val="22"/>
      <w:lang w:eastAsia="zh-CN"/>
    </w:rPr>
  </w:style>
  <w:style w:type="character" w:customStyle="1" w:styleId="FooterChar">
    <w:name w:val="Footer Char"/>
    <w:basedOn w:val="DefaultParagraphFont"/>
    <w:link w:val="Footer"/>
    <w:uiPriority w:val="99"/>
    <w:rsid w:val="00D949B9"/>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D949B9"/>
    <w:rPr>
      <w:rFonts w:ascii="Arial" w:eastAsia="SimSun" w:hAnsi="Arial" w:cs="Arial"/>
      <w:sz w:val="18"/>
      <w:lang w:val="es-ES" w:eastAsia="zh-CN"/>
    </w:rPr>
  </w:style>
  <w:style w:type="paragraph" w:customStyle="1" w:styleId="SectionHeading">
    <w:name w:val="Section Heading"/>
    <w:basedOn w:val="Heading1"/>
    <w:link w:val="SectionHeadingChar"/>
    <w:qFormat/>
    <w:rsid w:val="00D949B9"/>
  </w:style>
  <w:style w:type="character" w:customStyle="1" w:styleId="SectionHeadingChar">
    <w:name w:val="Section Heading Char"/>
    <w:basedOn w:val="Heading1Char"/>
    <w:link w:val="SectionHeading"/>
    <w:rsid w:val="00D949B9"/>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D949B9"/>
    <w:pPr>
      <w:ind w:left="720"/>
      <w:contextualSpacing/>
    </w:pPr>
    <w:rPr>
      <w:lang w:val="en-US"/>
    </w:rPr>
  </w:style>
  <w:style w:type="character" w:styleId="FollowedHyperlink">
    <w:name w:val="FollowedHyperlink"/>
    <w:basedOn w:val="DefaultParagraphFont"/>
    <w:rsid w:val="00D949B9"/>
    <w:rPr>
      <w:color w:val="800080" w:themeColor="followedHyperlink"/>
      <w:u w:val="single"/>
    </w:rPr>
  </w:style>
  <w:style w:type="paragraph" w:styleId="NormalWeb">
    <w:name w:val="Normal (Web)"/>
    <w:basedOn w:val="Normal"/>
    <w:uiPriority w:val="99"/>
    <w:rsid w:val="00D949B9"/>
    <w:pPr>
      <w:spacing w:before="100" w:beforeAutospacing="1" w:after="100" w:afterAutospacing="1"/>
    </w:pPr>
    <w:rPr>
      <w:rFonts w:eastAsia="MS Mincho"/>
      <w:sz w:val="18"/>
      <w:szCs w:val="18"/>
      <w:lang w:val="en-US" w:eastAsia="ja-JP"/>
    </w:rPr>
  </w:style>
  <w:style w:type="paragraph" w:styleId="BodyText2">
    <w:name w:val="Body Text 2"/>
    <w:basedOn w:val="Normal"/>
    <w:link w:val="BodyText2Char"/>
    <w:rsid w:val="00D949B9"/>
    <w:rPr>
      <w:rFonts w:ascii="Century Gothic" w:hAnsi="Century Gothic"/>
      <w:i/>
      <w:color w:val="0000FF"/>
      <w:sz w:val="20"/>
      <w:lang w:val="en-US"/>
    </w:rPr>
  </w:style>
  <w:style w:type="character" w:customStyle="1" w:styleId="BodyText2Char">
    <w:name w:val="Body Text 2 Char"/>
    <w:basedOn w:val="DefaultParagraphFont"/>
    <w:link w:val="BodyText2"/>
    <w:rsid w:val="00D949B9"/>
    <w:rPr>
      <w:rFonts w:ascii="Century Gothic" w:eastAsia="SimSun" w:hAnsi="Century Gothic" w:cs="Arial"/>
      <w:i/>
      <w:color w:val="0000FF"/>
      <w:lang w:eastAsia="zh-CN"/>
    </w:rPr>
  </w:style>
  <w:style w:type="paragraph" w:styleId="BodyText3">
    <w:name w:val="Body Text 3"/>
    <w:basedOn w:val="Normal"/>
    <w:link w:val="BodyText3Char"/>
    <w:rsid w:val="00D949B9"/>
    <w:rPr>
      <w:rFonts w:ascii="Century Gothic" w:hAnsi="Century Gothic"/>
      <w:color w:val="0000FF"/>
      <w:sz w:val="20"/>
      <w:lang w:val="en-US"/>
    </w:rPr>
  </w:style>
  <w:style w:type="character" w:customStyle="1" w:styleId="BodyText3Char">
    <w:name w:val="Body Text 3 Char"/>
    <w:basedOn w:val="DefaultParagraphFont"/>
    <w:link w:val="BodyText3"/>
    <w:rsid w:val="00D949B9"/>
    <w:rPr>
      <w:rFonts w:ascii="Century Gothic" w:eastAsia="SimSun" w:hAnsi="Century Gothic" w:cs="Arial"/>
      <w:color w:val="0000FF"/>
      <w:lang w:eastAsia="zh-CN"/>
    </w:rPr>
  </w:style>
  <w:style w:type="paragraph" w:customStyle="1" w:styleId="Note-subparai">
    <w:name w:val="Note - subpara (i)"/>
    <w:basedOn w:val="Normal"/>
    <w:locked/>
    <w:rsid w:val="00D949B9"/>
    <w:pPr>
      <w:tabs>
        <w:tab w:val="right" w:pos="1843"/>
        <w:tab w:val="left" w:pos="2127"/>
      </w:tabs>
      <w:ind w:left="2127" w:hanging="2127"/>
    </w:pPr>
    <w:rPr>
      <w:rFonts w:ascii="Times New Roman" w:hAnsi="Times New Roman" w:cs="Times New Roman"/>
      <w:color w:val="000000"/>
      <w:sz w:val="24"/>
      <w:lang w:val="en-US"/>
    </w:rPr>
  </w:style>
  <w:style w:type="numbering" w:styleId="ArticleSection">
    <w:name w:val="Outline List 3"/>
    <w:basedOn w:val="NoList"/>
    <w:rsid w:val="00D949B9"/>
    <w:pPr>
      <w:numPr>
        <w:numId w:val="12"/>
      </w:numPr>
    </w:pPr>
  </w:style>
  <w:style w:type="paragraph" w:styleId="BodyTextIndent2">
    <w:name w:val="Body Text Indent 2"/>
    <w:basedOn w:val="Normal"/>
    <w:link w:val="BodyTextIndent2Char"/>
    <w:rsid w:val="00D949B9"/>
    <w:pPr>
      <w:ind w:left="567"/>
    </w:pPr>
    <w:rPr>
      <w:rFonts w:ascii="Century Gothic" w:hAnsi="Century Gothic"/>
      <w:bCs/>
      <w:iCs/>
      <w:sz w:val="16"/>
      <w:szCs w:val="16"/>
      <w:lang w:val="en-US"/>
    </w:rPr>
  </w:style>
  <w:style w:type="character" w:customStyle="1" w:styleId="BodyTextIndent2Char">
    <w:name w:val="Body Text Indent 2 Char"/>
    <w:basedOn w:val="DefaultParagraphFont"/>
    <w:link w:val="BodyTextIndent2"/>
    <w:rsid w:val="00D949B9"/>
    <w:rPr>
      <w:rFonts w:ascii="Century Gothic" w:eastAsia="SimSun" w:hAnsi="Century Gothic" w:cs="Arial"/>
      <w:bCs/>
      <w:iCs/>
      <w:sz w:val="16"/>
      <w:szCs w:val="16"/>
      <w:lang w:eastAsia="zh-CN"/>
    </w:rPr>
  </w:style>
  <w:style w:type="table" w:customStyle="1" w:styleId="TableGrid1">
    <w:name w:val="Table Grid1"/>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9B9"/>
    <w:rPr>
      <w:rFonts w:asciiTheme="minorHAnsi" w:eastAsiaTheme="minorHAnsi" w:hAnsiTheme="minorHAnsi" w:cstheme="minorBidi"/>
      <w:sz w:val="22"/>
      <w:szCs w:val="22"/>
      <w:lang w:val="fr-CA"/>
    </w:rPr>
  </w:style>
  <w:style w:type="paragraph" w:styleId="BodyTextIndent3">
    <w:name w:val="Body Text Indent 3"/>
    <w:basedOn w:val="Normal"/>
    <w:link w:val="BodyTextIndent3Char"/>
    <w:rsid w:val="00D949B9"/>
    <w:pPr>
      <w:ind w:left="360"/>
    </w:pPr>
    <w:rPr>
      <w:rFonts w:ascii="Century Gothic" w:hAnsi="Century Gothic"/>
      <w:color w:val="00B050"/>
      <w:sz w:val="20"/>
      <w:lang w:val="en-US"/>
    </w:rPr>
  </w:style>
  <w:style w:type="character" w:customStyle="1" w:styleId="BodyTextIndent3Char">
    <w:name w:val="Body Text Indent 3 Char"/>
    <w:basedOn w:val="DefaultParagraphFont"/>
    <w:link w:val="BodyTextIndent3"/>
    <w:rsid w:val="00D949B9"/>
    <w:rPr>
      <w:rFonts w:ascii="Century Gothic" w:eastAsia="SimSun" w:hAnsi="Century Gothic" w:cs="Arial"/>
      <w:color w:val="00B050"/>
      <w:lang w:eastAsia="zh-CN"/>
    </w:rPr>
  </w:style>
  <w:style w:type="table" w:styleId="MediumShading1">
    <w:name w:val="Medium Shading 1"/>
    <w:basedOn w:val="TableNormal"/>
    <w:uiPriority w:val="63"/>
    <w:rsid w:val="00D949B9"/>
    <w:rPr>
      <w:rFonts w:asciiTheme="minorHAnsi" w:eastAsiaTheme="minorHAnsi" w:hAnsiTheme="minorHAnsi" w:cstheme="minorBidi"/>
      <w:sz w:val="22"/>
      <w:szCs w:val="22"/>
      <w:lang w:val="en-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D949B9"/>
    <w:rPr>
      <w:rFonts w:ascii="Arial" w:eastAsia="SimSun" w:hAnsi="Arial" w:cs="Arial"/>
      <w:sz w:val="22"/>
      <w:lang w:val="es-ES" w:eastAsia="zh-CN"/>
    </w:rPr>
  </w:style>
  <w:style w:type="paragraph" w:customStyle="1" w:styleId="Subsection">
    <w:name w:val="Subsection"/>
    <w:basedOn w:val="Normal"/>
    <w:link w:val="SubsectionChar"/>
    <w:qFormat/>
    <w:rsid w:val="00D949B9"/>
    <w:pPr>
      <w:keepNext/>
    </w:pPr>
    <w:rPr>
      <w:b/>
      <w:lang w:val="en-US"/>
    </w:rPr>
  </w:style>
  <w:style w:type="character" w:customStyle="1" w:styleId="SubsectionChar">
    <w:name w:val="Subsection Char"/>
    <w:basedOn w:val="DefaultParagraphFont"/>
    <w:link w:val="Subsection"/>
    <w:rsid w:val="00D949B9"/>
    <w:rPr>
      <w:rFonts w:ascii="Arial" w:eastAsia="SimSun" w:hAnsi="Arial" w:cs="Arial"/>
      <w:b/>
      <w:sz w:val="22"/>
      <w:lang w:eastAsia="zh-CN"/>
    </w:rPr>
  </w:style>
  <w:style w:type="character" w:customStyle="1" w:styleId="shorttext">
    <w:name w:val="short_text"/>
    <w:basedOn w:val="DefaultParagraphFont"/>
    <w:uiPriority w:val="99"/>
    <w:rsid w:val="004C588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1"/>
    <w:qFormat/>
    <w:rsid w:val="00A32C9E"/>
    <w:pPr>
      <w:keepNext/>
      <w:numPr>
        <w:numId w:val="7"/>
      </w:numPr>
      <w:spacing w:before="240" w:after="60"/>
      <w:outlineLvl w:val="0"/>
    </w:pPr>
    <w:rPr>
      <w:b/>
      <w:bCs/>
      <w:caps/>
      <w:kern w:val="32"/>
      <w:szCs w:val="32"/>
    </w:rPr>
  </w:style>
  <w:style w:type="paragraph" w:styleId="Heading2">
    <w:name w:val="heading 2"/>
    <w:basedOn w:val="Normal"/>
    <w:next w:val="Normal"/>
    <w:qFormat/>
    <w:rsid w:val="00A32C9E"/>
    <w:pPr>
      <w:keepNext/>
      <w:numPr>
        <w:ilvl w:val="1"/>
        <w:numId w:val="7"/>
      </w:numPr>
      <w:spacing w:before="240" w:after="60"/>
      <w:outlineLvl w:val="1"/>
    </w:pPr>
    <w:rPr>
      <w:bCs/>
      <w:iCs/>
      <w:caps/>
      <w:szCs w:val="28"/>
    </w:rPr>
  </w:style>
  <w:style w:type="paragraph" w:styleId="Heading3">
    <w:name w:val="heading 3"/>
    <w:basedOn w:val="Normal"/>
    <w:next w:val="Normal"/>
    <w:qFormat/>
    <w:rsid w:val="00A32C9E"/>
    <w:pPr>
      <w:keepNext/>
      <w:numPr>
        <w:ilvl w:val="2"/>
        <w:numId w:val="7"/>
      </w:numPr>
      <w:spacing w:before="240" w:after="60"/>
      <w:outlineLvl w:val="2"/>
    </w:pPr>
    <w:rPr>
      <w:bCs/>
      <w:szCs w:val="26"/>
      <w:u w:val="single"/>
    </w:rPr>
  </w:style>
  <w:style w:type="paragraph" w:styleId="Heading4">
    <w:name w:val="heading 4"/>
    <w:basedOn w:val="Normal"/>
    <w:next w:val="Normal"/>
    <w:qFormat/>
    <w:rsid w:val="00A32C9E"/>
    <w:pPr>
      <w:keepNext/>
      <w:numPr>
        <w:ilvl w:val="3"/>
        <w:numId w:val="7"/>
      </w:numPr>
      <w:spacing w:before="240" w:after="60"/>
      <w:outlineLvl w:val="3"/>
    </w:pPr>
    <w:rPr>
      <w:bCs/>
      <w:i/>
      <w:szCs w:val="28"/>
    </w:rPr>
  </w:style>
  <w:style w:type="paragraph" w:styleId="Heading5">
    <w:name w:val="heading 5"/>
    <w:basedOn w:val="Normal"/>
    <w:next w:val="Normal"/>
    <w:link w:val="Heading5Char"/>
    <w:qFormat/>
    <w:rsid w:val="00D949B9"/>
    <w:pPr>
      <w:numPr>
        <w:ilvl w:val="4"/>
        <w:numId w:val="7"/>
      </w:numPr>
      <w:spacing w:before="240" w:after="60"/>
      <w:ind w:left="1008" w:hanging="432"/>
      <w:outlineLvl w:val="4"/>
    </w:pPr>
    <w:rPr>
      <w:b/>
      <w:bCs/>
      <w:i/>
      <w:iCs/>
      <w:sz w:val="26"/>
      <w:szCs w:val="26"/>
      <w:lang w:val="en-US"/>
    </w:rPr>
  </w:style>
  <w:style w:type="paragraph" w:styleId="Heading6">
    <w:name w:val="heading 6"/>
    <w:basedOn w:val="Normal"/>
    <w:next w:val="Normal"/>
    <w:link w:val="Heading6Char"/>
    <w:unhideWhenUsed/>
    <w:qFormat/>
    <w:rsid w:val="00D949B9"/>
    <w:pPr>
      <w:keepNext/>
      <w:numPr>
        <w:ilvl w:val="5"/>
        <w:numId w:val="7"/>
      </w:numPr>
      <w:ind w:left="1152" w:hanging="432"/>
      <w:jc w:val="center"/>
      <w:outlineLvl w:val="5"/>
    </w:pPr>
    <w:rPr>
      <w:rFonts w:ascii="Century Gothic" w:hAnsi="Century Gothic"/>
      <w:sz w:val="28"/>
      <w:szCs w:val="28"/>
      <w:lang w:val="en-US"/>
    </w:rPr>
  </w:style>
  <w:style w:type="paragraph" w:styleId="Heading7">
    <w:name w:val="heading 7"/>
    <w:basedOn w:val="Normal"/>
    <w:next w:val="Normal"/>
    <w:link w:val="Heading7Char"/>
    <w:semiHidden/>
    <w:unhideWhenUsed/>
    <w:qFormat/>
    <w:rsid w:val="00D949B9"/>
    <w:pPr>
      <w:keepNext/>
      <w:keepLines/>
      <w:numPr>
        <w:ilvl w:val="6"/>
        <w:numId w:val="7"/>
      </w:numPr>
      <w:spacing w:before="200"/>
      <w:ind w:left="1296" w:hanging="288"/>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semiHidden/>
    <w:unhideWhenUsed/>
    <w:qFormat/>
    <w:rsid w:val="00D949B9"/>
    <w:pPr>
      <w:keepNext/>
      <w:keepLines/>
      <w:numPr>
        <w:ilvl w:val="7"/>
        <w:numId w:val="7"/>
      </w:numPr>
      <w:spacing w:before="200"/>
      <w:ind w:left="1440" w:hanging="432"/>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semiHidden/>
    <w:unhideWhenUsed/>
    <w:qFormat/>
    <w:rsid w:val="00D949B9"/>
    <w:pPr>
      <w:keepNext/>
      <w:keepLines/>
      <w:numPr>
        <w:ilvl w:val="8"/>
        <w:numId w:val="7"/>
      </w:numPr>
      <w:spacing w:before="200"/>
      <w:ind w:left="1584" w:hanging="144"/>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uiPriority w:val="99"/>
    <w:locked/>
    <w:rsid w:val="00D949B9"/>
    <w:rPr>
      <w:rFonts w:ascii="Arial" w:eastAsia="SimSun" w:hAnsi="Arial" w:cs="Arial"/>
      <w:sz w:val="22"/>
      <w:lang w:val="es-ES" w:eastAsia="zh-CN"/>
    </w:rPr>
  </w:style>
  <w:style w:type="character" w:customStyle="1" w:styleId="Heading5Char">
    <w:name w:val="Heading 5 Char"/>
    <w:basedOn w:val="DefaultParagraphFont"/>
    <w:link w:val="Heading5"/>
    <w:rsid w:val="00D949B9"/>
    <w:rPr>
      <w:rFonts w:ascii="Arial" w:eastAsia="SimSun" w:hAnsi="Arial" w:cs="Arial"/>
      <w:b/>
      <w:bCs/>
      <w:i/>
      <w:iCs/>
      <w:sz w:val="26"/>
      <w:szCs w:val="26"/>
      <w:lang w:eastAsia="zh-CN"/>
    </w:rPr>
  </w:style>
  <w:style w:type="character" w:customStyle="1" w:styleId="Heading6Char">
    <w:name w:val="Heading 6 Char"/>
    <w:basedOn w:val="DefaultParagraphFont"/>
    <w:link w:val="Heading6"/>
    <w:rsid w:val="00D949B9"/>
    <w:rPr>
      <w:rFonts w:ascii="Century Gothic" w:eastAsia="SimSun" w:hAnsi="Century Gothic" w:cs="Arial"/>
      <w:sz w:val="28"/>
      <w:szCs w:val="28"/>
      <w:lang w:eastAsia="zh-CN"/>
    </w:rPr>
  </w:style>
  <w:style w:type="character" w:customStyle="1" w:styleId="Heading7Char">
    <w:name w:val="Heading 7 Char"/>
    <w:basedOn w:val="DefaultParagraphFont"/>
    <w:link w:val="Heading7"/>
    <w:semiHidden/>
    <w:rsid w:val="00D949B9"/>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D949B9"/>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D949B9"/>
    <w:rPr>
      <w:rFonts w:asciiTheme="majorHAnsi" w:eastAsiaTheme="majorEastAsia" w:hAnsiTheme="majorHAnsi" w:cstheme="majorBidi"/>
      <w:i/>
      <w:iCs/>
      <w:color w:val="404040" w:themeColor="text1" w:themeTint="BF"/>
      <w:lang w:eastAsia="zh-CN"/>
    </w:rPr>
  </w:style>
  <w:style w:type="paragraph" w:styleId="BalloonText">
    <w:name w:val="Balloon Text"/>
    <w:basedOn w:val="Normal"/>
    <w:link w:val="BalloonTextChar"/>
    <w:rsid w:val="00D949B9"/>
    <w:rPr>
      <w:rFonts w:ascii="Tahoma" w:hAnsi="Tahoma" w:cs="Tahoma"/>
      <w:sz w:val="16"/>
      <w:szCs w:val="16"/>
      <w:lang w:val="en-US"/>
    </w:rPr>
  </w:style>
  <w:style w:type="character" w:customStyle="1" w:styleId="BalloonTextChar">
    <w:name w:val="Balloon Text Char"/>
    <w:basedOn w:val="DefaultParagraphFont"/>
    <w:link w:val="BalloonText"/>
    <w:rsid w:val="00D949B9"/>
    <w:rPr>
      <w:rFonts w:ascii="Tahoma" w:eastAsia="SimSun" w:hAnsi="Tahoma" w:cs="Tahoma"/>
      <w:sz w:val="16"/>
      <w:szCs w:val="16"/>
      <w:lang w:eastAsia="zh-CN"/>
    </w:rPr>
  </w:style>
  <w:style w:type="paragraph" w:styleId="List2">
    <w:name w:val="List 2"/>
    <w:basedOn w:val="Normal"/>
    <w:rsid w:val="00D949B9"/>
    <w:pPr>
      <w:ind w:left="566" w:hanging="283"/>
    </w:pPr>
    <w:rPr>
      <w:lang w:val="en-US"/>
    </w:rPr>
  </w:style>
  <w:style w:type="paragraph" w:customStyle="1" w:styleId="DateSignatureAligned">
    <w:name w:val="Date / Signature Aligned"/>
    <w:basedOn w:val="Normal"/>
    <w:rsid w:val="00D949B9"/>
    <w:pPr>
      <w:ind w:left="5250"/>
    </w:pPr>
    <w:rPr>
      <w:lang w:val="en-US"/>
    </w:rPr>
  </w:style>
  <w:style w:type="character" w:styleId="Hyperlink">
    <w:name w:val="Hyperlink"/>
    <w:basedOn w:val="DefaultParagraphFont"/>
    <w:uiPriority w:val="99"/>
    <w:rsid w:val="00D949B9"/>
    <w:rPr>
      <w:noProof/>
      <w:szCs w:val="22"/>
    </w:rPr>
  </w:style>
  <w:style w:type="paragraph" w:customStyle="1" w:styleId="ArtRuleRef">
    <w:name w:val="Art/Rule Ref"/>
    <w:basedOn w:val="Normal"/>
    <w:rsid w:val="00D949B9"/>
    <w:pPr>
      <w:keepNext/>
      <w:keepLines/>
      <w:jc w:val="right"/>
    </w:pPr>
    <w:rPr>
      <w:rFonts w:eastAsia="Arial Unicode MS"/>
      <w:i/>
      <w:snapToGrid w:val="0"/>
      <w:sz w:val="16"/>
      <w:lang w:val="en-US" w:eastAsia="ja-JP"/>
    </w:rPr>
  </w:style>
  <w:style w:type="character" w:styleId="PageNumber">
    <w:name w:val="page number"/>
    <w:basedOn w:val="DefaultParagraphFont"/>
    <w:rsid w:val="00D949B9"/>
  </w:style>
  <w:style w:type="character" w:styleId="FootnoteReference">
    <w:name w:val="footnote reference"/>
    <w:basedOn w:val="DefaultParagraphFont"/>
    <w:rsid w:val="00D949B9"/>
    <w:rPr>
      <w:vertAlign w:val="superscript"/>
    </w:rPr>
  </w:style>
  <w:style w:type="table" w:styleId="TableContemporary">
    <w:name w:val="Table Contemporary"/>
    <w:basedOn w:val="TableNormal"/>
    <w:rsid w:val="00D949B9"/>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D949B9"/>
    <w:pPr>
      <w:suppressAutoHyphens/>
      <w:ind w:left="1134"/>
    </w:pPr>
    <w:rPr>
      <w:rFonts w:eastAsia="Times New Roman"/>
      <w:sz w:val="24"/>
      <w:szCs w:val="24"/>
      <w:lang w:val="en-GB" w:eastAsia="en-GB"/>
    </w:rPr>
  </w:style>
  <w:style w:type="character" w:styleId="Emphasis">
    <w:name w:val="Emphasis"/>
    <w:basedOn w:val="DefaultParagraphFont"/>
    <w:qFormat/>
    <w:rsid w:val="00D949B9"/>
    <w:rPr>
      <w:i/>
      <w:iCs/>
    </w:rPr>
  </w:style>
  <w:style w:type="table" w:styleId="TableElegant">
    <w:name w:val="Table Elegant"/>
    <w:basedOn w:val="TableNormal"/>
    <w:rsid w:val="00D949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uiPriority w:val="1"/>
    <w:rsid w:val="00D949B9"/>
    <w:rPr>
      <w:rFonts w:ascii="Arial" w:eastAsia="SimSun" w:hAnsi="Arial" w:cs="Arial"/>
      <w:b/>
      <w:bCs/>
      <w:caps/>
      <w:kern w:val="32"/>
      <w:sz w:val="22"/>
      <w:szCs w:val="32"/>
      <w:lang w:val="es-ES" w:eastAsia="zh-CN"/>
    </w:rPr>
  </w:style>
  <w:style w:type="paragraph" w:customStyle="1" w:styleId="BodyTexti">
    <w:name w:val="Body Text (i)"/>
    <w:basedOn w:val="Normal"/>
    <w:rsid w:val="00D949B9"/>
    <w:pPr>
      <w:tabs>
        <w:tab w:val="right" w:pos="851"/>
        <w:tab w:val="left" w:pos="1134"/>
      </w:tabs>
      <w:spacing w:after="120"/>
    </w:pPr>
    <w:rPr>
      <w:rFonts w:eastAsia="Times New Roman" w:cs="Times New Roman"/>
      <w:snapToGrid w:val="0"/>
      <w:lang w:val="en-US" w:eastAsia="en-US"/>
    </w:rPr>
  </w:style>
  <w:style w:type="paragraph" w:customStyle="1" w:styleId="BodyTexta">
    <w:name w:val="Body Text (a)"/>
    <w:basedOn w:val="Normal"/>
    <w:rsid w:val="00D949B9"/>
    <w:pPr>
      <w:spacing w:after="120"/>
      <w:ind w:firstLine="567"/>
    </w:pPr>
    <w:rPr>
      <w:rFonts w:eastAsia="Times New Roman" w:cs="Times New Roman"/>
      <w:lang w:val="en-US" w:eastAsia="en-US"/>
    </w:rPr>
  </w:style>
  <w:style w:type="paragraph" w:customStyle="1" w:styleId="ExampleClaim">
    <w:name w:val="Example Claim"/>
    <w:basedOn w:val="ExampleText"/>
    <w:rsid w:val="00D949B9"/>
    <w:pPr>
      <w:ind w:left="1134" w:hanging="567"/>
    </w:pPr>
  </w:style>
  <w:style w:type="paragraph" w:customStyle="1" w:styleId="ExampleText">
    <w:name w:val="Example Text"/>
    <w:basedOn w:val="BodyTextIndent"/>
    <w:rsid w:val="00D949B9"/>
    <w:pPr>
      <w:ind w:left="567"/>
    </w:pPr>
    <w:rPr>
      <w:rFonts w:eastAsia="Times New Roman" w:cs="Times New Roman"/>
      <w:i/>
      <w:lang w:eastAsia="en-US"/>
    </w:rPr>
  </w:style>
  <w:style w:type="paragraph" w:customStyle="1" w:styleId="ExampleClaimSub">
    <w:name w:val="Example Claim Sub"/>
    <w:basedOn w:val="ExampleClaim"/>
    <w:rsid w:val="00D949B9"/>
    <w:pPr>
      <w:ind w:firstLine="567"/>
    </w:pPr>
  </w:style>
  <w:style w:type="paragraph" w:customStyle="1" w:styleId="ExampleClaimEnd">
    <w:name w:val="Example Claim End"/>
    <w:basedOn w:val="ExampleClaimSub"/>
    <w:rsid w:val="00D949B9"/>
    <w:pPr>
      <w:ind w:firstLine="0"/>
    </w:pPr>
  </w:style>
  <w:style w:type="paragraph" w:customStyle="1" w:styleId="ExamplePolymorphism">
    <w:name w:val="Example Polymorphism"/>
    <w:basedOn w:val="ExampleClaim"/>
    <w:rsid w:val="00D949B9"/>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D949B9"/>
    <w:pPr>
      <w:tabs>
        <w:tab w:val="clear" w:pos="1980"/>
        <w:tab w:val="clear" w:pos="5400"/>
        <w:tab w:val="clear" w:pos="5580"/>
        <w:tab w:val="left" w:pos="1134"/>
        <w:tab w:val="left" w:pos="3969"/>
      </w:tabs>
    </w:pPr>
  </w:style>
  <w:style w:type="character" w:customStyle="1" w:styleId="InsertedText">
    <w:name w:val="Inserted Text"/>
    <w:qFormat/>
    <w:rsid w:val="00D949B9"/>
    <w:rPr>
      <w:color w:val="0000FF"/>
      <w:u w:val="single"/>
    </w:rPr>
  </w:style>
  <w:style w:type="paragraph" w:styleId="BodyTextIndent">
    <w:name w:val="Body Text Indent"/>
    <w:basedOn w:val="Normal"/>
    <w:link w:val="BodyTextIndentChar"/>
    <w:rsid w:val="00D949B9"/>
    <w:pPr>
      <w:spacing w:after="120"/>
      <w:ind w:left="283"/>
    </w:pPr>
    <w:rPr>
      <w:lang w:val="en-US"/>
    </w:rPr>
  </w:style>
  <w:style w:type="character" w:customStyle="1" w:styleId="BodyTextIndentChar">
    <w:name w:val="Body Text Indent Char"/>
    <w:basedOn w:val="DefaultParagraphFont"/>
    <w:link w:val="BodyTextIndent"/>
    <w:rsid w:val="00D949B9"/>
    <w:rPr>
      <w:rFonts w:ascii="Arial" w:eastAsia="SimSun" w:hAnsi="Arial" w:cs="Arial"/>
      <w:sz w:val="22"/>
      <w:lang w:eastAsia="zh-CN"/>
    </w:rPr>
  </w:style>
  <w:style w:type="paragraph" w:customStyle="1" w:styleId="Default">
    <w:name w:val="Default"/>
    <w:rsid w:val="00D949B9"/>
    <w:pPr>
      <w:autoSpaceDE w:val="0"/>
      <w:autoSpaceDN w:val="0"/>
      <w:adjustRightInd w:val="0"/>
    </w:pPr>
    <w:rPr>
      <w:rFonts w:ascii="Arial" w:hAnsi="Arial"/>
      <w:color w:val="000000"/>
      <w:sz w:val="22"/>
      <w:szCs w:val="24"/>
      <w:lang w:val="en-AU" w:eastAsia="en-AU"/>
    </w:rPr>
  </w:style>
  <w:style w:type="table" w:styleId="TableGrid">
    <w:name w:val="Table Grid"/>
    <w:basedOn w:val="TableNormal"/>
    <w:rsid w:val="00D949B9"/>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949B9"/>
    <w:pPr>
      <w:spacing w:after="100"/>
    </w:pPr>
    <w:rPr>
      <w:lang w:val="en-US"/>
    </w:rPr>
  </w:style>
  <w:style w:type="paragraph" w:styleId="TOC3">
    <w:name w:val="toc 3"/>
    <w:basedOn w:val="Normal"/>
    <w:next w:val="Normal"/>
    <w:autoRedefine/>
    <w:uiPriority w:val="39"/>
    <w:rsid w:val="00D949B9"/>
    <w:pPr>
      <w:spacing w:after="100"/>
      <w:ind w:left="440"/>
    </w:pPr>
    <w:rPr>
      <w:lang w:val="en-US"/>
    </w:rPr>
  </w:style>
  <w:style w:type="paragraph" w:styleId="TOC4">
    <w:name w:val="toc 4"/>
    <w:basedOn w:val="Normal"/>
    <w:next w:val="Normal"/>
    <w:autoRedefine/>
    <w:uiPriority w:val="39"/>
    <w:rsid w:val="00D949B9"/>
    <w:pPr>
      <w:spacing w:after="100"/>
      <w:ind w:left="660"/>
    </w:pPr>
    <w:rPr>
      <w:lang w:val="en-US"/>
    </w:rPr>
  </w:style>
  <w:style w:type="character" w:customStyle="1" w:styleId="BodyTextChar">
    <w:name w:val="Body Text Char"/>
    <w:basedOn w:val="DefaultParagraphFont"/>
    <w:link w:val="BodyText"/>
    <w:uiPriority w:val="1"/>
    <w:rsid w:val="00D949B9"/>
    <w:rPr>
      <w:rFonts w:ascii="Arial" w:eastAsia="SimSun" w:hAnsi="Arial" w:cs="Arial"/>
      <w:sz w:val="22"/>
      <w:lang w:val="es-ES" w:eastAsia="zh-CN"/>
    </w:rPr>
  </w:style>
  <w:style w:type="character" w:styleId="CommentReference">
    <w:name w:val="annotation reference"/>
    <w:basedOn w:val="DefaultParagraphFont"/>
    <w:rsid w:val="00D949B9"/>
    <w:rPr>
      <w:sz w:val="16"/>
      <w:szCs w:val="16"/>
    </w:rPr>
  </w:style>
  <w:style w:type="paragraph" w:styleId="CommentSubject">
    <w:name w:val="annotation subject"/>
    <w:basedOn w:val="CommentText"/>
    <w:next w:val="CommentText"/>
    <w:link w:val="CommentSubjectChar"/>
    <w:rsid w:val="00D949B9"/>
    <w:rPr>
      <w:b/>
      <w:bCs/>
      <w:sz w:val="20"/>
      <w:lang w:val="en-US"/>
    </w:rPr>
  </w:style>
  <w:style w:type="character" w:customStyle="1" w:styleId="CommentTextChar">
    <w:name w:val="Comment Text Char"/>
    <w:basedOn w:val="DefaultParagraphFont"/>
    <w:link w:val="CommentText"/>
    <w:semiHidden/>
    <w:rsid w:val="00D949B9"/>
    <w:rPr>
      <w:rFonts w:ascii="Arial" w:eastAsia="SimSun" w:hAnsi="Arial" w:cs="Arial"/>
      <w:sz w:val="18"/>
      <w:lang w:val="es-ES" w:eastAsia="zh-CN"/>
    </w:rPr>
  </w:style>
  <w:style w:type="character" w:customStyle="1" w:styleId="CommentSubjectChar">
    <w:name w:val="Comment Subject Char"/>
    <w:basedOn w:val="CommentTextChar"/>
    <w:link w:val="CommentSubject"/>
    <w:rsid w:val="00D949B9"/>
    <w:rPr>
      <w:rFonts w:ascii="Arial" w:eastAsia="SimSun" w:hAnsi="Arial" w:cs="Arial"/>
      <w:b/>
      <w:bCs/>
      <w:sz w:val="18"/>
      <w:lang w:val="es-ES" w:eastAsia="zh-CN"/>
    </w:rPr>
  </w:style>
  <w:style w:type="paragraph" w:styleId="Revision">
    <w:name w:val="Revision"/>
    <w:hidden/>
    <w:uiPriority w:val="99"/>
    <w:semiHidden/>
    <w:rsid w:val="00D949B9"/>
    <w:rPr>
      <w:rFonts w:ascii="Arial" w:eastAsia="SimSun" w:hAnsi="Arial" w:cs="Arial"/>
      <w:sz w:val="22"/>
      <w:lang w:eastAsia="zh-CN"/>
    </w:rPr>
  </w:style>
  <w:style w:type="character" w:customStyle="1" w:styleId="FooterChar">
    <w:name w:val="Footer Char"/>
    <w:basedOn w:val="DefaultParagraphFont"/>
    <w:link w:val="Footer"/>
    <w:uiPriority w:val="99"/>
    <w:rsid w:val="00D949B9"/>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D949B9"/>
    <w:rPr>
      <w:rFonts w:ascii="Arial" w:eastAsia="SimSun" w:hAnsi="Arial" w:cs="Arial"/>
      <w:sz w:val="18"/>
      <w:lang w:val="es-ES" w:eastAsia="zh-CN"/>
    </w:rPr>
  </w:style>
  <w:style w:type="paragraph" w:customStyle="1" w:styleId="SectionHeading">
    <w:name w:val="Section Heading"/>
    <w:basedOn w:val="Heading1"/>
    <w:link w:val="SectionHeadingChar"/>
    <w:qFormat/>
    <w:rsid w:val="00D949B9"/>
  </w:style>
  <w:style w:type="character" w:customStyle="1" w:styleId="SectionHeadingChar">
    <w:name w:val="Section Heading Char"/>
    <w:basedOn w:val="Heading1Char"/>
    <w:link w:val="SectionHeading"/>
    <w:rsid w:val="00D949B9"/>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D949B9"/>
    <w:pPr>
      <w:ind w:left="720"/>
      <w:contextualSpacing/>
    </w:pPr>
    <w:rPr>
      <w:lang w:val="en-US"/>
    </w:rPr>
  </w:style>
  <w:style w:type="character" w:styleId="FollowedHyperlink">
    <w:name w:val="FollowedHyperlink"/>
    <w:basedOn w:val="DefaultParagraphFont"/>
    <w:rsid w:val="00D949B9"/>
    <w:rPr>
      <w:color w:val="800080" w:themeColor="followedHyperlink"/>
      <w:u w:val="single"/>
    </w:rPr>
  </w:style>
  <w:style w:type="paragraph" w:styleId="NormalWeb">
    <w:name w:val="Normal (Web)"/>
    <w:basedOn w:val="Normal"/>
    <w:uiPriority w:val="99"/>
    <w:rsid w:val="00D949B9"/>
    <w:pPr>
      <w:spacing w:before="100" w:beforeAutospacing="1" w:after="100" w:afterAutospacing="1"/>
    </w:pPr>
    <w:rPr>
      <w:rFonts w:eastAsia="MS Mincho"/>
      <w:sz w:val="18"/>
      <w:szCs w:val="18"/>
      <w:lang w:val="en-US" w:eastAsia="ja-JP"/>
    </w:rPr>
  </w:style>
  <w:style w:type="paragraph" w:styleId="BodyText2">
    <w:name w:val="Body Text 2"/>
    <w:basedOn w:val="Normal"/>
    <w:link w:val="BodyText2Char"/>
    <w:rsid w:val="00D949B9"/>
    <w:rPr>
      <w:rFonts w:ascii="Century Gothic" w:hAnsi="Century Gothic"/>
      <w:i/>
      <w:color w:val="0000FF"/>
      <w:sz w:val="20"/>
      <w:lang w:val="en-US"/>
    </w:rPr>
  </w:style>
  <w:style w:type="character" w:customStyle="1" w:styleId="BodyText2Char">
    <w:name w:val="Body Text 2 Char"/>
    <w:basedOn w:val="DefaultParagraphFont"/>
    <w:link w:val="BodyText2"/>
    <w:rsid w:val="00D949B9"/>
    <w:rPr>
      <w:rFonts w:ascii="Century Gothic" w:eastAsia="SimSun" w:hAnsi="Century Gothic" w:cs="Arial"/>
      <w:i/>
      <w:color w:val="0000FF"/>
      <w:lang w:eastAsia="zh-CN"/>
    </w:rPr>
  </w:style>
  <w:style w:type="paragraph" w:styleId="BodyText3">
    <w:name w:val="Body Text 3"/>
    <w:basedOn w:val="Normal"/>
    <w:link w:val="BodyText3Char"/>
    <w:rsid w:val="00D949B9"/>
    <w:rPr>
      <w:rFonts w:ascii="Century Gothic" w:hAnsi="Century Gothic"/>
      <w:color w:val="0000FF"/>
      <w:sz w:val="20"/>
      <w:lang w:val="en-US"/>
    </w:rPr>
  </w:style>
  <w:style w:type="character" w:customStyle="1" w:styleId="BodyText3Char">
    <w:name w:val="Body Text 3 Char"/>
    <w:basedOn w:val="DefaultParagraphFont"/>
    <w:link w:val="BodyText3"/>
    <w:rsid w:val="00D949B9"/>
    <w:rPr>
      <w:rFonts w:ascii="Century Gothic" w:eastAsia="SimSun" w:hAnsi="Century Gothic" w:cs="Arial"/>
      <w:color w:val="0000FF"/>
      <w:lang w:eastAsia="zh-CN"/>
    </w:rPr>
  </w:style>
  <w:style w:type="paragraph" w:customStyle="1" w:styleId="Note-subparai">
    <w:name w:val="Note - subpara (i)"/>
    <w:basedOn w:val="Normal"/>
    <w:locked/>
    <w:rsid w:val="00D949B9"/>
    <w:pPr>
      <w:tabs>
        <w:tab w:val="right" w:pos="1843"/>
        <w:tab w:val="left" w:pos="2127"/>
      </w:tabs>
      <w:ind w:left="2127" w:hanging="2127"/>
    </w:pPr>
    <w:rPr>
      <w:rFonts w:ascii="Times New Roman" w:hAnsi="Times New Roman" w:cs="Times New Roman"/>
      <w:color w:val="000000"/>
      <w:sz w:val="24"/>
      <w:lang w:val="en-US"/>
    </w:rPr>
  </w:style>
  <w:style w:type="numbering" w:styleId="ArticleSection">
    <w:name w:val="Outline List 3"/>
    <w:basedOn w:val="NoList"/>
    <w:rsid w:val="00D949B9"/>
    <w:pPr>
      <w:numPr>
        <w:numId w:val="12"/>
      </w:numPr>
    </w:pPr>
  </w:style>
  <w:style w:type="paragraph" w:styleId="BodyTextIndent2">
    <w:name w:val="Body Text Indent 2"/>
    <w:basedOn w:val="Normal"/>
    <w:link w:val="BodyTextIndent2Char"/>
    <w:rsid w:val="00D949B9"/>
    <w:pPr>
      <w:ind w:left="567"/>
    </w:pPr>
    <w:rPr>
      <w:rFonts w:ascii="Century Gothic" w:hAnsi="Century Gothic"/>
      <w:bCs/>
      <w:iCs/>
      <w:sz w:val="16"/>
      <w:szCs w:val="16"/>
      <w:lang w:val="en-US"/>
    </w:rPr>
  </w:style>
  <w:style w:type="character" w:customStyle="1" w:styleId="BodyTextIndent2Char">
    <w:name w:val="Body Text Indent 2 Char"/>
    <w:basedOn w:val="DefaultParagraphFont"/>
    <w:link w:val="BodyTextIndent2"/>
    <w:rsid w:val="00D949B9"/>
    <w:rPr>
      <w:rFonts w:ascii="Century Gothic" w:eastAsia="SimSun" w:hAnsi="Century Gothic" w:cs="Arial"/>
      <w:bCs/>
      <w:iCs/>
      <w:sz w:val="16"/>
      <w:szCs w:val="16"/>
      <w:lang w:eastAsia="zh-CN"/>
    </w:rPr>
  </w:style>
  <w:style w:type="table" w:customStyle="1" w:styleId="TableGrid1">
    <w:name w:val="Table Grid1"/>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9B9"/>
    <w:rPr>
      <w:rFonts w:asciiTheme="minorHAnsi" w:eastAsiaTheme="minorHAnsi" w:hAnsiTheme="minorHAnsi" w:cstheme="minorBidi"/>
      <w:sz w:val="22"/>
      <w:szCs w:val="22"/>
      <w:lang w:val="fr-CA"/>
    </w:rPr>
  </w:style>
  <w:style w:type="paragraph" w:styleId="BodyTextIndent3">
    <w:name w:val="Body Text Indent 3"/>
    <w:basedOn w:val="Normal"/>
    <w:link w:val="BodyTextIndent3Char"/>
    <w:rsid w:val="00D949B9"/>
    <w:pPr>
      <w:ind w:left="360"/>
    </w:pPr>
    <w:rPr>
      <w:rFonts w:ascii="Century Gothic" w:hAnsi="Century Gothic"/>
      <w:color w:val="00B050"/>
      <w:sz w:val="20"/>
      <w:lang w:val="en-US"/>
    </w:rPr>
  </w:style>
  <w:style w:type="character" w:customStyle="1" w:styleId="BodyTextIndent3Char">
    <w:name w:val="Body Text Indent 3 Char"/>
    <w:basedOn w:val="DefaultParagraphFont"/>
    <w:link w:val="BodyTextIndent3"/>
    <w:rsid w:val="00D949B9"/>
    <w:rPr>
      <w:rFonts w:ascii="Century Gothic" w:eastAsia="SimSun" w:hAnsi="Century Gothic" w:cs="Arial"/>
      <w:color w:val="00B050"/>
      <w:lang w:eastAsia="zh-CN"/>
    </w:rPr>
  </w:style>
  <w:style w:type="table" w:styleId="MediumShading1">
    <w:name w:val="Medium Shading 1"/>
    <w:basedOn w:val="TableNormal"/>
    <w:uiPriority w:val="63"/>
    <w:rsid w:val="00D949B9"/>
    <w:rPr>
      <w:rFonts w:asciiTheme="minorHAnsi" w:eastAsiaTheme="minorHAnsi" w:hAnsiTheme="minorHAnsi" w:cstheme="minorBidi"/>
      <w:sz w:val="22"/>
      <w:szCs w:val="22"/>
      <w:lang w:val="en-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D949B9"/>
    <w:rPr>
      <w:rFonts w:ascii="Arial" w:eastAsia="SimSun" w:hAnsi="Arial" w:cs="Arial"/>
      <w:sz w:val="22"/>
      <w:lang w:val="es-ES" w:eastAsia="zh-CN"/>
    </w:rPr>
  </w:style>
  <w:style w:type="paragraph" w:customStyle="1" w:styleId="Subsection">
    <w:name w:val="Subsection"/>
    <w:basedOn w:val="Normal"/>
    <w:link w:val="SubsectionChar"/>
    <w:qFormat/>
    <w:rsid w:val="00D949B9"/>
    <w:pPr>
      <w:keepNext/>
    </w:pPr>
    <w:rPr>
      <w:b/>
      <w:lang w:val="en-US"/>
    </w:rPr>
  </w:style>
  <w:style w:type="character" w:customStyle="1" w:styleId="SubsectionChar">
    <w:name w:val="Subsection Char"/>
    <w:basedOn w:val="DefaultParagraphFont"/>
    <w:link w:val="Subsection"/>
    <w:rsid w:val="00D949B9"/>
    <w:rPr>
      <w:rFonts w:ascii="Arial" w:eastAsia="SimSun" w:hAnsi="Arial" w:cs="Arial"/>
      <w:b/>
      <w:sz w:val="22"/>
      <w:lang w:eastAsia="zh-CN"/>
    </w:rPr>
  </w:style>
  <w:style w:type="character" w:customStyle="1" w:styleId="shorttext">
    <w:name w:val="short_text"/>
    <w:basedOn w:val="DefaultParagraphFont"/>
    <w:uiPriority w:val="99"/>
    <w:rsid w:val="004C588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23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pct/en/quality/author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2426</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PCT/CTC/30/10</vt:lpstr>
    </vt:vector>
  </TitlesOfParts>
  <Company>WIPO</Company>
  <LinksUpToDate>false</LinksUpToDate>
  <CharactersWithSpaces>15770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PCT/CTC/30/10</dc:title>
  <dc:subject>Extension of Appointment of the European Patent Office as an International Search and Preliminary Examining Authority under the PCT</dc:subject>
  <dc:creator>CEVALLOS DUQUE Nilo</dc:creator>
  <cp:lastModifiedBy>MARLOW Thomas</cp:lastModifiedBy>
  <cp:revision>3</cp:revision>
  <cp:lastPrinted>2017-03-23T13:55:00Z</cp:lastPrinted>
  <dcterms:created xsi:type="dcterms:W3CDTF">2017-03-23T13:55:00Z</dcterms:created>
  <dcterms:modified xsi:type="dcterms:W3CDTF">2017-03-23T14:03:00Z</dcterms:modified>
</cp:coreProperties>
</file>