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7A7B08">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DE6F0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7A7B08">
              <w:rPr>
                <w:rFonts w:ascii="Arial Black" w:hAnsi="Arial Black"/>
                <w:caps/>
                <w:sz w:val="15"/>
              </w:rPr>
              <w:t>March 23</w:t>
            </w:r>
            <w:r w:rsidR="00DE6F0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F55E17" w:rsidP="008B2CC1">
      <w:pPr>
        <w:rPr>
          <w:caps/>
          <w:sz w:val="24"/>
        </w:rPr>
      </w:pPr>
      <w:bookmarkStart w:id="3" w:name="TitleOfDoc"/>
      <w:bookmarkEnd w:id="3"/>
      <w:r>
        <w:rPr>
          <w:caps/>
          <w:sz w:val="24"/>
        </w:rPr>
        <w:t xml:space="preserve">Deletion of </w:t>
      </w:r>
      <w:r w:rsidR="00086B9F">
        <w:rPr>
          <w:caps/>
          <w:sz w:val="24"/>
        </w:rPr>
        <w:t>“</w:t>
      </w:r>
      <w:r>
        <w:rPr>
          <w:caps/>
          <w:sz w:val="24"/>
        </w:rPr>
        <w:t>Incompatibility Provisions</w:t>
      </w:r>
      <w:r w:rsidR="00086B9F">
        <w:rPr>
          <w:caps/>
          <w:sz w:val="24"/>
        </w:rPr>
        <w:t>”</w:t>
      </w:r>
      <w:r>
        <w:rPr>
          <w:caps/>
          <w:sz w:val="24"/>
        </w:rPr>
        <w:t xml:space="preserve"> in</w:t>
      </w:r>
      <w:r w:rsidR="00DE6F0A">
        <w:rPr>
          <w:caps/>
          <w:sz w:val="24"/>
        </w:rPr>
        <w:t xml:space="preserve"> the PCT Regulations</w:t>
      </w:r>
    </w:p>
    <w:p w:rsidR="008B2CC1" w:rsidRPr="008B2CC1" w:rsidRDefault="008B2CC1" w:rsidP="008B2CC1"/>
    <w:p w:rsidR="008B2CC1" w:rsidRPr="008B2CC1" w:rsidRDefault="00DE6F0A"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3961C1" w:rsidRDefault="00D809C1" w:rsidP="004224EB">
      <w:pPr>
        <w:pStyle w:val="Heading1"/>
      </w:pPr>
      <w:bookmarkStart w:id="5" w:name="_Toc446433426"/>
      <w:r>
        <w:t>Summary</w:t>
      </w:r>
      <w:bookmarkEnd w:id="5"/>
    </w:p>
    <w:p w:rsidR="00D809C1" w:rsidRPr="003961C1" w:rsidRDefault="00D809C1" w:rsidP="003E3E7B">
      <w:pPr>
        <w:pStyle w:val="ONUME"/>
      </w:pPr>
      <w:r>
        <w:t xml:space="preserve">This document proposes the deletion of two </w:t>
      </w:r>
      <w:r w:rsidR="00086B9F">
        <w:t>“</w:t>
      </w:r>
      <w:r>
        <w:t>incompatibility provisions</w:t>
      </w:r>
      <w:r w:rsidR="00086B9F">
        <w:t>”</w:t>
      </w:r>
      <w:r w:rsidR="00060016">
        <w:t>, namely</w:t>
      </w:r>
      <w:r w:rsidR="00980D9E">
        <w:t xml:space="preserve"> </w:t>
      </w:r>
      <w:r w:rsidR="00086B9F">
        <w:t>Rules 4.10(d) and 51bis.1(f), following the withdrawal of the last outstanding</w:t>
      </w:r>
      <w:r>
        <w:t xml:space="preserve"> notifications </w:t>
      </w:r>
      <w:r w:rsidR="001420A5">
        <w:t xml:space="preserve">of incompatibility </w:t>
      </w:r>
      <w:r w:rsidR="00086B9F">
        <w:t xml:space="preserve">under those Rules by designated Offices.  </w:t>
      </w:r>
    </w:p>
    <w:p w:rsidR="00B54C10" w:rsidRDefault="004224EB" w:rsidP="00D809C1">
      <w:pPr>
        <w:pStyle w:val="Heading1"/>
      </w:pPr>
      <w:bookmarkStart w:id="6" w:name="_Toc446433427"/>
      <w:r>
        <w:t>Claiming Priority Under the PCT</w:t>
      </w:r>
      <w:bookmarkEnd w:id="6"/>
    </w:p>
    <w:p w:rsidR="00806E7D" w:rsidRDefault="004224EB" w:rsidP="005D77CD">
      <w:pPr>
        <w:pStyle w:val="ONUME"/>
      </w:pPr>
      <w:r>
        <w:t>The PCT Assembly, at its twenty</w:t>
      </w:r>
      <w:r>
        <w:noBreakHyphen/>
        <w:t xml:space="preserve">seventh session </w:t>
      </w:r>
      <w:r w:rsidR="001420A5">
        <w:t xml:space="preserve">held </w:t>
      </w:r>
      <w:r>
        <w:t xml:space="preserve">in September 1999, adopted amendments to Rule 4.10 to permit applicants </w:t>
      </w:r>
      <w:r w:rsidRPr="0037364E">
        <w:t>to</w:t>
      </w:r>
      <w:r>
        <w:t xml:space="preserve"> include</w:t>
      </w:r>
      <w:r w:rsidR="001420A5">
        <w:t>, in international applications filed on or after January 1, 2000,</w:t>
      </w:r>
      <w:r>
        <w:t xml:space="preserve"> priority claims based on an earlier application filed in a Member of the World Trade Organization (WTO) that is not a party to the Paris Convention (see document PCT/A/27/3 and paragraphs 12 to 17 of document PCT/A/27/4).  </w:t>
      </w:r>
      <w:r w:rsidR="0037364E">
        <w:t>These amendments include</w:t>
      </w:r>
      <w:r w:rsidR="001420A5">
        <w:t>d</w:t>
      </w:r>
      <w:r w:rsidR="00806E7D">
        <w:t xml:space="preserve"> a transitional provision </w:t>
      </w:r>
      <w:r w:rsidR="001420A5">
        <w:t xml:space="preserve">under which a designated Office could notify the International Bureau of the incompatibility of </w:t>
      </w:r>
      <w:r w:rsidR="00806E7D">
        <w:t xml:space="preserve">the amended provisions with the national law applied by </w:t>
      </w:r>
      <w:r w:rsidR="001420A5">
        <w:t xml:space="preserve">it </w:t>
      </w:r>
      <w:r w:rsidR="00806E7D">
        <w:t xml:space="preserve">(see Rule 4.10(d)). </w:t>
      </w:r>
    </w:p>
    <w:p w:rsidR="002928D3" w:rsidRDefault="001420A5" w:rsidP="005D77CD">
      <w:pPr>
        <w:pStyle w:val="ONUME"/>
      </w:pPr>
      <w:r>
        <w:t xml:space="preserve">Originally, </w:t>
      </w:r>
      <w:r w:rsidR="00060016">
        <w:t>two</w:t>
      </w:r>
      <w:r>
        <w:t xml:space="preserve"> designated Offices had notified the International Bureau of such incompatibility by the deadline of October 31, 1999, set out in Rule 4.10(d)</w:t>
      </w:r>
      <w:r w:rsidR="00624B5A">
        <w:t xml:space="preserve"> (see </w:t>
      </w:r>
      <w:r w:rsidR="00624B5A" w:rsidRPr="00173E75">
        <w:rPr>
          <w:i/>
        </w:rPr>
        <w:t>Official Notices (PCT</w:t>
      </w:r>
      <w:r w:rsidR="00624B5A">
        <w:rPr>
          <w:i/>
        </w:rPr>
        <w:t> </w:t>
      </w:r>
      <w:r w:rsidR="00624B5A" w:rsidRPr="00173E75">
        <w:rPr>
          <w:i/>
        </w:rPr>
        <w:t>Gazette)</w:t>
      </w:r>
      <w:r w:rsidR="00624B5A">
        <w:t xml:space="preserve"> – 2 December 1999)</w:t>
      </w:r>
      <w:r>
        <w:t xml:space="preserve">.  </w:t>
      </w:r>
      <w:r w:rsidR="00806E7D">
        <w:t xml:space="preserve">Following the withdrawal of the notification of incompatibility under </w:t>
      </w:r>
      <w:r w:rsidR="00806E7D" w:rsidRPr="00806E7D">
        <w:t>Rule</w:t>
      </w:r>
      <w:r w:rsidR="00806E7D">
        <w:t> 4.10(d) by the Eur</w:t>
      </w:r>
      <w:r w:rsidR="00173E75">
        <w:t xml:space="preserve">opean Patent Office, in its capacity as a designated Office, with effect from December 13, 2007 (see </w:t>
      </w:r>
      <w:r w:rsidR="00173E75" w:rsidRPr="00173E75">
        <w:rPr>
          <w:i/>
        </w:rPr>
        <w:t>Official Notices (PCT</w:t>
      </w:r>
      <w:r w:rsidR="00827AD2">
        <w:rPr>
          <w:i/>
        </w:rPr>
        <w:t> </w:t>
      </w:r>
      <w:r w:rsidR="00173E75" w:rsidRPr="00173E75">
        <w:rPr>
          <w:i/>
        </w:rPr>
        <w:t>Gazette)</w:t>
      </w:r>
      <w:r w:rsidR="00173E75">
        <w:t xml:space="preserve"> – 22</w:t>
      </w:r>
      <w:r w:rsidR="00827AD2">
        <w:t> </w:t>
      </w:r>
      <w:r w:rsidR="00173E75">
        <w:t>November</w:t>
      </w:r>
      <w:r w:rsidR="00827AD2">
        <w:t> </w:t>
      </w:r>
      <w:r w:rsidR="00173E75">
        <w:t>2007), no notifications of incompatibility under Rule</w:t>
      </w:r>
      <w:r w:rsidR="00086B9F">
        <w:t> </w:t>
      </w:r>
      <w:r w:rsidR="00173E75">
        <w:t xml:space="preserve">4.10(d) remain in force.  It is therefore proposed to delete </w:t>
      </w:r>
      <w:r w:rsidR="00173E75" w:rsidRPr="00173E75">
        <w:t>Rule</w:t>
      </w:r>
      <w:r w:rsidR="00173E75">
        <w:t> 4.10(d)</w:t>
      </w:r>
      <w:r w:rsidR="00086B9F">
        <w:t>,</w:t>
      </w:r>
      <w:r w:rsidR="00173E75">
        <w:t xml:space="preserve"> as set out </w:t>
      </w:r>
      <w:r w:rsidR="00B55A7F">
        <w:t>in the Annex to this document.</w:t>
      </w:r>
    </w:p>
    <w:p w:rsidR="00B55A7F" w:rsidRDefault="002F006A" w:rsidP="00D809C1">
      <w:pPr>
        <w:pStyle w:val="Heading1"/>
      </w:pPr>
      <w:bookmarkStart w:id="7" w:name="_Toc446433428"/>
      <w:r>
        <w:lastRenderedPageBreak/>
        <w:t>Translations of Priority Documents</w:t>
      </w:r>
      <w:bookmarkEnd w:id="7"/>
    </w:p>
    <w:p w:rsidR="00B55A7F" w:rsidRDefault="002F006A" w:rsidP="005D77CD">
      <w:pPr>
        <w:pStyle w:val="ONUME"/>
      </w:pPr>
      <w:r>
        <w:t>The PCT Assembly, at its twenty</w:t>
      </w:r>
      <w:r>
        <w:noBreakHyphen/>
        <w:t xml:space="preserve">eighth session </w:t>
      </w:r>
      <w:r w:rsidR="00086B9F">
        <w:t xml:space="preserve">held </w:t>
      </w:r>
      <w:r>
        <w:t xml:space="preserve">in March 2000, adopted </w:t>
      </w:r>
      <w:r w:rsidR="00086B9F">
        <w:t xml:space="preserve">new </w:t>
      </w:r>
      <w:r>
        <w:t>Rule 51</w:t>
      </w:r>
      <w:r w:rsidRPr="002C2819">
        <w:rPr>
          <w:i/>
        </w:rPr>
        <w:t>bis</w:t>
      </w:r>
      <w:r>
        <w:t>.1(e)</w:t>
      </w:r>
      <w:r w:rsidR="002C2819">
        <w:t xml:space="preserve"> to limit the ability of designated Offices to require that a translation of</w:t>
      </w:r>
      <w:r w:rsidR="00D809C1">
        <w:t xml:space="preserve"> a</w:t>
      </w:r>
      <w:r w:rsidR="002C2819">
        <w:t xml:space="preserve"> priority document be furnished by the applicant to those cases where the validity of the priority claim is relevant to the determination of whether the invention concerned is patentable, consistent with the approach taken under the then draft Patent Law Treaty.  At the same time, the Assembly adopted </w:t>
      </w:r>
      <w:r w:rsidR="00086B9F">
        <w:t xml:space="preserve">new </w:t>
      </w:r>
      <w:r w:rsidR="002C2819">
        <w:t>Rule 51</w:t>
      </w:r>
      <w:r w:rsidR="002C2819" w:rsidRPr="002C2819">
        <w:rPr>
          <w:i/>
        </w:rPr>
        <w:t>bis</w:t>
      </w:r>
      <w:r w:rsidR="002C2819">
        <w:t xml:space="preserve">.1(f) to enable </w:t>
      </w:r>
      <w:r w:rsidR="00086B9F">
        <w:t xml:space="preserve">a </w:t>
      </w:r>
      <w:r w:rsidR="002C2819">
        <w:t>designated</w:t>
      </w:r>
      <w:r w:rsidR="005B60E1">
        <w:t xml:space="preserve"> Office to </w:t>
      </w:r>
      <w:r w:rsidR="00086B9F">
        <w:t xml:space="preserve">notify the International Bureau of the incompatibility </w:t>
      </w:r>
      <w:r w:rsidR="004E3B54">
        <w:t xml:space="preserve">of </w:t>
      </w:r>
      <w:r w:rsidR="00086B9F">
        <w:t xml:space="preserve">that limitation under new </w:t>
      </w:r>
      <w:r w:rsidR="004E3B54">
        <w:t>Rule 51</w:t>
      </w:r>
      <w:r w:rsidR="004E3B54" w:rsidRPr="004E3B54">
        <w:rPr>
          <w:i/>
        </w:rPr>
        <w:t>bis</w:t>
      </w:r>
      <w:r w:rsidR="004E3B54">
        <w:t xml:space="preserve">.1(e) </w:t>
      </w:r>
      <w:r w:rsidR="00086B9F">
        <w:t xml:space="preserve">with the national law applied by it </w:t>
      </w:r>
      <w:r w:rsidR="004E3B54">
        <w:t>(see paragraphs 35 to 39 of document PCT/A/28/2, document PCT/A/28/2 Add. 1 and paragraphs 10 to 13 and Annex II of document PCT/A/28/5).</w:t>
      </w:r>
    </w:p>
    <w:p w:rsidR="004E3B54" w:rsidRDefault="00086B9F" w:rsidP="005D77CD">
      <w:pPr>
        <w:pStyle w:val="ONUME"/>
      </w:pPr>
      <w:r>
        <w:t xml:space="preserve">Originally, </w:t>
      </w:r>
      <w:r w:rsidR="00624B5A">
        <w:t>seven</w:t>
      </w:r>
      <w:r>
        <w:t xml:space="preserve"> designated Offices had notified the International Bureau of such incompatibility by the deadline of November 30, 2000, set out in Rule 51</w:t>
      </w:r>
      <w:r w:rsidRPr="002C2819">
        <w:rPr>
          <w:i/>
        </w:rPr>
        <w:t>bis</w:t>
      </w:r>
      <w:r>
        <w:t>.1(f)</w:t>
      </w:r>
      <w:r w:rsidR="00624B5A">
        <w:t xml:space="preserve"> (see </w:t>
      </w:r>
      <w:r w:rsidR="00624B5A" w:rsidRPr="00173E75">
        <w:rPr>
          <w:i/>
        </w:rPr>
        <w:t>Official Notices (PCT</w:t>
      </w:r>
      <w:r w:rsidR="00624B5A">
        <w:rPr>
          <w:i/>
        </w:rPr>
        <w:t> </w:t>
      </w:r>
      <w:r w:rsidR="00624B5A" w:rsidRPr="00173E75">
        <w:rPr>
          <w:i/>
        </w:rPr>
        <w:t>Gazette)</w:t>
      </w:r>
      <w:r w:rsidR="00624B5A">
        <w:t xml:space="preserve"> – 1 February 2001)</w:t>
      </w:r>
      <w:r>
        <w:t xml:space="preserve">.  </w:t>
      </w:r>
      <w:r w:rsidR="004E3B54">
        <w:t>Following the withdrawal of the notification of incompatibility under Rule </w:t>
      </w:r>
      <w:r w:rsidR="00827AD2">
        <w:t>51</w:t>
      </w:r>
      <w:r w:rsidR="00827AD2" w:rsidRPr="00827AD2">
        <w:rPr>
          <w:i/>
        </w:rPr>
        <w:t>bis</w:t>
      </w:r>
      <w:r w:rsidR="00827AD2">
        <w:t xml:space="preserve">.1(f) by the Spanish Patent and Trademark Office, in its capacity as a designated Office, with effect from November 6, 2013 (see </w:t>
      </w:r>
      <w:r w:rsidR="00827AD2" w:rsidRPr="00173E75">
        <w:rPr>
          <w:i/>
        </w:rPr>
        <w:t>Official Notices (PCT</w:t>
      </w:r>
      <w:r w:rsidR="00827AD2">
        <w:rPr>
          <w:i/>
        </w:rPr>
        <w:t> </w:t>
      </w:r>
      <w:r w:rsidR="00827AD2" w:rsidRPr="00173E75">
        <w:rPr>
          <w:i/>
        </w:rPr>
        <w:t>Gazette)</w:t>
      </w:r>
      <w:r w:rsidR="00827AD2">
        <w:t xml:space="preserve"> – 31 October 2013), no notifications of incompatibility under Rule 51</w:t>
      </w:r>
      <w:r w:rsidR="00827AD2" w:rsidRPr="00827AD2">
        <w:rPr>
          <w:i/>
        </w:rPr>
        <w:t>bis</w:t>
      </w:r>
      <w:r w:rsidR="00827AD2">
        <w:t>.1(f) remain in force.  It is therefore proposed to delete Rule 51</w:t>
      </w:r>
      <w:r w:rsidR="00827AD2" w:rsidRPr="00827AD2">
        <w:rPr>
          <w:i/>
        </w:rPr>
        <w:t>bis</w:t>
      </w:r>
      <w:r w:rsidR="00827AD2">
        <w:t>.1(f) as set out in the Annex to this document.</w:t>
      </w:r>
    </w:p>
    <w:p w:rsidR="00827AD2" w:rsidRDefault="00827AD2" w:rsidP="00827AD2">
      <w:pPr>
        <w:pStyle w:val="ONUME"/>
        <w:ind w:left="5533"/>
        <w:rPr>
          <w:i/>
        </w:rPr>
      </w:pPr>
      <w:r w:rsidRPr="00827AD2">
        <w:rPr>
          <w:i/>
        </w:rPr>
        <w:t>The Working Group is invited to consider the proposed amendments to the Regulations contained in the Annex to this document.</w:t>
      </w:r>
    </w:p>
    <w:p w:rsidR="00827AD2" w:rsidRPr="00827AD2" w:rsidRDefault="00827AD2" w:rsidP="00827AD2">
      <w:pPr>
        <w:pStyle w:val="ONUME"/>
        <w:numPr>
          <w:ilvl w:val="0"/>
          <w:numId w:val="0"/>
        </w:numPr>
        <w:ind w:left="5533"/>
        <w:rPr>
          <w:i/>
        </w:rPr>
      </w:pPr>
    </w:p>
    <w:p w:rsidR="00827AD2" w:rsidRDefault="00827AD2" w:rsidP="00827AD2">
      <w:pPr>
        <w:pStyle w:val="Endofdocument-Annex"/>
        <w:sectPr w:rsidR="00827AD2" w:rsidSect="00DE6F0A">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27AD2" w:rsidRDefault="00827AD2" w:rsidP="00827AD2">
      <w:pPr>
        <w:jc w:val="center"/>
      </w:pPr>
    </w:p>
    <w:p w:rsidR="007B4035" w:rsidRDefault="007B4035" w:rsidP="00827AD2">
      <w:pPr>
        <w:jc w:val="center"/>
      </w:pPr>
      <w:bookmarkStart w:id="9" w:name="_GoBack"/>
      <w:bookmarkEnd w:id="9"/>
    </w:p>
    <w:p w:rsidR="00827AD2" w:rsidRDefault="00827AD2" w:rsidP="00827AD2">
      <w:pPr>
        <w:jc w:val="center"/>
      </w:pPr>
      <w:r>
        <w:t>PROPOSED AMENDMENTS TO THE PCT REGULATIONS</w:t>
      </w:r>
      <w:r>
        <w:rPr>
          <w:rStyle w:val="FootnoteReference"/>
        </w:rPr>
        <w:footnoteReference w:id="2"/>
      </w:r>
    </w:p>
    <w:p w:rsidR="00827AD2" w:rsidRDefault="00827AD2" w:rsidP="00827AD2">
      <w:pPr>
        <w:jc w:val="center"/>
      </w:pPr>
    </w:p>
    <w:p w:rsidR="00827AD2" w:rsidRDefault="00827AD2" w:rsidP="00827AD2">
      <w:pPr>
        <w:jc w:val="center"/>
      </w:pPr>
    </w:p>
    <w:p w:rsidR="00827AD2" w:rsidRDefault="00827AD2" w:rsidP="00827AD2">
      <w:pPr>
        <w:jc w:val="center"/>
      </w:pPr>
      <w:r>
        <w:t>TABLE OF CONTENTS</w:t>
      </w:r>
    </w:p>
    <w:p w:rsidR="00827AD2" w:rsidRDefault="00827AD2" w:rsidP="00827AD2">
      <w:pPr>
        <w:pStyle w:val="ONUME"/>
        <w:numPr>
          <w:ilvl w:val="0"/>
          <w:numId w:val="0"/>
        </w:numPr>
      </w:pPr>
    </w:p>
    <w:p w:rsidR="00344CFF" w:rsidRDefault="00344CFF" w:rsidP="00827AD2">
      <w:pPr>
        <w:pStyle w:val="ONUME"/>
        <w:numPr>
          <w:ilvl w:val="0"/>
          <w:numId w:val="0"/>
        </w:numPr>
      </w:pPr>
    </w:p>
    <w:p w:rsidR="00344CFF" w:rsidRDefault="00344CFF">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SubRule #,2,Leg Rule #,1" </w:instrText>
      </w:r>
      <w:r>
        <w:fldChar w:fldCharType="separate"/>
      </w:r>
      <w:hyperlink w:anchor="_Toc446433515" w:history="1">
        <w:r w:rsidRPr="006A5D0F">
          <w:rPr>
            <w:rStyle w:val="Hyperlink"/>
            <w:noProof/>
          </w:rPr>
          <w:t>Rule 4  The Request (Contents)</w:t>
        </w:r>
        <w:r>
          <w:rPr>
            <w:noProof/>
            <w:webHidden/>
          </w:rPr>
          <w:tab/>
        </w:r>
        <w:r>
          <w:rPr>
            <w:noProof/>
            <w:webHidden/>
          </w:rPr>
          <w:fldChar w:fldCharType="begin"/>
        </w:r>
        <w:r>
          <w:rPr>
            <w:noProof/>
            <w:webHidden/>
          </w:rPr>
          <w:instrText xml:space="preserve"> PAGEREF _Toc446433515 \h </w:instrText>
        </w:r>
        <w:r>
          <w:rPr>
            <w:noProof/>
            <w:webHidden/>
          </w:rPr>
        </w:r>
        <w:r>
          <w:rPr>
            <w:noProof/>
            <w:webHidden/>
          </w:rPr>
          <w:fldChar w:fldCharType="separate"/>
        </w:r>
        <w:r w:rsidR="007B4035">
          <w:rPr>
            <w:noProof/>
            <w:webHidden/>
          </w:rPr>
          <w:t>2</w:t>
        </w:r>
        <w:r>
          <w:rPr>
            <w:noProof/>
            <w:webHidden/>
          </w:rPr>
          <w:fldChar w:fldCharType="end"/>
        </w:r>
      </w:hyperlink>
    </w:p>
    <w:p w:rsidR="00344CFF" w:rsidRDefault="00624B5A" w:rsidP="00344CFF">
      <w:pPr>
        <w:pStyle w:val="TOC2"/>
        <w:rPr>
          <w:rFonts w:asciiTheme="minorHAnsi" w:eastAsiaTheme="minorEastAsia" w:hAnsiTheme="minorHAnsi" w:cstheme="minorBidi"/>
          <w:noProof/>
          <w:szCs w:val="22"/>
          <w:lang w:eastAsia="en-US"/>
        </w:rPr>
      </w:pPr>
      <w:hyperlink w:anchor="_Toc446433516" w:history="1">
        <w:r w:rsidR="00344CFF" w:rsidRPr="006A5D0F">
          <w:rPr>
            <w:rStyle w:val="Hyperlink"/>
            <w:noProof/>
          </w:rPr>
          <w:t>4.1 to 4.9</w:t>
        </w:r>
        <w:r w:rsidR="00344CFF" w:rsidRPr="006A5D0F">
          <w:rPr>
            <w:rStyle w:val="Hyperlink"/>
            <w:i/>
            <w:iCs/>
            <w:noProof/>
          </w:rPr>
          <w:t>   </w:t>
        </w:r>
        <w:r w:rsidR="00344CFF" w:rsidRPr="006A5D0F">
          <w:rPr>
            <w:rStyle w:val="Hyperlink"/>
            <w:noProof/>
          </w:rPr>
          <w:t>[No change]</w:t>
        </w:r>
        <w:r w:rsidR="00344CFF">
          <w:rPr>
            <w:noProof/>
            <w:webHidden/>
          </w:rPr>
          <w:tab/>
        </w:r>
        <w:r w:rsidR="00344CFF">
          <w:rPr>
            <w:noProof/>
            <w:webHidden/>
          </w:rPr>
          <w:fldChar w:fldCharType="begin"/>
        </w:r>
        <w:r w:rsidR="00344CFF">
          <w:rPr>
            <w:noProof/>
            <w:webHidden/>
          </w:rPr>
          <w:instrText xml:space="preserve"> PAGEREF _Toc446433516 \h </w:instrText>
        </w:r>
        <w:r w:rsidR="00344CFF">
          <w:rPr>
            <w:noProof/>
            <w:webHidden/>
          </w:rPr>
        </w:r>
        <w:r w:rsidR="00344CFF">
          <w:rPr>
            <w:noProof/>
            <w:webHidden/>
          </w:rPr>
          <w:fldChar w:fldCharType="separate"/>
        </w:r>
        <w:r w:rsidR="007B4035">
          <w:rPr>
            <w:noProof/>
            <w:webHidden/>
          </w:rPr>
          <w:t>2</w:t>
        </w:r>
        <w:r w:rsidR="00344CFF">
          <w:rPr>
            <w:noProof/>
            <w:webHidden/>
          </w:rPr>
          <w:fldChar w:fldCharType="end"/>
        </w:r>
      </w:hyperlink>
    </w:p>
    <w:p w:rsidR="00344CFF" w:rsidRDefault="00624B5A" w:rsidP="00344CFF">
      <w:pPr>
        <w:pStyle w:val="TOC2"/>
        <w:rPr>
          <w:rFonts w:asciiTheme="minorHAnsi" w:eastAsiaTheme="minorEastAsia" w:hAnsiTheme="minorHAnsi" w:cstheme="minorBidi"/>
          <w:noProof/>
          <w:szCs w:val="22"/>
          <w:lang w:eastAsia="en-US"/>
        </w:rPr>
      </w:pPr>
      <w:hyperlink w:anchor="_Toc446433517" w:history="1">
        <w:r w:rsidR="00344CFF" w:rsidRPr="006A5D0F">
          <w:rPr>
            <w:rStyle w:val="Hyperlink"/>
            <w:noProof/>
          </w:rPr>
          <w:t>4.10   </w:t>
        </w:r>
        <w:r w:rsidR="00344CFF" w:rsidRPr="006A5D0F">
          <w:rPr>
            <w:rStyle w:val="Hyperlink"/>
            <w:i/>
            <w:noProof/>
          </w:rPr>
          <w:t>Priority Claim</w:t>
        </w:r>
        <w:r w:rsidR="00344CFF">
          <w:rPr>
            <w:noProof/>
            <w:webHidden/>
          </w:rPr>
          <w:tab/>
        </w:r>
        <w:r w:rsidR="00344CFF">
          <w:rPr>
            <w:noProof/>
            <w:webHidden/>
          </w:rPr>
          <w:fldChar w:fldCharType="begin"/>
        </w:r>
        <w:r w:rsidR="00344CFF">
          <w:rPr>
            <w:noProof/>
            <w:webHidden/>
          </w:rPr>
          <w:instrText xml:space="preserve"> PAGEREF _Toc446433517 \h </w:instrText>
        </w:r>
        <w:r w:rsidR="00344CFF">
          <w:rPr>
            <w:noProof/>
            <w:webHidden/>
          </w:rPr>
        </w:r>
        <w:r w:rsidR="00344CFF">
          <w:rPr>
            <w:noProof/>
            <w:webHidden/>
          </w:rPr>
          <w:fldChar w:fldCharType="separate"/>
        </w:r>
        <w:r w:rsidR="007B4035">
          <w:rPr>
            <w:noProof/>
            <w:webHidden/>
          </w:rPr>
          <w:t>2</w:t>
        </w:r>
        <w:r w:rsidR="00344CFF">
          <w:rPr>
            <w:noProof/>
            <w:webHidden/>
          </w:rPr>
          <w:fldChar w:fldCharType="end"/>
        </w:r>
      </w:hyperlink>
    </w:p>
    <w:p w:rsidR="00344CFF" w:rsidRPr="00344CFF" w:rsidRDefault="00624B5A" w:rsidP="00344CFF">
      <w:pPr>
        <w:pStyle w:val="TOC2"/>
        <w:rPr>
          <w:noProof/>
          <w:u w:val="single"/>
        </w:rPr>
      </w:pPr>
      <w:hyperlink w:anchor="_Toc446433518" w:history="1">
        <w:r w:rsidR="00344CFF" w:rsidRPr="006A5D0F">
          <w:rPr>
            <w:rStyle w:val="Hyperlink"/>
            <w:noProof/>
          </w:rPr>
          <w:t>4.11 to 4.19</w:t>
        </w:r>
        <w:r w:rsidR="00344CFF" w:rsidRPr="006A5D0F">
          <w:rPr>
            <w:rStyle w:val="Hyperlink"/>
            <w:i/>
            <w:iCs/>
            <w:noProof/>
          </w:rPr>
          <w:t>   </w:t>
        </w:r>
        <w:r w:rsidR="00344CFF" w:rsidRPr="006A5D0F">
          <w:rPr>
            <w:rStyle w:val="Hyperlink"/>
            <w:noProof/>
          </w:rPr>
          <w:t>[No change]</w:t>
        </w:r>
        <w:r w:rsidR="00344CFF">
          <w:rPr>
            <w:noProof/>
            <w:webHidden/>
          </w:rPr>
          <w:tab/>
        </w:r>
        <w:r w:rsidR="00344CFF">
          <w:rPr>
            <w:noProof/>
            <w:webHidden/>
          </w:rPr>
          <w:fldChar w:fldCharType="begin"/>
        </w:r>
        <w:r w:rsidR="00344CFF">
          <w:rPr>
            <w:noProof/>
            <w:webHidden/>
          </w:rPr>
          <w:instrText xml:space="preserve"> PAGEREF _Toc446433518 \h </w:instrText>
        </w:r>
        <w:r w:rsidR="00344CFF">
          <w:rPr>
            <w:noProof/>
            <w:webHidden/>
          </w:rPr>
        </w:r>
        <w:r w:rsidR="00344CFF">
          <w:rPr>
            <w:noProof/>
            <w:webHidden/>
          </w:rPr>
          <w:fldChar w:fldCharType="separate"/>
        </w:r>
        <w:r w:rsidR="007B4035">
          <w:rPr>
            <w:noProof/>
            <w:webHidden/>
          </w:rPr>
          <w:t>2</w:t>
        </w:r>
        <w:r w:rsidR="00344CFF">
          <w:rPr>
            <w:noProof/>
            <w:webHidden/>
          </w:rPr>
          <w:fldChar w:fldCharType="end"/>
        </w:r>
      </w:hyperlink>
    </w:p>
    <w:p w:rsidR="00344CFF" w:rsidRDefault="00624B5A">
      <w:pPr>
        <w:pStyle w:val="TOC1"/>
        <w:tabs>
          <w:tab w:val="right" w:leader="dot" w:pos="9345"/>
        </w:tabs>
        <w:rPr>
          <w:rFonts w:asciiTheme="minorHAnsi" w:eastAsiaTheme="minorEastAsia" w:hAnsiTheme="minorHAnsi" w:cstheme="minorBidi"/>
          <w:noProof/>
          <w:szCs w:val="22"/>
          <w:lang w:eastAsia="en-US"/>
        </w:rPr>
      </w:pPr>
      <w:hyperlink w:anchor="_Toc446433519" w:history="1">
        <w:r w:rsidR="00344CFF" w:rsidRPr="006A5D0F">
          <w:rPr>
            <w:rStyle w:val="Hyperlink"/>
            <w:noProof/>
          </w:rPr>
          <w:t>Rule 51</w:t>
        </w:r>
        <w:r w:rsidR="00344CFF" w:rsidRPr="006A5D0F">
          <w:rPr>
            <w:rStyle w:val="Hyperlink"/>
            <w:i/>
            <w:noProof/>
          </w:rPr>
          <w:t xml:space="preserve">bis </w:t>
        </w:r>
        <w:r w:rsidR="00344CFF" w:rsidRPr="006A5D0F">
          <w:rPr>
            <w:rStyle w:val="Hyperlink"/>
            <w:noProof/>
          </w:rPr>
          <w:t xml:space="preserve"> Certain National Requirements Allowed under Article 27</w:t>
        </w:r>
        <w:r w:rsidR="00344CFF">
          <w:rPr>
            <w:noProof/>
            <w:webHidden/>
          </w:rPr>
          <w:tab/>
        </w:r>
        <w:r w:rsidR="00344CFF">
          <w:rPr>
            <w:noProof/>
            <w:webHidden/>
          </w:rPr>
          <w:fldChar w:fldCharType="begin"/>
        </w:r>
        <w:r w:rsidR="00344CFF">
          <w:rPr>
            <w:noProof/>
            <w:webHidden/>
          </w:rPr>
          <w:instrText xml:space="preserve"> PAGEREF _Toc446433519 \h </w:instrText>
        </w:r>
        <w:r w:rsidR="00344CFF">
          <w:rPr>
            <w:noProof/>
            <w:webHidden/>
          </w:rPr>
        </w:r>
        <w:r w:rsidR="00344CFF">
          <w:rPr>
            <w:noProof/>
            <w:webHidden/>
          </w:rPr>
          <w:fldChar w:fldCharType="separate"/>
        </w:r>
        <w:r w:rsidR="007B4035">
          <w:rPr>
            <w:noProof/>
            <w:webHidden/>
          </w:rPr>
          <w:t>3</w:t>
        </w:r>
        <w:r w:rsidR="00344CFF">
          <w:rPr>
            <w:noProof/>
            <w:webHidden/>
          </w:rPr>
          <w:fldChar w:fldCharType="end"/>
        </w:r>
      </w:hyperlink>
    </w:p>
    <w:p w:rsidR="00344CFF" w:rsidRDefault="00624B5A" w:rsidP="00344CFF">
      <w:pPr>
        <w:pStyle w:val="TOC2"/>
        <w:rPr>
          <w:rFonts w:asciiTheme="minorHAnsi" w:eastAsiaTheme="minorEastAsia" w:hAnsiTheme="minorHAnsi" w:cstheme="minorBidi"/>
          <w:noProof/>
          <w:szCs w:val="22"/>
          <w:lang w:eastAsia="en-US"/>
        </w:rPr>
      </w:pPr>
      <w:hyperlink w:anchor="_Toc446433520" w:history="1">
        <w:r w:rsidR="00344CFF" w:rsidRPr="006A5D0F">
          <w:rPr>
            <w:rStyle w:val="Hyperlink"/>
            <w:noProof/>
          </w:rPr>
          <w:t>51</w:t>
        </w:r>
        <w:r w:rsidR="00344CFF" w:rsidRPr="006A5D0F">
          <w:rPr>
            <w:rStyle w:val="Hyperlink"/>
            <w:i/>
            <w:noProof/>
          </w:rPr>
          <w:t>bis</w:t>
        </w:r>
        <w:r w:rsidR="00344CFF" w:rsidRPr="006A5D0F">
          <w:rPr>
            <w:rStyle w:val="Hyperlink"/>
            <w:noProof/>
          </w:rPr>
          <w:t>.1   </w:t>
        </w:r>
        <w:r w:rsidR="00344CFF" w:rsidRPr="006A5D0F">
          <w:rPr>
            <w:rStyle w:val="Hyperlink"/>
            <w:i/>
            <w:noProof/>
          </w:rPr>
          <w:t>Certain National Requirements Allowed</w:t>
        </w:r>
        <w:r w:rsidR="00344CFF">
          <w:rPr>
            <w:noProof/>
            <w:webHidden/>
          </w:rPr>
          <w:tab/>
        </w:r>
        <w:r w:rsidR="00344CFF">
          <w:rPr>
            <w:noProof/>
            <w:webHidden/>
          </w:rPr>
          <w:fldChar w:fldCharType="begin"/>
        </w:r>
        <w:r w:rsidR="00344CFF">
          <w:rPr>
            <w:noProof/>
            <w:webHidden/>
          </w:rPr>
          <w:instrText xml:space="preserve"> PAGEREF _Toc446433520 \h </w:instrText>
        </w:r>
        <w:r w:rsidR="00344CFF">
          <w:rPr>
            <w:noProof/>
            <w:webHidden/>
          </w:rPr>
        </w:r>
        <w:r w:rsidR="00344CFF">
          <w:rPr>
            <w:noProof/>
            <w:webHidden/>
          </w:rPr>
          <w:fldChar w:fldCharType="separate"/>
        </w:r>
        <w:r w:rsidR="007B4035">
          <w:rPr>
            <w:noProof/>
            <w:webHidden/>
          </w:rPr>
          <w:t>3</w:t>
        </w:r>
        <w:r w:rsidR="00344CFF">
          <w:rPr>
            <w:noProof/>
            <w:webHidden/>
          </w:rPr>
          <w:fldChar w:fldCharType="end"/>
        </w:r>
      </w:hyperlink>
    </w:p>
    <w:p w:rsidR="00344CFF" w:rsidRDefault="00624B5A" w:rsidP="00344CFF">
      <w:pPr>
        <w:pStyle w:val="TOC2"/>
        <w:rPr>
          <w:rFonts w:asciiTheme="minorHAnsi" w:eastAsiaTheme="minorEastAsia" w:hAnsiTheme="minorHAnsi" w:cstheme="minorBidi"/>
          <w:noProof/>
          <w:szCs w:val="22"/>
          <w:lang w:eastAsia="en-US"/>
        </w:rPr>
      </w:pPr>
      <w:hyperlink w:anchor="_Toc446433521" w:history="1">
        <w:r w:rsidR="00344CFF" w:rsidRPr="006A5D0F">
          <w:rPr>
            <w:rStyle w:val="Hyperlink"/>
            <w:noProof/>
          </w:rPr>
          <w:t>51</w:t>
        </w:r>
        <w:r w:rsidR="00344CFF" w:rsidRPr="006A5D0F">
          <w:rPr>
            <w:rStyle w:val="Hyperlink"/>
            <w:i/>
            <w:noProof/>
          </w:rPr>
          <w:t>bis</w:t>
        </w:r>
        <w:r w:rsidR="00344CFF" w:rsidRPr="006A5D0F">
          <w:rPr>
            <w:rStyle w:val="Hyperlink"/>
            <w:noProof/>
          </w:rPr>
          <w:t>.2 and 51</w:t>
        </w:r>
        <w:r w:rsidR="00344CFF" w:rsidRPr="006A5D0F">
          <w:rPr>
            <w:rStyle w:val="Hyperlink"/>
            <w:i/>
            <w:noProof/>
          </w:rPr>
          <w:t>bis.</w:t>
        </w:r>
        <w:r w:rsidR="00344CFF" w:rsidRPr="006A5D0F">
          <w:rPr>
            <w:rStyle w:val="Hyperlink"/>
            <w:noProof/>
          </w:rPr>
          <w:t>3   [No change]</w:t>
        </w:r>
        <w:r w:rsidR="00344CFF">
          <w:rPr>
            <w:noProof/>
            <w:webHidden/>
          </w:rPr>
          <w:tab/>
        </w:r>
        <w:r w:rsidR="00344CFF">
          <w:rPr>
            <w:noProof/>
            <w:webHidden/>
          </w:rPr>
          <w:fldChar w:fldCharType="begin"/>
        </w:r>
        <w:r w:rsidR="00344CFF">
          <w:rPr>
            <w:noProof/>
            <w:webHidden/>
          </w:rPr>
          <w:instrText xml:space="preserve"> PAGEREF _Toc446433521 \h </w:instrText>
        </w:r>
        <w:r w:rsidR="00344CFF">
          <w:rPr>
            <w:noProof/>
            <w:webHidden/>
          </w:rPr>
        </w:r>
        <w:r w:rsidR="00344CFF">
          <w:rPr>
            <w:noProof/>
            <w:webHidden/>
          </w:rPr>
          <w:fldChar w:fldCharType="separate"/>
        </w:r>
        <w:r w:rsidR="007B4035">
          <w:rPr>
            <w:noProof/>
            <w:webHidden/>
          </w:rPr>
          <w:t>3</w:t>
        </w:r>
        <w:r w:rsidR="00344CFF">
          <w:rPr>
            <w:noProof/>
            <w:webHidden/>
          </w:rPr>
          <w:fldChar w:fldCharType="end"/>
        </w:r>
      </w:hyperlink>
    </w:p>
    <w:p w:rsidR="00344CFF" w:rsidRDefault="00344CFF" w:rsidP="00344CFF">
      <w:pPr>
        <w:pStyle w:val="ONUME"/>
        <w:numPr>
          <w:ilvl w:val="0"/>
          <w:numId w:val="0"/>
        </w:numPr>
      </w:pPr>
      <w:r>
        <w:fldChar w:fldCharType="end"/>
      </w:r>
    </w:p>
    <w:p w:rsidR="00827AD2" w:rsidRDefault="00810570" w:rsidP="00810570">
      <w:pPr>
        <w:pStyle w:val="LegRule"/>
        <w:spacing w:line="480" w:lineRule="auto"/>
      </w:pPr>
      <w:bookmarkStart w:id="10" w:name="_Toc429384164"/>
      <w:bookmarkStart w:id="11" w:name="_Toc446433515"/>
      <w:r w:rsidRPr="006A3F34">
        <w:lastRenderedPageBreak/>
        <w:t xml:space="preserve">Rule </w:t>
      </w:r>
      <w:r>
        <w:t>4</w:t>
      </w:r>
      <w:r w:rsidRPr="006A3F34">
        <w:t xml:space="preserve"> </w:t>
      </w:r>
      <w:r w:rsidRPr="006A3F34">
        <w:br/>
      </w:r>
      <w:r w:rsidRPr="00810570">
        <w:t>The Request (Contents)</w:t>
      </w:r>
      <w:bookmarkEnd w:id="10"/>
      <w:bookmarkEnd w:id="11"/>
    </w:p>
    <w:p w:rsidR="00810570" w:rsidRPr="006A3F34" w:rsidRDefault="00810570" w:rsidP="00810570">
      <w:pPr>
        <w:pStyle w:val="LegSubRule"/>
        <w:spacing w:line="480" w:lineRule="auto"/>
        <w:rPr>
          <w:rFonts w:eastAsia="SimSun"/>
        </w:rPr>
      </w:pPr>
      <w:bookmarkStart w:id="12" w:name="_Toc429384227"/>
      <w:bookmarkStart w:id="13" w:name="_Toc446433516"/>
      <w:r w:rsidRPr="006A3F34">
        <w:t>4.1</w:t>
      </w:r>
      <w:r>
        <w:t xml:space="preserve"> to 4.9</w:t>
      </w:r>
      <w:r w:rsidRPr="006A3F34">
        <w:rPr>
          <w:i/>
          <w:iCs/>
        </w:rPr>
        <w:t>   </w:t>
      </w:r>
      <w:r w:rsidRPr="006A3F34">
        <w:t>[No change]</w:t>
      </w:r>
      <w:bookmarkEnd w:id="12"/>
      <w:bookmarkEnd w:id="13"/>
    </w:p>
    <w:p w:rsidR="00810570" w:rsidRDefault="00810570" w:rsidP="00810570">
      <w:pPr>
        <w:pStyle w:val="LegSubRule"/>
        <w:spacing w:line="480" w:lineRule="auto"/>
        <w:rPr>
          <w:rFonts w:eastAsia="SimSun"/>
          <w:i/>
          <w:iCs/>
        </w:rPr>
      </w:pPr>
      <w:bookmarkStart w:id="14" w:name="_Toc446433517"/>
      <w:r w:rsidRPr="006A3F34">
        <w:t>4.1</w:t>
      </w:r>
      <w:r>
        <w:t>0   </w:t>
      </w:r>
      <w:r w:rsidRPr="00810570">
        <w:rPr>
          <w:i/>
        </w:rPr>
        <w:t>Priority Claim</w:t>
      </w:r>
      <w:bookmarkEnd w:id="14"/>
    </w:p>
    <w:p w:rsidR="00810570" w:rsidRPr="006A3F34" w:rsidRDefault="00810570" w:rsidP="00810570">
      <w:pPr>
        <w:pStyle w:val="Lega"/>
        <w:spacing w:line="480" w:lineRule="auto"/>
        <w:rPr>
          <w:rFonts w:eastAsia="SimSun"/>
        </w:rPr>
      </w:pPr>
      <w:r w:rsidRPr="006A3F34">
        <w:tab/>
      </w:r>
      <w:r w:rsidRPr="006A3F34">
        <w:rPr>
          <w:rFonts w:eastAsia="SimSun"/>
        </w:rPr>
        <w:t>(a) </w:t>
      </w:r>
      <w:r>
        <w:rPr>
          <w:rFonts w:eastAsia="SimSun"/>
        </w:rPr>
        <w:t>to (c) </w:t>
      </w:r>
      <w:r w:rsidR="0089743C">
        <w:rPr>
          <w:rFonts w:eastAsia="SimSun"/>
        </w:rPr>
        <w:t> </w:t>
      </w:r>
      <w:r>
        <w:rPr>
          <w:rFonts w:eastAsia="SimSun"/>
        </w:rPr>
        <w:t> [No change]</w:t>
      </w:r>
      <w:r w:rsidRPr="00810570">
        <w:t xml:space="preserve"> </w:t>
      </w:r>
    </w:p>
    <w:p w:rsidR="00810570" w:rsidRDefault="00810570" w:rsidP="00810570">
      <w:pPr>
        <w:pStyle w:val="Lega"/>
        <w:spacing w:line="480" w:lineRule="auto"/>
        <w:rPr>
          <w:rFonts w:eastAsia="SimSun"/>
        </w:rPr>
      </w:pPr>
      <w:r w:rsidRPr="006A3F34">
        <w:tab/>
      </w:r>
      <w:r w:rsidRPr="0089743C">
        <w:rPr>
          <w:rStyle w:val="RDeletedText"/>
          <w:rFonts w:eastAsia="SimSun"/>
        </w:rPr>
        <w:t>(d)  </w:t>
      </w:r>
      <w:r w:rsidRPr="0089743C">
        <w:rPr>
          <w:rStyle w:val="RDeletedText"/>
        </w:rPr>
        <w:t>If, on September 29, 1999, paragraphs (a) and (b) as amended with effect from January 1, 2000, are not compatible with the national law applied by a designated Office, those paragraphs as in force until December 31, 1999, shall continue to apply after that date in respect of that designated Office for as long as the said paragraphs as amended continue not to be compatible with that law, provided that the said Office informs the International Bureau accordingly by October 31, 1999.  The information received shall be promptly published by the International Bureau in the Gazette.</w:t>
      </w:r>
    </w:p>
    <w:p w:rsidR="0089743C" w:rsidRPr="006A3F34" w:rsidRDefault="0089743C" w:rsidP="0089743C">
      <w:pPr>
        <w:pStyle w:val="LegSubRule"/>
        <w:spacing w:line="480" w:lineRule="auto"/>
        <w:rPr>
          <w:rFonts w:eastAsia="SimSun"/>
        </w:rPr>
      </w:pPr>
      <w:bookmarkStart w:id="15" w:name="_Toc446433518"/>
      <w:r w:rsidRPr="006A3F34">
        <w:t>4.1</w:t>
      </w:r>
      <w:r>
        <w:t>1 to 4.19</w:t>
      </w:r>
      <w:r w:rsidRPr="006A3F34">
        <w:rPr>
          <w:i/>
          <w:iCs/>
        </w:rPr>
        <w:t>   </w:t>
      </w:r>
      <w:r w:rsidRPr="006A3F34">
        <w:t>[No change]</w:t>
      </w:r>
      <w:bookmarkEnd w:id="15"/>
    </w:p>
    <w:p w:rsidR="0089743C" w:rsidRDefault="0089743C" w:rsidP="0089743C">
      <w:pPr>
        <w:pStyle w:val="LegRule"/>
        <w:spacing w:line="480" w:lineRule="auto"/>
      </w:pPr>
      <w:bookmarkStart w:id="16" w:name="_Toc446433519"/>
      <w:r w:rsidRPr="006A3F34">
        <w:lastRenderedPageBreak/>
        <w:t xml:space="preserve">Rule </w:t>
      </w:r>
      <w:r>
        <w:t>51</w:t>
      </w:r>
      <w:r w:rsidRPr="0089743C">
        <w:rPr>
          <w:i/>
        </w:rPr>
        <w:t xml:space="preserve">bis </w:t>
      </w:r>
      <w:r w:rsidRPr="006A3F34">
        <w:br/>
      </w:r>
      <w:r>
        <w:t>Certain National Requirements Allowed under Article 27</w:t>
      </w:r>
      <w:bookmarkEnd w:id="16"/>
    </w:p>
    <w:p w:rsidR="0089743C" w:rsidRDefault="0089743C" w:rsidP="0089743C">
      <w:pPr>
        <w:pStyle w:val="LegSubRule"/>
        <w:spacing w:line="480" w:lineRule="auto"/>
        <w:rPr>
          <w:rFonts w:eastAsia="SimSun"/>
          <w:i/>
          <w:iCs/>
        </w:rPr>
      </w:pPr>
      <w:bookmarkStart w:id="17" w:name="_Toc446433520"/>
      <w:r>
        <w:t>51</w:t>
      </w:r>
      <w:r w:rsidRPr="0089743C">
        <w:rPr>
          <w:i/>
        </w:rPr>
        <w:t>bis</w:t>
      </w:r>
      <w:r>
        <w:t>.1   </w:t>
      </w:r>
      <w:r>
        <w:rPr>
          <w:i/>
        </w:rPr>
        <w:t>Certain National Requirements Allowed</w:t>
      </w:r>
      <w:bookmarkEnd w:id="17"/>
    </w:p>
    <w:p w:rsidR="0089743C" w:rsidRPr="006A3F34" w:rsidRDefault="0089743C" w:rsidP="0089743C">
      <w:pPr>
        <w:pStyle w:val="Lega"/>
        <w:spacing w:line="480" w:lineRule="auto"/>
        <w:rPr>
          <w:rFonts w:eastAsia="SimSun"/>
        </w:rPr>
      </w:pPr>
      <w:r w:rsidRPr="006A3F34">
        <w:tab/>
      </w:r>
      <w:r w:rsidRPr="006A3F34">
        <w:rPr>
          <w:rFonts w:eastAsia="SimSun"/>
        </w:rPr>
        <w:t>(a) </w:t>
      </w:r>
      <w:r>
        <w:rPr>
          <w:rFonts w:eastAsia="SimSun"/>
        </w:rPr>
        <w:t>to (d)   [No change]</w:t>
      </w:r>
      <w:r w:rsidRPr="00810570">
        <w:t xml:space="preserve"> </w:t>
      </w:r>
    </w:p>
    <w:p w:rsidR="002042C0" w:rsidRDefault="0089743C" w:rsidP="002042C0">
      <w:pPr>
        <w:pStyle w:val="Lega"/>
        <w:spacing w:line="480" w:lineRule="auto"/>
      </w:pPr>
      <w:r w:rsidRPr="006A3F34">
        <w:tab/>
      </w:r>
      <w:r>
        <w:rPr>
          <w:rFonts w:eastAsia="SimSun"/>
        </w:rPr>
        <w:t>(e</w:t>
      </w:r>
      <w:r w:rsidRPr="006A3F34">
        <w:rPr>
          <w:rFonts w:eastAsia="SimSun"/>
        </w:rPr>
        <w:t>) </w:t>
      </w:r>
      <w:r>
        <w:rPr>
          <w:rFonts w:eastAsia="SimSun"/>
        </w:rPr>
        <w:t>  </w:t>
      </w:r>
      <w:r w:rsidRPr="002042C0">
        <w:rPr>
          <w:rFonts w:eastAsia="SimSun"/>
          <w:i/>
        </w:rPr>
        <w:t>[No change]</w:t>
      </w:r>
      <w:r w:rsidRPr="00810570">
        <w:t xml:space="preserve"> </w:t>
      </w:r>
      <w:r w:rsidR="002042C0">
        <w:t>The national law applicable by the designated Office may, in accordance with Article 27, require the applicant to furnish a translation of the priority document, provided that such a translation may only be required:</w:t>
      </w:r>
    </w:p>
    <w:p w:rsidR="002042C0" w:rsidRDefault="002042C0" w:rsidP="002042C0">
      <w:pPr>
        <w:pStyle w:val="Lega"/>
        <w:spacing w:line="480" w:lineRule="auto"/>
      </w:pPr>
      <w:r w:rsidRPr="006A3F34">
        <w:tab/>
      </w:r>
      <w:r w:rsidR="00522FA0">
        <w:tab/>
      </w:r>
      <w:r>
        <w:t>(i)</w:t>
      </w:r>
      <w:r>
        <w:tab/>
        <w:t>where the validity of the priority claim is relevant to the determination of whether the invention concerned is patentable;  or</w:t>
      </w:r>
    </w:p>
    <w:p w:rsidR="0089743C" w:rsidRPr="006A3F34" w:rsidRDefault="00522FA0" w:rsidP="002042C0">
      <w:pPr>
        <w:pStyle w:val="Lega"/>
        <w:spacing w:line="480" w:lineRule="auto"/>
        <w:rPr>
          <w:rFonts w:eastAsia="SimSun"/>
        </w:rPr>
      </w:pPr>
      <w:r w:rsidRPr="006A3F34">
        <w:tab/>
      </w:r>
      <w:r>
        <w:tab/>
      </w:r>
      <w:r w:rsidR="002042C0">
        <w:t>(ii)</w:t>
      </w:r>
      <w:r w:rsidR="002042C0">
        <w:tab/>
        <w:t>where the international filing date has been accorded by the receiving Office under Rule 20.3(b)(ii) or 20.5(d) on the basis of the incorporation by</w:t>
      </w:r>
      <w:r>
        <w:t xml:space="preserve"> reference under Rules 4.18 and </w:t>
      </w:r>
      <w:r w:rsidR="002042C0">
        <w:t>20.6 of an element or part, for the purposes of determining under Rule 82</w:t>
      </w:r>
      <w:r w:rsidR="002042C0" w:rsidRPr="00522FA0">
        <w:rPr>
          <w:i/>
        </w:rPr>
        <w:t>ter</w:t>
      </w:r>
      <w:r w:rsidR="002042C0">
        <w:t>.1(b) whether that element or part is completely contained in the priority document concerned, in which case the national law applicable by the designated Office may also require the applicant to furnish, in the case of a part of the description, claims or drawings, an indication as to where that part is contained in the translation of the priority document.</w:t>
      </w:r>
    </w:p>
    <w:p w:rsidR="002042C0" w:rsidRPr="006A3F34" w:rsidRDefault="002042C0" w:rsidP="002042C0">
      <w:pPr>
        <w:pStyle w:val="Lega"/>
        <w:spacing w:line="480" w:lineRule="auto"/>
        <w:rPr>
          <w:rFonts w:eastAsia="SimSun"/>
        </w:rPr>
      </w:pPr>
      <w:r w:rsidRPr="006A3F34">
        <w:tab/>
      </w:r>
      <w:r w:rsidRPr="002042C0">
        <w:rPr>
          <w:rStyle w:val="RDeletedText"/>
          <w:rFonts w:eastAsia="SimSun"/>
        </w:rPr>
        <w:t>(f)   </w:t>
      </w:r>
      <w:r w:rsidRPr="002042C0">
        <w:rPr>
          <w:rStyle w:val="RDeletedText"/>
        </w:rPr>
        <w:t>If, on March 17, 2000, the proviso in paragraph (e) is not compatible with the national law applied by the designated Office, that proviso shall not apply in respect of that Office for as long as that proviso continues not to be compatible with that law, provided that the said Office informs the International Bureau accordingly by November 30, 2000.  The information received shall be promptly published by the International Bureau in the Gazette.</w:t>
      </w:r>
    </w:p>
    <w:p w:rsidR="00E63A77" w:rsidRDefault="00E63A77" w:rsidP="00E63A77">
      <w:pPr>
        <w:pStyle w:val="LegSubRule"/>
        <w:spacing w:line="480" w:lineRule="auto"/>
        <w:rPr>
          <w:rFonts w:eastAsia="SimSun"/>
          <w:i/>
          <w:iCs/>
        </w:rPr>
      </w:pPr>
      <w:bookmarkStart w:id="18" w:name="_Toc446433521"/>
      <w:r>
        <w:t>51</w:t>
      </w:r>
      <w:r w:rsidRPr="0089743C">
        <w:rPr>
          <w:i/>
        </w:rPr>
        <w:t>bis</w:t>
      </w:r>
      <w:r>
        <w:t>.2 and 51</w:t>
      </w:r>
      <w:r w:rsidRPr="00E63A77">
        <w:rPr>
          <w:i/>
        </w:rPr>
        <w:t>bis.</w:t>
      </w:r>
      <w:r>
        <w:t>3   </w:t>
      </w:r>
      <w:r w:rsidRPr="00E63A77">
        <w:t>[No change]</w:t>
      </w:r>
      <w:bookmarkEnd w:id="18"/>
    </w:p>
    <w:p w:rsidR="00433EF4" w:rsidRDefault="00433EF4" w:rsidP="00433EF4">
      <w:pPr>
        <w:pStyle w:val="Endofdocument-Annex"/>
      </w:pPr>
    </w:p>
    <w:p w:rsidR="00810570" w:rsidRDefault="00433EF4" w:rsidP="00433EF4">
      <w:pPr>
        <w:pStyle w:val="Endofdocument-Annex"/>
      </w:pPr>
      <w:r>
        <w:t>[End of Annex and of document]</w:t>
      </w:r>
    </w:p>
    <w:sectPr w:rsidR="00810570" w:rsidSect="0081057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0A" w:rsidRDefault="00DE6F0A">
      <w:r>
        <w:separator/>
      </w:r>
    </w:p>
  </w:endnote>
  <w:endnote w:type="continuationSeparator" w:id="0">
    <w:p w:rsidR="00DE6F0A" w:rsidRDefault="00DE6F0A" w:rsidP="003B38C1">
      <w:r>
        <w:separator/>
      </w:r>
    </w:p>
    <w:p w:rsidR="00DE6F0A" w:rsidRPr="003B38C1" w:rsidRDefault="00DE6F0A" w:rsidP="003B38C1">
      <w:pPr>
        <w:spacing w:after="60"/>
        <w:rPr>
          <w:sz w:val="17"/>
        </w:rPr>
      </w:pPr>
      <w:r>
        <w:rPr>
          <w:sz w:val="17"/>
        </w:rPr>
        <w:t>[Endnote continued from previous page]</w:t>
      </w:r>
    </w:p>
  </w:endnote>
  <w:endnote w:type="continuationNotice" w:id="1">
    <w:p w:rsidR="00DE6F0A" w:rsidRPr="003B38C1" w:rsidRDefault="00DE6F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0A" w:rsidRDefault="00DE6F0A">
      <w:r>
        <w:separator/>
      </w:r>
    </w:p>
  </w:footnote>
  <w:footnote w:type="continuationSeparator" w:id="0">
    <w:p w:rsidR="00DE6F0A" w:rsidRDefault="00DE6F0A" w:rsidP="008B60B2">
      <w:r>
        <w:separator/>
      </w:r>
    </w:p>
    <w:p w:rsidR="00DE6F0A" w:rsidRPr="00ED77FB" w:rsidRDefault="00DE6F0A" w:rsidP="008B60B2">
      <w:pPr>
        <w:spacing w:after="60"/>
        <w:rPr>
          <w:sz w:val="17"/>
          <w:szCs w:val="17"/>
        </w:rPr>
      </w:pPr>
      <w:r w:rsidRPr="00ED77FB">
        <w:rPr>
          <w:sz w:val="17"/>
          <w:szCs w:val="17"/>
        </w:rPr>
        <w:t>[Footnote continued from previous page]</w:t>
      </w:r>
    </w:p>
  </w:footnote>
  <w:footnote w:type="continuationNotice" w:id="1">
    <w:p w:rsidR="00DE6F0A" w:rsidRPr="00ED77FB" w:rsidRDefault="00DE6F0A" w:rsidP="008B60B2">
      <w:pPr>
        <w:spacing w:before="60"/>
        <w:jc w:val="right"/>
        <w:rPr>
          <w:sz w:val="17"/>
          <w:szCs w:val="17"/>
        </w:rPr>
      </w:pPr>
      <w:r w:rsidRPr="00ED77FB">
        <w:rPr>
          <w:sz w:val="17"/>
          <w:szCs w:val="17"/>
        </w:rPr>
        <w:t>[Footnote continued on next page]</w:t>
      </w:r>
    </w:p>
  </w:footnote>
  <w:footnote w:id="2">
    <w:p w:rsidR="00827AD2" w:rsidRDefault="00827AD2" w:rsidP="00827AD2">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10570" w:rsidRDefault="00DE6F0A" w:rsidP="00477D6B">
    <w:pPr>
      <w:jc w:val="right"/>
      <w:rPr>
        <w:lang w:val="fr-FR"/>
      </w:rPr>
    </w:pPr>
    <w:bookmarkStart w:id="8" w:name="Code2"/>
    <w:bookmarkEnd w:id="8"/>
    <w:r w:rsidRPr="00810570">
      <w:rPr>
        <w:lang w:val="fr-FR"/>
      </w:rPr>
      <w:t>PCT/WG/9/</w:t>
    </w:r>
    <w:r w:rsidR="007A7B08">
      <w:rPr>
        <w:lang w:val="fr-FR"/>
      </w:rPr>
      <w:t>12</w:t>
    </w:r>
  </w:p>
  <w:p w:rsidR="00EC4E49" w:rsidRPr="00810570" w:rsidRDefault="00EC4E49" w:rsidP="00477D6B">
    <w:pPr>
      <w:jc w:val="right"/>
      <w:rPr>
        <w:lang w:val="fr-FR"/>
      </w:rPr>
    </w:pPr>
    <w:r w:rsidRPr="00810570">
      <w:rPr>
        <w:lang w:val="fr-FR"/>
      </w:rPr>
      <w:t xml:space="preserve">page </w:t>
    </w:r>
    <w:r>
      <w:fldChar w:fldCharType="begin"/>
    </w:r>
    <w:r w:rsidRPr="00810570">
      <w:rPr>
        <w:lang w:val="fr-FR"/>
      </w:rPr>
      <w:instrText xml:space="preserve"> PAGE  \* MERGEFORMAT </w:instrText>
    </w:r>
    <w:r>
      <w:fldChar w:fldCharType="separate"/>
    </w:r>
    <w:r w:rsidR="007B4035">
      <w:rPr>
        <w:noProof/>
        <w:lang w:val="fr-FR"/>
      </w:rPr>
      <w:t>2</w:t>
    </w:r>
    <w:r>
      <w:fldChar w:fldCharType="end"/>
    </w:r>
  </w:p>
  <w:p w:rsidR="00EC4E49" w:rsidRPr="00810570" w:rsidRDefault="00EC4E49"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70" w:rsidRPr="003E3E7B" w:rsidRDefault="00810570" w:rsidP="00477D6B">
    <w:pPr>
      <w:jc w:val="right"/>
      <w:rPr>
        <w:lang w:val="fr-CH"/>
      </w:rPr>
    </w:pPr>
    <w:r w:rsidRPr="003E3E7B">
      <w:rPr>
        <w:lang w:val="fr-CH"/>
      </w:rPr>
      <w:t>PCT/WG/9/</w:t>
    </w:r>
    <w:r w:rsidR="00A34710">
      <w:rPr>
        <w:lang w:val="fr-CH"/>
      </w:rPr>
      <w:t>12</w:t>
    </w:r>
  </w:p>
  <w:p w:rsidR="00810570" w:rsidRPr="003E3E7B" w:rsidRDefault="00810570" w:rsidP="00477D6B">
    <w:pPr>
      <w:jc w:val="right"/>
      <w:rPr>
        <w:lang w:val="fr-CH"/>
      </w:rPr>
    </w:pPr>
    <w:r w:rsidRPr="003E3E7B">
      <w:rPr>
        <w:lang w:val="fr-CH"/>
      </w:rPr>
      <w:t xml:space="preserve">Annex, page </w:t>
    </w:r>
    <w:r>
      <w:fldChar w:fldCharType="begin"/>
    </w:r>
    <w:r w:rsidRPr="003E3E7B">
      <w:rPr>
        <w:lang w:val="fr-CH"/>
      </w:rPr>
      <w:instrText xml:space="preserve"> PAGE  \* MERGEFORMAT </w:instrText>
    </w:r>
    <w:r>
      <w:fldChar w:fldCharType="separate"/>
    </w:r>
    <w:r w:rsidR="007B4035">
      <w:rPr>
        <w:noProof/>
        <w:lang w:val="fr-CH"/>
      </w:rPr>
      <w:t>2</w:t>
    </w:r>
    <w:r>
      <w:fldChar w:fldCharType="end"/>
    </w:r>
  </w:p>
  <w:p w:rsidR="00810570" w:rsidRPr="003E3E7B" w:rsidRDefault="00810570"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D2" w:rsidRDefault="00827AD2" w:rsidP="00827AD2">
    <w:pPr>
      <w:pStyle w:val="Header"/>
      <w:jc w:val="right"/>
    </w:pPr>
    <w:r>
      <w:t>PCT/WG/9/</w:t>
    </w:r>
    <w:r w:rsidR="00A34710">
      <w:t>12</w:t>
    </w:r>
  </w:p>
  <w:p w:rsidR="00827AD2" w:rsidRDefault="00827AD2" w:rsidP="00827AD2">
    <w:pPr>
      <w:pStyle w:val="Header"/>
      <w:jc w:val="right"/>
    </w:pPr>
    <w:r>
      <w:t>ANNEX</w:t>
    </w:r>
  </w:p>
  <w:p w:rsidR="00827AD2" w:rsidRDefault="00827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0A"/>
    <w:rsid w:val="000276D2"/>
    <w:rsid w:val="00043CAA"/>
    <w:rsid w:val="00060016"/>
    <w:rsid w:val="00075432"/>
    <w:rsid w:val="00086B9F"/>
    <w:rsid w:val="000968ED"/>
    <w:rsid w:val="000F5E56"/>
    <w:rsid w:val="001362EE"/>
    <w:rsid w:val="001420A5"/>
    <w:rsid w:val="00173E75"/>
    <w:rsid w:val="001832A6"/>
    <w:rsid w:val="002042C0"/>
    <w:rsid w:val="002634C4"/>
    <w:rsid w:val="002928D3"/>
    <w:rsid w:val="002C2819"/>
    <w:rsid w:val="002F006A"/>
    <w:rsid w:val="002F1FE6"/>
    <w:rsid w:val="002F4E68"/>
    <w:rsid w:val="00312F7F"/>
    <w:rsid w:val="00344CFF"/>
    <w:rsid w:val="00361450"/>
    <w:rsid w:val="003673CF"/>
    <w:rsid w:val="0037364E"/>
    <w:rsid w:val="003845C1"/>
    <w:rsid w:val="003961C1"/>
    <w:rsid w:val="003A6F89"/>
    <w:rsid w:val="003B38C1"/>
    <w:rsid w:val="003E3E7B"/>
    <w:rsid w:val="004224EB"/>
    <w:rsid w:val="00423E3E"/>
    <w:rsid w:val="00427AF4"/>
    <w:rsid w:val="00433EF4"/>
    <w:rsid w:val="004647DA"/>
    <w:rsid w:val="00474062"/>
    <w:rsid w:val="00477D6B"/>
    <w:rsid w:val="004E3B54"/>
    <w:rsid w:val="005019FF"/>
    <w:rsid w:val="00505EE8"/>
    <w:rsid w:val="00522FA0"/>
    <w:rsid w:val="0053057A"/>
    <w:rsid w:val="00560A29"/>
    <w:rsid w:val="005B60E1"/>
    <w:rsid w:val="005C6649"/>
    <w:rsid w:val="005D77CD"/>
    <w:rsid w:val="00605827"/>
    <w:rsid w:val="00624B5A"/>
    <w:rsid w:val="00646050"/>
    <w:rsid w:val="006713CA"/>
    <w:rsid w:val="00676C5C"/>
    <w:rsid w:val="00697793"/>
    <w:rsid w:val="007A7B08"/>
    <w:rsid w:val="007B4035"/>
    <w:rsid w:val="007D1613"/>
    <w:rsid w:val="00806E7D"/>
    <w:rsid w:val="00810570"/>
    <w:rsid w:val="00827AD2"/>
    <w:rsid w:val="0089743C"/>
    <w:rsid w:val="008B2CC1"/>
    <w:rsid w:val="008B60B2"/>
    <w:rsid w:val="0090731E"/>
    <w:rsid w:val="00916EE2"/>
    <w:rsid w:val="00966A22"/>
    <w:rsid w:val="0096722F"/>
    <w:rsid w:val="009720B8"/>
    <w:rsid w:val="00980843"/>
    <w:rsid w:val="00980D9E"/>
    <w:rsid w:val="009E2791"/>
    <w:rsid w:val="009E3F6F"/>
    <w:rsid w:val="009F499F"/>
    <w:rsid w:val="00A34710"/>
    <w:rsid w:val="00A42DAF"/>
    <w:rsid w:val="00A45BD8"/>
    <w:rsid w:val="00A869B7"/>
    <w:rsid w:val="00AC205C"/>
    <w:rsid w:val="00AF0A6B"/>
    <w:rsid w:val="00B05A69"/>
    <w:rsid w:val="00B54C10"/>
    <w:rsid w:val="00B55A7F"/>
    <w:rsid w:val="00B9734B"/>
    <w:rsid w:val="00BD3406"/>
    <w:rsid w:val="00C11BFE"/>
    <w:rsid w:val="00D45252"/>
    <w:rsid w:val="00D71B4D"/>
    <w:rsid w:val="00D809C1"/>
    <w:rsid w:val="00D93D55"/>
    <w:rsid w:val="00DE6F0A"/>
    <w:rsid w:val="00E018DC"/>
    <w:rsid w:val="00E335FE"/>
    <w:rsid w:val="00E63A77"/>
    <w:rsid w:val="00EC4E49"/>
    <w:rsid w:val="00ED77FB"/>
    <w:rsid w:val="00EE45FA"/>
    <w:rsid w:val="00F55E17"/>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7AD2"/>
    <w:rPr>
      <w:vertAlign w:val="superscript"/>
    </w:rPr>
  </w:style>
  <w:style w:type="character" w:customStyle="1" w:styleId="FootnoteTextChar">
    <w:name w:val="Footnote Text Char"/>
    <w:basedOn w:val="DefaultParagraphFont"/>
    <w:link w:val="FootnoteText"/>
    <w:semiHidden/>
    <w:rsid w:val="00827AD2"/>
    <w:rPr>
      <w:rFonts w:ascii="Arial" w:eastAsia="SimSun" w:hAnsi="Arial" w:cs="Arial"/>
      <w:sz w:val="18"/>
      <w:lang w:eastAsia="zh-CN"/>
    </w:rPr>
  </w:style>
  <w:style w:type="character" w:customStyle="1" w:styleId="ONUMEChar">
    <w:name w:val="ONUM E Char"/>
    <w:basedOn w:val="DefaultParagraphFont"/>
    <w:link w:val="ONUME"/>
    <w:uiPriority w:val="99"/>
    <w:rsid w:val="00827AD2"/>
    <w:rPr>
      <w:rFonts w:ascii="Arial" w:eastAsia="SimSun" w:hAnsi="Arial" w:cs="Arial"/>
      <w:sz w:val="22"/>
      <w:lang w:eastAsia="zh-CN"/>
    </w:rPr>
  </w:style>
  <w:style w:type="paragraph" w:customStyle="1" w:styleId="LegRule">
    <w:name w:val="Leg Rule #"/>
    <w:basedOn w:val="Normal"/>
    <w:next w:val="Normal"/>
    <w:qFormat/>
    <w:rsid w:val="00810570"/>
    <w:pPr>
      <w:pageBreakBefore/>
      <w:spacing w:line="360" w:lineRule="auto"/>
      <w:jc w:val="center"/>
    </w:pPr>
    <w:rPr>
      <w:b/>
    </w:rPr>
  </w:style>
  <w:style w:type="paragraph" w:customStyle="1" w:styleId="LegSubRule">
    <w:name w:val="Leg SubRule #"/>
    <w:basedOn w:val="Normal"/>
    <w:rsid w:val="00810570"/>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810570"/>
    <w:pPr>
      <w:tabs>
        <w:tab w:val="left" w:pos="454"/>
      </w:tabs>
      <w:spacing w:before="119"/>
    </w:pPr>
    <w:rPr>
      <w:rFonts w:eastAsia="Times New Roman" w:cs="Times New Roman"/>
      <w:snapToGrid w:val="0"/>
      <w:lang w:eastAsia="ja-JP"/>
    </w:rPr>
  </w:style>
  <w:style w:type="character" w:customStyle="1" w:styleId="RDeletedText">
    <w:name w:val="RDeletedText"/>
    <w:basedOn w:val="DefaultParagraphFont"/>
    <w:rsid w:val="0089743C"/>
    <w:rPr>
      <w:strike/>
      <w:color w:val="FF0000"/>
    </w:rPr>
  </w:style>
  <w:style w:type="paragraph" w:styleId="TOCHeading">
    <w:name w:val="TOC Heading"/>
    <w:basedOn w:val="Heading1"/>
    <w:next w:val="Normal"/>
    <w:uiPriority w:val="39"/>
    <w:semiHidden/>
    <w:unhideWhenUsed/>
    <w:qFormat/>
    <w:rsid w:val="00344CF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344CFF"/>
    <w:pPr>
      <w:spacing w:after="100"/>
    </w:pPr>
  </w:style>
  <w:style w:type="character" w:styleId="Hyperlink">
    <w:name w:val="Hyperlink"/>
    <w:basedOn w:val="DefaultParagraphFont"/>
    <w:uiPriority w:val="99"/>
    <w:unhideWhenUsed/>
    <w:rsid w:val="00344CFF"/>
    <w:rPr>
      <w:color w:val="0000FF" w:themeColor="hyperlink"/>
      <w:u w:val="single"/>
    </w:rPr>
  </w:style>
  <w:style w:type="paragraph" w:styleId="TOC2">
    <w:name w:val="toc 2"/>
    <w:basedOn w:val="Normal"/>
    <w:next w:val="Normal"/>
    <w:autoRedefine/>
    <w:uiPriority w:val="39"/>
    <w:rsid w:val="00344CFF"/>
    <w:pPr>
      <w:tabs>
        <w:tab w:val="right" w:leader="dot" w:pos="9345"/>
      </w:tabs>
      <w:spacing w:after="100"/>
      <w:ind w:left="2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27AD2"/>
    <w:rPr>
      <w:vertAlign w:val="superscript"/>
    </w:rPr>
  </w:style>
  <w:style w:type="character" w:customStyle="1" w:styleId="FootnoteTextChar">
    <w:name w:val="Footnote Text Char"/>
    <w:basedOn w:val="DefaultParagraphFont"/>
    <w:link w:val="FootnoteText"/>
    <w:semiHidden/>
    <w:rsid w:val="00827AD2"/>
    <w:rPr>
      <w:rFonts w:ascii="Arial" w:eastAsia="SimSun" w:hAnsi="Arial" w:cs="Arial"/>
      <w:sz w:val="18"/>
      <w:lang w:eastAsia="zh-CN"/>
    </w:rPr>
  </w:style>
  <w:style w:type="character" w:customStyle="1" w:styleId="ONUMEChar">
    <w:name w:val="ONUM E Char"/>
    <w:basedOn w:val="DefaultParagraphFont"/>
    <w:link w:val="ONUME"/>
    <w:uiPriority w:val="99"/>
    <w:rsid w:val="00827AD2"/>
    <w:rPr>
      <w:rFonts w:ascii="Arial" w:eastAsia="SimSun" w:hAnsi="Arial" w:cs="Arial"/>
      <w:sz w:val="22"/>
      <w:lang w:eastAsia="zh-CN"/>
    </w:rPr>
  </w:style>
  <w:style w:type="paragraph" w:customStyle="1" w:styleId="LegRule">
    <w:name w:val="Leg Rule #"/>
    <w:basedOn w:val="Normal"/>
    <w:next w:val="Normal"/>
    <w:qFormat/>
    <w:rsid w:val="00810570"/>
    <w:pPr>
      <w:pageBreakBefore/>
      <w:spacing w:line="360" w:lineRule="auto"/>
      <w:jc w:val="center"/>
    </w:pPr>
    <w:rPr>
      <w:b/>
    </w:rPr>
  </w:style>
  <w:style w:type="paragraph" w:customStyle="1" w:styleId="LegSubRule">
    <w:name w:val="Leg SubRule #"/>
    <w:basedOn w:val="Normal"/>
    <w:rsid w:val="00810570"/>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810570"/>
    <w:pPr>
      <w:tabs>
        <w:tab w:val="left" w:pos="454"/>
      </w:tabs>
      <w:spacing w:before="119"/>
    </w:pPr>
    <w:rPr>
      <w:rFonts w:eastAsia="Times New Roman" w:cs="Times New Roman"/>
      <w:snapToGrid w:val="0"/>
      <w:lang w:eastAsia="ja-JP"/>
    </w:rPr>
  </w:style>
  <w:style w:type="character" w:customStyle="1" w:styleId="RDeletedText">
    <w:name w:val="RDeletedText"/>
    <w:basedOn w:val="DefaultParagraphFont"/>
    <w:rsid w:val="0089743C"/>
    <w:rPr>
      <w:strike/>
      <w:color w:val="FF0000"/>
    </w:rPr>
  </w:style>
  <w:style w:type="paragraph" w:styleId="TOCHeading">
    <w:name w:val="TOC Heading"/>
    <w:basedOn w:val="Heading1"/>
    <w:next w:val="Normal"/>
    <w:uiPriority w:val="39"/>
    <w:semiHidden/>
    <w:unhideWhenUsed/>
    <w:qFormat/>
    <w:rsid w:val="00344CF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344CFF"/>
    <w:pPr>
      <w:spacing w:after="100"/>
    </w:pPr>
  </w:style>
  <w:style w:type="character" w:styleId="Hyperlink">
    <w:name w:val="Hyperlink"/>
    <w:basedOn w:val="DefaultParagraphFont"/>
    <w:uiPriority w:val="99"/>
    <w:unhideWhenUsed/>
    <w:rsid w:val="00344CFF"/>
    <w:rPr>
      <w:color w:val="0000FF" w:themeColor="hyperlink"/>
      <w:u w:val="single"/>
    </w:rPr>
  </w:style>
  <w:style w:type="paragraph" w:styleId="TOC2">
    <w:name w:val="toc 2"/>
    <w:basedOn w:val="Normal"/>
    <w:next w:val="Normal"/>
    <w:autoRedefine/>
    <w:uiPriority w:val="39"/>
    <w:rsid w:val="00344CFF"/>
    <w:pPr>
      <w:tabs>
        <w:tab w:val="right" w:leader="dot" w:pos="9345"/>
      </w:tabs>
      <w:spacing w:after="100"/>
      <w:ind w:left="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ECA0-6BD5-4E66-A6F5-06515357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7</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Deletion of "Incompatibility Provisions" in the PCT Regulations</dc:subject>
  <dc:creator>MARLOW Thomas</dc:creator>
  <cp:lastModifiedBy>MARLOW Thomas</cp:lastModifiedBy>
  <cp:revision>8</cp:revision>
  <cp:lastPrinted>2016-03-23T12:51:00Z</cp:lastPrinted>
  <dcterms:created xsi:type="dcterms:W3CDTF">2016-03-23T12:48:00Z</dcterms:created>
  <dcterms:modified xsi:type="dcterms:W3CDTF">2016-03-23T12:54:00Z</dcterms:modified>
</cp:coreProperties>
</file>