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268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677ED" w:rsidP="00094611">
            <w:pPr>
              <w:jc w:val="right"/>
              <w:rPr>
                <w:rFonts w:ascii="Arial Black" w:hAnsi="Arial Black"/>
                <w:caps/>
                <w:sz w:val="15"/>
              </w:rPr>
            </w:pPr>
            <w:bookmarkStart w:id="0" w:name="_GoBack"/>
            <w:bookmarkEnd w:id="0"/>
            <w:r>
              <w:rPr>
                <w:rFonts w:ascii="Arial Black" w:hAnsi="Arial Black"/>
                <w:caps/>
                <w:sz w:val="15"/>
              </w:rPr>
              <w:t>pct/wg/</w:t>
            </w:r>
            <w:r w:rsidR="00094611">
              <w:rPr>
                <w:rFonts w:ascii="Arial Black" w:hAnsi="Arial Black"/>
                <w:caps/>
                <w:sz w:val="15"/>
              </w:rPr>
              <w:t>9</w:t>
            </w:r>
            <w:r w:rsidR="00264B41">
              <w:rPr>
                <w:rFonts w:ascii="Arial Black" w:hAnsi="Arial Black"/>
                <w:caps/>
                <w:sz w:val="15"/>
              </w:rPr>
              <w:t>/</w:t>
            </w:r>
            <w:r w:rsidR="00636BB3">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936910">
              <w:rPr>
                <w:rFonts w:ascii="Arial Black" w:hAnsi="Arial Black"/>
                <w:caps/>
                <w:sz w:val="15"/>
              </w:rPr>
              <w:t>  English</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F3FB2">
            <w:pPr>
              <w:jc w:val="right"/>
              <w:rPr>
                <w:rFonts w:ascii="Arial Black" w:hAnsi="Arial Black"/>
                <w:caps/>
                <w:sz w:val="15"/>
              </w:rPr>
            </w:pPr>
            <w:r w:rsidRPr="0090731E">
              <w:rPr>
                <w:rFonts w:ascii="Arial Black" w:hAnsi="Arial Black"/>
                <w:caps/>
                <w:sz w:val="15"/>
              </w:rPr>
              <w:t>DATE</w:t>
            </w:r>
            <w:r w:rsidR="00936910">
              <w:rPr>
                <w:rFonts w:ascii="Arial Black" w:hAnsi="Arial Black"/>
                <w:caps/>
                <w:sz w:val="15"/>
              </w:rPr>
              <w:t>:  </w:t>
            </w:r>
            <w:r w:rsidR="00411525">
              <w:rPr>
                <w:rFonts w:ascii="Arial Black" w:hAnsi="Arial Black"/>
                <w:caps/>
                <w:sz w:val="15"/>
              </w:rPr>
              <w:t xml:space="preserve">March </w:t>
            </w:r>
            <w:r w:rsidR="00736422">
              <w:rPr>
                <w:rFonts w:ascii="Arial Black" w:hAnsi="Arial Black"/>
                <w:caps/>
                <w:sz w:val="15"/>
              </w:rPr>
              <w:t>21</w:t>
            </w:r>
            <w:r w:rsidR="00936910">
              <w:rPr>
                <w:rFonts w:ascii="Arial Black" w:hAnsi="Arial Black"/>
                <w:caps/>
                <w:sz w:val="15"/>
              </w:rPr>
              <w:t>, 2016</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10338" w:rsidRPr="00F10338" w:rsidRDefault="00F10338" w:rsidP="00F10338">
      <w:pPr>
        <w:rPr>
          <w:b/>
          <w:sz w:val="28"/>
          <w:szCs w:val="28"/>
        </w:rPr>
      </w:pPr>
      <w:r w:rsidRPr="00F10338">
        <w:rPr>
          <w:b/>
          <w:sz w:val="28"/>
          <w:szCs w:val="28"/>
        </w:rPr>
        <w:t>Patent Cooperation Treaty (PCT)</w:t>
      </w:r>
    </w:p>
    <w:p w:rsidR="00F10338" w:rsidRPr="00F10338" w:rsidRDefault="00F10338" w:rsidP="00F10338">
      <w:pPr>
        <w:rPr>
          <w:b/>
          <w:sz w:val="28"/>
          <w:szCs w:val="28"/>
        </w:rPr>
      </w:pPr>
      <w:r w:rsidRPr="00F10338">
        <w:rPr>
          <w:b/>
          <w:sz w:val="28"/>
          <w:szCs w:val="28"/>
        </w:rPr>
        <w:t>Working Group</w:t>
      </w:r>
    </w:p>
    <w:p w:rsidR="003845C1" w:rsidRDefault="003845C1" w:rsidP="003845C1"/>
    <w:p w:rsidR="003845C1" w:rsidRDefault="003845C1" w:rsidP="003845C1"/>
    <w:p w:rsidR="00912505" w:rsidRPr="00912505" w:rsidRDefault="00094611" w:rsidP="00912505">
      <w:pPr>
        <w:rPr>
          <w:b/>
          <w:sz w:val="24"/>
          <w:szCs w:val="24"/>
        </w:rPr>
      </w:pPr>
      <w:r>
        <w:rPr>
          <w:b/>
          <w:sz w:val="24"/>
          <w:szCs w:val="24"/>
        </w:rPr>
        <w:t>Nin</w:t>
      </w:r>
      <w:r w:rsidR="004677ED">
        <w:rPr>
          <w:b/>
          <w:sz w:val="24"/>
          <w:szCs w:val="24"/>
        </w:rPr>
        <w:t>th</w:t>
      </w:r>
      <w:r w:rsidR="00912505" w:rsidRPr="00912505">
        <w:rPr>
          <w:b/>
          <w:sz w:val="24"/>
          <w:szCs w:val="24"/>
        </w:rPr>
        <w:t xml:space="preserve"> Session</w:t>
      </w:r>
    </w:p>
    <w:p w:rsidR="00912505" w:rsidRPr="00912505" w:rsidRDefault="00912505" w:rsidP="00912505">
      <w:pPr>
        <w:rPr>
          <w:b/>
          <w:sz w:val="24"/>
          <w:szCs w:val="24"/>
        </w:rPr>
      </w:pPr>
      <w:r w:rsidRPr="00912505">
        <w:rPr>
          <w:b/>
          <w:sz w:val="24"/>
          <w:szCs w:val="24"/>
        </w:rPr>
        <w:t>Geneva</w:t>
      </w:r>
      <w:r w:rsidR="004677ED">
        <w:rPr>
          <w:b/>
          <w:sz w:val="24"/>
          <w:szCs w:val="24"/>
        </w:rPr>
        <w:t xml:space="preserve">, </w:t>
      </w:r>
      <w:r w:rsidR="005C7064">
        <w:rPr>
          <w:b/>
          <w:sz w:val="24"/>
          <w:szCs w:val="24"/>
        </w:rPr>
        <w:t>May</w:t>
      </w:r>
      <w:r w:rsidR="004677ED">
        <w:rPr>
          <w:b/>
          <w:sz w:val="24"/>
          <w:szCs w:val="24"/>
        </w:rPr>
        <w:t xml:space="preserve"> </w:t>
      </w:r>
      <w:r w:rsidR="00094611">
        <w:rPr>
          <w:b/>
          <w:sz w:val="24"/>
          <w:szCs w:val="24"/>
        </w:rPr>
        <w:t>17</w:t>
      </w:r>
      <w:r w:rsidR="004677ED">
        <w:rPr>
          <w:b/>
          <w:sz w:val="24"/>
          <w:szCs w:val="24"/>
        </w:rPr>
        <w:t xml:space="preserve"> to </w:t>
      </w:r>
      <w:r w:rsidR="005C7064">
        <w:rPr>
          <w:b/>
          <w:sz w:val="24"/>
          <w:szCs w:val="24"/>
        </w:rPr>
        <w:t>2</w:t>
      </w:r>
      <w:r w:rsidR="00094611">
        <w:rPr>
          <w:b/>
          <w:sz w:val="24"/>
          <w:szCs w:val="24"/>
        </w:rPr>
        <w:t>0</w:t>
      </w:r>
      <w:r w:rsidR="004677ED">
        <w:rPr>
          <w:b/>
          <w:sz w:val="24"/>
          <w:szCs w:val="24"/>
        </w:rPr>
        <w:t>, 201</w:t>
      </w:r>
      <w:r w:rsidR="00094611">
        <w:rPr>
          <w:b/>
          <w:sz w:val="24"/>
          <w:szCs w:val="24"/>
        </w:rPr>
        <w:t>6</w:t>
      </w:r>
    </w:p>
    <w:p w:rsidR="008B2CC1" w:rsidRPr="008B2CC1" w:rsidRDefault="008B2CC1" w:rsidP="008B2CC1"/>
    <w:p w:rsidR="008B2CC1" w:rsidRPr="008B2CC1" w:rsidRDefault="008B2CC1" w:rsidP="008B2CC1"/>
    <w:p w:rsidR="008B2CC1" w:rsidRPr="008B2CC1" w:rsidRDefault="008B2CC1" w:rsidP="008B2CC1"/>
    <w:p w:rsidR="0054421E" w:rsidRPr="003845C1" w:rsidRDefault="006D4C80" w:rsidP="006D4C80">
      <w:pPr>
        <w:rPr>
          <w:caps/>
          <w:sz w:val="24"/>
        </w:rPr>
      </w:pPr>
      <w:bookmarkStart w:id="4" w:name="TitleOfDoc"/>
      <w:bookmarkEnd w:id="4"/>
      <w:r w:rsidRPr="006D4C80">
        <w:rPr>
          <w:caps/>
          <w:sz w:val="24"/>
        </w:rPr>
        <w:t>Fee Reductions for Certain Applicants from Certain Countries, Notably Developing and Least Developed Countries</w:t>
      </w:r>
    </w:p>
    <w:p w:rsidR="0054421E" w:rsidRPr="008B2CC1" w:rsidRDefault="0054421E" w:rsidP="0054421E"/>
    <w:p w:rsidR="0054421E" w:rsidRPr="008B2CC1" w:rsidRDefault="0054421E" w:rsidP="0054421E">
      <w:pPr>
        <w:rPr>
          <w:i/>
        </w:rPr>
      </w:pPr>
      <w:r>
        <w:rPr>
          <w:i/>
        </w:rPr>
        <w:t>Document prepared by the International Bureau</w:t>
      </w:r>
    </w:p>
    <w:p w:rsidR="0054421E" w:rsidRDefault="0054421E" w:rsidP="0054421E"/>
    <w:p w:rsidR="0054421E" w:rsidRDefault="0054421E" w:rsidP="0054421E"/>
    <w:p w:rsidR="0054421E" w:rsidRDefault="0054421E" w:rsidP="0054421E"/>
    <w:p w:rsidR="0054421E" w:rsidRDefault="0054421E" w:rsidP="0054421E"/>
    <w:p w:rsidR="0054421E" w:rsidRDefault="0054421E" w:rsidP="007C46F6">
      <w:pPr>
        <w:pStyle w:val="Heading1"/>
      </w:pPr>
      <w:r>
        <w:t>Summary</w:t>
      </w:r>
    </w:p>
    <w:p w:rsidR="005949B1" w:rsidRPr="005949B1" w:rsidRDefault="005949B1" w:rsidP="00710A29">
      <w:pPr>
        <w:pStyle w:val="ONUME"/>
      </w:pPr>
      <w:r w:rsidRPr="005949B1">
        <w:t xml:space="preserve">The Working Group is invited to comment on proposed measures intended to reduce the number of fee reductions being claimed by applicants not intended to be eligible for the reduction, and to assist the International Bureau in </w:t>
      </w:r>
      <w:r w:rsidR="00432004">
        <w:t>obtaining full and appropriate fee payments</w:t>
      </w:r>
      <w:r w:rsidRPr="005949B1">
        <w:t>.</w:t>
      </w:r>
    </w:p>
    <w:p w:rsidR="002315C8" w:rsidRDefault="002315C8" w:rsidP="007C46F6">
      <w:pPr>
        <w:pStyle w:val="Heading1"/>
      </w:pPr>
      <w:r>
        <w:t>Background</w:t>
      </w:r>
    </w:p>
    <w:p w:rsidR="006D4C80" w:rsidRDefault="006D4C80" w:rsidP="005949B1">
      <w:pPr>
        <w:pStyle w:val="ONUME"/>
      </w:pPr>
      <w:r>
        <w:t>A 90</w:t>
      </w:r>
      <w:r w:rsidR="005949B1">
        <w:t xml:space="preserve"> per cent</w:t>
      </w:r>
      <w:r>
        <w:t xml:space="preserve"> fee reduction is available under item 5 of the Schedule of Fees for any applicants (whether natural persons or legal entities) from least developed countries</w:t>
      </w:r>
      <w:r w:rsidR="000542A9">
        <w:t>,</w:t>
      </w:r>
      <w:r>
        <w:t xml:space="preserve"> </w:t>
      </w:r>
      <w:r w:rsidR="000542A9">
        <w:t>and for</w:t>
      </w:r>
      <w:r>
        <w:t xml:space="preserve"> natural persons from a list of other States which meet the criteria listed in paragraph (a) of that item.</w:t>
      </w:r>
    </w:p>
    <w:p w:rsidR="005949B1" w:rsidRDefault="005949B1" w:rsidP="00070DF2">
      <w:pPr>
        <w:pStyle w:val="ONUME"/>
      </w:pPr>
      <w:r>
        <w:t xml:space="preserve">The International Bureau checks for unusual patterns of </w:t>
      </w:r>
      <w:r w:rsidR="000542A9">
        <w:t xml:space="preserve">filing </w:t>
      </w:r>
      <w:r>
        <w:t xml:space="preserve">behavior that could indicate an applicant has been claiming fee reductions when not intended to be eligible for the reductions.  Through these checks, numerous cases have been found where a single applicant claiming the fee reduction has filed ten or more international applications in a year, a pattern of behavior which is impossible for most normal individuals without the financial backing of a company.  In a few cases, </w:t>
      </w:r>
      <w:r w:rsidR="00070DF2">
        <w:t xml:space="preserve">individual </w:t>
      </w:r>
      <w:r w:rsidR="000542A9">
        <w:t>applicants claiming the fee reduction have filed</w:t>
      </w:r>
      <w:r>
        <w:t> 50 or more applications in a year.</w:t>
      </w:r>
    </w:p>
    <w:p w:rsidR="005949B1" w:rsidRDefault="005949B1" w:rsidP="0055145B">
      <w:pPr>
        <w:pStyle w:val="ONUME"/>
        <w:keepLines/>
      </w:pPr>
      <w:r>
        <w:lastRenderedPageBreak/>
        <w:t>Typically, such cases are filed in the name of a natural person from a qualifying State, but in circumstances such that there appears to be a strong interest by a legal entity</w:t>
      </w:r>
      <w:r w:rsidR="000542A9">
        <w:t>, not entitled to any fee reduction,</w:t>
      </w:r>
      <w:r>
        <w:t xml:space="preserve"> which is likely to be paying the fees and to be the real, beneficial owner.  In some cases, the legal entity is subsequently named as the applicant </w:t>
      </w:r>
      <w:r w:rsidR="00167C50">
        <w:t xml:space="preserve">after the recording of a change </w:t>
      </w:r>
      <w:r w:rsidR="00167C50">
        <w:rPr>
          <w:iCs/>
        </w:rPr>
        <w:t xml:space="preserve">in the person of the applicant </w:t>
      </w:r>
      <w:r w:rsidR="00167C50">
        <w:t>under PCT Rule 92</w:t>
      </w:r>
      <w:r w:rsidR="00167C50">
        <w:rPr>
          <w:i/>
          <w:iCs/>
        </w:rPr>
        <w:t>bis</w:t>
      </w:r>
      <w:r>
        <w:t xml:space="preserve">.  In other cases, apparent ownership is left in the name of the individual, who may be </w:t>
      </w:r>
      <w:r w:rsidR="0055145B">
        <w:t xml:space="preserve">an </w:t>
      </w:r>
      <w:r>
        <w:t>owner, legal representative or senior employee of a relatively large company.</w:t>
      </w:r>
    </w:p>
    <w:p w:rsidR="005949B1" w:rsidRDefault="005949B1" w:rsidP="005949B1">
      <w:pPr>
        <w:pStyle w:val="ONUME"/>
      </w:pPr>
      <w:r>
        <w:t xml:space="preserve">In most cases, when contacted, the applicants stated that they believed that this was a permitted option, but voluntarily paid back the difference in fees.  It would be desirable to make clear that such proxy applications are not permitted and to take steps to actively discourage them. </w:t>
      </w:r>
    </w:p>
    <w:p w:rsidR="007C46F6" w:rsidRDefault="002E0423" w:rsidP="00A4467A">
      <w:pPr>
        <w:pStyle w:val="ONUME"/>
      </w:pPr>
      <w:r>
        <w:t>The options for action</w:t>
      </w:r>
      <w:r w:rsidR="007C46F6">
        <w:t xml:space="preserve"> are limited somewhat by the fact that procedures need to be practical for the receiving Office and not place an unreasonable burden on the large majority of applicants claiming the benefit of fee reductions who are in fact intended recipients</w:t>
      </w:r>
      <w:r w:rsidR="000542A9">
        <w:t xml:space="preserve"> of those reductions</w:t>
      </w:r>
      <w:r w:rsidR="007C46F6">
        <w:t xml:space="preserve">.  </w:t>
      </w:r>
      <w:r>
        <w:t xml:space="preserve">It is not desirable to introduce long, complicated declarations concerning eligibility for the reduction.  </w:t>
      </w:r>
    </w:p>
    <w:p w:rsidR="002E0423" w:rsidRDefault="002E0423" w:rsidP="0064460B">
      <w:pPr>
        <w:pStyle w:val="ONUME"/>
      </w:pPr>
      <w:r>
        <w:t xml:space="preserve">The International Bureau nevertheless recommends that measures be taken to clarify who may claim the reductions and to </w:t>
      </w:r>
      <w:r w:rsidR="0064460B">
        <w:t xml:space="preserve">provide more clear </w:t>
      </w:r>
      <w:r>
        <w:t xml:space="preserve">measures to </w:t>
      </w:r>
      <w:r w:rsidR="00432004">
        <w:t>ensure that full fees are paid when warranted</w:t>
      </w:r>
      <w:r>
        <w:t>.</w:t>
      </w:r>
    </w:p>
    <w:p w:rsidR="002E0423" w:rsidRDefault="002E0423" w:rsidP="002E0423">
      <w:pPr>
        <w:pStyle w:val="Heading1"/>
      </w:pPr>
      <w:r>
        <w:t>Proposal</w:t>
      </w:r>
    </w:p>
    <w:p w:rsidR="007C46F6" w:rsidRDefault="0033550B" w:rsidP="00A90625">
      <w:pPr>
        <w:pStyle w:val="ONUME"/>
      </w:pPr>
      <w:bookmarkStart w:id="5" w:name="_Ref443467219"/>
      <w:r>
        <w:t>It is proposed to address this issue by</w:t>
      </w:r>
      <w:r w:rsidR="00A90625">
        <w:t xml:space="preserve"> </w:t>
      </w:r>
      <w:bookmarkEnd w:id="5"/>
      <w:r>
        <w:t>clarifying the eligibility to the reduction and</w:t>
      </w:r>
      <w:r w:rsidR="00A90625">
        <w:t xml:space="preserve"> </w:t>
      </w:r>
      <w:r w:rsidR="0064460B">
        <w:t>charging a fee,</w:t>
      </w:r>
      <w:r>
        <w:t xml:space="preserve"> equivalent to the </w:t>
      </w:r>
      <w:r w:rsidR="0064460B">
        <w:t>amount of the original reduction,</w:t>
      </w:r>
      <w:r>
        <w:t xml:space="preserve"> before a change of applicant will be </w:t>
      </w:r>
      <w:r w:rsidR="00167C50">
        <w:t>recorded</w:t>
      </w:r>
      <w:r>
        <w:t xml:space="preserve"> under Rule 92</w:t>
      </w:r>
      <w:r w:rsidRPr="00A90625">
        <w:rPr>
          <w:i/>
          <w:iCs/>
        </w:rPr>
        <w:t>bis</w:t>
      </w:r>
      <w:r>
        <w:t xml:space="preserve"> where the reduced fee was originally paid but the new applicant </w:t>
      </w:r>
      <w:r w:rsidR="00167C50">
        <w:t xml:space="preserve">(after the recording of the change) </w:t>
      </w:r>
      <w:r>
        <w:t>would not be eligible</w:t>
      </w:r>
      <w:r w:rsidR="00432004">
        <w:t xml:space="preserve"> for such reduction</w:t>
      </w:r>
      <w:r>
        <w:t>.</w:t>
      </w:r>
    </w:p>
    <w:p w:rsidR="002A2A4E" w:rsidRDefault="002A2A4E" w:rsidP="002A2A4E">
      <w:pPr>
        <w:pStyle w:val="Heading3"/>
      </w:pPr>
      <w:r>
        <w:t>Clarifying Eligibility</w:t>
      </w:r>
    </w:p>
    <w:p w:rsidR="00FF0BE2" w:rsidRDefault="00763EC0" w:rsidP="005A658D">
      <w:pPr>
        <w:pStyle w:val="ONUME"/>
      </w:pPr>
      <w:r>
        <w:t>To clarify the matter of eligibility, it is proposed to add a proviso</w:t>
      </w:r>
      <w:r w:rsidR="0055145B">
        <w:t xml:space="preserve"> to item 5 of the Schedule of Fees, as shown in the Annex,</w:t>
      </w:r>
      <w:r>
        <w:t xml:space="preserve"> that there </w:t>
      </w:r>
      <w:proofErr w:type="gramStart"/>
      <w:r>
        <w:t>be</w:t>
      </w:r>
      <w:proofErr w:type="gramEnd"/>
      <w:r>
        <w:t xml:space="preserve"> “</w:t>
      </w:r>
      <w:r w:rsidRPr="00763EC0">
        <w:t xml:space="preserve">no beneficial owners of the international application </w:t>
      </w:r>
      <w:r w:rsidR="00A61B26" w:rsidRPr="00A61B26">
        <w:t xml:space="preserve">who </w:t>
      </w:r>
      <w:r w:rsidR="00426D7F" w:rsidRPr="00A61B26">
        <w:t>would not satisfy the criteria in sub-item (a) or (b</w:t>
      </w:r>
      <w:r w:rsidR="00FF0BE2">
        <w:t>).”</w:t>
      </w:r>
    </w:p>
    <w:p w:rsidR="00D7297D" w:rsidRDefault="00FF0BE2" w:rsidP="00A03B7E">
      <w:pPr>
        <w:pStyle w:val="ONUME"/>
      </w:pPr>
      <w:r>
        <w:t xml:space="preserve">In addition, </w:t>
      </w:r>
      <w:r w:rsidR="00A03B7E">
        <w:t>it is proposed that the Assembly adopt an Understanding in the following terms:</w:t>
      </w:r>
    </w:p>
    <w:p w:rsidR="00A03B7E" w:rsidRPr="003C60F0" w:rsidRDefault="00A03B7E" w:rsidP="00A03D9A">
      <w:pPr>
        <w:pStyle w:val="ONUME"/>
        <w:numPr>
          <w:ilvl w:val="0"/>
          <w:numId w:val="0"/>
        </w:numPr>
        <w:ind w:left="567"/>
      </w:pPr>
      <w:r>
        <w:t>“</w:t>
      </w:r>
      <w:r w:rsidR="009876E7">
        <w:t xml:space="preserve">It is the understanding of the </w:t>
      </w:r>
      <w:r>
        <w:t xml:space="preserve">PCT Assembly </w:t>
      </w:r>
      <w:r w:rsidR="009876E7">
        <w:t>that</w:t>
      </w:r>
      <w:r w:rsidR="00432004">
        <w:t xml:space="preserve"> </w:t>
      </w:r>
      <w:r>
        <w:t xml:space="preserve">the fee reduction in item 5 of the </w:t>
      </w:r>
      <w:r w:rsidRPr="003C60F0">
        <w:t xml:space="preserve">Schedule of Fees </w:t>
      </w:r>
      <w:r w:rsidR="009876E7" w:rsidRPr="003C60F0">
        <w:t xml:space="preserve">is intended to </w:t>
      </w:r>
      <w:r w:rsidRPr="003C60F0">
        <w:t xml:space="preserve">apply only in the case where the </w:t>
      </w:r>
      <w:r w:rsidR="00A90625" w:rsidRPr="003C60F0">
        <w:t>applicants</w:t>
      </w:r>
      <w:r w:rsidR="007C685F" w:rsidRPr="003C60F0">
        <w:t xml:space="preserve"> </w:t>
      </w:r>
      <w:r w:rsidR="00F7750E" w:rsidRPr="003C60F0">
        <w:t xml:space="preserve">indicated in the request </w:t>
      </w:r>
      <w:r w:rsidR="007C685F" w:rsidRPr="003C60F0">
        <w:t xml:space="preserve">are the </w:t>
      </w:r>
      <w:r w:rsidR="00432004" w:rsidRPr="003C60F0">
        <w:t xml:space="preserve">sole and </w:t>
      </w:r>
      <w:r w:rsidR="007C685F" w:rsidRPr="003C60F0">
        <w:t>true owners of the application and under no obligation to assign</w:t>
      </w:r>
      <w:r w:rsidR="00FF0BE2" w:rsidRPr="003C60F0">
        <w:t>, grant, convey</w:t>
      </w:r>
      <w:r w:rsidR="007C685F" w:rsidRPr="003C60F0">
        <w:t xml:space="preserve"> or license the rights </w:t>
      </w:r>
      <w:r w:rsidR="00A90625" w:rsidRPr="003C60F0">
        <w:t xml:space="preserve">in the invention </w:t>
      </w:r>
      <w:r w:rsidR="007C685F" w:rsidRPr="003C60F0">
        <w:t xml:space="preserve">to another party which </w:t>
      </w:r>
      <w:r w:rsidR="00FF0BE2" w:rsidRPr="003C60F0">
        <w:t xml:space="preserve">is </w:t>
      </w:r>
      <w:r w:rsidR="007C685F" w:rsidRPr="003C60F0">
        <w:t xml:space="preserve">not eligible for the </w:t>
      </w:r>
      <w:r w:rsidR="00F7750E" w:rsidRPr="003C60F0">
        <w:t xml:space="preserve">fee </w:t>
      </w:r>
      <w:r w:rsidR="007C685F" w:rsidRPr="003C60F0">
        <w:t>reduction</w:t>
      </w:r>
      <w:r w:rsidRPr="003C60F0">
        <w:t>.</w:t>
      </w:r>
      <w:r w:rsidR="00494134" w:rsidRPr="003C60F0">
        <w:t>”</w:t>
      </w:r>
    </w:p>
    <w:p w:rsidR="00D7297D" w:rsidRPr="003C60F0" w:rsidRDefault="0055145B" w:rsidP="0055145B">
      <w:pPr>
        <w:pStyle w:val="Heading3"/>
      </w:pPr>
      <w:r w:rsidRPr="003C60F0">
        <w:t xml:space="preserve">Fee for Changes Made Under </w:t>
      </w:r>
      <w:r w:rsidR="002A2A4E" w:rsidRPr="003C60F0">
        <w:t>Rule 92</w:t>
      </w:r>
      <w:r w:rsidR="002A2A4E" w:rsidRPr="003C60F0">
        <w:rPr>
          <w:i/>
          <w:iCs/>
        </w:rPr>
        <w:t>bis</w:t>
      </w:r>
      <w:r w:rsidR="002A2A4E" w:rsidRPr="003C60F0">
        <w:t xml:space="preserve"> </w:t>
      </w:r>
    </w:p>
    <w:p w:rsidR="0055145B" w:rsidRPr="003C60F0" w:rsidRDefault="0055145B" w:rsidP="00F915DF">
      <w:pPr>
        <w:pStyle w:val="ONUME"/>
      </w:pPr>
      <w:r w:rsidRPr="003C60F0">
        <w:t>It is also proposed to provide for a fee, equivalent to the reduction which</w:t>
      </w:r>
      <w:r w:rsidR="00432004" w:rsidRPr="003C60F0">
        <w:t xml:space="preserve"> had been accorded at the time of filing</w:t>
      </w:r>
      <w:r w:rsidRPr="003C60F0">
        <w:t>, to be payable in the case where</w:t>
      </w:r>
      <w:r w:rsidR="00A03D9A" w:rsidRPr="003C60F0">
        <w:t xml:space="preserve"> a </w:t>
      </w:r>
      <w:r w:rsidR="00FF0BE2" w:rsidRPr="003C60F0">
        <w:t xml:space="preserve">request for </w:t>
      </w:r>
      <w:r w:rsidR="00167C50" w:rsidRPr="003C60F0">
        <w:t xml:space="preserve">the recording of </w:t>
      </w:r>
      <w:r w:rsidR="00FF0BE2" w:rsidRPr="003C60F0">
        <w:t xml:space="preserve">a </w:t>
      </w:r>
      <w:r w:rsidR="00A03D9A" w:rsidRPr="003C60F0">
        <w:t xml:space="preserve">change </w:t>
      </w:r>
      <w:r w:rsidR="005A658D" w:rsidRPr="003C60F0">
        <w:t xml:space="preserve">in the </w:t>
      </w:r>
      <w:r w:rsidR="0014738A" w:rsidRPr="003C60F0">
        <w:t xml:space="preserve">person </w:t>
      </w:r>
      <w:r w:rsidR="005A658D" w:rsidRPr="003C60F0">
        <w:t>of the applicant is made which would result in the applicant no longer being eligible for the fee reduction or, if there are several applicants, not all of them being eligible for the fee reduction</w:t>
      </w:r>
      <w:r w:rsidR="00F915DF" w:rsidRPr="003C60F0">
        <w:t>.</w:t>
      </w:r>
    </w:p>
    <w:p w:rsidR="00A70FEC" w:rsidRDefault="00A70FEC" w:rsidP="00AF083E">
      <w:pPr>
        <w:pStyle w:val="ONUME"/>
        <w:keepLines/>
      </w:pPr>
      <w:r>
        <w:lastRenderedPageBreak/>
        <w:t xml:space="preserve">Irrespective of the currency in which the fee was originally paid, the amount would be payable in Swiss francs and be based on the reduction which was given according to the formula set in the Schedule of Fees as applicable on the date of receipt of the international application, rather than taking into account any equivalent amount </w:t>
      </w:r>
      <w:r w:rsidR="00D50136">
        <w:t xml:space="preserve">of the international filing fee in the currency in </w:t>
      </w:r>
      <w:r>
        <w:t xml:space="preserve">which </w:t>
      </w:r>
      <w:r w:rsidR="00D50136">
        <w:t xml:space="preserve">that fee was </w:t>
      </w:r>
      <w:r>
        <w:t>actually paid.</w:t>
      </w:r>
    </w:p>
    <w:p w:rsidR="00D7297D" w:rsidRDefault="004D2A80" w:rsidP="00A70FEC">
      <w:pPr>
        <w:pStyle w:val="ONUME"/>
      </w:pPr>
      <w:bookmarkStart w:id="6" w:name="_Ref443467223"/>
      <w:r>
        <w:t>It is recognized that this proposal</w:t>
      </w:r>
      <w:r w:rsidR="009F13BF">
        <w:t xml:space="preserve"> will </w:t>
      </w:r>
      <w:r w:rsidR="00D7297D">
        <w:t xml:space="preserve">adversely affect real individual inventor applicants who </w:t>
      </w:r>
      <w:r w:rsidR="004973EB">
        <w:t xml:space="preserve">reach an agreement to sell their rights to a company </w:t>
      </w:r>
      <w:r>
        <w:t>which had no involvement in preparing or filing</w:t>
      </w:r>
      <w:r w:rsidR="004973EB">
        <w:t xml:space="preserve"> the international application, a case </w:t>
      </w:r>
      <w:r>
        <w:t>where the international patent application could have facilitated the applicant to reach the agreement</w:t>
      </w:r>
      <w:r w:rsidR="00A03D9A">
        <w:t xml:space="preserve">. </w:t>
      </w:r>
      <w:r w:rsidR="004973EB">
        <w:t xml:space="preserve"> </w:t>
      </w:r>
      <w:r w:rsidR="009F13BF">
        <w:t xml:space="preserve">Moreover, it </w:t>
      </w:r>
      <w:r w:rsidR="00D50136">
        <w:t xml:space="preserve">is recognized that this proposal </w:t>
      </w:r>
      <w:r w:rsidR="009F13BF">
        <w:t xml:space="preserve">will not affect any remaining applicants who continue to use a proxy applicant to gain the benefit of the fee reduction, but do not assign the rights to the beneficial owner during the international phase.  However, the damage to real inventor applicants </w:t>
      </w:r>
      <w:r w:rsidR="00A70FEC">
        <w:t xml:space="preserve">will </w:t>
      </w:r>
      <w:r w:rsidR="004973EB">
        <w:t>be limited</w:t>
      </w:r>
      <w:r w:rsidR="00D50136">
        <w:t>,</w:t>
      </w:r>
      <w:r w:rsidR="004973EB">
        <w:t xml:space="preserve"> given that a company willing to purchase the rights </w:t>
      </w:r>
      <w:r w:rsidR="00432004">
        <w:t xml:space="preserve">or pay for a license </w:t>
      </w:r>
      <w:r w:rsidR="00A70FEC">
        <w:t xml:space="preserve">will </w:t>
      </w:r>
      <w:r w:rsidR="004973EB">
        <w:t>likely see the additional fee as a relatively small administrative charge compared to their overa</w:t>
      </w:r>
      <w:r w:rsidR="00A70FEC">
        <w:t xml:space="preserve">ll investment in the </w:t>
      </w:r>
      <w:r w:rsidR="00D50136">
        <w:t>invention</w:t>
      </w:r>
      <w:r w:rsidR="00D7297D">
        <w:t>.</w:t>
      </w:r>
      <w:r w:rsidR="009F13BF">
        <w:t xml:space="preserve">  </w:t>
      </w:r>
      <w:r w:rsidR="00F915DF">
        <w:t xml:space="preserve">Consequently, on balance, removing the possibility to claim eligibility for the reduced fee and still </w:t>
      </w:r>
      <w:r w:rsidR="004955DF">
        <w:t xml:space="preserve">be able to </w:t>
      </w:r>
      <w:r w:rsidR="00F915DF">
        <w:t>introduc</w:t>
      </w:r>
      <w:r>
        <w:t>e</w:t>
      </w:r>
      <w:r w:rsidR="00F915DF">
        <w:t xml:space="preserve"> a change of applicant </w:t>
      </w:r>
      <w:r w:rsidR="004955DF">
        <w:t>to one ineligible for the international filing fee reduction during</w:t>
      </w:r>
      <w:r w:rsidR="00F915DF">
        <w:t xml:space="preserve"> the international phase using Rule 92</w:t>
      </w:r>
      <w:r w:rsidR="00F915DF">
        <w:rPr>
          <w:i/>
          <w:iCs/>
        </w:rPr>
        <w:t>bis</w:t>
      </w:r>
      <w:r w:rsidR="00F915DF">
        <w:t xml:space="preserve"> </w:t>
      </w:r>
      <w:r w:rsidR="004955DF">
        <w:t xml:space="preserve">without a further fee </w:t>
      </w:r>
      <w:r w:rsidR="00F915DF">
        <w:t>is considered an appropriate</w:t>
      </w:r>
      <w:r w:rsidR="00A70FEC">
        <w:t xml:space="preserve"> additional deterrent to the use of proxy applicants for </w:t>
      </w:r>
      <w:r w:rsidR="00A4467A">
        <w:t>the purpose of gaining fee reductions</w:t>
      </w:r>
      <w:r w:rsidR="009F13BF">
        <w:t>.</w:t>
      </w:r>
      <w:bookmarkEnd w:id="6"/>
    </w:p>
    <w:p w:rsidR="00710A29" w:rsidRDefault="00167C50" w:rsidP="00710A29">
      <w:pPr>
        <w:pStyle w:val="Heading3"/>
      </w:pPr>
      <w:r>
        <w:t>Additional Measures</w:t>
      </w:r>
    </w:p>
    <w:p w:rsidR="00710A29" w:rsidRPr="009E644E" w:rsidRDefault="003E440E" w:rsidP="00710A29">
      <w:pPr>
        <w:pStyle w:val="ONUME"/>
      </w:pPr>
      <w:r w:rsidRPr="00AF083E">
        <w:t>At this stage, t</w:t>
      </w:r>
      <w:r w:rsidR="00710A29" w:rsidRPr="00AF083E">
        <w:t xml:space="preserve">he key goal is to clarify eligibility to reduce the number of cases </w:t>
      </w:r>
      <w:r w:rsidR="004955DF" w:rsidRPr="00AF083E">
        <w:t>with</w:t>
      </w:r>
      <w:r w:rsidR="00710A29">
        <w:t xml:space="preserve"> inappropriate claims to reductions and to assist the International Bureau in discussions with applicants where unusual patterns of behavior are nevertheless found.  If further action is required, this will be undertaken in cooperation with the relevant receiving Office.  In some cases, claiming a reduction to which the applicant was not entitled may also have consequences under national law before the designated Office, or for the right to practice of any agent concerned.</w:t>
      </w:r>
    </w:p>
    <w:p w:rsidR="0054421E" w:rsidRPr="00660F8A" w:rsidRDefault="00B35122" w:rsidP="00660F8A">
      <w:pPr>
        <w:pStyle w:val="ONUME"/>
        <w:tabs>
          <w:tab w:val="left" w:pos="6096"/>
        </w:tabs>
        <w:ind w:left="5533"/>
        <w:rPr>
          <w:i/>
          <w:iCs/>
        </w:rPr>
      </w:pPr>
      <w:r w:rsidRPr="00C616F3">
        <w:rPr>
          <w:i/>
        </w:rPr>
        <w:t xml:space="preserve">The Working Group is invited to consider the proposed amendments to </w:t>
      </w:r>
      <w:r>
        <w:rPr>
          <w:i/>
        </w:rPr>
        <w:t xml:space="preserve">the Regulations </w:t>
      </w:r>
      <w:r w:rsidR="00CD4C57">
        <w:rPr>
          <w:i/>
        </w:rPr>
        <w:t xml:space="preserve">and the Schedule of Fees </w:t>
      </w:r>
      <w:r>
        <w:rPr>
          <w:i/>
        </w:rPr>
        <w:t>contained in</w:t>
      </w:r>
      <w:r w:rsidRPr="00C616F3">
        <w:rPr>
          <w:i/>
        </w:rPr>
        <w:t xml:space="preserve"> </w:t>
      </w:r>
      <w:r>
        <w:rPr>
          <w:i/>
        </w:rPr>
        <w:t xml:space="preserve">the </w:t>
      </w:r>
      <w:r w:rsidRPr="00C616F3">
        <w:rPr>
          <w:i/>
        </w:rPr>
        <w:t>Annex</w:t>
      </w:r>
      <w:r>
        <w:rPr>
          <w:i/>
        </w:rPr>
        <w:t xml:space="preserve"> </w:t>
      </w:r>
      <w:r w:rsidRPr="00C616F3">
        <w:rPr>
          <w:i/>
        </w:rPr>
        <w:t>to this document</w:t>
      </w:r>
      <w:r>
        <w:t>.</w:t>
      </w:r>
    </w:p>
    <w:p w:rsidR="0054421E" w:rsidRDefault="0054421E" w:rsidP="0054421E">
      <w:pPr>
        <w:pStyle w:val="Endofdocument-Annex"/>
      </w:pPr>
    </w:p>
    <w:p w:rsidR="0033550B" w:rsidRDefault="0033550B" w:rsidP="0054421E">
      <w:pPr>
        <w:pStyle w:val="Endofdocument-Annex"/>
        <w:sectPr w:rsidR="0033550B" w:rsidSect="00422688">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33550B" w:rsidRDefault="00D7297D" w:rsidP="00D7297D">
      <w:pPr>
        <w:jc w:val="right"/>
      </w:pPr>
      <w:r>
        <w:lastRenderedPageBreak/>
        <w:t>PCT/WG/</w:t>
      </w:r>
      <w:r w:rsidR="00E83C4A">
        <w:t>9</w:t>
      </w:r>
      <w:r>
        <w:t>/</w:t>
      </w:r>
      <w:r w:rsidR="00405208">
        <w:t>10</w:t>
      </w:r>
    </w:p>
    <w:p w:rsidR="00D7297D" w:rsidRDefault="00D7297D" w:rsidP="00D7297D">
      <w:pPr>
        <w:jc w:val="right"/>
      </w:pPr>
      <w:r>
        <w:t>ANNEX</w:t>
      </w:r>
    </w:p>
    <w:p w:rsidR="00D7297D" w:rsidRDefault="00D7297D" w:rsidP="00D7297D">
      <w:pPr>
        <w:jc w:val="center"/>
      </w:pPr>
    </w:p>
    <w:p w:rsidR="00D7297D" w:rsidRDefault="00D7297D" w:rsidP="00D7297D">
      <w:pPr>
        <w:jc w:val="center"/>
      </w:pPr>
      <w:r w:rsidRPr="00E63141">
        <w:t>PROPOSED AMENDMENTS TO THE PCT REGULATIONS</w:t>
      </w:r>
      <w:r w:rsidRPr="00E63141">
        <w:rPr>
          <w:rStyle w:val="FootnoteReference"/>
        </w:rPr>
        <w:footnoteReference w:id="2"/>
      </w:r>
    </w:p>
    <w:p w:rsidR="00D7297D" w:rsidRDefault="00D7297D" w:rsidP="00D7297D">
      <w:pPr>
        <w:jc w:val="center"/>
      </w:pPr>
    </w:p>
    <w:p w:rsidR="00D7297D" w:rsidRDefault="00D7297D" w:rsidP="00D7297D">
      <w:pPr>
        <w:jc w:val="center"/>
      </w:pPr>
    </w:p>
    <w:p w:rsidR="00D7297D" w:rsidRDefault="00D7297D" w:rsidP="00D7297D">
      <w:pPr>
        <w:jc w:val="center"/>
      </w:pPr>
      <w:r w:rsidRPr="00E63141">
        <w:t>TABLE OF CONTENTS</w:t>
      </w:r>
    </w:p>
    <w:p w:rsidR="00D7297D" w:rsidRDefault="00D7297D" w:rsidP="00D7297D"/>
    <w:p w:rsidR="00D7297D" w:rsidRDefault="00D7297D" w:rsidP="00D7297D"/>
    <w:p w:rsidR="00660F8A" w:rsidRDefault="00660F8A" w:rsidP="00D7297D"/>
    <w:p w:rsidR="0062585A" w:rsidRDefault="00070DF2">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 Title,1,Leg SubRule #,2" </w:instrText>
      </w:r>
      <w:r>
        <w:fldChar w:fldCharType="separate"/>
      </w:r>
      <w:hyperlink w:anchor="_Toc444162059" w:history="1">
        <w:r w:rsidR="0062585A" w:rsidRPr="0055068E">
          <w:rPr>
            <w:rStyle w:val="Hyperlink"/>
            <w:noProof/>
          </w:rPr>
          <w:t>Rule 92</w:t>
        </w:r>
        <w:r w:rsidR="0062585A" w:rsidRPr="0055068E">
          <w:rPr>
            <w:rStyle w:val="Hyperlink"/>
            <w:i/>
            <w:noProof/>
          </w:rPr>
          <w:t>bis</w:t>
        </w:r>
        <w:r w:rsidR="0062585A" w:rsidRPr="0055068E">
          <w:rPr>
            <w:rStyle w:val="Hyperlink"/>
            <w:noProof/>
          </w:rPr>
          <w:t xml:space="preserve"> Recording of Changes in  Certain Indications in the Request or the Demand</w:t>
        </w:r>
        <w:r w:rsidR="0062585A">
          <w:rPr>
            <w:noProof/>
            <w:webHidden/>
          </w:rPr>
          <w:tab/>
        </w:r>
        <w:r w:rsidR="0062585A">
          <w:rPr>
            <w:noProof/>
            <w:webHidden/>
          </w:rPr>
          <w:fldChar w:fldCharType="begin"/>
        </w:r>
        <w:r w:rsidR="0062585A">
          <w:rPr>
            <w:noProof/>
            <w:webHidden/>
          </w:rPr>
          <w:instrText xml:space="preserve"> PAGEREF _Toc444162059 \h </w:instrText>
        </w:r>
        <w:r w:rsidR="0062585A">
          <w:rPr>
            <w:noProof/>
            <w:webHidden/>
          </w:rPr>
        </w:r>
        <w:r w:rsidR="0062585A">
          <w:rPr>
            <w:noProof/>
            <w:webHidden/>
          </w:rPr>
          <w:fldChar w:fldCharType="separate"/>
        </w:r>
        <w:r w:rsidR="00736422">
          <w:rPr>
            <w:noProof/>
            <w:webHidden/>
          </w:rPr>
          <w:t>2</w:t>
        </w:r>
        <w:r w:rsidR="0062585A">
          <w:rPr>
            <w:noProof/>
            <w:webHidden/>
          </w:rPr>
          <w:fldChar w:fldCharType="end"/>
        </w:r>
      </w:hyperlink>
    </w:p>
    <w:p w:rsidR="0062585A" w:rsidRDefault="00DE3835">
      <w:pPr>
        <w:pStyle w:val="TOC2"/>
        <w:tabs>
          <w:tab w:val="right" w:leader="dot" w:pos="9345"/>
        </w:tabs>
        <w:rPr>
          <w:rFonts w:asciiTheme="minorHAnsi" w:eastAsiaTheme="minorEastAsia" w:hAnsiTheme="minorHAnsi" w:cstheme="minorBidi"/>
          <w:noProof/>
          <w:szCs w:val="22"/>
          <w:lang w:eastAsia="en-US"/>
        </w:rPr>
      </w:pPr>
      <w:hyperlink w:anchor="_Toc444162060" w:history="1">
        <w:r w:rsidR="0062585A" w:rsidRPr="0055068E">
          <w:rPr>
            <w:rStyle w:val="Hyperlink"/>
            <w:noProof/>
          </w:rPr>
          <w:t>92</w:t>
        </w:r>
        <w:r w:rsidR="0062585A" w:rsidRPr="0055068E">
          <w:rPr>
            <w:rStyle w:val="Hyperlink"/>
            <w:i/>
            <w:noProof/>
          </w:rPr>
          <w:t>bis</w:t>
        </w:r>
        <w:r w:rsidR="0062585A" w:rsidRPr="0055068E">
          <w:rPr>
            <w:rStyle w:val="Hyperlink"/>
            <w:noProof/>
          </w:rPr>
          <w:t>.1   </w:t>
        </w:r>
        <w:r w:rsidR="0062585A" w:rsidRPr="0055068E">
          <w:rPr>
            <w:rStyle w:val="Hyperlink"/>
            <w:i/>
            <w:noProof/>
          </w:rPr>
          <w:t>Recording of Changes by the International Bureau</w:t>
        </w:r>
        <w:r w:rsidR="0062585A">
          <w:rPr>
            <w:noProof/>
            <w:webHidden/>
          </w:rPr>
          <w:tab/>
        </w:r>
        <w:r w:rsidR="0062585A">
          <w:rPr>
            <w:noProof/>
            <w:webHidden/>
          </w:rPr>
          <w:fldChar w:fldCharType="begin"/>
        </w:r>
        <w:r w:rsidR="0062585A">
          <w:rPr>
            <w:noProof/>
            <w:webHidden/>
          </w:rPr>
          <w:instrText xml:space="preserve"> PAGEREF _Toc444162060 \h </w:instrText>
        </w:r>
        <w:r w:rsidR="0062585A">
          <w:rPr>
            <w:noProof/>
            <w:webHidden/>
          </w:rPr>
        </w:r>
        <w:r w:rsidR="0062585A">
          <w:rPr>
            <w:noProof/>
            <w:webHidden/>
          </w:rPr>
          <w:fldChar w:fldCharType="separate"/>
        </w:r>
        <w:r w:rsidR="00736422">
          <w:rPr>
            <w:noProof/>
            <w:webHidden/>
          </w:rPr>
          <w:t>2</w:t>
        </w:r>
        <w:r w:rsidR="0062585A">
          <w:rPr>
            <w:noProof/>
            <w:webHidden/>
          </w:rPr>
          <w:fldChar w:fldCharType="end"/>
        </w:r>
      </w:hyperlink>
    </w:p>
    <w:p w:rsidR="0062585A" w:rsidRDefault="00DE3835">
      <w:pPr>
        <w:pStyle w:val="TOC1"/>
        <w:tabs>
          <w:tab w:val="right" w:leader="dot" w:pos="9345"/>
        </w:tabs>
        <w:rPr>
          <w:rFonts w:asciiTheme="minorHAnsi" w:eastAsiaTheme="minorEastAsia" w:hAnsiTheme="minorHAnsi" w:cstheme="minorBidi"/>
          <w:noProof/>
          <w:szCs w:val="22"/>
          <w:lang w:eastAsia="en-US"/>
        </w:rPr>
      </w:pPr>
      <w:hyperlink w:anchor="_Toc444162061" w:history="1">
        <w:r w:rsidR="0062585A" w:rsidRPr="0055068E">
          <w:rPr>
            <w:rStyle w:val="Hyperlink"/>
            <w:rFonts w:eastAsia="Arial Unicode MS"/>
            <w:noProof/>
          </w:rPr>
          <w:t>SCHEDULE OF FEES</w:t>
        </w:r>
        <w:r w:rsidR="0062585A">
          <w:rPr>
            <w:noProof/>
            <w:webHidden/>
          </w:rPr>
          <w:tab/>
        </w:r>
        <w:r w:rsidR="0062585A">
          <w:rPr>
            <w:noProof/>
            <w:webHidden/>
          </w:rPr>
          <w:fldChar w:fldCharType="begin"/>
        </w:r>
        <w:r w:rsidR="0062585A">
          <w:rPr>
            <w:noProof/>
            <w:webHidden/>
          </w:rPr>
          <w:instrText xml:space="preserve"> PAGEREF _Toc444162061 \h </w:instrText>
        </w:r>
        <w:r w:rsidR="0062585A">
          <w:rPr>
            <w:noProof/>
            <w:webHidden/>
          </w:rPr>
        </w:r>
        <w:r w:rsidR="0062585A">
          <w:rPr>
            <w:noProof/>
            <w:webHidden/>
          </w:rPr>
          <w:fldChar w:fldCharType="separate"/>
        </w:r>
        <w:r w:rsidR="00736422">
          <w:rPr>
            <w:noProof/>
            <w:webHidden/>
          </w:rPr>
          <w:t>3</w:t>
        </w:r>
        <w:r w:rsidR="0062585A">
          <w:rPr>
            <w:noProof/>
            <w:webHidden/>
          </w:rPr>
          <w:fldChar w:fldCharType="end"/>
        </w:r>
      </w:hyperlink>
    </w:p>
    <w:p w:rsidR="00660F8A" w:rsidRDefault="00070DF2" w:rsidP="00D7297D">
      <w:r>
        <w:fldChar w:fldCharType="end"/>
      </w:r>
    </w:p>
    <w:p w:rsidR="00660F8A" w:rsidRDefault="00660F8A" w:rsidP="00660F8A">
      <w:pPr>
        <w:pStyle w:val="LegTitle"/>
      </w:pPr>
      <w:bookmarkStart w:id="8" w:name="_Toc444162059"/>
      <w:r>
        <w:lastRenderedPageBreak/>
        <w:t xml:space="preserve">Rule </w:t>
      </w:r>
      <w:proofErr w:type="gramStart"/>
      <w:r>
        <w:t>92</w:t>
      </w:r>
      <w:r>
        <w:rPr>
          <w:i/>
        </w:rPr>
        <w:t>bis</w:t>
      </w:r>
      <w:r w:rsidR="0062585A">
        <w:rPr>
          <w:i/>
        </w:rPr>
        <w:t xml:space="preserve">  </w:t>
      </w:r>
      <w:proofErr w:type="gramEnd"/>
      <w:r>
        <w:br/>
        <w:t xml:space="preserve">Recording of Changes in </w:t>
      </w:r>
      <w:r>
        <w:br/>
        <w:t>Certain Indications in the Request or the Demand</w:t>
      </w:r>
      <w:bookmarkEnd w:id="8"/>
    </w:p>
    <w:p w:rsidR="00660F8A" w:rsidRDefault="00660F8A" w:rsidP="00660F8A">
      <w:pPr>
        <w:pStyle w:val="LegSubRule"/>
        <w:keepLines w:val="0"/>
      </w:pPr>
      <w:bookmarkStart w:id="9" w:name="_Toc444162060"/>
      <w:r>
        <w:t>92</w:t>
      </w:r>
      <w:r>
        <w:rPr>
          <w:i/>
        </w:rPr>
        <w:t>bis</w:t>
      </w:r>
      <w:r>
        <w:t>.1   </w:t>
      </w:r>
      <w:r>
        <w:rPr>
          <w:i/>
        </w:rPr>
        <w:t>Recording of Changes by the International Bureau</w:t>
      </w:r>
      <w:bookmarkEnd w:id="9"/>
    </w:p>
    <w:p w:rsidR="00660F8A" w:rsidRDefault="00660F8A" w:rsidP="00660F8A">
      <w:pPr>
        <w:pStyle w:val="Lega"/>
      </w:pPr>
      <w:r>
        <w:tab/>
        <w:t>(a)  The International Bureau shall, on the request of the applicant or the receiving Office, record changes in the following indications appearing in the request or demand:</w:t>
      </w:r>
    </w:p>
    <w:p w:rsidR="00660F8A" w:rsidRDefault="00660F8A" w:rsidP="00660F8A">
      <w:pPr>
        <w:pStyle w:val="Legi"/>
      </w:pPr>
      <w:r>
        <w:tab/>
        <w:t>(</w:t>
      </w:r>
      <w:proofErr w:type="spellStart"/>
      <w:r>
        <w:t>i</w:t>
      </w:r>
      <w:proofErr w:type="spellEnd"/>
      <w:r>
        <w:t>)</w:t>
      </w:r>
      <w:r>
        <w:tab/>
      </w:r>
      <w:proofErr w:type="gramStart"/>
      <w:r>
        <w:t>person</w:t>
      </w:r>
      <w:proofErr w:type="gramEnd"/>
      <w:r>
        <w:t>, name, residence, nationality or address of the applicant,</w:t>
      </w:r>
    </w:p>
    <w:p w:rsidR="00660F8A" w:rsidRDefault="00660F8A" w:rsidP="00660F8A">
      <w:pPr>
        <w:pStyle w:val="Legi"/>
      </w:pPr>
      <w:r>
        <w:tab/>
        <w:t>(ii)</w:t>
      </w:r>
      <w:r>
        <w:tab/>
      </w:r>
      <w:proofErr w:type="gramStart"/>
      <w:r>
        <w:t>person</w:t>
      </w:r>
      <w:proofErr w:type="gramEnd"/>
      <w:r>
        <w:t>, name or address of the agent, the common representative or the inventor.</w:t>
      </w:r>
    </w:p>
    <w:p w:rsidR="00660F8A" w:rsidRDefault="00660F8A" w:rsidP="00660F8A">
      <w:pPr>
        <w:pStyle w:val="Lega"/>
      </w:pPr>
      <w:r>
        <w:tab/>
        <w:t>(b)  The International Bureau shall not record the requested change if the request for recording is received by it after the expiration of 30 months from the priority date.</w:t>
      </w:r>
    </w:p>
    <w:p w:rsidR="00C14D16" w:rsidRDefault="00C14D16" w:rsidP="00F915DF">
      <w:pPr>
        <w:pStyle w:val="Lega"/>
        <w:rPr>
          <w:rStyle w:val="LegAddedText"/>
        </w:rPr>
      </w:pPr>
      <w:r>
        <w:tab/>
      </w:r>
      <w:r w:rsidRPr="003C60F0">
        <w:rPr>
          <w:rStyle w:val="LegAddedText"/>
        </w:rPr>
        <w:t>(</w:t>
      </w:r>
      <w:r w:rsidRPr="00405208">
        <w:rPr>
          <w:rStyle w:val="LegAddedText"/>
          <w:color w:val="0000FF"/>
        </w:rPr>
        <w:t>c)  </w:t>
      </w:r>
      <w:r w:rsidR="00F915DF" w:rsidRPr="00405208">
        <w:rPr>
          <w:rStyle w:val="LegAddedText"/>
          <w:color w:val="0000FF"/>
        </w:rPr>
        <w:t>If the international filing fee was reduced in accordance with item 5 of the Schedule of Fees and a request is made to record a change</w:t>
      </w:r>
      <w:r w:rsidR="00F7750E" w:rsidRPr="00405208">
        <w:rPr>
          <w:rStyle w:val="LegAddedText"/>
          <w:color w:val="0000FF"/>
        </w:rPr>
        <w:t xml:space="preserve"> in the </w:t>
      </w:r>
      <w:r w:rsidR="0014738A" w:rsidRPr="00405208">
        <w:rPr>
          <w:rStyle w:val="LegAddedText"/>
          <w:color w:val="0000FF"/>
        </w:rPr>
        <w:t>person</w:t>
      </w:r>
      <w:r w:rsidR="00F7750E" w:rsidRPr="00405208">
        <w:rPr>
          <w:rStyle w:val="LegAddedText"/>
          <w:color w:val="0000FF"/>
        </w:rPr>
        <w:t xml:space="preserve"> of the </w:t>
      </w:r>
      <w:r w:rsidR="00F915DF" w:rsidRPr="00405208">
        <w:rPr>
          <w:rStyle w:val="LegAddedText"/>
          <w:color w:val="0000FF"/>
        </w:rPr>
        <w:t>applicant</w:t>
      </w:r>
      <w:r w:rsidR="00F7750E" w:rsidRPr="00405208">
        <w:rPr>
          <w:rStyle w:val="LegAddedText"/>
          <w:color w:val="0000FF"/>
        </w:rPr>
        <w:t xml:space="preserve"> which would result in the applicant no longer being eligible for the reduction or, if there are several applicants, which would result in not all of the applicants being eligible for the reduction</w:t>
      </w:r>
      <w:r w:rsidR="00F915DF" w:rsidRPr="00405208">
        <w:rPr>
          <w:rStyle w:val="LegAddedText"/>
          <w:color w:val="0000FF"/>
        </w:rPr>
        <w:t xml:space="preserve">, </w:t>
      </w:r>
      <w:r w:rsidR="00F7750E" w:rsidRPr="00405208">
        <w:rPr>
          <w:rStyle w:val="LegAddedText"/>
          <w:color w:val="0000FF"/>
        </w:rPr>
        <w:t>the recording of the change shall be subject to a special fee payable to the International Bureau whose amount shall be fixed in the Administrative Instructions</w:t>
      </w:r>
      <w:r w:rsidR="00A027F3" w:rsidRPr="00405208">
        <w:rPr>
          <w:rStyle w:val="LegAddedText"/>
          <w:color w:val="0000FF"/>
        </w:rPr>
        <w:t>.</w:t>
      </w:r>
    </w:p>
    <w:p w:rsidR="00C4769C" w:rsidRPr="00C4769C" w:rsidRDefault="00C4769C" w:rsidP="00062F19">
      <w:pPr>
        <w:pStyle w:val="LegBasic"/>
        <w:spacing w:line="240" w:lineRule="auto"/>
      </w:pPr>
      <w:r w:rsidRPr="00C4769C">
        <w:t>[COMMENT</w:t>
      </w:r>
      <w:r>
        <w:t xml:space="preserve">:  </w:t>
      </w:r>
      <w:r w:rsidR="00A027F3">
        <w:t xml:space="preserve">The fee would be payable upon </w:t>
      </w:r>
      <w:r w:rsidR="00CD4C57">
        <w:t xml:space="preserve">only in respect of a request for the recording of </w:t>
      </w:r>
      <w:r w:rsidR="00A027F3">
        <w:t xml:space="preserve">a change </w:t>
      </w:r>
      <w:r w:rsidR="00CD4C57">
        <w:t xml:space="preserve">in the </w:t>
      </w:r>
      <w:r w:rsidR="00A027F3">
        <w:t>person</w:t>
      </w:r>
      <w:r w:rsidR="00CD4C57">
        <w:t xml:space="preserve"> of the applicant</w:t>
      </w:r>
      <w:r w:rsidR="00A027F3">
        <w:t xml:space="preserve">.  </w:t>
      </w:r>
      <w:r>
        <w:t>It is not suggested that the fee should be payable merely because of a change in the nationality or residence of</w:t>
      </w:r>
      <w:r w:rsidR="00A027F3">
        <w:t xml:space="preserve"> the applicant subsequent to the filing of the international application</w:t>
      </w:r>
      <w:r>
        <w:t>.</w:t>
      </w:r>
      <w:r w:rsidRPr="00C4769C">
        <w:t>]</w:t>
      </w:r>
    </w:p>
    <w:p w:rsidR="00C14D16" w:rsidRPr="003C35EB" w:rsidRDefault="00C14D16" w:rsidP="00F06902">
      <w:pPr>
        <w:pStyle w:val="LegTitle"/>
        <w:spacing w:after="240" w:line="360" w:lineRule="auto"/>
        <w:rPr>
          <w:rFonts w:eastAsia="Arial Unicode MS"/>
        </w:rPr>
      </w:pPr>
      <w:bookmarkStart w:id="10" w:name="_Toc390869454"/>
      <w:bookmarkStart w:id="11" w:name="_Toc390869876"/>
      <w:bookmarkStart w:id="12" w:name="_Toc391294056"/>
      <w:bookmarkStart w:id="13" w:name="_Toc392057254"/>
      <w:bookmarkStart w:id="14" w:name="_Toc444162061"/>
      <w:r w:rsidRPr="003C35EB">
        <w:rPr>
          <w:rFonts w:eastAsia="Arial Unicode MS"/>
        </w:rPr>
        <w:lastRenderedPageBreak/>
        <w:t>SCHEDULE OF FEES</w:t>
      </w:r>
      <w:bookmarkEnd w:id="10"/>
      <w:bookmarkEnd w:id="11"/>
      <w:bookmarkEnd w:id="12"/>
      <w:bookmarkEnd w:id="13"/>
      <w:bookmarkEnd w:id="14"/>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5506"/>
        <w:gridCol w:w="3001"/>
        <w:gridCol w:w="33"/>
      </w:tblGrid>
      <w:tr w:rsidR="00C14D16" w:rsidRPr="002A1976" w:rsidTr="007E4B4D">
        <w:trPr>
          <w:gridAfter w:val="1"/>
          <w:wAfter w:w="33" w:type="dxa"/>
          <w:jc w:val="center"/>
        </w:trPr>
        <w:tc>
          <w:tcPr>
            <w:tcW w:w="6112" w:type="dxa"/>
            <w:gridSpan w:val="3"/>
          </w:tcPr>
          <w:p w:rsidR="00C14D16" w:rsidRPr="00763EC0" w:rsidRDefault="00C14D16" w:rsidP="00AF083E">
            <w:pPr>
              <w:pStyle w:val="LegBasic"/>
              <w:spacing w:after="240" w:line="360" w:lineRule="auto"/>
              <w:rPr>
                <w:rFonts w:eastAsia="SimSun"/>
                <w:b/>
                <w:bCs/>
              </w:rPr>
            </w:pPr>
            <w:r w:rsidRPr="00763EC0">
              <w:rPr>
                <w:rFonts w:eastAsia="SimSun"/>
                <w:b/>
                <w:bCs/>
              </w:rPr>
              <w:t>Fees</w:t>
            </w:r>
          </w:p>
        </w:tc>
        <w:tc>
          <w:tcPr>
            <w:tcW w:w="3001" w:type="dxa"/>
          </w:tcPr>
          <w:p w:rsidR="00C14D16" w:rsidRPr="00763EC0" w:rsidRDefault="00C14D16" w:rsidP="00AF083E">
            <w:pPr>
              <w:pStyle w:val="LegBasic"/>
              <w:spacing w:after="240" w:line="360" w:lineRule="auto"/>
              <w:rPr>
                <w:rFonts w:eastAsia="SimSun"/>
                <w:b/>
                <w:bCs/>
              </w:rPr>
            </w:pPr>
            <w:r w:rsidRPr="00763EC0">
              <w:rPr>
                <w:rFonts w:eastAsia="SimSun"/>
                <w:b/>
                <w:bCs/>
              </w:rPr>
              <w:t>Amounts</w:t>
            </w:r>
          </w:p>
        </w:tc>
      </w:tr>
      <w:tr w:rsidR="00C14D16" w:rsidRPr="002A1976" w:rsidTr="007E4B4D">
        <w:trPr>
          <w:gridBefore w:val="1"/>
          <w:wBefore w:w="33" w:type="dxa"/>
          <w:cantSplit/>
          <w:jc w:val="center"/>
        </w:trPr>
        <w:tc>
          <w:tcPr>
            <w:tcW w:w="9113" w:type="dxa"/>
            <w:gridSpan w:val="4"/>
          </w:tcPr>
          <w:p w:rsidR="00C14D16" w:rsidRPr="002A1976" w:rsidRDefault="00C14D16" w:rsidP="00AF083E">
            <w:pPr>
              <w:pStyle w:val="LegBasic"/>
              <w:spacing w:line="360" w:lineRule="auto"/>
            </w:pPr>
            <w:r>
              <w:t>1</w:t>
            </w:r>
            <w:r w:rsidR="00AF083E">
              <w:t>.</w:t>
            </w:r>
            <w:r>
              <w:t xml:space="preserve"> to </w:t>
            </w:r>
            <w:r w:rsidR="00AF083E">
              <w:t>3.</w:t>
            </w:r>
            <w:r>
              <w:t>   [No change]</w:t>
            </w:r>
          </w:p>
        </w:tc>
      </w:tr>
      <w:tr w:rsidR="00AF083E" w:rsidRPr="002A1976" w:rsidTr="00DF4A56">
        <w:trPr>
          <w:gridAfter w:val="1"/>
          <w:wAfter w:w="33" w:type="dxa"/>
          <w:jc w:val="center"/>
        </w:trPr>
        <w:tc>
          <w:tcPr>
            <w:tcW w:w="6112" w:type="dxa"/>
            <w:gridSpan w:val="3"/>
          </w:tcPr>
          <w:p w:rsidR="00AF083E" w:rsidRDefault="00AF083E" w:rsidP="00AF083E">
            <w:pPr>
              <w:pStyle w:val="LegBasic"/>
              <w:spacing w:after="240" w:line="360" w:lineRule="auto"/>
              <w:rPr>
                <w:rFonts w:eastAsia="SimSun"/>
                <w:b/>
                <w:bCs/>
              </w:rPr>
            </w:pPr>
            <w:r>
              <w:rPr>
                <w:rFonts w:eastAsia="SimSun"/>
                <w:b/>
                <w:bCs/>
              </w:rPr>
              <w:t>Reductions</w:t>
            </w:r>
          </w:p>
          <w:p w:rsidR="00AF083E" w:rsidRPr="00763EC0" w:rsidRDefault="00AF083E" w:rsidP="00AF083E">
            <w:pPr>
              <w:pStyle w:val="LegBasic"/>
              <w:spacing w:after="240" w:line="360" w:lineRule="auto"/>
              <w:rPr>
                <w:rFonts w:eastAsia="SimSun"/>
                <w:b/>
                <w:bCs/>
              </w:rPr>
            </w:pPr>
            <w:r>
              <w:t>4.   [No change]</w:t>
            </w:r>
          </w:p>
        </w:tc>
        <w:tc>
          <w:tcPr>
            <w:tcW w:w="3001" w:type="dxa"/>
          </w:tcPr>
          <w:p w:rsidR="00AF083E" w:rsidRPr="00763EC0" w:rsidRDefault="00AF083E" w:rsidP="00AF083E">
            <w:pPr>
              <w:pStyle w:val="LegBasic"/>
              <w:spacing w:after="240" w:line="360" w:lineRule="auto"/>
              <w:rPr>
                <w:rFonts w:eastAsia="SimSun"/>
                <w:b/>
                <w:bCs/>
              </w:rPr>
            </w:pPr>
          </w:p>
        </w:tc>
      </w:tr>
      <w:tr w:rsidR="00C14D16" w:rsidRPr="002A1976" w:rsidTr="007E4B4D">
        <w:trPr>
          <w:gridBefore w:val="1"/>
          <w:wBefore w:w="33" w:type="dxa"/>
          <w:cantSplit/>
          <w:jc w:val="center"/>
        </w:trPr>
        <w:tc>
          <w:tcPr>
            <w:tcW w:w="9113" w:type="dxa"/>
            <w:gridSpan w:val="4"/>
          </w:tcPr>
          <w:p w:rsidR="00C14D16" w:rsidRPr="002A1976" w:rsidRDefault="00C14D16" w:rsidP="00AF083E">
            <w:pPr>
              <w:pStyle w:val="LegBasic"/>
              <w:spacing w:line="360" w:lineRule="auto"/>
              <w:rPr>
                <w:rFonts w:eastAsia="SimSun"/>
                <w:lang w:eastAsia="zh-CN"/>
              </w:rPr>
            </w:pPr>
            <w:r w:rsidRPr="002A1976">
              <w:rPr>
                <w:rFonts w:eastAsia="SimSun"/>
                <w:lang w:eastAsia="zh-CN"/>
              </w:rPr>
              <w:t>5.</w:t>
            </w:r>
            <w:r w:rsidRPr="002A1976">
              <w:rPr>
                <w:rFonts w:eastAsia="SimSun"/>
                <w:lang w:eastAsia="zh-CN"/>
              </w:rPr>
              <w:tab/>
              <w:t>The international filing fee under item 1 (where applicable, as reduced under item 4), the supplementary search handling fee under item 2 and the handling fee under item 3 are reduced by 90% if the international application is filed by:</w:t>
            </w:r>
          </w:p>
        </w:tc>
      </w:tr>
      <w:tr w:rsidR="00C14D16" w:rsidRPr="002A1976" w:rsidTr="007E4B4D">
        <w:trPr>
          <w:gridBefore w:val="1"/>
          <w:wBefore w:w="33" w:type="dxa"/>
          <w:cantSplit/>
          <w:jc w:val="center"/>
        </w:trPr>
        <w:tc>
          <w:tcPr>
            <w:tcW w:w="573" w:type="dxa"/>
          </w:tcPr>
          <w:p w:rsidR="00C14D16" w:rsidRPr="002A1976" w:rsidRDefault="00C14D16" w:rsidP="00AF083E">
            <w:pPr>
              <w:suppressAutoHyphens/>
              <w:spacing w:after="120" w:line="360" w:lineRule="auto"/>
              <w:rPr>
                <w:szCs w:val="28"/>
              </w:rPr>
            </w:pPr>
            <w:r w:rsidRPr="002A1976">
              <w:rPr>
                <w:szCs w:val="28"/>
              </w:rPr>
              <w:br w:type="page"/>
            </w:r>
          </w:p>
        </w:tc>
        <w:tc>
          <w:tcPr>
            <w:tcW w:w="8540" w:type="dxa"/>
            <w:gridSpan w:val="3"/>
          </w:tcPr>
          <w:p w:rsidR="00C14D16" w:rsidRPr="002A1976" w:rsidRDefault="00C14D16" w:rsidP="00AF083E">
            <w:pPr>
              <w:pStyle w:val="LegBasic"/>
              <w:spacing w:line="360" w:lineRule="auto"/>
              <w:rPr>
                <w:rFonts w:eastAsia="SimSun"/>
              </w:rPr>
            </w:pPr>
            <w:r w:rsidRPr="002A1976">
              <w:rPr>
                <w:rFonts w:eastAsia="SimSun"/>
              </w:rPr>
              <w:t>(a)</w:t>
            </w:r>
            <w:r w:rsidRPr="002A1976">
              <w:rPr>
                <w:rFonts w:eastAsia="SimSun"/>
              </w:rPr>
              <w:tab/>
            </w:r>
            <w:r w:rsidR="00A90625">
              <w:t>[No change]  </w:t>
            </w:r>
            <w:r w:rsidRPr="002A1976">
              <w:rPr>
                <w:rFonts w:eastAsia="SimSun"/>
              </w:rPr>
              <w:t>an applicant who is a natural person and who is a national of and resides in a State</w:t>
            </w:r>
            <w:r w:rsidRPr="002A1976">
              <w:rPr>
                <w:rFonts w:eastAsia="SimSun"/>
                <w:color w:val="0070C0"/>
              </w:rPr>
              <w:t xml:space="preserve"> </w:t>
            </w:r>
            <w:r w:rsidRPr="002A1976">
              <w:rPr>
                <w:rFonts w:eastAsia="SimSun"/>
              </w:rPr>
              <w:t>that is listed as being a State</w:t>
            </w:r>
            <w:r w:rsidRPr="002A1976">
              <w:rPr>
                <w:rFonts w:eastAsia="SimSun"/>
                <w:color w:val="0070C0"/>
              </w:rPr>
              <w:t xml:space="preserve"> </w:t>
            </w:r>
            <w:r w:rsidRPr="002A1976">
              <w:rPr>
                <w:rFonts w:eastAsia="SimSun"/>
              </w:rPr>
              <w:t>whose per capita gross domestic product</w:t>
            </w:r>
            <w:r w:rsidRPr="002A1976">
              <w:rPr>
                <w:rFonts w:eastAsia="SimSun"/>
                <w:color w:val="0070C0"/>
              </w:rPr>
              <w:t xml:space="preserve"> </w:t>
            </w:r>
            <w:r w:rsidRPr="002A1976">
              <w:rPr>
                <w:rFonts w:eastAsia="SimSun"/>
              </w:rPr>
              <w:t>is below US$ 25,000 (according to the most recent 10</w:t>
            </w:r>
            <w:r w:rsidRPr="002A1976">
              <w:rPr>
                <w:rFonts w:eastAsia="SimSun"/>
              </w:rPr>
              <w:noBreakHyphen/>
              <w:t>year</w:t>
            </w:r>
            <w:r w:rsidRPr="002A1976">
              <w:rPr>
                <w:rFonts w:eastAsia="SimSun"/>
                <w:color w:val="0070C0"/>
              </w:rPr>
              <w:t xml:space="preserve"> </w:t>
            </w:r>
            <w:r w:rsidRPr="002A1976">
              <w:rPr>
                <w:rFonts w:eastAsia="SimSun"/>
              </w:rPr>
              <w:t>average per capita gross domestic product</w:t>
            </w:r>
            <w:r w:rsidRPr="002A1976">
              <w:rPr>
                <w:rFonts w:eastAsia="SimSun"/>
                <w:color w:val="0070C0"/>
              </w:rPr>
              <w:t xml:space="preserve"> </w:t>
            </w:r>
            <w:r w:rsidRPr="002A1976">
              <w:rPr>
                <w:rFonts w:eastAsia="SimSun"/>
              </w:rPr>
              <w:t>figures</w:t>
            </w:r>
            <w:r w:rsidRPr="002A1976">
              <w:rPr>
                <w:rFonts w:eastAsia="SimSun"/>
                <w:color w:val="0070C0"/>
              </w:rPr>
              <w:t xml:space="preserve"> </w:t>
            </w:r>
            <w:r w:rsidRPr="002A1976">
              <w:rPr>
                <w:rFonts w:eastAsia="SimSun"/>
              </w:rPr>
              <w:t>at constant 2005 US$ values published</w:t>
            </w:r>
            <w:r w:rsidRPr="002A1976">
              <w:rPr>
                <w:rFonts w:eastAsia="SimSun"/>
                <w:color w:val="0070C0"/>
              </w:rPr>
              <w:t xml:space="preserve"> </w:t>
            </w:r>
            <w:r w:rsidRPr="002A1976">
              <w:rPr>
                <w:rFonts w:eastAsia="SimSun"/>
              </w:rPr>
              <w:t>by the United Nations), and whose nationals and residents who are natural persons have filed less than 10 international applications per year (per million population) or less than 50 international applications per year (in absolute numbers) according to the most recent five</w:t>
            </w:r>
            <w:r w:rsidRPr="002A1976">
              <w:rPr>
                <w:rFonts w:eastAsia="SimSun"/>
              </w:rPr>
              <w:noBreakHyphen/>
              <w:t>year average yearly filing figures published by the International Bureau;  or</w:t>
            </w:r>
          </w:p>
        </w:tc>
      </w:tr>
      <w:tr w:rsidR="00C14D16" w:rsidRPr="002A1976" w:rsidTr="007E4B4D">
        <w:trPr>
          <w:gridBefore w:val="1"/>
          <w:wBefore w:w="33" w:type="dxa"/>
          <w:cantSplit/>
          <w:jc w:val="center"/>
        </w:trPr>
        <w:tc>
          <w:tcPr>
            <w:tcW w:w="573" w:type="dxa"/>
          </w:tcPr>
          <w:p w:rsidR="00C14D16" w:rsidRPr="002A1976" w:rsidRDefault="00C14D16" w:rsidP="00AF083E">
            <w:pPr>
              <w:suppressAutoHyphens/>
              <w:spacing w:after="120" w:line="360" w:lineRule="auto"/>
              <w:rPr>
                <w:szCs w:val="28"/>
              </w:rPr>
            </w:pPr>
          </w:p>
        </w:tc>
        <w:tc>
          <w:tcPr>
            <w:tcW w:w="8540" w:type="dxa"/>
            <w:gridSpan w:val="3"/>
          </w:tcPr>
          <w:p w:rsidR="00C14D16" w:rsidRPr="002A1976" w:rsidRDefault="00C14D16" w:rsidP="00AF083E">
            <w:pPr>
              <w:pStyle w:val="LegBasic"/>
              <w:spacing w:line="360" w:lineRule="auto"/>
              <w:rPr>
                <w:rFonts w:eastAsia="SimSun"/>
              </w:rPr>
            </w:pPr>
            <w:r w:rsidRPr="002A1976">
              <w:rPr>
                <w:rFonts w:eastAsia="SimSun"/>
              </w:rPr>
              <w:t>(b)</w:t>
            </w:r>
            <w:r w:rsidRPr="002A1976">
              <w:rPr>
                <w:rFonts w:eastAsia="SimSun"/>
              </w:rPr>
              <w:tab/>
            </w:r>
            <w:r w:rsidR="00A90625">
              <w:t>[No change]  </w:t>
            </w:r>
            <w:r w:rsidRPr="002A1976">
              <w:rPr>
                <w:rFonts w:eastAsia="SimSun"/>
              </w:rPr>
              <w:t>an applicant, whether a natural person or not, who is a national of and resides in a State that is</w:t>
            </w:r>
            <w:r w:rsidRPr="002A1976">
              <w:rPr>
                <w:rFonts w:eastAsia="SimSun"/>
                <w:color w:val="0070C0"/>
              </w:rPr>
              <w:t xml:space="preserve"> </w:t>
            </w:r>
            <w:r w:rsidRPr="002A1976">
              <w:rPr>
                <w:rFonts w:eastAsia="SimSun"/>
              </w:rPr>
              <w:t>listed as being classified by the United Nations as a least developed country;</w:t>
            </w:r>
          </w:p>
        </w:tc>
      </w:tr>
      <w:tr w:rsidR="00C14D16" w:rsidRPr="002A1976" w:rsidTr="007E4B4D">
        <w:trPr>
          <w:gridBefore w:val="1"/>
          <w:wBefore w:w="33" w:type="dxa"/>
          <w:cantSplit/>
          <w:jc w:val="center"/>
        </w:trPr>
        <w:tc>
          <w:tcPr>
            <w:tcW w:w="9113" w:type="dxa"/>
            <w:gridSpan w:val="4"/>
          </w:tcPr>
          <w:p w:rsidR="00C14D16" w:rsidRPr="002A1976" w:rsidRDefault="00C14D16" w:rsidP="00AF083E">
            <w:pPr>
              <w:pStyle w:val="LegBasic"/>
              <w:spacing w:line="360" w:lineRule="auto"/>
              <w:rPr>
                <w:rFonts w:eastAsia="SimSun"/>
              </w:rPr>
            </w:pPr>
            <w:proofErr w:type="gramStart"/>
            <w:r w:rsidRPr="002A1976">
              <w:rPr>
                <w:rFonts w:eastAsia="SimSun"/>
              </w:rPr>
              <w:t>provided</w:t>
            </w:r>
            <w:proofErr w:type="gramEnd"/>
            <w:r w:rsidRPr="002A1976">
              <w:rPr>
                <w:rFonts w:eastAsia="SimSun"/>
              </w:rPr>
              <w:t xml:space="preserve"> that</w:t>
            </w:r>
            <w:r w:rsidR="00763EC0">
              <w:rPr>
                <w:rFonts w:eastAsia="SimSun"/>
              </w:rPr>
              <w:t xml:space="preserve"> </w:t>
            </w:r>
            <w:r w:rsidR="00763EC0" w:rsidRPr="00405208">
              <w:rPr>
                <w:rStyle w:val="LegAddedText"/>
                <w:rFonts w:eastAsia="SimSun"/>
                <w:color w:val="0000FF"/>
              </w:rPr>
              <w:t xml:space="preserve">there are no beneficial owners of the international application </w:t>
            </w:r>
            <w:r w:rsidR="00A61B26" w:rsidRPr="00405208">
              <w:rPr>
                <w:rStyle w:val="LegAddedText"/>
                <w:rFonts w:eastAsia="SimSun"/>
                <w:color w:val="0000FF"/>
              </w:rPr>
              <w:t xml:space="preserve">who </w:t>
            </w:r>
            <w:r w:rsidR="007706EE" w:rsidRPr="00405208">
              <w:rPr>
                <w:rStyle w:val="LegAddedText"/>
                <w:rFonts w:eastAsia="SimSun"/>
                <w:color w:val="0000FF"/>
              </w:rPr>
              <w:t xml:space="preserve">would not satisfy the </w:t>
            </w:r>
            <w:r w:rsidR="000F247F" w:rsidRPr="00405208">
              <w:rPr>
                <w:rStyle w:val="LegAddedText"/>
                <w:rFonts w:eastAsia="SimSun"/>
                <w:color w:val="0000FF"/>
              </w:rPr>
              <w:t>criteria in sub-item (a) or (b)</w:t>
            </w:r>
            <w:r w:rsidR="007706EE" w:rsidRPr="00405208">
              <w:rPr>
                <w:rStyle w:val="LegAddedText"/>
                <w:rFonts w:eastAsia="SimSun"/>
                <w:color w:val="0000FF"/>
              </w:rPr>
              <w:t xml:space="preserve"> </w:t>
            </w:r>
            <w:r w:rsidR="00763EC0" w:rsidRPr="00405208">
              <w:rPr>
                <w:rStyle w:val="LegAddedText"/>
                <w:rFonts w:eastAsia="SimSun"/>
                <w:color w:val="0000FF"/>
              </w:rPr>
              <w:t>and</w:t>
            </w:r>
            <w:r w:rsidR="000371F5" w:rsidRPr="00405208">
              <w:rPr>
                <w:rStyle w:val="LegAddedText"/>
                <w:rFonts w:eastAsia="SimSun"/>
                <w:color w:val="0000FF"/>
              </w:rPr>
              <w:t xml:space="preserve"> provided that</w:t>
            </w:r>
            <w:r w:rsidRPr="00A61B26">
              <w:rPr>
                <w:rFonts w:eastAsia="SimSun"/>
              </w:rPr>
              <w:t>,</w:t>
            </w:r>
            <w:r w:rsidRPr="002A1976">
              <w:rPr>
                <w:rFonts w:eastAsia="SimSun"/>
              </w:rPr>
              <w:t xml:space="preserve"> if there are several applicants, each must satisfy the criteria set out in either sub-item (a) or (b).</w:t>
            </w:r>
            <w:r w:rsidRPr="002A1976">
              <w:rPr>
                <w:rFonts w:eastAsia="SimSun"/>
                <w:color w:val="0070C0"/>
              </w:rPr>
              <w:t xml:space="preserve">  </w:t>
            </w:r>
            <w:r w:rsidRPr="002A1976">
              <w:rPr>
                <w:rFonts w:eastAsia="SimSun"/>
              </w:rPr>
              <w:t>The lists of States referred to in sub-items (a) and (b)</w:t>
            </w:r>
            <w:r w:rsidRPr="002A1976">
              <w:rPr>
                <w:rFonts w:eastAsia="SimSun"/>
                <w:vertAlign w:val="superscript"/>
              </w:rPr>
              <w:footnoteReference w:id="3"/>
            </w:r>
            <w:r w:rsidRPr="002A1976">
              <w:rPr>
                <w:rFonts w:eastAsia="SimSun"/>
              </w:rPr>
              <w:t xml:space="preserve"> shall be updated by the Director General at least every five years according to directives given by the Ass</w:t>
            </w:r>
            <w:r>
              <w:rPr>
                <w:rFonts w:eastAsia="SimSun"/>
              </w:rPr>
              <w:t>embly.  The criteria set out in</w:t>
            </w:r>
            <w:r w:rsidR="00A027F3">
              <w:rPr>
                <w:rFonts w:eastAsia="SimSun"/>
              </w:rPr>
              <w:t xml:space="preserve"> </w:t>
            </w:r>
            <w:r w:rsidRPr="002A1976">
              <w:rPr>
                <w:rFonts w:eastAsia="SimSun"/>
              </w:rPr>
              <w:t>sub-items</w:t>
            </w:r>
            <w:r>
              <w:rPr>
                <w:rFonts w:eastAsia="SimSun"/>
              </w:rPr>
              <w:t> </w:t>
            </w:r>
            <w:r w:rsidRPr="002A1976">
              <w:rPr>
                <w:rFonts w:eastAsia="SimSun"/>
              </w:rPr>
              <w:t>(a) and (b) shall be reviewed by the Assembly at least every five years.</w:t>
            </w:r>
          </w:p>
        </w:tc>
      </w:tr>
    </w:tbl>
    <w:p w:rsidR="002928D3" w:rsidRDefault="0054421E" w:rsidP="000F247F">
      <w:pPr>
        <w:pStyle w:val="Endofdocument-Annex"/>
      </w:pPr>
      <w:r>
        <w:t xml:space="preserve">[End of </w:t>
      </w:r>
      <w:r w:rsidR="00D7297D">
        <w:t xml:space="preserve">Annex and of </w:t>
      </w:r>
      <w:r>
        <w:t>document]</w:t>
      </w:r>
      <w:bookmarkStart w:id="15" w:name="Prepared"/>
      <w:bookmarkEnd w:id="15"/>
    </w:p>
    <w:sectPr w:rsidR="002928D3" w:rsidSect="00070DF2">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87" w:rsidRDefault="00EB4487">
      <w:r>
        <w:separator/>
      </w:r>
    </w:p>
  </w:endnote>
  <w:endnote w:type="continuationSeparator" w:id="0">
    <w:p w:rsidR="00EB4487" w:rsidRDefault="00EB4487" w:rsidP="003B38C1">
      <w:r>
        <w:separator/>
      </w:r>
    </w:p>
    <w:p w:rsidR="00EB4487" w:rsidRPr="003B38C1" w:rsidRDefault="00EB4487" w:rsidP="003B38C1">
      <w:pPr>
        <w:spacing w:after="60"/>
        <w:rPr>
          <w:sz w:val="17"/>
        </w:rPr>
      </w:pPr>
      <w:r>
        <w:rPr>
          <w:sz w:val="17"/>
        </w:rPr>
        <w:t>[Endnote continued from previous page]</w:t>
      </w:r>
    </w:p>
  </w:endnote>
  <w:endnote w:type="continuationNotice" w:id="1">
    <w:p w:rsidR="00EB4487" w:rsidRPr="003B38C1" w:rsidRDefault="00EB44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87" w:rsidRDefault="00EB4487">
      <w:r>
        <w:separator/>
      </w:r>
    </w:p>
  </w:footnote>
  <w:footnote w:type="continuationSeparator" w:id="0">
    <w:p w:rsidR="00EB4487" w:rsidRDefault="00EB4487" w:rsidP="008B60B2">
      <w:r>
        <w:separator/>
      </w:r>
    </w:p>
    <w:p w:rsidR="00EB4487" w:rsidRPr="00ED77FB" w:rsidRDefault="00EB4487" w:rsidP="008B60B2">
      <w:pPr>
        <w:spacing w:after="60"/>
        <w:rPr>
          <w:sz w:val="17"/>
          <w:szCs w:val="17"/>
        </w:rPr>
      </w:pPr>
      <w:r w:rsidRPr="00ED77FB">
        <w:rPr>
          <w:sz w:val="17"/>
          <w:szCs w:val="17"/>
        </w:rPr>
        <w:t>[Footnote continued from previous page]</w:t>
      </w:r>
    </w:p>
  </w:footnote>
  <w:footnote w:type="continuationNotice" w:id="1">
    <w:p w:rsidR="00EB4487" w:rsidRPr="00ED77FB" w:rsidRDefault="00EB4487" w:rsidP="008B60B2">
      <w:pPr>
        <w:spacing w:before="60"/>
        <w:jc w:val="right"/>
        <w:rPr>
          <w:sz w:val="17"/>
          <w:szCs w:val="17"/>
        </w:rPr>
      </w:pPr>
      <w:r w:rsidRPr="00ED77FB">
        <w:rPr>
          <w:sz w:val="17"/>
          <w:szCs w:val="17"/>
        </w:rPr>
        <w:t>[Footnote continued on next page]</w:t>
      </w:r>
    </w:p>
  </w:footnote>
  <w:footnote w:id="2">
    <w:p w:rsidR="00D7297D" w:rsidRPr="00DE7A0C" w:rsidRDefault="00D7297D" w:rsidP="00D7297D">
      <w:pPr>
        <w:pStyle w:val="FootnoteText"/>
        <w:tabs>
          <w:tab w:val="left" w:pos="567"/>
        </w:tabs>
      </w:pPr>
      <w:r>
        <w:rPr>
          <w:rStyle w:val="FootnoteReference"/>
        </w:rPr>
        <w:footnoteRef/>
      </w:r>
      <w:r>
        <w:t xml:space="preserve"> </w:t>
      </w:r>
      <w:r>
        <w:tab/>
      </w:r>
      <w:r w:rsidRPr="00DE7A0C">
        <w:t>Proposed additions and deletions are indicated, respectively, by underlining and striking through the text concerned.</w:t>
      </w:r>
    </w:p>
  </w:footnote>
  <w:footnote w:id="3">
    <w:p w:rsidR="00C14D16" w:rsidRPr="00F34CC7" w:rsidRDefault="00C14D16" w:rsidP="00C14D16">
      <w:pPr>
        <w:pStyle w:val="FootnoteText"/>
        <w:rPr>
          <w:szCs w:val="24"/>
          <w:lang w:val="en-GB"/>
        </w:rPr>
      </w:pPr>
      <w:r>
        <w:rPr>
          <w:rStyle w:val="FootnoteReference"/>
        </w:rPr>
        <w:footnoteRef/>
      </w:r>
      <w:r>
        <w:t xml:space="preserve"> </w:t>
      </w:r>
      <w:r>
        <w:rPr>
          <w:sz w:val="20"/>
        </w:rPr>
        <w:tab/>
      </w:r>
      <w:r w:rsidRPr="00F34CC7">
        <w:rPr>
          <w:i/>
          <w:szCs w:val="24"/>
        </w:rPr>
        <w:t>Editor’s Note:</w:t>
      </w:r>
      <w:r>
        <w:rPr>
          <w:szCs w:val="24"/>
        </w:rPr>
        <w:t xml:space="preserve"> </w:t>
      </w:r>
      <w:r w:rsidRPr="00F34CC7">
        <w:rPr>
          <w:szCs w:val="24"/>
        </w:rPr>
        <w:t xml:space="preserve">The first lists of States were published in the Gazette of </w:t>
      </w:r>
      <w:r>
        <w:rPr>
          <w:szCs w:val="24"/>
        </w:rPr>
        <w:t>February 12,</w:t>
      </w:r>
      <w:r>
        <w:t> </w:t>
      </w:r>
      <w:r w:rsidRPr="00F34CC7">
        <w:rPr>
          <w:szCs w:val="24"/>
        </w:rPr>
        <w:t xml:space="preserve">2015, page 32 (see </w:t>
      </w:r>
      <w:r w:rsidRPr="00E4625E">
        <w:rPr>
          <w:szCs w:val="24"/>
        </w:rPr>
        <w:t>www.wipo.int/pct/en/official_notices/index.htm</w:t>
      </w:r>
      <w:r w:rsidRPr="00E4625E">
        <w:rPr>
          <w:szCs w:val="24"/>
          <w:lang w:val="en-GB"/>
        </w:rPr>
        <w:t>l</w:t>
      </w:r>
      <w:r w:rsidRPr="00F34CC7">
        <w:rPr>
          <w:szCs w:val="24"/>
          <w:lang w:val="en-GB"/>
        </w:rPr>
        <w:t>)</w:t>
      </w:r>
      <w:r>
        <w:rPr>
          <w:szCs w:val="24"/>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22688" w:rsidP="00477D6B">
    <w:pPr>
      <w:jc w:val="right"/>
    </w:pPr>
    <w:bookmarkStart w:id="7" w:name="Code2"/>
    <w:bookmarkEnd w:id="7"/>
    <w:r>
      <w:t>P</w:t>
    </w:r>
    <w:r w:rsidR="00B35122">
      <w:t>CT/WG/9/</w:t>
    </w:r>
    <w:r w:rsidR="00405208">
      <w:t>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E3835">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47F" w:rsidRPr="005A658D" w:rsidRDefault="000F247F" w:rsidP="00477D6B">
    <w:pPr>
      <w:jc w:val="right"/>
      <w:rPr>
        <w:lang w:val="fr-FR"/>
      </w:rPr>
    </w:pPr>
    <w:r w:rsidRPr="005A658D">
      <w:rPr>
        <w:lang w:val="fr-FR"/>
      </w:rPr>
      <w:t>PCT/WG/9/</w:t>
    </w:r>
    <w:r w:rsidR="00405208">
      <w:rPr>
        <w:lang w:val="fr-FR"/>
      </w:rPr>
      <w:t>10</w:t>
    </w:r>
  </w:p>
  <w:p w:rsidR="000F247F" w:rsidRPr="005A658D" w:rsidRDefault="000F247F" w:rsidP="00477D6B">
    <w:pPr>
      <w:jc w:val="right"/>
      <w:rPr>
        <w:lang w:val="fr-FR"/>
      </w:rPr>
    </w:pPr>
    <w:proofErr w:type="spellStart"/>
    <w:r w:rsidRPr="005A658D">
      <w:rPr>
        <w:lang w:val="fr-FR"/>
      </w:rPr>
      <w:t>Annex</w:t>
    </w:r>
    <w:proofErr w:type="spellEnd"/>
    <w:r w:rsidRPr="005A658D">
      <w:rPr>
        <w:lang w:val="fr-FR"/>
      </w:rPr>
      <w:t xml:space="preserve">, page </w:t>
    </w:r>
    <w:r>
      <w:fldChar w:fldCharType="begin"/>
    </w:r>
    <w:r w:rsidRPr="005A658D">
      <w:rPr>
        <w:lang w:val="fr-FR"/>
      </w:rPr>
      <w:instrText xml:space="preserve"> PAGE  \* MERGEFORMAT </w:instrText>
    </w:r>
    <w:r>
      <w:fldChar w:fldCharType="separate"/>
    </w:r>
    <w:r w:rsidR="00DE3835">
      <w:rPr>
        <w:noProof/>
        <w:lang w:val="fr-FR"/>
      </w:rPr>
      <w:t>2</w:t>
    </w:r>
    <w:r>
      <w:fldChar w:fldCharType="end"/>
    </w:r>
  </w:p>
  <w:p w:rsidR="000F247F" w:rsidRPr="005A658D" w:rsidRDefault="000F247F"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66C63C"/>
    <w:lvl w:ilvl="0">
      <w:start w:val="1"/>
      <w:numFmt w:val="decimal"/>
      <w:lvlText w:val="%1."/>
      <w:lvlJc w:val="left"/>
      <w:pPr>
        <w:tabs>
          <w:tab w:val="num" w:pos="1492"/>
        </w:tabs>
        <w:ind w:left="1492" w:hanging="360"/>
      </w:pPr>
    </w:lvl>
  </w:abstractNum>
  <w:abstractNum w:abstractNumId="1">
    <w:nsid w:val="FFFFFF7D"/>
    <w:multiLevelType w:val="singleLevel"/>
    <w:tmpl w:val="EAEC1A4A"/>
    <w:lvl w:ilvl="0">
      <w:start w:val="1"/>
      <w:numFmt w:val="decimal"/>
      <w:lvlText w:val="%1."/>
      <w:lvlJc w:val="left"/>
      <w:pPr>
        <w:tabs>
          <w:tab w:val="num" w:pos="1209"/>
        </w:tabs>
        <w:ind w:left="1209" w:hanging="360"/>
      </w:pPr>
    </w:lvl>
  </w:abstractNum>
  <w:abstractNum w:abstractNumId="2">
    <w:nsid w:val="FFFFFF7E"/>
    <w:multiLevelType w:val="singleLevel"/>
    <w:tmpl w:val="04AEE558"/>
    <w:lvl w:ilvl="0">
      <w:start w:val="1"/>
      <w:numFmt w:val="decimal"/>
      <w:lvlText w:val="%1."/>
      <w:lvlJc w:val="left"/>
      <w:pPr>
        <w:tabs>
          <w:tab w:val="num" w:pos="926"/>
        </w:tabs>
        <w:ind w:left="926" w:hanging="360"/>
      </w:pPr>
    </w:lvl>
  </w:abstractNum>
  <w:abstractNum w:abstractNumId="3">
    <w:nsid w:val="FFFFFF7F"/>
    <w:multiLevelType w:val="singleLevel"/>
    <w:tmpl w:val="B44A1794"/>
    <w:lvl w:ilvl="0">
      <w:start w:val="1"/>
      <w:numFmt w:val="decimal"/>
      <w:lvlText w:val="%1."/>
      <w:lvlJc w:val="left"/>
      <w:pPr>
        <w:tabs>
          <w:tab w:val="num" w:pos="643"/>
        </w:tabs>
        <w:ind w:left="643" w:hanging="360"/>
      </w:pPr>
    </w:lvl>
  </w:abstractNum>
  <w:abstractNum w:abstractNumId="4">
    <w:nsid w:val="FFFFFF80"/>
    <w:multiLevelType w:val="singleLevel"/>
    <w:tmpl w:val="AD0E6F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D26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3EC1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9405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34621B78"/>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C2552"/>
    <w:multiLevelType w:val="hybridMultilevel"/>
    <w:tmpl w:val="CEFC3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88"/>
    <w:rsid w:val="000371F5"/>
    <w:rsid w:val="00043CAA"/>
    <w:rsid w:val="00053E86"/>
    <w:rsid w:val="000542A9"/>
    <w:rsid w:val="00062F19"/>
    <w:rsid w:val="00070DF2"/>
    <w:rsid w:val="00075432"/>
    <w:rsid w:val="00087629"/>
    <w:rsid w:val="00090501"/>
    <w:rsid w:val="00094611"/>
    <w:rsid w:val="000968ED"/>
    <w:rsid w:val="000F247F"/>
    <w:rsid w:val="000F5E56"/>
    <w:rsid w:val="001362EE"/>
    <w:rsid w:val="0014738A"/>
    <w:rsid w:val="00155669"/>
    <w:rsid w:val="00167C50"/>
    <w:rsid w:val="0017787B"/>
    <w:rsid w:val="001832A6"/>
    <w:rsid w:val="001A0FC0"/>
    <w:rsid w:val="00230557"/>
    <w:rsid w:val="002315C8"/>
    <w:rsid w:val="00246784"/>
    <w:rsid w:val="00260010"/>
    <w:rsid w:val="002634C4"/>
    <w:rsid w:val="00264B41"/>
    <w:rsid w:val="00271E7D"/>
    <w:rsid w:val="00284017"/>
    <w:rsid w:val="002928D3"/>
    <w:rsid w:val="002A2A4E"/>
    <w:rsid w:val="002B0A44"/>
    <w:rsid w:val="002E0423"/>
    <w:rsid w:val="002F1FE6"/>
    <w:rsid w:val="002F4E68"/>
    <w:rsid w:val="00312F7F"/>
    <w:rsid w:val="0033550B"/>
    <w:rsid w:val="00361450"/>
    <w:rsid w:val="0036551E"/>
    <w:rsid w:val="003673CF"/>
    <w:rsid w:val="003845C1"/>
    <w:rsid w:val="003A6F89"/>
    <w:rsid w:val="003B38C1"/>
    <w:rsid w:val="003C60F0"/>
    <w:rsid w:val="003E440E"/>
    <w:rsid w:val="00405208"/>
    <w:rsid w:val="00411525"/>
    <w:rsid w:val="00417DC1"/>
    <w:rsid w:val="00422688"/>
    <w:rsid w:val="00423E3E"/>
    <w:rsid w:val="00426D7F"/>
    <w:rsid w:val="00427AF4"/>
    <w:rsid w:val="00432004"/>
    <w:rsid w:val="00446DA2"/>
    <w:rsid w:val="004647DA"/>
    <w:rsid w:val="00465F27"/>
    <w:rsid w:val="004677ED"/>
    <w:rsid w:val="00474062"/>
    <w:rsid w:val="00477D6B"/>
    <w:rsid w:val="00494134"/>
    <w:rsid w:val="00494AFF"/>
    <w:rsid w:val="004955DF"/>
    <w:rsid w:val="004973EB"/>
    <w:rsid w:val="004D2A80"/>
    <w:rsid w:val="005019FF"/>
    <w:rsid w:val="00513261"/>
    <w:rsid w:val="0053057A"/>
    <w:rsid w:val="0054421E"/>
    <w:rsid w:val="0055145B"/>
    <w:rsid w:val="00560A29"/>
    <w:rsid w:val="005949B1"/>
    <w:rsid w:val="005A658D"/>
    <w:rsid w:val="005B38AD"/>
    <w:rsid w:val="005C6649"/>
    <w:rsid w:val="005C7064"/>
    <w:rsid w:val="00605827"/>
    <w:rsid w:val="00607B40"/>
    <w:rsid w:val="0062585A"/>
    <w:rsid w:val="00636BB3"/>
    <w:rsid w:val="0064460B"/>
    <w:rsid w:val="00646050"/>
    <w:rsid w:val="00660F8A"/>
    <w:rsid w:val="006713CA"/>
    <w:rsid w:val="00676C5C"/>
    <w:rsid w:val="00692822"/>
    <w:rsid w:val="006D4ADD"/>
    <w:rsid w:val="006D4C80"/>
    <w:rsid w:val="00710A29"/>
    <w:rsid w:val="00736422"/>
    <w:rsid w:val="00763EC0"/>
    <w:rsid w:val="007706EE"/>
    <w:rsid w:val="007A45A5"/>
    <w:rsid w:val="007B27A6"/>
    <w:rsid w:val="007C46F6"/>
    <w:rsid w:val="007C685F"/>
    <w:rsid w:val="007D1613"/>
    <w:rsid w:val="008922FD"/>
    <w:rsid w:val="008B2CC1"/>
    <w:rsid w:val="008B36D8"/>
    <w:rsid w:val="008B60B2"/>
    <w:rsid w:val="0090731E"/>
    <w:rsid w:val="00912505"/>
    <w:rsid w:val="00916EE2"/>
    <w:rsid w:val="00936910"/>
    <w:rsid w:val="00966A22"/>
    <w:rsid w:val="0096722F"/>
    <w:rsid w:val="00980843"/>
    <w:rsid w:val="00986A8E"/>
    <w:rsid w:val="009876E7"/>
    <w:rsid w:val="009E2791"/>
    <w:rsid w:val="009E3F6F"/>
    <w:rsid w:val="009E644E"/>
    <w:rsid w:val="009F13BF"/>
    <w:rsid w:val="009F321A"/>
    <w:rsid w:val="009F499F"/>
    <w:rsid w:val="00A027F3"/>
    <w:rsid w:val="00A03B7E"/>
    <w:rsid w:val="00A03D9A"/>
    <w:rsid w:val="00A049DC"/>
    <w:rsid w:val="00A42DAF"/>
    <w:rsid w:val="00A4467A"/>
    <w:rsid w:val="00A45BD8"/>
    <w:rsid w:val="00A61B26"/>
    <w:rsid w:val="00A70FEC"/>
    <w:rsid w:val="00A82CE0"/>
    <w:rsid w:val="00A869B7"/>
    <w:rsid w:val="00A90625"/>
    <w:rsid w:val="00AA0CEF"/>
    <w:rsid w:val="00AC205C"/>
    <w:rsid w:val="00AF083E"/>
    <w:rsid w:val="00AF0A6B"/>
    <w:rsid w:val="00AF3FB2"/>
    <w:rsid w:val="00B025A5"/>
    <w:rsid w:val="00B05A69"/>
    <w:rsid w:val="00B22E52"/>
    <w:rsid w:val="00B35122"/>
    <w:rsid w:val="00B9734B"/>
    <w:rsid w:val="00C11BFE"/>
    <w:rsid w:val="00C14D16"/>
    <w:rsid w:val="00C4769C"/>
    <w:rsid w:val="00C47B14"/>
    <w:rsid w:val="00CD0893"/>
    <w:rsid w:val="00CD4C57"/>
    <w:rsid w:val="00D45252"/>
    <w:rsid w:val="00D50136"/>
    <w:rsid w:val="00D71B4D"/>
    <w:rsid w:val="00D7297D"/>
    <w:rsid w:val="00D93D55"/>
    <w:rsid w:val="00DE3835"/>
    <w:rsid w:val="00DE70B6"/>
    <w:rsid w:val="00E21462"/>
    <w:rsid w:val="00E2560D"/>
    <w:rsid w:val="00E335FE"/>
    <w:rsid w:val="00E83C4A"/>
    <w:rsid w:val="00EB4487"/>
    <w:rsid w:val="00EC4E49"/>
    <w:rsid w:val="00ED77FB"/>
    <w:rsid w:val="00EE3711"/>
    <w:rsid w:val="00EE45FA"/>
    <w:rsid w:val="00F02DA1"/>
    <w:rsid w:val="00F06902"/>
    <w:rsid w:val="00F10338"/>
    <w:rsid w:val="00F34089"/>
    <w:rsid w:val="00F42101"/>
    <w:rsid w:val="00F66152"/>
    <w:rsid w:val="00F7750E"/>
    <w:rsid w:val="00F915DF"/>
    <w:rsid w:val="00FA501A"/>
    <w:rsid w:val="00FC2F52"/>
    <w:rsid w:val="00FF0B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C46F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2A2A4E"/>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22688"/>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22688"/>
    <w:rPr>
      <w:rFonts w:ascii="Tahoma" w:eastAsia="SimSun" w:hAnsi="Tahoma" w:cs="Tahoma"/>
      <w:sz w:val="16"/>
      <w:szCs w:val="16"/>
      <w:lang w:eastAsia="zh-CN"/>
    </w:rPr>
  </w:style>
  <w:style w:type="character" w:styleId="Hyperlink">
    <w:name w:val="Hyperlink"/>
    <w:basedOn w:val="DefaultParagraphFont"/>
    <w:uiPriority w:val="99"/>
    <w:rsid w:val="0054421E"/>
    <w:rPr>
      <w:color w:val="0000FF" w:themeColor="hyperlink"/>
      <w:u w:val="single"/>
    </w:rPr>
  </w:style>
  <w:style w:type="character" w:styleId="FootnoteReference">
    <w:name w:val="footnote reference"/>
    <w:basedOn w:val="DefaultParagraphFont"/>
    <w:rsid w:val="0054421E"/>
    <w:rPr>
      <w:vertAlign w:val="superscript"/>
    </w:rPr>
  </w:style>
  <w:style w:type="character" w:customStyle="1" w:styleId="ONUMEChar">
    <w:name w:val="ONUM E Char"/>
    <w:link w:val="ONUME"/>
    <w:uiPriority w:val="99"/>
    <w:locked/>
    <w:rsid w:val="00230557"/>
    <w:rPr>
      <w:rFonts w:ascii="Arial" w:eastAsia="SimSun" w:hAnsi="Arial" w:cs="Arial"/>
      <w:sz w:val="22"/>
      <w:lang w:eastAsia="zh-CN"/>
    </w:rPr>
  </w:style>
  <w:style w:type="character" w:customStyle="1" w:styleId="FootnoteTextChar">
    <w:name w:val="Footnote Text Char"/>
    <w:basedOn w:val="DefaultParagraphFont"/>
    <w:link w:val="FootnoteText"/>
    <w:semiHidden/>
    <w:rsid w:val="00D7297D"/>
    <w:rPr>
      <w:rFonts w:ascii="Arial" w:eastAsia="SimSun" w:hAnsi="Arial" w:cs="Arial"/>
      <w:sz w:val="18"/>
      <w:lang w:eastAsia="zh-CN"/>
    </w:rPr>
  </w:style>
  <w:style w:type="paragraph" w:customStyle="1" w:styleId="LegTitle">
    <w:name w:val="Leg # Title"/>
    <w:basedOn w:val="LegBasic"/>
    <w:next w:val="Normal"/>
    <w:rsid w:val="00A027F3"/>
    <w:pPr>
      <w:keepNext/>
      <w:keepLines/>
      <w:pageBreakBefore/>
      <w:spacing w:before="240"/>
      <w:jc w:val="center"/>
    </w:pPr>
    <w:rPr>
      <w:b/>
    </w:rPr>
  </w:style>
  <w:style w:type="paragraph" w:customStyle="1" w:styleId="LegSubRule">
    <w:name w:val="Leg SubRule #"/>
    <w:basedOn w:val="LegBasic"/>
    <w:rsid w:val="00C14D16"/>
    <w:pPr>
      <w:keepNext/>
      <w:keepLines/>
      <w:tabs>
        <w:tab w:val="left" w:pos="510"/>
      </w:tabs>
      <w:spacing w:before="119"/>
      <w:ind w:left="533" w:hanging="533"/>
    </w:pPr>
  </w:style>
  <w:style w:type="paragraph" w:customStyle="1" w:styleId="Lega">
    <w:name w:val="Leg (a)"/>
    <w:basedOn w:val="LegBasic"/>
    <w:rsid w:val="00C14D16"/>
    <w:pPr>
      <w:tabs>
        <w:tab w:val="left" w:pos="454"/>
      </w:tabs>
      <w:spacing w:before="119"/>
    </w:pPr>
  </w:style>
  <w:style w:type="paragraph" w:customStyle="1" w:styleId="Legi">
    <w:name w:val="Leg (i)"/>
    <w:basedOn w:val="LegBasic"/>
    <w:rsid w:val="00C14D16"/>
    <w:pPr>
      <w:tabs>
        <w:tab w:val="right" w:pos="1020"/>
        <w:tab w:val="left" w:pos="1191"/>
      </w:tabs>
      <w:spacing w:before="60"/>
    </w:pPr>
  </w:style>
  <w:style w:type="paragraph" w:customStyle="1" w:styleId="LegBasic">
    <w:name w:val="Leg Basic"/>
    <w:rsid w:val="00C14D16"/>
    <w:pPr>
      <w:spacing w:after="480" w:line="480" w:lineRule="auto"/>
    </w:pPr>
    <w:rPr>
      <w:rFonts w:ascii="Arial" w:hAnsi="Arial"/>
      <w:snapToGrid w:val="0"/>
      <w:sz w:val="22"/>
    </w:rPr>
  </w:style>
  <w:style w:type="paragraph" w:customStyle="1" w:styleId="Legacont">
    <w:name w:val="Leg (a) [cont]"/>
    <w:basedOn w:val="Lega"/>
    <w:next w:val="Lega"/>
    <w:rsid w:val="00C14D16"/>
    <w:pPr>
      <w:spacing w:before="60"/>
    </w:pPr>
  </w:style>
  <w:style w:type="character" w:customStyle="1" w:styleId="LegBasicChar">
    <w:name w:val="Leg Basic Char"/>
    <w:rsid w:val="00C14D16"/>
    <w:rPr>
      <w:noProof w:val="0"/>
      <w:snapToGrid w:val="0"/>
      <w:sz w:val="28"/>
      <w:lang w:val="en-US" w:eastAsia="en-US" w:bidi="ar-SA"/>
    </w:rPr>
  </w:style>
  <w:style w:type="character" w:customStyle="1" w:styleId="LegiChar">
    <w:name w:val="Leg (i) Char"/>
    <w:basedOn w:val="LegBasicChar"/>
    <w:rsid w:val="00C14D16"/>
    <w:rPr>
      <w:noProof w:val="0"/>
      <w:snapToGrid w:val="0"/>
      <w:sz w:val="28"/>
      <w:lang w:val="en-US" w:eastAsia="en-US" w:bidi="ar-SA"/>
    </w:rPr>
  </w:style>
  <w:style w:type="paragraph" w:customStyle="1" w:styleId="Legiindent">
    <w:name w:val="Leg (i) indent"/>
    <w:basedOn w:val="Legi"/>
    <w:rsid w:val="00C14D16"/>
    <w:pPr>
      <w:ind w:left="1191" w:hanging="1191"/>
    </w:pPr>
  </w:style>
  <w:style w:type="character" w:customStyle="1" w:styleId="LegiindentChar">
    <w:name w:val="Leg (i) indent Char"/>
    <w:basedOn w:val="LegiChar"/>
    <w:rsid w:val="00C14D16"/>
    <w:rPr>
      <w:noProof w:val="0"/>
      <w:snapToGrid w:val="0"/>
      <w:sz w:val="28"/>
      <w:lang w:val="en-US" w:eastAsia="en-US" w:bidi="ar-SA"/>
    </w:rPr>
  </w:style>
  <w:style w:type="character" w:customStyle="1" w:styleId="LegAddedText">
    <w:name w:val="Leg Added Text"/>
    <w:basedOn w:val="DefaultParagraphFont"/>
    <w:uiPriority w:val="1"/>
    <w:qFormat/>
    <w:rsid w:val="00763EC0"/>
    <w:rPr>
      <w:color w:val="0070C0"/>
      <w:u w:val="single"/>
    </w:rPr>
  </w:style>
  <w:style w:type="character" w:customStyle="1" w:styleId="BodyTextChar">
    <w:name w:val="Body Text Char"/>
    <w:basedOn w:val="DefaultParagraphFont"/>
    <w:link w:val="BodyText"/>
    <w:rsid w:val="00C14D16"/>
    <w:rPr>
      <w:rFonts w:ascii="Arial" w:eastAsia="SimSun" w:hAnsi="Arial" w:cs="Arial"/>
      <w:sz w:val="22"/>
      <w:lang w:eastAsia="zh-CN"/>
    </w:rPr>
  </w:style>
  <w:style w:type="character" w:customStyle="1" w:styleId="CommentTextChar">
    <w:name w:val="Comment Text Char"/>
    <w:basedOn w:val="DefaultParagraphFont"/>
    <w:link w:val="CommentText"/>
    <w:semiHidden/>
    <w:rsid w:val="00C14D16"/>
    <w:rPr>
      <w:rFonts w:ascii="Arial" w:eastAsia="SimSun" w:hAnsi="Arial" w:cs="Arial"/>
      <w:sz w:val="18"/>
      <w:lang w:eastAsia="zh-CN"/>
    </w:rPr>
  </w:style>
  <w:style w:type="character" w:styleId="CommentReference">
    <w:name w:val="annotation reference"/>
    <w:basedOn w:val="DefaultParagraphFont"/>
    <w:rsid w:val="007706EE"/>
    <w:rPr>
      <w:sz w:val="16"/>
      <w:szCs w:val="16"/>
    </w:rPr>
  </w:style>
  <w:style w:type="paragraph" w:styleId="CommentSubject">
    <w:name w:val="annotation subject"/>
    <w:basedOn w:val="CommentText"/>
    <w:next w:val="CommentText"/>
    <w:link w:val="CommentSubjectChar"/>
    <w:rsid w:val="007706EE"/>
    <w:rPr>
      <w:b/>
      <w:bCs/>
      <w:sz w:val="20"/>
    </w:rPr>
  </w:style>
  <w:style w:type="character" w:customStyle="1" w:styleId="CommentSubjectChar">
    <w:name w:val="Comment Subject Char"/>
    <w:basedOn w:val="CommentTextChar"/>
    <w:link w:val="CommentSubject"/>
    <w:rsid w:val="007706EE"/>
    <w:rPr>
      <w:rFonts w:ascii="Arial" w:eastAsia="SimSun" w:hAnsi="Arial" w:cs="Arial"/>
      <w:b/>
      <w:bCs/>
      <w:sz w:val="18"/>
      <w:lang w:eastAsia="zh-CN"/>
    </w:rPr>
  </w:style>
  <w:style w:type="paragraph" w:styleId="Revision">
    <w:name w:val="Revision"/>
    <w:hidden/>
    <w:uiPriority w:val="99"/>
    <w:semiHidden/>
    <w:rsid w:val="00A61B26"/>
    <w:rPr>
      <w:rFonts w:ascii="Arial" w:eastAsia="SimSun" w:hAnsi="Arial" w:cs="Arial"/>
      <w:sz w:val="22"/>
      <w:lang w:eastAsia="zh-CN"/>
    </w:rPr>
  </w:style>
  <w:style w:type="paragraph" w:styleId="TOC1">
    <w:name w:val="toc 1"/>
    <w:basedOn w:val="Normal"/>
    <w:next w:val="Normal"/>
    <w:autoRedefine/>
    <w:uiPriority w:val="39"/>
    <w:rsid w:val="00070DF2"/>
    <w:pPr>
      <w:spacing w:after="100"/>
    </w:pPr>
  </w:style>
  <w:style w:type="paragraph" w:styleId="TOC2">
    <w:name w:val="toc 2"/>
    <w:basedOn w:val="Normal"/>
    <w:next w:val="Normal"/>
    <w:autoRedefine/>
    <w:uiPriority w:val="39"/>
    <w:rsid w:val="00070DF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C46F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2A2A4E"/>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22688"/>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22688"/>
    <w:rPr>
      <w:rFonts w:ascii="Tahoma" w:eastAsia="SimSun" w:hAnsi="Tahoma" w:cs="Tahoma"/>
      <w:sz w:val="16"/>
      <w:szCs w:val="16"/>
      <w:lang w:eastAsia="zh-CN"/>
    </w:rPr>
  </w:style>
  <w:style w:type="character" w:styleId="Hyperlink">
    <w:name w:val="Hyperlink"/>
    <w:basedOn w:val="DefaultParagraphFont"/>
    <w:uiPriority w:val="99"/>
    <w:rsid w:val="0054421E"/>
    <w:rPr>
      <w:color w:val="0000FF" w:themeColor="hyperlink"/>
      <w:u w:val="single"/>
    </w:rPr>
  </w:style>
  <w:style w:type="character" w:styleId="FootnoteReference">
    <w:name w:val="footnote reference"/>
    <w:basedOn w:val="DefaultParagraphFont"/>
    <w:rsid w:val="0054421E"/>
    <w:rPr>
      <w:vertAlign w:val="superscript"/>
    </w:rPr>
  </w:style>
  <w:style w:type="character" w:customStyle="1" w:styleId="ONUMEChar">
    <w:name w:val="ONUM E Char"/>
    <w:link w:val="ONUME"/>
    <w:uiPriority w:val="99"/>
    <w:locked/>
    <w:rsid w:val="00230557"/>
    <w:rPr>
      <w:rFonts w:ascii="Arial" w:eastAsia="SimSun" w:hAnsi="Arial" w:cs="Arial"/>
      <w:sz w:val="22"/>
      <w:lang w:eastAsia="zh-CN"/>
    </w:rPr>
  </w:style>
  <w:style w:type="character" w:customStyle="1" w:styleId="FootnoteTextChar">
    <w:name w:val="Footnote Text Char"/>
    <w:basedOn w:val="DefaultParagraphFont"/>
    <w:link w:val="FootnoteText"/>
    <w:semiHidden/>
    <w:rsid w:val="00D7297D"/>
    <w:rPr>
      <w:rFonts w:ascii="Arial" w:eastAsia="SimSun" w:hAnsi="Arial" w:cs="Arial"/>
      <w:sz w:val="18"/>
      <w:lang w:eastAsia="zh-CN"/>
    </w:rPr>
  </w:style>
  <w:style w:type="paragraph" w:customStyle="1" w:styleId="LegTitle">
    <w:name w:val="Leg # Title"/>
    <w:basedOn w:val="LegBasic"/>
    <w:next w:val="Normal"/>
    <w:rsid w:val="00A027F3"/>
    <w:pPr>
      <w:keepNext/>
      <w:keepLines/>
      <w:pageBreakBefore/>
      <w:spacing w:before="240"/>
      <w:jc w:val="center"/>
    </w:pPr>
    <w:rPr>
      <w:b/>
    </w:rPr>
  </w:style>
  <w:style w:type="paragraph" w:customStyle="1" w:styleId="LegSubRule">
    <w:name w:val="Leg SubRule #"/>
    <w:basedOn w:val="LegBasic"/>
    <w:rsid w:val="00C14D16"/>
    <w:pPr>
      <w:keepNext/>
      <w:keepLines/>
      <w:tabs>
        <w:tab w:val="left" w:pos="510"/>
      </w:tabs>
      <w:spacing w:before="119"/>
      <w:ind w:left="533" w:hanging="533"/>
    </w:pPr>
  </w:style>
  <w:style w:type="paragraph" w:customStyle="1" w:styleId="Lega">
    <w:name w:val="Leg (a)"/>
    <w:basedOn w:val="LegBasic"/>
    <w:rsid w:val="00C14D16"/>
    <w:pPr>
      <w:tabs>
        <w:tab w:val="left" w:pos="454"/>
      </w:tabs>
      <w:spacing w:before="119"/>
    </w:pPr>
  </w:style>
  <w:style w:type="paragraph" w:customStyle="1" w:styleId="Legi">
    <w:name w:val="Leg (i)"/>
    <w:basedOn w:val="LegBasic"/>
    <w:rsid w:val="00C14D16"/>
    <w:pPr>
      <w:tabs>
        <w:tab w:val="right" w:pos="1020"/>
        <w:tab w:val="left" w:pos="1191"/>
      </w:tabs>
      <w:spacing w:before="60"/>
    </w:pPr>
  </w:style>
  <w:style w:type="paragraph" w:customStyle="1" w:styleId="LegBasic">
    <w:name w:val="Leg Basic"/>
    <w:rsid w:val="00C14D16"/>
    <w:pPr>
      <w:spacing w:after="480" w:line="480" w:lineRule="auto"/>
    </w:pPr>
    <w:rPr>
      <w:rFonts w:ascii="Arial" w:hAnsi="Arial"/>
      <w:snapToGrid w:val="0"/>
      <w:sz w:val="22"/>
    </w:rPr>
  </w:style>
  <w:style w:type="paragraph" w:customStyle="1" w:styleId="Legacont">
    <w:name w:val="Leg (a) [cont]"/>
    <w:basedOn w:val="Lega"/>
    <w:next w:val="Lega"/>
    <w:rsid w:val="00C14D16"/>
    <w:pPr>
      <w:spacing w:before="60"/>
    </w:pPr>
  </w:style>
  <w:style w:type="character" w:customStyle="1" w:styleId="LegBasicChar">
    <w:name w:val="Leg Basic Char"/>
    <w:rsid w:val="00C14D16"/>
    <w:rPr>
      <w:noProof w:val="0"/>
      <w:snapToGrid w:val="0"/>
      <w:sz w:val="28"/>
      <w:lang w:val="en-US" w:eastAsia="en-US" w:bidi="ar-SA"/>
    </w:rPr>
  </w:style>
  <w:style w:type="character" w:customStyle="1" w:styleId="LegiChar">
    <w:name w:val="Leg (i) Char"/>
    <w:basedOn w:val="LegBasicChar"/>
    <w:rsid w:val="00C14D16"/>
    <w:rPr>
      <w:noProof w:val="0"/>
      <w:snapToGrid w:val="0"/>
      <w:sz w:val="28"/>
      <w:lang w:val="en-US" w:eastAsia="en-US" w:bidi="ar-SA"/>
    </w:rPr>
  </w:style>
  <w:style w:type="paragraph" w:customStyle="1" w:styleId="Legiindent">
    <w:name w:val="Leg (i) indent"/>
    <w:basedOn w:val="Legi"/>
    <w:rsid w:val="00C14D16"/>
    <w:pPr>
      <w:ind w:left="1191" w:hanging="1191"/>
    </w:pPr>
  </w:style>
  <w:style w:type="character" w:customStyle="1" w:styleId="LegiindentChar">
    <w:name w:val="Leg (i) indent Char"/>
    <w:basedOn w:val="LegiChar"/>
    <w:rsid w:val="00C14D16"/>
    <w:rPr>
      <w:noProof w:val="0"/>
      <w:snapToGrid w:val="0"/>
      <w:sz w:val="28"/>
      <w:lang w:val="en-US" w:eastAsia="en-US" w:bidi="ar-SA"/>
    </w:rPr>
  </w:style>
  <w:style w:type="character" w:customStyle="1" w:styleId="LegAddedText">
    <w:name w:val="Leg Added Text"/>
    <w:basedOn w:val="DefaultParagraphFont"/>
    <w:uiPriority w:val="1"/>
    <w:qFormat/>
    <w:rsid w:val="00763EC0"/>
    <w:rPr>
      <w:color w:val="0070C0"/>
      <w:u w:val="single"/>
    </w:rPr>
  </w:style>
  <w:style w:type="character" w:customStyle="1" w:styleId="BodyTextChar">
    <w:name w:val="Body Text Char"/>
    <w:basedOn w:val="DefaultParagraphFont"/>
    <w:link w:val="BodyText"/>
    <w:rsid w:val="00C14D16"/>
    <w:rPr>
      <w:rFonts w:ascii="Arial" w:eastAsia="SimSun" w:hAnsi="Arial" w:cs="Arial"/>
      <w:sz w:val="22"/>
      <w:lang w:eastAsia="zh-CN"/>
    </w:rPr>
  </w:style>
  <w:style w:type="character" w:customStyle="1" w:styleId="CommentTextChar">
    <w:name w:val="Comment Text Char"/>
    <w:basedOn w:val="DefaultParagraphFont"/>
    <w:link w:val="CommentText"/>
    <w:semiHidden/>
    <w:rsid w:val="00C14D16"/>
    <w:rPr>
      <w:rFonts w:ascii="Arial" w:eastAsia="SimSun" w:hAnsi="Arial" w:cs="Arial"/>
      <w:sz w:val="18"/>
      <w:lang w:eastAsia="zh-CN"/>
    </w:rPr>
  </w:style>
  <w:style w:type="character" w:styleId="CommentReference">
    <w:name w:val="annotation reference"/>
    <w:basedOn w:val="DefaultParagraphFont"/>
    <w:rsid w:val="007706EE"/>
    <w:rPr>
      <w:sz w:val="16"/>
      <w:szCs w:val="16"/>
    </w:rPr>
  </w:style>
  <w:style w:type="paragraph" w:styleId="CommentSubject">
    <w:name w:val="annotation subject"/>
    <w:basedOn w:val="CommentText"/>
    <w:next w:val="CommentText"/>
    <w:link w:val="CommentSubjectChar"/>
    <w:rsid w:val="007706EE"/>
    <w:rPr>
      <w:b/>
      <w:bCs/>
      <w:sz w:val="20"/>
    </w:rPr>
  </w:style>
  <w:style w:type="character" w:customStyle="1" w:styleId="CommentSubjectChar">
    <w:name w:val="Comment Subject Char"/>
    <w:basedOn w:val="CommentTextChar"/>
    <w:link w:val="CommentSubject"/>
    <w:rsid w:val="007706EE"/>
    <w:rPr>
      <w:rFonts w:ascii="Arial" w:eastAsia="SimSun" w:hAnsi="Arial" w:cs="Arial"/>
      <w:b/>
      <w:bCs/>
      <w:sz w:val="18"/>
      <w:lang w:eastAsia="zh-CN"/>
    </w:rPr>
  </w:style>
  <w:style w:type="paragraph" w:styleId="Revision">
    <w:name w:val="Revision"/>
    <w:hidden/>
    <w:uiPriority w:val="99"/>
    <w:semiHidden/>
    <w:rsid w:val="00A61B26"/>
    <w:rPr>
      <w:rFonts w:ascii="Arial" w:eastAsia="SimSun" w:hAnsi="Arial" w:cs="Arial"/>
      <w:sz w:val="22"/>
      <w:lang w:eastAsia="zh-CN"/>
    </w:rPr>
  </w:style>
  <w:style w:type="paragraph" w:styleId="TOC1">
    <w:name w:val="toc 1"/>
    <w:basedOn w:val="Normal"/>
    <w:next w:val="Normal"/>
    <w:autoRedefine/>
    <w:uiPriority w:val="39"/>
    <w:rsid w:val="00070DF2"/>
    <w:pPr>
      <w:spacing w:after="100"/>
    </w:pPr>
  </w:style>
  <w:style w:type="paragraph" w:styleId="TOC2">
    <w:name w:val="toc 2"/>
    <w:basedOn w:val="Normal"/>
    <w:next w:val="Normal"/>
    <w:autoRedefine/>
    <w:uiPriority w:val="39"/>
    <w:rsid w:val="00070DF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14822">
      <w:bodyDiv w:val="1"/>
      <w:marLeft w:val="0"/>
      <w:marRight w:val="0"/>
      <w:marTop w:val="0"/>
      <w:marBottom w:val="0"/>
      <w:divBdr>
        <w:top w:val="none" w:sz="0" w:space="0" w:color="auto"/>
        <w:left w:val="none" w:sz="0" w:space="0" w:color="auto"/>
        <w:bottom w:val="none" w:sz="0" w:space="0" w:color="auto"/>
        <w:right w:val="none" w:sz="0" w:space="0" w:color="auto"/>
      </w:divBdr>
    </w:div>
    <w:div w:id="13401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6%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6B5E-638C-4D39-AB3D-19B0BA1B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6 (E)</Template>
  <TotalTime>32</TotalTime>
  <Pages>6</Pages>
  <Words>1747</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PCT/WG/6</vt:lpstr>
    </vt:vector>
  </TitlesOfParts>
  <Company>WIPO</Company>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PCT/WG/6</dc:title>
  <dc:subject>Fee Reductions for Certain Applicants from Certain Countires, Notably Developing and Least Developed Countries</dc:subject>
  <dc:creator>MARLOW Thomas</dc:creator>
  <cp:lastModifiedBy>MARLOW Thomas</cp:lastModifiedBy>
  <cp:revision>11</cp:revision>
  <cp:lastPrinted>2016-03-15T08:15:00Z</cp:lastPrinted>
  <dcterms:created xsi:type="dcterms:W3CDTF">2016-02-25T10:12:00Z</dcterms:created>
  <dcterms:modified xsi:type="dcterms:W3CDTF">2016-03-21T11:22:00Z</dcterms:modified>
</cp:coreProperties>
</file>