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24263" w:rsidP="00916EE2">
            <w:r>
              <w:rPr>
                <w:noProof/>
                <w:lang w:eastAsia="en-US"/>
              </w:rPr>
              <w:drawing>
                <wp:inline distT="0" distB="0" distL="0" distR="0" wp14:anchorId="53972927" wp14:editId="69128FA9">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A2A01" w:rsidP="00916EE2">
            <w:pPr>
              <w:jc w:val="right"/>
              <w:rPr>
                <w:rFonts w:ascii="Arial Black" w:hAnsi="Arial Black"/>
                <w:caps/>
                <w:sz w:val="15"/>
              </w:rPr>
            </w:pPr>
            <w:r>
              <w:rPr>
                <w:rFonts w:ascii="Arial Black" w:hAnsi="Arial Black"/>
                <w:caps/>
                <w:sz w:val="15"/>
              </w:rPr>
              <w:t>PCT/WG/8/</w:t>
            </w:r>
            <w:bookmarkStart w:id="0" w:name="Code"/>
            <w:bookmarkEnd w:id="0"/>
            <w:r w:rsidR="00A608BD">
              <w:rPr>
                <w:rFonts w:ascii="Arial Black" w:hAnsi="Arial Black"/>
                <w:caps/>
                <w:sz w:val="15"/>
              </w:rPr>
              <w:t>22</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9B6B0E">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562784">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5834CF">
              <w:rPr>
                <w:rFonts w:ascii="Arial Black" w:hAnsi="Arial Black"/>
                <w:caps/>
                <w:sz w:val="15"/>
              </w:rPr>
              <w:t>May 1</w:t>
            </w:r>
            <w:r w:rsidR="009B6B0E">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24263" w:rsidRDefault="003A2A01" w:rsidP="008B2CC1">
      <w:pPr>
        <w:rPr>
          <w:b/>
          <w:sz w:val="28"/>
          <w:szCs w:val="28"/>
        </w:rPr>
      </w:pPr>
      <w:r>
        <w:rPr>
          <w:b/>
          <w:sz w:val="28"/>
          <w:szCs w:val="28"/>
        </w:rPr>
        <w:t xml:space="preserve">Patent Cooperation </w:t>
      </w:r>
      <w:r w:rsidR="00424263">
        <w:rPr>
          <w:b/>
          <w:sz w:val="28"/>
          <w:szCs w:val="28"/>
        </w:rPr>
        <w:t>Treaty (PCT)</w:t>
      </w:r>
    </w:p>
    <w:p w:rsidR="008B2CC1" w:rsidRPr="003845C1" w:rsidRDefault="00424263" w:rsidP="008B2CC1">
      <w:pPr>
        <w:rPr>
          <w:b/>
          <w:sz w:val="28"/>
          <w:szCs w:val="28"/>
        </w:rPr>
      </w:pPr>
      <w:r>
        <w:rPr>
          <w:b/>
          <w:sz w:val="28"/>
          <w:szCs w:val="28"/>
        </w:rPr>
        <w:t>Working Group</w:t>
      </w:r>
    </w:p>
    <w:p w:rsidR="003845C1" w:rsidRDefault="003845C1" w:rsidP="003845C1"/>
    <w:p w:rsidR="003845C1" w:rsidRDefault="003845C1" w:rsidP="003845C1"/>
    <w:p w:rsidR="008B2CC1" w:rsidRPr="003845C1" w:rsidRDefault="00424263" w:rsidP="008B2CC1">
      <w:pPr>
        <w:rPr>
          <w:b/>
          <w:sz w:val="24"/>
          <w:szCs w:val="24"/>
        </w:rPr>
      </w:pPr>
      <w:r>
        <w:rPr>
          <w:b/>
          <w:sz w:val="24"/>
          <w:szCs w:val="24"/>
        </w:rPr>
        <w:t xml:space="preserve">Eighth </w:t>
      </w:r>
      <w:r w:rsidR="003845C1" w:rsidRPr="003845C1">
        <w:rPr>
          <w:b/>
          <w:sz w:val="24"/>
          <w:szCs w:val="24"/>
        </w:rPr>
        <w:t>Session</w:t>
      </w:r>
      <w:bookmarkStart w:id="3" w:name="_GoBack"/>
      <w:bookmarkEnd w:id="3"/>
    </w:p>
    <w:p w:rsidR="008B2CC1" w:rsidRPr="003845C1" w:rsidRDefault="00424263" w:rsidP="008B2CC1">
      <w:pPr>
        <w:rPr>
          <w:b/>
          <w:sz w:val="24"/>
          <w:szCs w:val="24"/>
        </w:rPr>
      </w:pPr>
      <w:r>
        <w:rPr>
          <w:b/>
          <w:sz w:val="24"/>
          <w:szCs w:val="24"/>
        </w:rPr>
        <w:t>Geneva, May 26 to 29,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9B6B0E" w:rsidP="008B2CC1">
      <w:pPr>
        <w:rPr>
          <w:caps/>
          <w:sz w:val="24"/>
        </w:rPr>
      </w:pPr>
      <w:bookmarkStart w:id="4" w:name="TitleOfDoc"/>
      <w:bookmarkEnd w:id="4"/>
      <w:r>
        <w:rPr>
          <w:caps/>
          <w:sz w:val="24"/>
        </w:rPr>
        <w:t>Delays and Force Majeure for Electronic Communications</w:t>
      </w:r>
    </w:p>
    <w:p w:rsidR="008B2CC1" w:rsidRPr="008B2CC1" w:rsidRDefault="008B2CC1" w:rsidP="008B2CC1"/>
    <w:p w:rsidR="008B2CC1" w:rsidRPr="008B2CC1" w:rsidRDefault="009B6B0E"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261EAB" w:rsidRDefault="00261EAB" w:rsidP="00261EAB">
      <w:pPr>
        <w:pStyle w:val="Heading1"/>
      </w:pPr>
      <w:r>
        <w:t>Summary</w:t>
      </w:r>
    </w:p>
    <w:p w:rsidR="00261EAB" w:rsidRDefault="00261EAB" w:rsidP="00261EAB">
      <w:pPr>
        <w:pStyle w:val="ONUME"/>
      </w:pPr>
      <w:r>
        <w:t xml:space="preserve">This document proposes to amend the PCT Regulations </w:t>
      </w:r>
      <w:r w:rsidR="00984D56">
        <w:t>which provide for an Office to excuse</w:t>
      </w:r>
      <w:r>
        <w:t xml:space="preserve"> delay</w:t>
      </w:r>
      <w:r w:rsidR="00984D56">
        <w:t>s</w:t>
      </w:r>
      <w:r>
        <w:t xml:space="preserve"> in meeting time limits in certain situations of </w:t>
      </w:r>
      <w:r w:rsidRPr="00261EAB">
        <w:rPr>
          <w:i/>
        </w:rPr>
        <w:t>force majeure</w:t>
      </w:r>
      <w:r>
        <w:t xml:space="preserve"> to </w:t>
      </w:r>
      <w:r w:rsidR="0082664A">
        <w:t xml:space="preserve">include the general breakdown of electronic communications services in the locality </w:t>
      </w:r>
      <w:r w:rsidR="00984D56">
        <w:t>of the user.</w:t>
      </w:r>
    </w:p>
    <w:p w:rsidR="008744A2" w:rsidRDefault="008744A2" w:rsidP="008744A2">
      <w:pPr>
        <w:pStyle w:val="Heading1"/>
      </w:pPr>
      <w:r w:rsidRPr="008744A2">
        <w:t>Background</w:t>
      </w:r>
    </w:p>
    <w:p w:rsidR="00FB554C" w:rsidRPr="00BA4990" w:rsidRDefault="00FB554C" w:rsidP="00920CAB">
      <w:pPr>
        <w:pStyle w:val="Heading3"/>
      </w:pPr>
      <w:r>
        <w:t>Discussions in the PCT Working Group</w:t>
      </w:r>
    </w:p>
    <w:p w:rsidR="002928D3" w:rsidRDefault="00E95261" w:rsidP="00E95261">
      <w:pPr>
        <w:pStyle w:val="ONUME"/>
      </w:pPr>
      <w:r>
        <w:t xml:space="preserve">At the seventh session of the </w:t>
      </w:r>
      <w:r w:rsidR="00FB554C">
        <w:t xml:space="preserve">PCT </w:t>
      </w:r>
      <w:r>
        <w:t>Working Group, the International Bureau proposed to amend the PCT Regulations dealing with extending time limits or excusing delays in meeting time limits to cover non</w:t>
      </w:r>
      <w:r>
        <w:noBreakHyphen/>
        <w:t>availability of electronic communications services (see document PCT/WG/7/24).  Specifically, the document proposed the following amendments:</w:t>
      </w:r>
    </w:p>
    <w:p w:rsidR="00E95261" w:rsidRDefault="00E95261" w:rsidP="00547AAA">
      <w:pPr>
        <w:pStyle w:val="ONUME"/>
        <w:numPr>
          <w:ilvl w:val="0"/>
          <w:numId w:val="0"/>
        </w:numPr>
        <w:ind w:left="567"/>
      </w:pPr>
      <w:r>
        <w:t>(a)</w:t>
      </w:r>
      <w:r>
        <w:tab/>
        <w:t xml:space="preserve">to extend the time limit to the following day if electronic systems </w:t>
      </w:r>
      <w:r w:rsidR="00547AAA">
        <w:t>of an Office or organization for submitting a document or paying a fee were not available to users for significant period of a day (Rule 80.5);  and</w:t>
      </w:r>
    </w:p>
    <w:p w:rsidR="00547AAA" w:rsidRDefault="00547AAA" w:rsidP="00547AAA">
      <w:pPr>
        <w:pStyle w:val="ONUME"/>
        <w:numPr>
          <w:ilvl w:val="0"/>
          <w:numId w:val="0"/>
        </w:numPr>
        <w:ind w:left="567"/>
      </w:pPr>
      <w:r>
        <w:t>(b)</w:t>
      </w:r>
      <w:r>
        <w:tab/>
      </w:r>
      <w:proofErr w:type="gramStart"/>
      <w:r>
        <w:t>to</w:t>
      </w:r>
      <w:proofErr w:type="gramEnd"/>
      <w:r>
        <w:t xml:space="preserve"> add widespread and unexpected loss of access to electronic communications services as a situation where an interested party could apply to an Office for excuse of delay in meeting a time limit (Rule 82</w:t>
      </w:r>
      <w:r w:rsidRPr="00547AAA">
        <w:rPr>
          <w:i/>
        </w:rPr>
        <w:t>quater</w:t>
      </w:r>
      <w:r>
        <w:t>.1).</w:t>
      </w:r>
    </w:p>
    <w:p w:rsidR="008744A2" w:rsidRDefault="008744A2" w:rsidP="00881462">
      <w:pPr>
        <w:pStyle w:val="ONUME"/>
        <w:keepLines/>
      </w:pPr>
      <w:r>
        <w:lastRenderedPageBreak/>
        <w:t>Discussions of the proposed amendments are summarized in paragraphs 99 to 103 of the Summary by the Chair (document PCT/WG/7/29) and detailed in paragraphs 306 to 319 of the Report (document PCT/WG/7/30).  While all delegations which took the floor agreed that proper protection against failure of electronic communication systems was important, the proposed amendment to Rule 80.5 was considered too prescriptive and it was felt that the matter was better left to the discretion of individual national Offices.  Some delegations supported the proposed amendment to Rule 82</w:t>
      </w:r>
      <w:r w:rsidRPr="008744A2">
        <w:rPr>
          <w:i/>
        </w:rPr>
        <w:t>quater</w:t>
      </w:r>
      <w:r>
        <w:t>, but others felt it lacked clarity, or else did not offer a distinct benefit over the provisions of the exi</w:t>
      </w:r>
      <w:r w:rsidR="00BB16EE">
        <w:t>s</w:t>
      </w:r>
      <w:r>
        <w:t xml:space="preserve">ting Rule.  </w:t>
      </w:r>
    </w:p>
    <w:p w:rsidR="008744A2" w:rsidRDefault="008744A2" w:rsidP="008744A2">
      <w:pPr>
        <w:pStyle w:val="ONUME"/>
      </w:pPr>
      <w:r>
        <w:t>In conclusion, the International Bureau made the following invitation (paragraph 103 of the Summary by the Chair and paragraph 319 of the Report):</w:t>
      </w:r>
    </w:p>
    <w:p w:rsidR="00E95261" w:rsidRDefault="008744A2" w:rsidP="008744A2">
      <w:pPr>
        <w:pStyle w:val="ONUME"/>
        <w:numPr>
          <w:ilvl w:val="0"/>
          <w:numId w:val="0"/>
        </w:numPr>
        <w:ind w:left="567"/>
      </w:pPr>
      <w:r>
        <w:t>“319.</w:t>
      </w:r>
      <w:r>
        <w:tab/>
        <w:t>The International Bureau invited Contracting States to provide information on national laws or processes which offered protection for users against the failure of electronic communication systems, which might provide a basis for more appropriate action to address the issues at hand.”</w:t>
      </w:r>
    </w:p>
    <w:p w:rsidR="00FB554C" w:rsidRDefault="00FB554C" w:rsidP="00920CAB">
      <w:pPr>
        <w:pStyle w:val="Heading3"/>
      </w:pPr>
      <w:r>
        <w:t>Discussions by the Working Group on the Legal Development of the Madrid System for the International Registration of Marks</w:t>
      </w:r>
    </w:p>
    <w:p w:rsidR="009E2DBB" w:rsidRDefault="00D6056A" w:rsidP="008C0AEF">
      <w:pPr>
        <w:pStyle w:val="ONUME"/>
      </w:pPr>
      <w:r>
        <w:t>The Working Group on the Legal Development of the Madrid System for the International Registration of Marks at its twelfth session, held in Geneva from October 20 to 24, 2014, considered a proposal to amend the provisions dealing with failures in postal and delivery services in the Common Regulations under the Madrid Agreement Concerning the International Registration of Marks (“the Common Regulations”) to provide for remedies where the late receipt of communications is the result of failure in electronic service</w:t>
      </w:r>
      <w:r w:rsidR="00D57925">
        <w:t>s</w:t>
      </w:r>
      <w:r>
        <w:t xml:space="preserve"> (see </w:t>
      </w:r>
      <w:r w:rsidR="00D57925">
        <w:t xml:space="preserve">paragraphs 2 to 7 and Annex I of </w:t>
      </w:r>
      <w:r>
        <w:t>document MM/LD/WG/12/2)</w:t>
      </w:r>
      <w:r w:rsidR="009E2DBB">
        <w:t xml:space="preserve">.  Rule 5 of the Common Regulations provides for remedies when time limits for communications sent through a postal or delivery service are not met due to cases of </w:t>
      </w:r>
      <w:r w:rsidR="009E2DBB" w:rsidRPr="00920CAB">
        <w:rPr>
          <w:i/>
        </w:rPr>
        <w:t>force majeure</w:t>
      </w:r>
      <w:r w:rsidR="007B4785">
        <w:t>.  However,</w:t>
      </w:r>
      <w:r w:rsidR="009E2DBB">
        <w:t xml:space="preserve"> this does not contemplate failure to meet time limits when communication is sent through electronic means.  Like the PCT system, more and more communications within the Madrid System are exchanged in electronic form.</w:t>
      </w:r>
    </w:p>
    <w:p w:rsidR="00FB554C" w:rsidRDefault="009E2DBB" w:rsidP="008C0AEF">
      <w:pPr>
        <w:pStyle w:val="ONUME"/>
      </w:pPr>
      <w:r>
        <w:t xml:space="preserve">Following these discussions, the Working Group recommended that the following </w:t>
      </w:r>
      <w:r w:rsidR="00C04DDA">
        <w:t>amendment to Rule 5</w:t>
      </w:r>
      <w:r>
        <w:t xml:space="preserve"> be adopted by the Madrid Union Assembly</w:t>
      </w:r>
      <w:r w:rsidR="00C04DDA">
        <w:t xml:space="preserve"> (see paragraphs 12 and 13 and the Annex of the Summary by the Chair, document MM/LD/WG/12/6)</w:t>
      </w:r>
      <w:r>
        <w:t>:</w:t>
      </w:r>
    </w:p>
    <w:p w:rsidR="009E2DBB" w:rsidRPr="00920CAB" w:rsidRDefault="009E2DBB" w:rsidP="00881462">
      <w:pPr>
        <w:pStyle w:val="Legi"/>
        <w:ind w:left="567"/>
        <w:jc w:val="center"/>
        <w:rPr>
          <w:i/>
        </w:rPr>
      </w:pPr>
      <w:r w:rsidRPr="00920CAB">
        <w:rPr>
          <w:i/>
        </w:rPr>
        <w:t>“Rule 5</w:t>
      </w:r>
    </w:p>
    <w:p w:rsidR="009E2DBB" w:rsidRPr="00920CAB" w:rsidRDefault="009E2DBB" w:rsidP="00881462">
      <w:pPr>
        <w:pStyle w:val="Legi"/>
        <w:ind w:left="567"/>
        <w:jc w:val="center"/>
        <w:rPr>
          <w:i/>
        </w:rPr>
      </w:pPr>
      <w:r w:rsidRPr="00920CAB">
        <w:rPr>
          <w:i/>
        </w:rPr>
        <w:t xml:space="preserve">Irregularities in Postal and Delivery Services </w:t>
      </w:r>
      <w:r w:rsidRPr="00920CAB">
        <w:rPr>
          <w:i/>
        </w:rPr>
        <w:br/>
      </w:r>
      <w:r w:rsidRPr="00920CAB">
        <w:rPr>
          <w:rStyle w:val="InsertedText"/>
          <w:i/>
        </w:rPr>
        <w:t>and in Communications Sent Electronically</w:t>
      </w:r>
    </w:p>
    <w:p w:rsidR="009E2DBB" w:rsidRPr="009B7315" w:rsidRDefault="009E2DBB" w:rsidP="00881462">
      <w:pPr>
        <w:pStyle w:val="ONUME"/>
        <w:numPr>
          <w:ilvl w:val="0"/>
          <w:numId w:val="0"/>
        </w:numPr>
        <w:ind w:left="567"/>
      </w:pPr>
      <w:r w:rsidRPr="009B7315">
        <w:t>[…]  </w:t>
      </w:r>
    </w:p>
    <w:p w:rsidR="009E2DBB" w:rsidRPr="00920CAB" w:rsidRDefault="009E2DBB" w:rsidP="00881462">
      <w:pPr>
        <w:pStyle w:val="ONUME"/>
        <w:numPr>
          <w:ilvl w:val="0"/>
          <w:numId w:val="0"/>
        </w:numPr>
        <w:ind w:left="567"/>
        <w:rPr>
          <w:rStyle w:val="InsertedText"/>
        </w:rPr>
      </w:pPr>
      <w:r w:rsidRPr="00920CAB">
        <w:rPr>
          <w:rStyle w:val="InsertedText"/>
        </w:rPr>
        <w:t>(3)</w:t>
      </w:r>
      <w:r w:rsidRPr="00920CAB">
        <w:rPr>
          <w:rStyle w:val="InsertedText"/>
        </w:rPr>
        <w:tab/>
      </w:r>
      <w:r w:rsidRPr="00920CAB">
        <w:rPr>
          <w:rStyle w:val="InsertedText"/>
          <w:i/>
        </w:rPr>
        <w:t>[Communication Sent Electronically]</w:t>
      </w:r>
      <w:r w:rsidRPr="00920CAB">
        <w:rPr>
          <w:rStyle w:val="InsertedText"/>
        </w:rPr>
        <w:t>  Failure by an interested party to meet a time limit for a communication addressed to the International Bureau and submitted by electronic means shall be excused if the interested party submits evidence showing, to the satisfaction of the International Bureau, that the time limit was not met because of failure in the electronic communication with the International Bureau, or which affects the locality of the interested party owing to extraordinary circumstances beyond the control of the interested party, and that the communication was effected not later than five days after the electronic communication service was resumed.</w:t>
      </w:r>
      <w:r w:rsidR="007B4785" w:rsidRPr="00920CAB">
        <w:rPr>
          <w:rStyle w:val="InsertedText"/>
          <w:color w:val="auto"/>
          <w:u w:val="none"/>
        </w:rPr>
        <w:t>”</w:t>
      </w:r>
      <w:r w:rsidRPr="00920CAB">
        <w:rPr>
          <w:rStyle w:val="InsertedText"/>
        </w:rPr>
        <w:t xml:space="preserve">  </w:t>
      </w:r>
    </w:p>
    <w:p w:rsidR="00B81DD9" w:rsidRDefault="00C40CEE" w:rsidP="008C0AEF">
      <w:pPr>
        <w:pStyle w:val="ONUME"/>
      </w:pPr>
      <w:r>
        <w:t>The time limit for submitting evidence to excuse a delay in meeting a time limit in Rule </w:t>
      </w:r>
      <w:r w:rsidR="00C04DDA">
        <w:t xml:space="preserve">5 </w:t>
      </w:r>
      <w:r>
        <w:t xml:space="preserve">is six months </w:t>
      </w:r>
      <w:r>
        <w:noBreakHyphen/>
        <w:t xml:space="preserve"> the same as PCT Rule 82</w:t>
      </w:r>
      <w:r w:rsidRPr="00BA4990">
        <w:rPr>
          <w:i/>
        </w:rPr>
        <w:t>quater.</w:t>
      </w:r>
    </w:p>
    <w:p w:rsidR="008C0AEF" w:rsidRDefault="008C0AEF" w:rsidP="008C0AEF">
      <w:pPr>
        <w:pStyle w:val="Heading1"/>
      </w:pPr>
      <w:r>
        <w:lastRenderedPageBreak/>
        <w:t>Discussion of Responses to Circular C. PCT 1433</w:t>
      </w:r>
    </w:p>
    <w:p w:rsidR="00FB554C" w:rsidRPr="00BA4990" w:rsidRDefault="00FB554C" w:rsidP="00920CAB">
      <w:pPr>
        <w:pStyle w:val="ONUME"/>
      </w:pPr>
      <w:r>
        <w:t xml:space="preserve">To follow up the invitation at the </w:t>
      </w:r>
      <w:r w:rsidR="007B4785">
        <w:t xml:space="preserve">PCT </w:t>
      </w:r>
      <w:r>
        <w:t>Working Group, the International Bureau issued Circular C. PCT 1433, dated November 27, 2014, to request information from Offices in their practices to protect users against failure of electronic communications.  The International Bureau received 37 responses to this Circular.</w:t>
      </w:r>
    </w:p>
    <w:p w:rsidR="008C0AEF" w:rsidRDefault="008C0AEF" w:rsidP="008C0AEF">
      <w:pPr>
        <w:pStyle w:val="Heading3"/>
      </w:pPr>
      <w:r>
        <w:t xml:space="preserve">Extension of </w:t>
      </w:r>
      <w:r w:rsidR="00BB16EE">
        <w:t xml:space="preserve">a </w:t>
      </w:r>
      <w:r>
        <w:t>Time Limit due to Non-Availability of Electronic Communication Systems at an Office</w:t>
      </w:r>
    </w:p>
    <w:p w:rsidR="00B81DD9" w:rsidRPr="00060195" w:rsidRDefault="00246881" w:rsidP="008744A2">
      <w:pPr>
        <w:pStyle w:val="ONUME"/>
      </w:pPr>
      <w:r>
        <w:t>Only two of</w:t>
      </w:r>
      <w:r w:rsidR="00AE79DB">
        <w:t xml:space="preserve"> the Offices provided examples of provisions that would extend a time period to the following day if the period expired on a day when the Office was not able to receive documents by electronic means.  </w:t>
      </w:r>
      <w:r w:rsidR="00BB16EE">
        <w:t>One of these Offices cited</w:t>
      </w:r>
      <w:r w:rsidR="00FF3446">
        <w:t xml:space="preserve"> a previous incident</w:t>
      </w:r>
      <w:r w:rsidR="00BA7269">
        <w:t xml:space="preserve"> when incoming fax and telephone lines </w:t>
      </w:r>
      <w:r w:rsidR="00060195">
        <w:t>had been</w:t>
      </w:r>
      <w:r w:rsidR="00BA7269">
        <w:t xml:space="preserve"> largely out of order</w:t>
      </w:r>
      <w:r w:rsidR="004477D8">
        <w:t xml:space="preserve"> on a particular day</w:t>
      </w:r>
      <w:r w:rsidR="00BA7269">
        <w:t xml:space="preserve">.  In this case, an official </w:t>
      </w:r>
      <w:r w:rsidR="00BA7269" w:rsidRPr="00060195">
        <w:t xml:space="preserve">notice </w:t>
      </w:r>
      <w:r w:rsidR="00060195">
        <w:t>had been</w:t>
      </w:r>
      <w:r w:rsidR="00060195" w:rsidRPr="00060195">
        <w:t xml:space="preserve"> </w:t>
      </w:r>
      <w:r w:rsidR="00BA7269" w:rsidRPr="00060195">
        <w:t xml:space="preserve">published to indicate this problem and all time limits that expired on that day </w:t>
      </w:r>
      <w:r w:rsidR="00060195">
        <w:t>had been</w:t>
      </w:r>
      <w:r w:rsidR="00BA7269" w:rsidRPr="00060195">
        <w:t xml:space="preserve"> extended to </w:t>
      </w:r>
      <w:r w:rsidR="004B6CA3" w:rsidRPr="00060195">
        <w:t>the following day.</w:t>
      </w:r>
    </w:p>
    <w:p w:rsidR="003C2462" w:rsidRPr="00060195" w:rsidRDefault="00DB4EC4" w:rsidP="003C2462">
      <w:pPr>
        <w:pStyle w:val="ONUME"/>
      </w:pPr>
      <w:r w:rsidRPr="00060195">
        <w:t>S</w:t>
      </w:r>
      <w:r w:rsidR="004477D8" w:rsidRPr="00060195">
        <w:t xml:space="preserve">ome other Offices indicated that they </w:t>
      </w:r>
      <w:r w:rsidR="00726E5C" w:rsidRPr="00060195">
        <w:t>c</w:t>
      </w:r>
      <w:r w:rsidR="004477D8" w:rsidRPr="00060195">
        <w:t xml:space="preserve">ould </w:t>
      </w:r>
      <w:r w:rsidR="00726E5C" w:rsidRPr="00060195">
        <w:t xml:space="preserve">declare themselves as not open for business </w:t>
      </w:r>
      <w:r w:rsidRPr="00060195">
        <w:t xml:space="preserve">on a day </w:t>
      </w:r>
      <w:r w:rsidR="00726E5C" w:rsidRPr="00060195">
        <w:t xml:space="preserve">when there was a significant disruption in the functioning of electronic systems </w:t>
      </w:r>
      <w:r w:rsidRPr="00060195">
        <w:t xml:space="preserve">for </w:t>
      </w:r>
      <w:r w:rsidR="00726E5C" w:rsidRPr="00060195">
        <w:t>receiving docu</w:t>
      </w:r>
      <w:r w:rsidRPr="00060195">
        <w:t>ments</w:t>
      </w:r>
      <w:r w:rsidR="003C2462" w:rsidRPr="00060195">
        <w:t xml:space="preserve"> and extend </w:t>
      </w:r>
      <w:r w:rsidRPr="00060195">
        <w:t>all time periods</w:t>
      </w:r>
      <w:r w:rsidR="003C2462" w:rsidRPr="00060195">
        <w:t xml:space="preserve"> expiring on that day to the next day when the Office was open for business.  This would therefore not require the applicant to request an extension to the time limit or</w:t>
      </w:r>
      <w:r w:rsidR="00B9710D" w:rsidRPr="00060195">
        <w:t xml:space="preserve"> re-establishment of rights, option</w:t>
      </w:r>
      <w:r w:rsidR="00811661" w:rsidRPr="00060195">
        <w:t>s</w:t>
      </w:r>
      <w:r w:rsidR="00B9710D" w:rsidRPr="00060195">
        <w:t xml:space="preserve"> that were more widely</w:t>
      </w:r>
      <w:r w:rsidR="003C2462" w:rsidRPr="00060195">
        <w:t xml:space="preserve"> available </w:t>
      </w:r>
      <w:r w:rsidR="00B9710D" w:rsidRPr="00060195">
        <w:t>to users and determined</w:t>
      </w:r>
      <w:r w:rsidR="003C2462" w:rsidRPr="00060195">
        <w:t xml:space="preserve"> on case</w:t>
      </w:r>
      <w:r w:rsidR="003C2462" w:rsidRPr="00060195">
        <w:noBreakHyphen/>
        <w:t>by</w:t>
      </w:r>
      <w:r w:rsidR="003C2462" w:rsidRPr="00060195">
        <w:noBreakHyphen/>
        <w:t>case basis.</w:t>
      </w:r>
    </w:p>
    <w:p w:rsidR="003C2462" w:rsidRPr="00060195" w:rsidRDefault="003C2462" w:rsidP="003C2462">
      <w:pPr>
        <w:pStyle w:val="ONUME"/>
      </w:pPr>
      <w:r w:rsidRPr="00060195">
        <w:t xml:space="preserve">A few Offices stated that they would not </w:t>
      </w:r>
      <w:r w:rsidR="002D6F91" w:rsidRPr="00060195">
        <w:t>provide an extension of time for applicants affected by non</w:t>
      </w:r>
      <w:r w:rsidR="002D6F91" w:rsidRPr="00060195">
        <w:noBreakHyphen/>
        <w:t>availability of their electronic filing systems.  I</w:t>
      </w:r>
      <w:r w:rsidR="00E74437" w:rsidRPr="00060195">
        <w:t xml:space="preserve">nstead, applicants would be advised of alternative filing methods, such as postal services, hand delivery or facsimile.  </w:t>
      </w:r>
      <w:r w:rsidR="00551B54" w:rsidRPr="00060195">
        <w:t>These Offices pointed out that where an electronic filing system was not available, the Office woul</w:t>
      </w:r>
      <w:r w:rsidR="002C3DFD" w:rsidRPr="00060195">
        <w:t xml:space="preserve">d provide a notice to inform </w:t>
      </w:r>
      <w:r w:rsidR="00551B54" w:rsidRPr="00060195">
        <w:t>users trying to access the system about th</w:t>
      </w:r>
      <w:r w:rsidR="00A07964" w:rsidRPr="00060195">
        <w:t>e lack of availability.  Furthermore</w:t>
      </w:r>
      <w:r w:rsidR="00551B54" w:rsidRPr="00060195">
        <w:t xml:space="preserve">, </w:t>
      </w:r>
      <w:r w:rsidR="00A07964" w:rsidRPr="00060195">
        <w:t xml:space="preserve">as </w:t>
      </w:r>
      <w:r w:rsidR="00551B54" w:rsidRPr="00060195">
        <w:t xml:space="preserve">receipt of electronic submissions </w:t>
      </w:r>
      <w:r w:rsidR="00060195">
        <w:t>was</w:t>
      </w:r>
      <w:r w:rsidR="00551B54" w:rsidRPr="00060195">
        <w:t xml:space="preserve"> </w:t>
      </w:r>
      <w:r w:rsidR="00A07964" w:rsidRPr="00060195">
        <w:t xml:space="preserve">automatically </w:t>
      </w:r>
      <w:r w:rsidR="00551B54" w:rsidRPr="00060195">
        <w:t xml:space="preserve">acknowledged by email, </w:t>
      </w:r>
      <w:r w:rsidR="00A07964" w:rsidRPr="00060195">
        <w:t xml:space="preserve">a user </w:t>
      </w:r>
      <w:r w:rsidR="00551B54" w:rsidRPr="00060195">
        <w:t xml:space="preserve">would </w:t>
      </w:r>
      <w:r w:rsidR="00A07964" w:rsidRPr="00060195">
        <w:t>immediately know if an electronic submission had been successful or not.</w:t>
      </w:r>
    </w:p>
    <w:p w:rsidR="0004577F" w:rsidRPr="00060195" w:rsidRDefault="0063387A" w:rsidP="003C2462">
      <w:pPr>
        <w:pStyle w:val="ONUME"/>
      </w:pPr>
      <w:r w:rsidRPr="00060195">
        <w:t>T</w:t>
      </w:r>
      <w:r w:rsidR="00163316" w:rsidRPr="00060195">
        <w:t>he majority of Offices considered that the PCT Regulations should provide for an extension to time limits when systems could not receive electronic communications</w:t>
      </w:r>
      <w:r w:rsidRPr="00060195">
        <w:t xml:space="preserve">.  Among these Offices, some provided suggestions on the </w:t>
      </w:r>
      <w:r w:rsidR="00B9710D" w:rsidRPr="00060195">
        <w:t xml:space="preserve">minimum </w:t>
      </w:r>
      <w:r w:rsidRPr="00060195">
        <w:t>outage period for an automatic extension of time periods expiring on that day</w:t>
      </w:r>
      <w:r w:rsidR="00BB35BD" w:rsidRPr="00060195">
        <w:t xml:space="preserve">, generally longer than </w:t>
      </w:r>
      <w:r w:rsidR="00DF4B40" w:rsidRPr="00060195">
        <w:t>two hours</w:t>
      </w:r>
      <w:r w:rsidRPr="00060195">
        <w:t>.  However, a</w:t>
      </w:r>
      <w:r w:rsidR="0004577F" w:rsidRPr="00060195">
        <w:t xml:space="preserve"> number of Offices, while in favor of a provision in the Regulations in these situations, believed that any decision to extend all time periods expiring on a given date due to unforeseen unavailability of electronic systems for receiving documents should lie with the Office whose systems had been affected</w:t>
      </w:r>
      <w:r w:rsidR="00B9710D" w:rsidRPr="00060195">
        <w:t>,</w:t>
      </w:r>
      <w:r w:rsidR="0004577F" w:rsidRPr="00060195">
        <w:t xml:space="preserve"> rather than setting a threshold outage time period as had been proposed in document PCT/WG/7/24.</w:t>
      </w:r>
    </w:p>
    <w:p w:rsidR="0004577F" w:rsidRDefault="0004577F" w:rsidP="00A07964">
      <w:pPr>
        <w:pStyle w:val="ONUME"/>
      </w:pPr>
      <w:r w:rsidRPr="00060195">
        <w:t xml:space="preserve">However, a significant minority of Offices </w:t>
      </w:r>
      <w:r w:rsidR="00163316" w:rsidRPr="00060195">
        <w:t xml:space="preserve">did not believe </w:t>
      </w:r>
      <w:r w:rsidR="00811661" w:rsidRPr="00060195">
        <w:t xml:space="preserve">that </w:t>
      </w:r>
      <w:r w:rsidR="00163316" w:rsidRPr="00060195">
        <w:t>a</w:t>
      </w:r>
      <w:r w:rsidR="00FE0E13" w:rsidRPr="00060195">
        <w:t>dding a</w:t>
      </w:r>
      <w:r w:rsidR="00163316" w:rsidRPr="00060195">
        <w:t xml:space="preserve"> provision </w:t>
      </w:r>
      <w:r w:rsidR="00FE0E13" w:rsidRPr="00060195">
        <w:t xml:space="preserve">in the Regulations </w:t>
      </w:r>
      <w:r w:rsidRPr="00060195">
        <w:t>to extend all time limits due non</w:t>
      </w:r>
      <w:r w:rsidRPr="00060195">
        <w:noBreakHyphen/>
        <w:t xml:space="preserve">availability of electronic communication systems </w:t>
      </w:r>
      <w:r w:rsidR="00163316" w:rsidRPr="00060195">
        <w:t xml:space="preserve">was necessary.  </w:t>
      </w:r>
      <w:r w:rsidR="009D412C" w:rsidRPr="00060195">
        <w:t>Some of these Offices preferred providing for</w:t>
      </w:r>
      <w:r w:rsidR="00996C74" w:rsidRPr="00060195">
        <w:t xml:space="preserve"> </w:t>
      </w:r>
      <w:r w:rsidR="009D412C" w:rsidRPr="00060195">
        <w:t xml:space="preserve">extensions or </w:t>
      </w:r>
      <w:r w:rsidR="00996C74" w:rsidRPr="00060195">
        <w:t>re</w:t>
      </w:r>
      <w:r w:rsidR="00996C74" w:rsidRPr="00060195">
        <w:noBreakHyphen/>
        <w:t>establishing</w:t>
      </w:r>
      <w:r w:rsidR="00996C74">
        <w:t xml:space="preserve"> </w:t>
      </w:r>
      <w:r w:rsidR="009D412C">
        <w:t xml:space="preserve">rights in respect of an application </w:t>
      </w:r>
      <w:r w:rsidR="00B9710D">
        <w:t>at the request of</w:t>
      </w:r>
      <w:r w:rsidR="00996C74">
        <w:t xml:space="preserve"> the applicant </w:t>
      </w:r>
      <w:r w:rsidR="00B9710D">
        <w:t xml:space="preserve">and deciding these matters </w:t>
      </w:r>
      <w:r w:rsidR="009D412C">
        <w:t>on a case</w:t>
      </w:r>
      <w:r w:rsidR="009D412C">
        <w:noBreakHyphen/>
        <w:t>by</w:t>
      </w:r>
      <w:r w:rsidR="009D412C">
        <w:noBreakHyphen/>
        <w:t xml:space="preserve">case basis.  On the other hand, a few Offices believed </w:t>
      </w:r>
      <w:r w:rsidR="00B9710D">
        <w:t xml:space="preserve">the </w:t>
      </w:r>
      <w:r w:rsidR="009D412C">
        <w:t xml:space="preserve">existing provisions were adequate since contingency options should be available to applicants having problems filing documents or </w:t>
      </w:r>
      <w:r w:rsidR="00B9710D">
        <w:t>paying fees by electronic means</w:t>
      </w:r>
      <w:r w:rsidR="009D412C">
        <w:t>.</w:t>
      </w:r>
    </w:p>
    <w:p w:rsidR="00BD6D11" w:rsidRDefault="00996C74" w:rsidP="00BD6D11">
      <w:pPr>
        <w:pStyle w:val="ONUME"/>
      </w:pPr>
      <w:bookmarkStart w:id="6" w:name="_Ref416788802"/>
      <w:r>
        <w:t xml:space="preserve">Some Offices also highlighted the existing possibility for Offices to extend all time periods expiring on a date where there was a significant disruption in electronic filing systems by </w:t>
      </w:r>
      <w:r w:rsidRPr="00060195">
        <w:t>declaring themselves as not open to the public for official business under Rule 80.5(i).</w:t>
      </w:r>
      <w:r>
        <w:t xml:space="preserve">  Furthermore, </w:t>
      </w:r>
      <w:r w:rsidR="00BD6D11">
        <w:t>under Article 48(2</w:t>
      </w:r>
      <w:proofErr w:type="gramStart"/>
      <w:r w:rsidR="00BD6D11">
        <w:t>)(</w:t>
      </w:r>
      <w:proofErr w:type="gramEnd"/>
      <w:r w:rsidR="00BD6D11">
        <w:t xml:space="preserve">a), if a Contracting State excused a delay in meeting a time limit under its national law for certain reasons, where the same reasons applied </w:t>
      </w:r>
      <w:r w:rsidR="00B9710D">
        <w:t>for an international patent application</w:t>
      </w:r>
      <w:r w:rsidR="00BD6D11">
        <w:t>, it had to excuse a delay in meeting the time limit under the PCT.</w:t>
      </w:r>
      <w:bookmarkEnd w:id="6"/>
    </w:p>
    <w:p w:rsidR="00A07964" w:rsidRDefault="00A07964" w:rsidP="00BD6D11">
      <w:pPr>
        <w:pStyle w:val="Heading3"/>
      </w:pPr>
      <w:r>
        <w:t>Excuse of Delay in Meeting Time Limits</w:t>
      </w:r>
    </w:p>
    <w:p w:rsidR="00A07964" w:rsidRDefault="00F00916" w:rsidP="003C2462">
      <w:pPr>
        <w:pStyle w:val="ONUME"/>
      </w:pPr>
      <w:r>
        <w:t>Three Offices provided examples of provisions to allow for an extension of a tim</w:t>
      </w:r>
      <w:r w:rsidR="004A7DD7">
        <w:t xml:space="preserve">e period due to loss of access to </w:t>
      </w:r>
      <w:r w:rsidR="004B09F9">
        <w:t>electronic communication</w:t>
      </w:r>
      <w:r w:rsidR="004A7DD7">
        <w:t xml:space="preserve"> services</w:t>
      </w:r>
      <w:r>
        <w:t xml:space="preserve">.  In one of these Offices, when electronic media </w:t>
      </w:r>
      <w:r w:rsidR="00060195">
        <w:t>were</w:t>
      </w:r>
      <w:r>
        <w:t xml:space="preserve"> not available and prevent</w:t>
      </w:r>
      <w:r w:rsidR="00060195">
        <w:t>ed</w:t>
      </w:r>
      <w:r>
        <w:t xml:space="preserve"> an applicant submitting documents, the applicant could submit the material within three days and be considered to meet the time per</w:t>
      </w:r>
      <w:r w:rsidR="00DC2E62">
        <w:t xml:space="preserve">iod, whenever there </w:t>
      </w:r>
      <w:r w:rsidR="00060195">
        <w:t>was</w:t>
      </w:r>
      <w:r w:rsidR="00DC2E62">
        <w:t xml:space="preserve"> a record of the failure of the service.  One o</w:t>
      </w:r>
      <w:r w:rsidR="00785583">
        <w:t xml:space="preserve">f the other Offices allowed a </w:t>
      </w:r>
      <w:r w:rsidR="00FE6CAB">
        <w:t>time period to be extended when</w:t>
      </w:r>
      <w:r w:rsidR="00785583">
        <w:t xml:space="preserve"> the period had no</w:t>
      </w:r>
      <w:r w:rsidR="00FE6CAB">
        <w:t>t been met if</w:t>
      </w:r>
      <w:r w:rsidR="00785583">
        <w:t xml:space="preserve"> this failure could be wholly or mainly attributable to a delay in, or failure of, a communication service, including electronic communications services.  </w:t>
      </w:r>
      <w:r w:rsidR="00886EF0">
        <w:t>However, t</w:t>
      </w:r>
      <w:r w:rsidR="00785583">
        <w:t>hese provisions had primarily been used by applicants to request extensions to time periods due to correspondence being lost in the post</w:t>
      </w:r>
      <w:proofErr w:type="gramStart"/>
      <w:r w:rsidR="00785583">
        <w:t>;  this</w:t>
      </w:r>
      <w:proofErr w:type="gramEnd"/>
      <w:r w:rsidR="00785583">
        <w:t xml:space="preserve"> Office was not aware that the</w:t>
      </w:r>
      <w:r w:rsidR="004B09F9">
        <w:t>y</w:t>
      </w:r>
      <w:r w:rsidR="00785583">
        <w:t xml:space="preserve"> had been used due to a failure in electronic co</w:t>
      </w:r>
      <w:r w:rsidR="004B09F9">
        <w:t xml:space="preserve">mmunications systems.  The third </w:t>
      </w:r>
      <w:r w:rsidR="00886EF0">
        <w:t>Office allowed any party to produce evidence that</w:t>
      </w:r>
      <w:r w:rsidR="00060195">
        <w:t>,</w:t>
      </w:r>
      <w:r w:rsidR="00886EF0">
        <w:t xml:space="preserve"> on any of the 10 days preceding the day of expiry of a time period, the delivery or transmission of mail </w:t>
      </w:r>
      <w:r w:rsidR="00060195">
        <w:t>had been</w:t>
      </w:r>
      <w:r w:rsidR="00886EF0">
        <w:t xml:space="preserve"> dislocated due to an exceptional occurrence, including a general </w:t>
      </w:r>
      <w:r w:rsidR="003B3DAC">
        <w:t>unavailability</w:t>
      </w:r>
      <w:r w:rsidR="00886EF0">
        <w:t xml:space="preserve"> in permitted electronic communications.  If the Office was satisfied with this evidence, a document received late would be deemed to have been received in due time, provided that the mailing of the transmission </w:t>
      </w:r>
      <w:r w:rsidR="00060195">
        <w:t>had been</w:t>
      </w:r>
      <w:r w:rsidR="00886EF0">
        <w:t xml:space="preserve"> effected at the latest on the fifth day after the end of the dislocation.</w:t>
      </w:r>
    </w:p>
    <w:p w:rsidR="000958E4" w:rsidRDefault="004A7DD7" w:rsidP="003C2462">
      <w:pPr>
        <w:pStyle w:val="ONUME"/>
      </w:pPr>
      <w:r>
        <w:t xml:space="preserve">For some Offices not having </w:t>
      </w:r>
      <w:r w:rsidR="007B5E6C">
        <w:t>explicit</w:t>
      </w:r>
      <w:r>
        <w:t xml:space="preserve"> provisions to excuse delays in meeting a time period due to failure of electronic systems, applicants </w:t>
      </w:r>
      <w:r w:rsidR="007B5E6C">
        <w:t xml:space="preserve">had the possibility for a document submitted after the expiry of a time period to be considered as being received within the period.  This could be covered, for example, by general provisions in national patent laws to allow an Office to extend certain time periods </w:t>
      </w:r>
      <w:r w:rsidR="00251A27">
        <w:t>on request from</w:t>
      </w:r>
      <w:r w:rsidR="007B5E6C">
        <w:t xml:space="preserve"> the applicant</w:t>
      </w:r>
      <w:r w:rsidR="00FE6CAB">
        <w:t>,</w:t>
      </w:r>
      <w:r w:rsidR="007B5E6C">
        <w:t xml:space="preserve"> </w:t>
      </w:r>
      <w:r w:rsidR="00251A27">
        <w:t>supported by evidence of the cause of the failure to meet the time period.  Another option available was for the applicant to apply for re</w:t>
      </w:r>
      <w:r w:rsidR="00251A27">
        <w:noBreakHyphen/>
        <w:t xml:space="preserve">establishment of rights.  One Office provided text of its national Civil Procedure Code which allowed a party to provide proof of “reasonable impediment” that could not be attributed to the applicant or their representative that prevented an action to be performed on time.  </w:t>
      </w:r>
    </w:p>
    <w:p w:rsidR="007B5E6C" w:rsidRPr="00060195" w:rsidRDefault="00251A27" w:rsidP="003C2462">
      <w:pPr>
        <w:pStyle w:val="ONUME"/>
      </w:pPr>
      <w:r>
        <w:t>S</w:t>
      </w:r>
      <w:r w:rsidR="000958E4">
        <w:t xml:space="preserve">ome other Offices </w:t>
      </w:r>
      <w:r>
        <w:t>state</w:t>
      </w:r>
      <w:r w:rsidR="000958E4">
        <w:t>d</w:t>
      </w:r>
      <w:r>
        <w:t xml:space="preserve"> that mere unavailability of an electronic communication service would not </w:t>
      </w:r>
      <w:r w:rsidR="000958E4">
        <w:t xml:space="preserve">be considered as an exceptional case of </w:t>
      </w:r>
      <w:r w:rsidR="000958E4" w:rsidRPr="000958E4">
        <w:rPr>
          <w:i/>
        </w:rPr>
        <w:t>force majeure</w:t>
      </w:r>
      <w:r w:rsidR="000958E4">
        <w:t xml:space="preserve"> to excuse a delay in meeting </w:t>
      </w:r>
      <w:r w:rsidR="000958E4" w:rsidRPr="00060195">
        <w:t>a time limit.</w:t>
      </w:r>
    </w:p>
    <w:p w:rsidR="00BD6D11" w:rsidRPr="00060195" w:rsidRDefault="000958E4" w:rsidP="003C2462">
      <w:pPr>
        <w:pStyle w:val="ONUME"/>
      </w:pPr>
      <w:r w:rsidRPr="00060195">
        <w:t>Almost all Offices agreed there was a need for the PCT Regulations to include loss of acc</w:t>
      </w:r>
      <w:r w:rsidR="00C0546F" w:rsidRPr="00060195">
        <w:t>ess to electronic communication services as an event that could be considered as a reason to excuse a delay in meeting a time period.  Some of these Offices supported the addition of text in Rule 82</w:t>
      </w:r>
      <w:r w:rsidR="00C0546F" w:rsidRPr="00060195">
        <w:rPr>
          <w:i/>
        </w:rPr>
        <w:t>quater</w:t>
      </w:r>
      <w:r w:rsidR="000326FB" w:rsidRPr="00060195">
        <w:t>, whether as</w:t>
      </w:r>
      <w:r w:rsidR="00085E4C" w:rsidRPr="00060195">
        <w:t xml:space="preserve"> proposed in document PCT/WG/7/24</w:t>
      </w:r>
      <w:r w:rsidR="000326FB" w:rsidRPr="00060195">
        <w:t xml:space="preserve"> or with alternative wording to clarify the scope.  However, a few Offices believed that</w:t>
      </w:r>
      <w:r w:rsidR="002C3DFD" w:rsidRPr="00060195">
        <w:t>, if added as a reason to excuse a delay in meeting a time limit,</w:t>
      </w:r>
      <w:r w:rsidR="000326FB" w:rsidRPr="00060195">
        <w:t xml:space="preserve"> the loss of electronic communication services should be stipulated in a se</w:t>
      </w:r>
      <w:r w:rsidR="00E04FCB" w:rsidRPr="00060195">
        <w:t>parate provision.  This would distinguish the loss of a service, which may only be known to a given applicant or attorney, from</w:t>
      </w:r>
      <w:r w:rsidR="00182589" w:rsidRPr="00060195">
        <w:t xml:space="preserve"> some of </w:t>
      </w:r>
      <w:r w:rsidR="000326FB" w:rsidRPr="00060195">
        <w:t xml:space="preserve">the </w:t>
      </w:r>
      <w:r w:rsidR="002C3DFD" w:rsidRPr="00060195">
        <w:t xml:space="preserve">more catastrophic </w:t>
      </w:r>
      <w:r w:rsidR="000326FB" w:rsidRPr="00060195">
        <w:t>events listed in Rule 82</w:t>
      </w:r>
      <w:r w:rsidR="000326FB" w:rsidRPr="00060195">
        <w:rPr>
          <w:i/>
        </w:rPr>
        <w:t>quater</w:t>
      </w:r>
      <w:r w:rsidR="00E04FCB" w:rsidRPr="00060195">
        <w:t>,</w:t>
      </w:r>
      <w:r w:rsidR="000326FB" w:rsidRPr="00060195">
        <w:t xml:space="preserve"> </w:t>
      </w:r>
      <w:r w:rsidR="00E04FCB" w:rsidRPr="00060195">
        <w:t xml:space="preserve">which would be </w:t>
      </w:r>
      <w:r w:rsidR="000326FB" w:rsidRPr="00060195">
        <w:t>recogniz</w:t>
      </w:r>
      <w:r w:rsidR="00E04FCB" w:rsidRPr="00060195">
        <w:t xml:space="preserve">ed by the general public.  </w:t>
      </w:r>
    </w:p>
    <w:p w:rsidR="00BD6D11" w:rsidRDefault="00D90680" w:rsidP="00182589">
      <w:pPr>
        <w:pStyle w:val="ONUME"/>
        <w:keepLines/>
      </w:pPr>
      <w:r w:rsidRPr="00060195">
        <w:t>A few Offices did not support the addition of loss of access to electronic communications services as a reason for an Office to excuse a delay in meeting a time limit.  These Offices believed that the current wording of Rule </w:t>
      </w:r>
      <w:proofErr w:type="gramStart"/>
      <w:r w:rsidRPr="00060195">
        <w:t>82</w:t>
      </w:r>
      <w:r w:rsidRPr="00060195">
        <w:rPr>
          <w:i/>
        </w:rPr>
        <w:t>quater</w:t>
      </w:r>
      <w:r w:rsidR="00424EA5" w:rsidRPr="00060195">
        <w:t>.1(</w:t>
      </w:r>
      <w:proofErr w:type="gramEnd"/>
      <w:r w:rsidR="00424EA5" w:rsidRPr="00060195">
        <w:t xml:space="preserve">a) </w:t>
      </w:r>
      <w:r w:rsidR="00FA38A5" w:rsidRPr="00060195">
        <w:noBreakHyphen/>
        <w:t xml:space="preserve"> </w:t>
      </w:r>
      <w:r w:rsidR="00424EA5" w:rsidRPr="00060195">
        <w:t xml:space="preserve">“other </w:t>
      </w:r>
      <w:r w:rsidR="00984D56">
        <w:t xml:space="preserve">like </w:t>
      </w:r>
      <w:r w:rsidR="00424EA5" w:rsidRPr="00060195">
        <w:t>reason in the locality where</w:t>
      </w:r>
      <w:r w:rsidR="00424EA5">
        <w:t xml:space="preserve"> the interested party resides”</w:t>
      </w:r>
      <w:r w:rsidRPr="00424EA5">
        <w:t xml:space="preserve"> </w:t>
      </w:r>
      <w:r w:rsidR="00FA38A5">
        <w:noBreakHyphen/>
        <w:t xml:space="preserve"> </w:t>
      </w:r>
      <w:r>
        <w:t>allowed Offices to excuse a delay in meeting a time limit</w:t>
      </w:r>
      <w:r w:rsidR="00182589">
        <w:t xml:space="preserve"> when electronic communications services were not available.</w:t>
      </w:r>
    </w:p>
    <w:p w:rsidR="00BD6D11" w:rsidRDefault="00BD6D11" w:rsidP="00881462">
      <w:pPr>
        <w:pStyle w:val="Heading1"/>
        <w:keepLines/>
      </w:pPr>
      <w:r>
        <w:t>Proposal</w:t>
      </w:r>
    </w:p>
    <w:p w:rsidR="00BD6D11" w:rsidRDefault="002C3DFD" w:rsidP="00881462">
      <w:pPr>
        <w:pStyle w:val="Heading3"/>
        <w:keepLines/>
        <w:spacing w:before="120"/>
      </w:pPr>
      <w:r>
        <w:t xml:space="preserve">Extension of </w:t>
      </w:r>
      <w:r w:rsidR="00BB16EE">
        <w:t xml:space="preserve">a </w:t>
      </w:r>
      <w:r>
        <w:t>Time Limit due to Non-Availability of Electronic Communication Systems at an Office</w:t>
      </w:r>
    </w:p>
    <w:p w:rsidR="00B04964" w:rsidRDefault="00B04964" w:rsidP="00881462">
      <w:pPr>
        <w:pStyle w:val="ONUME"/>
        <w:keepNext/>
        <w:keepLines/>
      </w:pPr>
      <w:r>
        <w:t>While most Offices responding to Circular C. PCT 1433 agree</w:t>
      </w:r>
      <w:r w:rsidR="00060195">
        <w:t>d</w:t>
      </w:r>
      <w:r>
        <w:t xml:space="preserve"> that it should be possible for an Office to extend all time periods expiring on a day </w:t>
      </w:r>
      <w:r w:rsidR="00A608BD">
        <w:t>in the event of</w:t>
      </w:r>
      <w:r>
        <w:t xml:space="preserve"> a significant outage period in the </w:t>
      </w:r>
      <w:r w:rsidR="00B25EAF">
        <w:t xml:space="preserve">Office’s </w:t>
      </w:r>
      <w:r>
        <w:t>electronic communication system</w:t>
      </w:r>
      <w:r w:rsidR="005B6187">
        <w:t>s</w:t>
      </w:r>
      <w:r>
        <w:t xml:space="preserve"> </w:t>
      </w:r>
      <w:r w:rsidR="005B6187">
        <w:t>for receiving documents</w:t>
      </w:r>
      <w:r>
        <w:t xml:space="preserve">, </w:t>
      </w:r>
      <w:r w:rsidR="00A608BD">
        <w:t>Offices did</w:t>
      </w:r>
      <w:r w:rsidR="005B6187">
        <w:t xml:space="preserve"> not agree on </w:t>
      </w:r>
      <w:r w:rsidR="00B25EAF">
        <w:t xml:space="preserve">providing for </w:t>
      </w:r>
      <w:r w:rsidR="005B6187">
        <w:t xml:space="preserve">an automatic time extension in the PCT Regulations when the length of the outage </w:t>
      </w:r>
      <w:r w:rsidR="00A608BD">
        <w:t>period exceeded</w:t>
      </w:r>
      <w:r w:rsidR="00B25EAF">
        <w:t xml:space="preserve"> a specified threshold at a particular time in the day.  Instead, there was a preference for any decision on whether to extend all time limits expiring on a particular day in relation to international applications to be taken by the Office affected by the problem</w:t>
      </w:r>
      <w:r w:rsidR="0002421A">
        <w:t>.</w:t>
      </w:r>
    </w:p>
    <w:p w:rsidR="00B04964" w:rsidRPr="00887BBF" w:rsidRDefault="0002421A" w:rsidP="00887BBF">
      <w:pPr>
        <w:pStyle w:val="ONUME"/>
      </w:pPr>
      <w:r>
        <w:t>As discussed in paragraph </w:t>
      </w:r>
      <w:r>
        <w:fldChar w:fldCharType="begin"/>
      </w:r>
      <w:r>
        <w:instrText xml:space="preserve"> REF _Ref416788802 \r \h </w:instrText>
      </w:r>
      <w:r>
        <w:fldChar w:fldCharType="separate"/>
      </w:r>
      <w:r w:rsidR="00B14D6A">
        <w:t>14</w:t>
      </w:r>
      <w:r>
        <w:fldChar w:fldCharType="end"/>
      </w:r>
      <w:r>
        <w:t>, above,</w:t>
      </w:r>
      <w:r w:rsidR="00B04964">
        <w:t xml:space="preserve"> </w:t>
      </w:r>
      <w:r>
        <w:t xml:space="preserve">Offices already have the possibility under </w:t>
      </w:r>
      <w:r w:rsidR="00060195">
        <w:t xml:space="preserve">present </w:t>
      </w:r>
      <w:r>
        <w:t xml:space="preserve">Rule 80(5)(i) to declare </w:t>
      </w:r>
      <w:r w:rsidR="00A608BD">
        <w:t>themselves</w:t>
      </w:r>
      <w:r>
        <w:t xml:space="preserve"> as not open for business on a particular day and extend all time periods expiring on this day.  In addition</w:t>
      </w:r>
      <w:r w:rsidR="00060195">
        <w:t>,</w:t>
      </w:r>
      <w:r>
        <w:t xml:space="preserve"> any delays that are excused for national applications must also be excused for </w:t>
      </w:r>
      <w:r w:rsidR="00060195">
        <w:t xml:space="preserve">international </w:t>
      </w:r>
      <w:r>
        <w:t xml:space="preserve">applications </w:t>
      </w:r>
      <w:r w:rsidR="00060195">
        <w:t xml:space="preserve">filed </w:t>
      </w:r>
      <w:r>
        <w:t>under the PCT where the same reasons apply.  In the view of the International Bureau, these provisions appear adequate to allow Offices to extend all time limits expiring on a day when there is a significant disruption to the Office’s electronic communication systems.  There would therefore be no need to amend Rule 80 on the computation of time limits.</w:t>
      </w:r>
      <w:r w:rsidR="00C83CD0">
        <w:t xml:space="preserve">  </w:t>
      </w:r>
    </w:p>
    <w:p w:rsidR="0002421A" w:rsidRDefault="0002421A" w:rsidP="0002421A">
      <w:pPr>
        <w:pStyle w:val="Heading3"/>
      </w:pPr>
      <w:r>
        <w:t>Excuse of Delay in Meeting Time Limits</w:t>
      </w:r>
    </w:p>
    <w:p w:rsidR="00DE2EA3" w:rsidRDefault="00182589" w:rsidP="003C2462">
      <w:pPr>
        <w:pStyle w:val="ONUME"/>
      </w:pPr>
      <w:r>
        <w:t xml:space="preserve">It would appear appropriate that users filing a document electronically </w:t>
      </w:r>
      <w:r w:rsidR="00796FC8">
        <w:t>at an Office have</w:t>
      </w:r>
      <w:r>
        <w:t xml:space="preserve"> some safeguard </w:t>
      </w:r>
      <w:r w:rsidR="00E74EF8">
        <w:t>in the event of significant non</w:t>
      </w:r>
      <w:r w:rsidR="00E74EF8">
        <w:noBreakHyphen/>
        <w:t>availability of electronic communications s</w:t>
      </w:r>
      <w:r w:rsidR="00796FC8">
        <w:t>ervices</w:t>
      </w:r>
      <w:r w:rsidR="00E74EF8">
        <w:t xml:space="preserve">, just as provisions </w:t>
      </w:r>
      <w:r w:rsidR="00A608BD">
        <w:t>exist</w:t>
      </w:r>
      <w:r w:rsidR="00E74EF8">
        <w:t xml:space="preserve"> to take into account irregularities in the mail service.  Although Offices can excuse delays in meeting time limits</w:t>
      </w:r>
      <w:r w:rsidR="00796FC8">
        <w:t xml:space="preserve"> due to</w:t>
      </w:r>
      <w:r w:rsidR="00E74EF8">
        <w:t xml:space="preserve"> </w:t>
      </w:r>
      <w:r w:rsidR="00796FC8">
        <w:t>non</w:t>
      </w:r>
      <w:r w:rsidR="00796FC8">
        <w:noBreakHyphen/>
        <w:t xml:space="preserve">availability of electronic communications services </w:t>
      </w:r>
      <w:r w:rsidR="00E74EF8">
        <w:t xml:space="preserve">by considering such an event </w:t>
      </w:r>
      <w:r w:rsidR="00952458">
        <w:t xml:space="preserve">to be an </w:t>
      </w:r>
      <w:r w:rsidR="00E74EF8">
        <w:t xml:space="preserve">“other like reason in the locality where the interested party resides” </w:t>
      </w:r>
      <w:r w:rsidR="00952458">
        <w:t xml:space="preserve">as set out </w:t>
      </w:r>
      <w:r w:rsidR="00E74EF8">
        <w:t>in Rule 82</w:t>
      </w:r>
      <w:r w:rsidR="00E74EF8" w:rsidRPr="00E74EF8">
        <w:rPr>
          <w:i/>
        </w:rPr>
        <w:t>quater</w:t>
      </w:r>
      <w:r w:rsidR="00E74EF8">
        <w:t xml:space="preserve">, </w:t>
      </w:r>
      <w:r w:rsidR="00DE2EA3">
        <w:t>adding non</w:t>
      </w:r>
      <w:r w:rsidR="00DE2EA3">
        <w:noBreakHyphen/>
        <w:t xml:space="preserve">availability of electronic communications </w:t>
      </w:r>
      <w:r w:rsidR="00796FC8">
        <w:t>services</w:t>
      </w:r>
      <w:r w:rsidR="00DE2EA3">
        <w:t xml:space="preserve"> to this Rule would provide greater consistency between Offices compared to the present situa</w:t>
      </w:r>
      <w:r w:rsidR="00796FC8">
        <w:t>tion</w:t>
      </w:r>
      <w:r w:rsidR="00952458">
        <w:t>,</w:t>
      </w:r>
      <w:r w:rsidR="00796FC8">
        <w:t xml:space="preserve"> which allows for Offices to decide whether or not the</w:t>
      </w:r>
      <w:r w:rsidR="00DE2EA3">
        <w:t xml:space="preserve"> non</w:t>
      </w:r>
      <w:r w:rsidR="00DE2EA3">
        <w:noBreakHyphen/>
        <w:t xml:space="preserve">availability of electronic </w:t>
      </w:r>
      <w:r w:rsidR="00796FC8">
        <w:t>communications services</w:t>
      </w:r>
      <w:r w:rsidR="00DE2EA3">
        <w:t xml:space="preserve"> </w:t>
      </w:r>
      <w:r w:rsidR="00796FC8">
        <w:t>can be considered under this Rule.</w:t>
      </w:r>
    </w:p>
    <w:p w:rsidR="00A35BBC" w:rsidRDefault="00796FC8" w:rsidP="003C2462">
      <w:pPr>
        <w:pStyle w:val="ONUME"/>
      </w:pPr>
      <w:r>
        <w:t>The International Bureau therefore proposes to add the non</w:t>
      </w:r>
      <w:r>
        <w:noBreakHyphen/>
        <w:t>availability of electronic communications services to the reasons stated in Rule </w:t>
      </w:r>
      <w:proofErr w:type="gramStart"/>
      <w:r>
        <w:t>82</w:t>
      </w:r>
      <w:r w:rsidRPr="00796FC8">
        <w:rPr>
          <w:i/>
        </w:rPr>
        <w:t>quater</w:t>
      </w:r>
      <w:r>
        <w:t>.1(</w:t>
      </w:r>
      <w:proofErr w:type="gramEnd"/>
      <w:r>
        <w:t xml:space="preserve">a).  The proposed amendments in the Annex </w:t>
      </w:r>
      <w:r w:rsidR="00952458">
        <w:t xml:space="preserve">differ </w:t>
      </w:r>
      <w:r w:rsidR="00A33212">
        <w:t xml:space="preserve">from </w:t>
      </w:r>
      <w:r w:rsidR="00952458">
        <w:t xml:space="preserve">those set out in </w:t>
      </w:r>
      <w:r w:rsidR="00A33212">
        <w:t xml:space="preserve">document PCT/WG/7/24 to take into account comments </w:t>
      </w:r>
      <w:r w:rsidR="00952458">
        <w:t xml:space="preserve">made </w:t>
      </w:r>
      <w:r w:rsidR="00A33212">
        <w:t>at the seventh session of the Working Group and in response to Circular C. PCT 1433 that the previous reference to “widespread and unexpected loss of access” lacked clarity and may not encompass all major problems with electronic communications services.</w:t>
      </w:r>
    </w:p>
    <w:p w:rsidR="003D2764" w:rsidRDefault="002A248B" w:rsidP="003C2462">
      <w:pPr>
        <w:pStyle w:val="ONUME"/>
      </w:pPr>
      <w:r>
        <w:t>A</w:t>
      </w:r>
      <w:r w:rsidR="005652B5">
        <w:t xml:space="preserve">s stated in paragraph 17 of document PCT/WG/7/24, the intention would be for the provisions to apply to outages </w:t>
      </w:r>
      <w:r w:rsidR="00FF32B0">
        <w:t>affecting a high</w:t>
      </w:r>
      <w:r w:rsidR="005652B5">
        <w:t xml:space="preserve"> number of users, such as </w:t>
      </w:r>
      <w:r w:rsidR="00FF32B0">
        <w:t xml:space="preserve">all users in </w:t>
      </w:r>
      <w:r w:rsidR="005652B5">
        <w:t xml:space="preserve">a </w:t>
      </w:r>
      <w:r w:rsidR="00FF32B0">
        <w:t xml:space="preserve">large area of a city or </w:t>
      </w:r>
      <w:r w:rsidR="005652B5">
        <w:t>country</w:t>
      </w:r>
      <w:r w:rsidR="00FF32B0">
        <w:t xml:space="preserve">, rather than localized problems within a particular building.  </w:t>
      </w:r>
      <w:r w:rsidR="00017FFE">
        <w:t xml:space="preserve">Although a general </w:t>
      </w:r>
      <w:r w:rsidR="003B3DAC">
        <w:t>unavailability</w:t>
      </w:r>
      <w:r w:rsidR="00017FFE">
        <w:t xml:space="preserve"> in electronic communications services may not have the </w:t>
      </w:r>
      <w:r w:rsidR="00CD6061">
        <w:t xml:space="preserve">devastating effects or attract the same level of media coverage as some of the other </w:t>
      </w:r>
      <w:r w:rsidR="00017FFE">
        <w:t>events listed</w:t>
      </w:r>
      <w:r w:rsidR="00CD6061">
        <w:t xml:space="preserve"> in Rule </w:t>
      </w:r>
      <w:proofErr w:type="gramStart"/>
      <w:r w:rsidR="00CD6061">
        <w:t>82</w:t>
      </w:r>
      <w:r w:rsidR="00CD6061" w:rsidRPr="00796FC8">
        <w:rPr>
          <w:i/>
        </w:rPr>
        <w:t>quater</w:t>
      </w:r>
      <w:r w:rsidR="00CD6061">
        <w:t>.1(</w:t>
      </w:r>
      <w:proofErr w:type="gramEnd"/>
      <w:r w:rsidR="00CD6061">
        <w:t xml:space="preserve">a) and </w:t>
      </w:r>
      <w:r w:rsidR="00D612B0">
        <w:t>so be less</w:t>
      </w:r>
      <w:r w:rsidR="00017FFE">
        <w:t xml:space="preserve"> recognized by the general public, the extent of </w:t>
      </w:r>
      <w:r w:rsidR="00D612B0">
        <w:t xml:space="preserve">the problems of </w:t>
      </w:r>
      <w:r w:rsidR="00017FFE">
        <w:t>the non</w:t>
      </w:r>
      <w:r w:rsidR="00017FFE">
        <w:noBreakHyphen/>
        <w:t xml:space="preserve">availability of communications services </w:t>
      </w:r>
      <w:r>
        <w:t xml:space="preserve">in a given locality </w:t>
      </w:r>
      <w:r w:rsidR="00D612B0">
        <w:t xml:space="preserve">on a given day </w:t>
      </w:r>
      <w:r w:rsidR="00017FFE">
        <w:t xml:space="preserve">could be similar.  </w:t>
      </w:r>
      <w:r w:rsidR="00D612B0">
        <w:t xml:space="preserve">For this reason, and </w:t>
      </w:r>
      <w:r w:rsidR="00952458">
        <w:t xml:space="preserve">noting that </w:t>
      </w:r>
      <w:r w:rsidR="00D612B0">
        <w:t xml:space="preserve">the intention </w:t>
      </w:r>
      <w:r w:rsidR="00952458">
        <w:t xml:space="preserve">is </w:t>
      </w:r>
      <w:r w:rsidR="00D612B0">
        <w:t xml:space="preserve">that these provisions should apply to general outages rather than problems unique to a single user, </w:t>
      </w:r>
      <w:r w:rsidR="00952458">
        <w:t xml:space="preserve">it is proposed to retain </w:t>
      </w:r>
      <w:r w:rsidR="00D612B0">
        <w:t>the non</w:t>
      </w:r>
      <w:r w:rsidR="00D612B0">
        <w:noBreakHyphen/>
        <w:t>availability of electronic communication services in Rule </w:t>
      </w:r>
      <w:proofErr w:type="gramStart"/>
      <w:r w:rsidR="00D612B0">
        <w:t>82</w:t>
      </w:r>
      <w:r w:rsidR="00D612B0" w:rsidRPr="00D612B0">
        <w:rPr>
          <w:i/>
        </w:rPr>
        <w:t>quater</w:t>
      </w:r>
      <w:r w:rsidR="00D612B0">
        <w:t>.1(</w:t>
      </w:r>
      <w:proofErr w:type="gramEnd"/>
      <w:r w:rsidR="00D612B0">
        <w:t xml:space="preserve">a) </w:t>
      </w:r>
      <w:r w:rsidR="00952458">
        <w:t xml:space="preserve">as proposed to be amended </w:t>
      </w:r>
      <w:r w:rsidR="00D612B0">
        <w:t>rather than adding a new Rule specifically for electronic communications services.</w:t>
      </w:r>
    </w:p>
    <w:p w:rsidR="00FF4863" w:rsidRDefault="004A401D" w:rsidP="003C2462">
      <w:pPr>
        <w:pStyle w:val="ONUME"/>
      </w:pPr>
      <w:bookmarkStart w:id="7" w:name="_Ref417556264"/>
      <w:r>
        <w:t>If the Working Group agrees to submit the proposed amendment to Rule </w:t>
      </w:r>
      <w:proofErr w:type="gramStart"/>
      <w:r>
        <w:t>82</w:t>
      </w:r>
      <w:r w:rsidRPr="00D612B0">
        <w:rPr>
          <w:i/>
        </w:rPr>
        <w:t>quater</w:t>
      </w:r>
      <w:r>
        <w:t>.1(</w:t>
      </w:r>
      <w:proofErr w:type="gramEnd"/>
      <w:r>
        <w:t xml:space="preserve">a) </w:t>
      </w:r>
      <w:r w:rsidR="00FF4863">
        <w:t>for adoption by</w:t>
      </w:r>
      <w:r>
        <w:t xml:space="preserve"> the Assembly</w:t>
      </w:r>
      <w:r w:rsidR="002D4DD9">
        <w:t xml:space="preserve">, it could be useful for the Assembly </w:t>
      </w:r>
      <w:r w:rsidR="00FF4863">
        <w:t>to</w:t>
      </w:r>
      <w:r w:rsidR="002D4DD9">
        <w:t xml:space="preserve"> adopt </w:t>
      </w:r>
      <w:r w:rsidR="00FF4863">
        <w:t xml:space="preserve">a statement </w:t>
      </w:r>
      <w:r w:rsidR="002D4DD9">
        <w:t xml:space="preserve">on how the provision should be </w:t>
      </w:r>
      <w:r w:rsidR="00FF4863">
        <w:t xml:space="preserve">interpreted.  This would provide </w:t>
      </w:r>
      <w:r w:rsidR="002D4DD9">
        <w:t>guidance to Offices and enable the provision to be applied in a consistent manner</w:t>
      </w:r>
      <w:r w:rsidR="00FF4863">
        <w:t xml:space="preserve">, and </w:t>
      </w:r>
      <w:r w:rsidR="00026C9C">
        <w:t xml:space="preserve">could be reflected </w:t>
      </w:r>
      <w:r w:rsidR="00FF4863">
        <w:t xml:space="preserve">in the Receiving Office </w:t>
      </w:r>
      <w:r w:rsidR="00551229">
        <w:t xml:space="preserve">Guidelines </w:t>
      </w:r>
      <w:r w:rsidR="00FF4863">
        <w:t>and International Search and Preliminary Examination Guidelines</w:t>
      </w:r>
      <w:r w:rsidR="002D4DD9">
        <w:t>.  To t</w:t>
      </w:r>
      <w:r w:rsidR="00FF4863">
        <w:t xml:space="preserve">his effect, </w:t>
      </w:r>
      <w:r w:rsidR="00551229">
        <w:t xml:space="preserve">the </w:t>
      </w:r>
      <w:r w:rsidR="00FF4863">
        <w:t xml:space="preserve">Working Group </w:t>
      </w:r>
      <w:r w:rsidR="00551229">
        <w:t>could propose</w:t>
      </w:r>
      <w:r w:rsidR="00FF4863">
        <w:t xml:space="preserve"> that the Assembly adopts the following Understanding at the same time as the proposed amendment to Rule 82</w:t>
      </w:r>
      <w:r w:rsidR="00FF4863" w:rsidRPr="00D612B0">
        <w:rPr>
          <w:i/>
        </w:rPr>
        <w:t>quater</w:t>
      </w:r>
      <w:r w:rsidR="00FF4863">
        <w:t>.1(a):</w:t>
      </w:r>
      <w:bookmarkEnd w:id="7"/>
      <w:r w:rsidR="00FF4863">
        <w:t xml:space="preserve"> </w:t>
      </w:r>
      <w:r w:rsidR="002D4DD9">
        <w:t xml:space="preserve"> </w:t>
      </w:r>
    </w:p>
    <w:p w:rsidR="00FF4863" w:rsidRPr="00920CAB" w:rsidRDefault="00FF4863" w:rsidP="00881462">
      <w:pPr>
        <w:pStyle w:val="ONUME"/>
        <w:keepNext/>
        <w:keepLines/>
        <w:numPr>
          <w:ilvl w:val="0"/>
          <w:numId w:val="0"/>
        </w:numPr>
        <w:ind w:left="567"/>
        <w:rPr>
          <w:u w:val="single"/>
        </w:rPr>
      </w:pPr>
      <w:r w:rsidRPr="00920CAB">
        <w:rPr>
          <w:u w:val="single"/>
        </w:rPr>
        <w:t>“Application of Rule 82</w:t>
      </w:r>
      <w:r w:rsidRPr="00920CAB">
        <w:rPr>
          <w:i/>
          <w:u w:val="single"/>
        </w:rPr>
        <w:t>quater</w:t>
      </w:r>
      <w:r w:rsidR="00EF5D06">
        <w:rPr>
          <w:u w:val="single"/>
        </w:rPr>
        <w:t>.1</w:t>
      </w:r>
      <w:r w:rsidR="00551229" w:rsidRPr="00920CAB">
        <w:rPr>
          <w:u w:val="single"/>
        </w:rPr>
        <w:t xml:space="preserve"> with regard </w:t>
      </w:r>
      <w:r w:rsidR="00551229">
        <w:rPr>
          <w:u w:val="single"/>
        </w:rPr>
        <w:t xml:space="preserve">to </w:t>
      </w:r>
      <w:r w:rsidR="007F54EE">
        <w:rPr>
          <w:u w:val="single"/>
        </w:rPr>
        <w:t xml:space="preserve">a </w:t>
      </w:r>
      <w:r w:rsidR="00551229">
        <w:rPr>
          <w:u w:val="single"/>
        </w:rPr>
        <w:t xml:space="preserve">General </w:t>
      </w:r>
      <w:r w:rsidR="00551229" w:rsidRPr="00920CAB">
        <w:rPr>
          <w:u w:val="single"/>
        </w:rPr>
        <w:t>Unavailability of Electronic Communications Services”:</w:t>
      </w:r>
    </w:p>
    <w:p w:rsidR="00FF32B0" w:rsidRDefault="00551229" w:rsidP="00881462">
      <w:pPr>
        <w:pStyle w:val="ONUME"/>
        <w:numPr>
          <w:ilvl w:val="0"/>
          <w:numId w:val="0"/>
        </w:numPr>
        <w:ind w:left="567"/>
      </w:pPr>
      <w:r>
        <w:t>“</w:t>
      </w:r>
      <w:r w:rsidR="00E10D28">
        <w:t>In considering a request under</w:t>
      </w:r>
      <w:r w:rsidR="00EF5D06">
        <w:t xml:space="preserve"> </w:t>
      </w:r>
      <w:r w:rsidR="00E10D28" w:rsidRPr="00F07F96">
        <w:t>Rule 82</w:t>
      </w:r>
      <w:r w:rsidR="00E10D28" w:rsidRPr="00F07F96">
        <w:rPr>
          <w:i/>
        </w:rPr>
        <w:t>quater</w:t>
      </w:r>
      <w:r w:rsidR="00E10D28" w:rsidRPr="00F07F96">
        <w:t>.1</w:t>
      </w:r>
      <w:r w:rsidR="00E10D28">
        <w:t xml:space="preserve"> </w:t>
      </w:r>
      <w:r w:rsidR="00EF5D06">
        <w:t xml:space="preserve">to excuse a delay in meeting a time limit that has not been met due to </w:t>
      </w:r>
      <w:r w:rsidR="007F54EE">
        <w:t>a</w:t>
      </w:r>
      <w:r w:rsidR="00EF5D06">
        <w:t xml:space="preserve"> general unavailability of electronic communication services, </w:t>
      </w:r>
      <w:r w:rsidR="00E10D28">
        <w:t xml:space="preserve">the Office, Authority or the International Bureau, should interpret general unavailability of electronic communications </w:t>
      </w:r>
      <w:r w:rsidR="007F54EE">
        <w:t>to apply</w:t>
      </w:r>
      <w:r w:rsidR="00E10D28">
        <w:t xml:space="preserve"> to outages that a</w:t>
      </w:r>
      <w:r w:rsidR="007F54EE">
        <w:t>ffect widespread</w:t>
      </w:r>
      <w:r w:rsidR="00E10D28">
        <w:t xml:space="preserve"> geographical areas or many indivi</w:t>
      </w:r>
      <w:r w:rsidR="007F54EE">
        <w:t>duals, as distinct from localized problems associated with a particular building or single user</w:t>
      </w:r>
      <w:r w:rsidR="00FF32B0">
        <w:t>.</w:t>
      </w:r>
      <w:r w:rsidR="007F54EE">
        <w:t>”</w:t>
      </w:r>
    </w:p>
    <w:p w:rsidR="00FF32B0" w:rsidRDefault="00FF32B0" w:rsidP="002A248B">
      <w:pPr>
        <w:pStyle w:val="ONUME"/>
        <w:keepLines/>
        <w:ind w:left="5533"/>
        <w:rPr>
          <w:i/>
        </w:rPr>
      </w:pPr>
      <w:r w:rsidRPr="00FF32B0">
        <w:rPr>
          <w:i/>
        </w:rPr>
        <w:t>The Working Group is invited to consider the proposed amendment to the Regulations set out in the Annex to this document</w:t>
      </w:r>
      <w:r w:rsidR="007F54EE">
        <w:rPr>
          <w:i/>
        </w:rPr>
        <w:t xml:space="preserve"> and the Understanding on the application of the amendment proposed in paragraph </w:t>
      </w:r>
      <w:r w:rsidR="007F54EE">
        <w:rPr>
          <w:i/>
        </w:rPr>
        <w:fldChar w:fldCharType="begin"/>
      </w:r>
      <w:r w:rsidR="007F54EE">
        <w:rPr>
          <w:i/>
        </w:rPr>
        <w:instrText xml:space="preserve"> REF _Ref417556264 \r \h </w:instrText>
      </w:r>
      <w:r w:rsidR="007F54EE">
        <w:rPr>
          <w:i/>
        </w:rPr>
      </w:r>
      <w:r w:rsidR="007F54EE">
        <w:rPr>
          <w:i/>
        </w:rPr>
        <w:fldChar w:fldCharType="separate"/>
      </w:r>
      <w:r w:rsidR="00B14D6A">
        <w:rPr>
          <w:i/>
        </w:rPr>
        <w:t>25</w:t>
      </w:r>
      <w:r w:rsidR="007F54EE">
        <w:rPr>
          <w:i/>
        </w:rPr>
        <w:fldChar w:fldCharType="end"/>
      </w:r>
      <w:r w:rsidR="007F54EE">
        <w:rPr>
          <w:i/>
        </w:rPr>
        <w:t>, above</w:t>
      </w:r>
      <w:r w:rsidRPr="00FF32B0">
        <w:rPr>
          <w:i/>
        </w:rPr>
        <w:t xml:space="preserve">. </w:t>
      </w:r>
    </w:p>
    <w:p w:rsidR="00FF32B0" w:rsidRPr="00FF32B0" w:rsidRDefault="00FF32B0" w:rsidP="00FF32B0">
      <w:pPr>
        <w:pStyle w:val="ONUME"/>
        <w:numPr>
          <w:ilvl w:val="0"/>
          <w:numId w:val="0"/>
        </w:numPr>
        <w:ind w:left="5533"/>
        <w:rPr>
          <w:i/>
        </w:rPr>
      </w:pPr>
    </w:p>
    <w:p w:rsidR="00DF4B40" w:rsidRDefault="00FF32B0" w:rsidP="00FF32B0">
      <w:pPr>
        <w:pStyle w:val="Endofdocument-Annex"/>
        <w:sectPr w:rsidR="00DF4B40" w:rsidSect="009B6B0E">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rsidR="00DF4B40" w:rsidRDefault="00DF4B40" w:rsidP="00DF4B40">
      <w:pPr>
        <w:jc w:val="center"/>
      </w:pPr>
      <w:r>
        <w:t>PROPOSED AMENDMENTS TO THE PCT REGULATIONS</w:t>
      </w:r>
      <w:r>
        <w:rPr>
          <w:rStyle w:val="FootnoteReference"/>
        </w:rPr>
        <w:footnoteReference w:id="2"/>
      </w:r>
    </w:p>
    <w:p w:rsidR="00DF4B40" w:rsidRDefault="00DF4B40" w:rsidP="00DF4B40">
      <w:pPr>
        <w:jc w:val="center"/>
      </w:pPr>
    </w:p>
    <w:p w:rsidR="00DF4B40" w:rsidRDefault="00DF4B40" w:rsidP="00DF4B40">
      <w:pPr>
        <w:jc w:val="center"/>
      </w:pPr>
    </w:p>
    <w:p w:rsidR="00DF4B40" w:rsidRDefault="00DF4B40" w:rsidP="00DF4B40">
      <w:pPr>
        <w:jc w:val="center"/>
      </w:pPr>
      <w:r>
        <w:t>TABLE OF CONTENTS</w:t>
      </w:r>
    </w:p>
    <w:p w:rsidR="00DF4B40" w:rsidRDefault="00DF4B40" w:rsidP="00DF4B40">
      <w:pPr>
        <w:pStyle w:val="ONUME"/>
        <w:numPr>
          <w:ilvl w:val="0"/>
          <w:numId w:val="0"/>
        </w:numPr>
      </w:pPr>
    </w:p>
    <w:p w:rsidR="00A35BBC" w:rsidRDefault="00A35BBC" w:rsidP="00A35BBC">
      <w:pPr>
        <w:pStyle w:val="TOC2"/>
        <w:tabs>
          <w:tab w:val="right" w:leader="dot" w:pos="9345"/>
        </w:tabs>
        <w:rPr>
          <w:rFonts w:asciiTheme="minorHAnsi" w:eastAsiaTheme="minorEastAsia" w:hAnsiTheme="minorHAnsi" w:cstheme="minorBidi"/>
          <w:noProof/>
          <w:szCs w:val="22"/>
          <w:lang w:eastAsia="en-US"/>
        </w:rPr>
      </w:pPr>
    </w:p>
    <w:p w:rsidR="00A35BBC" w:rsidRPr="005E343B" w:rsidRDefault="00B14D6A" w:rsidP="00A35BBC">
      <w:pPr>
        <w:pStyle w:val="TOC1"/>
        <w:tabs>
          <w:tab w:val="right" w:leader="dot" w:pos="9345"/>
        </w:tabs>
        <w:rPr>
          <w:rFonts w:asciiTheme="minorHAnsi" w:eastAsiaTheme="minorEastAsia" w:hAnsiTheme="minorHAnsi" w:cstheme="minorBidi"/>
          <w:noProof/>
          <w:szCs w:val="22"/>
          <w:lang w:eastAsia="en-US"/>
        </w:rPr>
      </w:pPr>
      <w:hyperlink w:anchor="_Toc386803513" w:history="1">
        <w:r w:rsidR="00A35BBC" w:rsidRPr="005E343B">
          <w:rPr>
            <w:rStyle w:val="Hyperlink"/>
            <w:noProof/>
            <w:color w:val="auto"/>
            <w:u w:val="none"/>
          </w:rPr>
          <w:t>Rule 82</w:t>
        </w:r>
        <w:r w:rsidR="00A35BBC" w:rsidRPr="005E343B">
          <w:rPr>
            <w:rStyle w:val="Hyperlink"/>
            <w:i/>
            <w:noProof/>
            <w:color w:val="auto"/>
            <w:u w:val="none"/>
          </w:rPr>
          <w:t xml:space="preserve">quater  </w:t>
        </w:r>
        <w:r w:rsidR="00A35BBC" w:rsidRPr="005E343B">
          <w:rPr>
            <w:rStyle w:val="Hyperlink"/>
            <w:noProof/>
            <w:color w:val="auto"/>
            <w:u w:val="none"/>
          </w:rPr>
          <w:t xml:space="preserve"> Excuse of Delay in Meeting Time Limits</w:t>
        </w:r>
        <w:r w:rsidR="00A35BBC" w:rsidRPr="005E343B">
          <w:rPr>
            <w:noProof/>
            <w:webHidden/>
          </w:rPr>
          <w:tab/>
        </w:r>
        <w:r w:rsidR="00A35BBC" w:rsidRPr="005E343B">
          <w:rPr>
            <w:noProof/>
            <w:webHidden/>
          </w:rPr>
          <w:fldChar w:fldCharType="begin"/>
        </w:r>
        <w:r w:rsidR="00A35BBC" w:rsidRPr="005E343B">
          <w:rPr>
            <w:noProof/>
            <w:webHidden/>
          </w:rPr>
          <w:instrText xml:space="preserve"> PAGEREF _Toc386803513 \h </w:instrText>
        </w:r>
        <w:r w:rsidR="00A35BBC" w:rsidRPr="005E343B">
          <w:rPr>
            <w:noProof/>
            <w:webHidden/>
          </w:rPr>
        </w:r>
        <w:r w:rsidR="00A35BBC" w:rsidRPr="005E343B">
          <w:rPr>
            <w:noProof/>
            <w:webHidden/>
          </w:rPr>
          <w:fldChar w:fldCharType="separate"/>
        </w:r>
        <w:r>
          <w:rPr>
            <w:noProof/>
            <w:webHidden/>
          </w:rPr>
          <w:t>2</w:t>
        </w:r>
        <w:r w:rsidR="00A35BBC" w:rsidRPr="005E343B">
          <w:rPr>
            <w:noProof/>
            <w:webHidden/>
          </w:rPr>
          <w:fldChar w:fldCharType="end"/>
        </w:r>
      </w:hyperlink>
    </w:p>
    <w:p w:rsidR="00A35BBC" w:rsidRDefault="00B14D6A" w:rsidP="00A35BBC">
      <w:pPr>
        <w:pStyle w:val="TOC2"/>
        <w:tabs>
          <w:tab w:val="right" w:leader="dot" w:pos="9345"/>
        </w:tabs>
        <w:rPr>
          <w:rFonts w:asciiTheme="minorHAnsi" w:eastAsiaTheme="minorEastAsia" w:hAnsiTheme="minorHAnsi" w:cstheme="minorBidi"/>
          <w:noProof/>
          <w:szCs w:val="22"/>
          <w:lang w:eastAsia="en-US"/>
        </w:rPr>
      </w:pPr>
      <w:hyperlink w:anchor="_Toc386803514" w:history="1">
        <w:r w:rsidR="00A35BBC" w:rsidRPr="005E343B">
          <w:rPr>
            <w:rStyle w:val="Hyperlink"/>
            <w:noProof/>
            <w:color w:val="auto"/>
            <w:u w:val="none"/>
          </w:rPr>
          <w:t>82</w:t>
        </w:r>
        <w:r w:rsidR="00A35BBC" w:rsidRPr="005E343B">
          <w:rPr>
            <w:rStyle w:val="Hyperlink"/>
            <w:i/>
            <w:noProof/>
            <w:color w:val="auto"/>
            <w:u w:val="none"/>
          </w:rPr>
          <w:t>quater</w:t>
        </w:r>
        <w:r w:rsidR="00A35BBC" w:rsidRPr="005E343B">
          <w:rPr>
            <w:rStyle w:val="Hyperlink"/>
            <w:noProof/>
            <w:color w:val="auto"/>
            <w:u w:val="none"/>
          </w:rPr>
          <w:t>.1   </w:t>
        </w:r>
        <w:r w:rsidR="00A35BBC" w:rsidRPr="005E343B">
          <w:rPr>
            <w:rStyle w:val="Hyperlink"/>
            <w:i/>
            <w:noProof/>
            <w:color w:val="auto"/>
            <w:u w:val="none"/>
          </w:rPr>
          <w:t>Excuse of Delay in Meeting Time Limits</w:t>
        </w:r>
        <w:r w:rsidR="00A35BBC" w:rsidRPr="005E343B">
          <w:rPr>
            <w:noProof/>
            <w:webHidden/>
          </w:rPr>
          <w:tab/>
        </w:r>
        <w:r w:rsidR="00A35BBC" w:rsidRPr="005E343B">
          <w:rPr>
            <w:noProof/>
            <w:webHidden/>
          </w:rPr>
          <w:fldChar w:fldCharType="begin"/>
        </w:r>
        <w:r w:rsidR="00A35BBC" w:rsidRPr="005E343B">
          <w:rPr>
            <w:noProof/>
            <w:webHidden/>
          </w:rPr>
          <w:instrText xml:space="preserve"> PAGEREF _Toc386803514 \h </w:instrText>
        </w:r>
        <w:r w:rsidR="00A35BBC" w:rsidRPr="005E343B">
          <w:rPr>
            <w:noProof/>
            <w:webHidden/>
          </w:rPr>
        </w:r>
        <w:r w:rsidR="00A35BBC" w:rsidRPr="005E343B">
          <w:rPr>
            <w:noProof/>
            <w:webHidden/>
          </w:rPr>
          <w:fldChar w:fldCharType="separate"/>
        </w:r>
        <w:r>
          <w:rPr>
            <w:noProof/>
            <w:webHidden/>
          </w:rPr>
          <w:t>2</w:t>
        </w:r>
        <w:r w:rsidR="00A35BBC" w:rsidRPr="005E343B">
          <w:rPr>
            <w:noProof/>
            <w:webHidden/>
          </w:rPr>
          <w:fldChar w:fldCharType="end"/>
        </w:r>
      </w:hyperlink>
    </w:p>
    <w:p w:rsidR="00DF4B40" w:rsidRDefault="00DF4B40" w:rsidP="00DF4B40">
      <w:pPr>
        <w:pStyle w:val="LegRule"/>
      </w:pPr>
      <w:bookmarkStart w:id="9" w:name="_Toc386803513"/>
      <w:r>
        <w:t xml:space="preserve">Rule </w:t>
      </w:r>
      <w:proofErr w:type="gramStart"/>
      <w:r>
        <w:t>82</w:t>
      </w:r>
      <w:r w:rsidRPr="00BF5744">
        <w:rPr>
          <w:i/>
        </w:rPr>
        <w:t>qua</w:t>
      </w:r>
      <w:r>
        <w:rPr>
          <w:i/>
        </w:rPr>
        <w:t xml:space="preserve">ter  </w:t>
      </w:r>
      <w:proofErr w:type="gramEnd"/>
      <w:r>
        <w:br/>
        <w:t>Excuse of Delay in Meeting Time Limits</w:t>
      </w:r>
      <w:bookmarkEnd w:id="9"/>
    </w:p>
    <w:p w:rsidR="00DF4B40" w:rsidRDefault="00DF4B40" w:rsidP="00DF4B40">
      <w:pPr>
        <w:pStyle w:val="LegSubRule"/>
      </w:pPr>
      <w:bookmarkStart w:id="10" w:name="_Toc386803514"/>
      <w:r>
        <w:t>82</w:t>
      </w:r>
      <w:r w:rsidRPr="00023AD2">
        <w:rPr>
          <w:i/>
        </w:rPr>
        <w:t>quater</w:t>
      </w:r>
      <w:r>
        <w:t>.1   </w:t>
      </w:r>
      <w:r w:rsidRPr="00E078AA">
        <w:rPr>
          <w:i/>
        </w:rPr>
        <w:t>Excuse of Delay in Meeting Time Limits</w:t>
      </w:r>
      <w:bookmarkEnd w:id="10"/>
    </w:p>
    <w:p w:rsidR="00DF4B40" w:rsidRDefault="00DF4B40" w:rsidP="00DF4B40">
      <w:pPr>
        <w:pStyle w:val="Lega"/>
      </w:pPr>
      <w:r>
        <w:tab/>
        <w:t>(a)  </w:t>
      </w:r>
      <w:r w:rsidRPr="001E3565">
        <w:t>Any interested party may offer evidence that a time limit fixed in the Regulations for performing an action before the receiving Office, the International Searching Authority, the Authority specified for supplementary search, the International Preliminary Examining Authority or the International Bureau was not met due to war, revolution, civil disorder, strike, natural calamity</w:t>
      </w:r>
      <w:r w:rsidRPr="00BF1B50">
        <w:rPr>
          <w:rStyle w:val="InsertedText"/>
        </w:rPr>
        <w:t xml:space="preserve">, </w:t>
      </w:r>
      <w:r w:rsidR="00B21F63">
        <w:rPr>
          <w:rStyle w:val="InsertedText"/>
        </w:rPr>
        <w:t xml:space="preserve">a general </w:t>
      </w:r>
      <w:r w:rsidR="003D2764">
        <w:rPr>
          <w:rStyle w:val="InsertedText"/>
        </w:rPr>
        <w:t xml:space="preserve">unavailability </w:t>
      </w:r>
      <w:r w:rsidR="00EF5D06">
        <w:rPr>
          <w:rStyle w:val="InsertedText"/>
        </w:rPr>
        <w:t>of</w:t>
      </w:r>
      <w:r w:rsidR="00EF5D06" w:rsidRPr="00BF1B50">
        <w:rPr>
          <w:rStyle w:val="InsertedText"/>
        </w:rPr>
        <w:t xml:space="preserve"> </w:t>
      </w:r>
      <w:r w:rsidRPr="00BF1B50">
        <w:rPr>
          <w:rStyle w:val="InsertedText"/>
        </w:rPr>
        <w:t>electronic communications services</w:t>
      </w:r>
      <w:r w:rsidRPr="001E3565">
        <w:t xml:space="preserve"> or other like reason in the locality where the interested party resides, has his place of business or is staying, and that the relevant action was taken as soon as reasonably possible.</w:t>
      </w:r>
    </w:p>
    <w:p w:rsidR="00DF4B40" w:rsidRDefault="00DF4B40" w:rsidP="00DF4B40">
      <w:pPr>
        <w:pStyle w:val="Lega"/>
      </w:pPr>
      <w:r>
        <w:tab/>
        <w:t xml:space="preserve">(b)  [No change]  </w:t>
      </w:r>
      <w:r w:rsidRPr="003A6367">
        <w:t>Any such evidence shall be addressed to the Office, Authority or the International Bureau, as the case may be, not later than six months after the expiration of the time limit applicable in the given case.  If such circumstances are proven to the satisfaction of the addressee, delay in meeting the time limit shall be excused.</w:t>
      </w:r>
    </w:p>
    <w:p w:rsidR="00DF4B40" w:rsidRDefault="00DF4B40" w:rsidP="00DF4B40">
      <w:pPr>
        <w:pStyle w:val="Lega"/>
      </w:pPr>
      <w:r>
        <w:tab/>
        <w:t xml:space="preserve">(c)  [No change]  </w:t>
      </w:r>
      <w:r w:rsidRPr="001E3565">
        <w:t>The excuse of a delay need not be taken into account by any designated or elected Office before which the applicant, at the time the decision to excuse the delay is taken, has already performed the acts referred to in Article 22 or Article 39.</w:t>
      </w:r>
    </w:p>
    <w:p w:rsidR="00DF4B40" w:rsidRDefault="00DF4B40" w:rsidP="00DF4B40">
      <w:pPr>
        <w:pStyle w:val="Lega"/>
      </w:pPr>
    </w:p>
    <w:p w:rsidR="00DF4B40" w:rsidRDefault="00DF4B40" w:rsidP="00DF4B40">
      <w:pPr>
        <w:pStyle w:val="Endofdocument-Annex"/>
      </w:pPr>
      <w:r>
        <w:t>[End of Annex and of document]</w:t>
      </w:r>
    </w:p>
    <w:p w:rsidR="00DF4B40" w:rsidRDefault="00DF4B40" w:rsidP="00DF4B40">
      <w:pPr>
        <w:pStyle w:val="ONUME"/>
        <w:numPr>
          <w:ilvl w:val="0"/>
          <w:numId w:val="0"/>
        </w:numPr>
      </w:pPr>
    </w:p>
    <w:sectPr w:rsidR="00DF4B40" w:rsidSect="00DF4B40">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B0E" w:rsidRDefault="009B6B0E">
      <w:r>
        <w:separator/>
      </w:r>
    </w:p>
  </w:endnote>
  <w:endnote w:type="continuationSeparator" w:id="0">
    <w:p w:rsidR="009B6B0E" w:rsidRDefault="009B6B0E" w:rsidP="003B38C1">
      <w:r>
        <w:separator/>
      </w:r>
    </w:p>
    <w:p w:rsidR="009B6B0E" w:rsidRPr="003B38C1" w:rsidRDefault="009B6B0E" w:rsidP="003B38C1">
      <w:pPr>
        <w:spacing w:after="60"/>
        <w:rPr>
          <w:sz w:val="17"/>
        </w:rPr>
      </w:pPr>
      <w:r>
        <w:rPr>
          <w:sz w:val="17"/>
        </w:rPr>
        <w:t>[Endnote continued from previous page]</w:t>
      </w:r>
    </w:p>
  </w:endnote>
  <w:endnote w:type="continuationNotice" w:id="1">
    <w:p w:rsidR="009B6B0E" w:rsidRPr="003B38C1" w:rsidRDefault="009B6B0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B0E" w:rsidRDefault="009B6B0E">
      <w:r>
        <w:separator/>
      </w:r>
    </w:p>
  </w:footnote>
  <w:footnote w:type="continuationSeparator" w:id="0">
    <w:p w:rsidR="009B6B0E" w:rsidRDefault="009B6B0E" w:rsidP="008B60B2">
      <w:r>
        <w:separator/>
      </w:r>
    </w:p>
    <w:p w:rsidR="009B6B0E" w:rsidRPr="00ED77FB" w:rsidRDefault="009B6B0E" w:rsidP="008B60B2">
      <w:pPr>
        <w:spacing w:after="60"/>
        <w:rPr>
          <w:sz w:val="17"/>
          <w:szCs w:val="17"/>
        </w:rPr>
      </w:pPr>
      <w:r w:rsidRPr="00ED77FB">
        <w:rPr>
          <w:sz w:val="17"/>
          <w:szCs w:val="17"/>
        </w:rPr>
        <w:t>[Footnote continued from previous page]</w:t>
      </w:r>
    </w:p>
  </w:footnote>
  <w:footnote w:type="continuationNotice" w:id="1">
    <w:p w:rsidR="009B6B0E" w:rsidRPr="00ED77FB" w:rsidRDefault="009B6B0E" w:rsidP="008B60B2">
      <w:pPr>
        <w:spacing w:before="60"/>
        <w:jc w:val="right"/>
        <w:rPr>
          <w:sz w:val="17"/>
          <w:szCs w:val="17"/>
        </w:rPr>
      </w:pPr>
      <w:r w:rsidRPr="00ED77FB">
        <w:rPr>
          <w:sz w:val="17"/>
          <w:szCs w:val="17"/>
        </w:rPr>
        <w:t>[Footnote continued on next page]</w:t>
      </w:r>
    </w:p>
  </w:footnote>
  <w:footnote w:id="2">
    <w:p w:rsidR="00DF4B40" w:rsidRDefault="00DF4B40" w:rsidP="00DF4B40">
      <w:pPr>
        <w:pStyle w:val="FootnoteText"/>
        <w:tabs>
          <w:tab w:val="left" w:pos="567"/>
        </w:tabs>
      </w:pPr>
      <w:r>
        <w:rPr>
          <w:rStyle w:val="FootnoteReference"/>
        </w:rPr>
        <w:footnoteRef/>
      </w:r>
      <w:r>
        <w:t xml:space="preserve"> </w:t>
      </w:r>
      <w:r>
        <w:tab/>
        <w:t>Proposed additions and deletions are indicated, respectively, by underlining and striking through the text concerned.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85691" w:rsidP="00477D6B">
    <w:pPr>
      <w:jc w:val="right"/>
    </w:pPr>
    <w:bookmarkStart w:id="8" w:name="Code2"/>
    <w:bookmarkEnd w:id="8"/>
    <w:r>
      <w:t>PCT/WG/8/</w:t>
    </w:r>
    <w:r w:rsidR="00A608BD">
      <w:t>22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B14D6A">
      <w:rPr>
        <w:noProof/>
      </w:rPr>
      <w:t>6</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B40" w:rsidRPr="00DF4B40" w:rsidRDefault="00DF4B40" w:rsidP="00477D6B">
    <w:pPr>
      <w:jc w:val="right"/>
      <w:rPr>
        <w:lang w:val="fr-FR"/>
      </w:rPr>
    </w:pPr>
    <w:r w:rsidRPr="00DF4B40">
      <w:rPr>
        <w:lang w:val="fr-FR"/>
      </w:rPr>
      <w:t>PCT/WG/8/</w:t>
    </w:r>
    <w:r w:rsidR="00A608BD">
      <w:rPr>
        <w:lang w:val="fr-FR"/>
      </w:rPr>
      <w:t>22</w:t>
    </w:r>
  </w:p>
  <w:p w:rsidR="00DF4B40" w:rsidRPr="00DF4B40" w:rsidRDefault="0002421A" w:rsidP="00477D6B">
    <w:pPr>
      <w:jc w:val="right"/>
      <w:rPr>
        <w:lang w:val="fr-FR"/>
      </w:rPr>
    </w:pPr>
    <w:proofErr w:type="spellStart"/>
    <w:r>
      <w:rPr>
        <w:lang w:val="fr-FR"/>
      </w:rPr>
      <w:t>Annex</w:t>
    </w:r>
    <w:proofErr w:type="spellEnd"/>
    <w:r w:rsidR="00DF4B40" w:rsidRPr="00DF4B40">
      <w:rPr>
        <w:lang w:val="fr-FR"/>
      </w:rPr>
      <w:t>,</w:t>
    </w:r>
    <w:r>
      <w:rPr>
        <w:lang w:val="fr-FR"/>
      </w:rPr>
      <w:t xml:space="preserve"> </w:t>
    </w:r>
    <w:r w:rsidR="00DF4B40" w:rsidRPr="00DF4B40">
      <w:rPr>
        <w:lang w:val="fr-FR"/>
      </w:rPr>
      <w:t xml:space="preserve">page </w:t>
    </w:r>
    <w:r w:rsidR="00DF4B40">
      <w:fldChar w:fldCharType="begin"/>
    </w:r>
    <w:r w:rsidR="00DF4B40" w:rsidRPr="00DF4B40">
      <w:rPr>
        <w:lang w:val="fr-FR"/>
      </w:rPr>
      <w:instrText xml:space="preserve"> PAGE  \* MERGEFORMAT </w:instrText>
    </w:r>
    <w:r w:rsidR="00DF4B40">
      <w:fldChar w:fldCharType="separate"/>
    </w:r>
    <w:r w:rsidR="00B14D6A">
      <w:rPr>
        <w:noProof/>
        <w:lang w:val="fr-FR"/>
      </w:rPr>
      <w:t>2</w:t>
    </w:r>
    <w:r w:rsidR="00DF4B40">
      <w:fldChar w:fldCharType="end"/>
    </w:r>
  </w:p>
  <w:p w:rsidR="00DF4B40" w:rsidRPr="00DF4B40" w:rsidRDefault="00DF4B40"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B40" w:rsidRPr="00DF4B40" w:rsidRDefault="00DF4B40" w:rsidP="00DF4B40">
    <w:pPr>
      <w:jc w:val="right"/>
      <w:rPr>
        <w:lang w:val="fr-FR"/>
      </w:rPr>
    </w:pPr>
    <w:r w:rsidRPr="00DF4B40">
      <w:rPr>
        <w:lang w:val="fr-FR"/>
      </w:rPr>
      <w:t>PCT/WG/8/</w:t>
    </w:r>
    <w:r w:rsidR="00A608BD">
      <w:rPr>
        <w:lang w:val="fr-FR"/>
      </w:rPr>
      <w:t>22</w:t>
    </w:r>
  </w:p>
  <w:p w:rsidR="00DF4B40" w:rsidRPr="00DF4B40" w:rsidRDefault="00DF4B40" w:rsidP="00DF4B40">
    <w:pPr>
      <w:jc w:val="right"/>
      <w:rPr>
        <w:lang w:val="fr-FR"/>
      </w:rPr>
    </w:pPr>
    <w:r>
      <w:rPr>
        <w:lang w:val="fr-FR"/>
      </w:rPr>
      <w:t>ANNEX</w:t>
    </w:r>
  </w:p>
  <w:p w:rsidR="00DF4B40" w:rsidRPr="00DF4B40" w:rsidRDefault="00DF4B40">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B0E"/>
    <w:rsid w:val="000124F1"/>
    <w:rsid w:val="00017FFE"/>
    <w:rsid w:val="0002421A"/>
    <w:rsid w:val="00026C9C"/>
    <w:rsid w:val="000326FB"/>
    <w:rsid w:val="00043CAA"/>
    <w:rsid w:val="0004577F"/>
    <w:rsid w:val="00057ACF"/>
    <w:rsid w:val="00060195"/>
    <w:rsid w:val="00075432"/>
    <w:rsid w:val="00085E4C"/>
    <w:rsid w:val="000958E4"/>
    <w:rsid w:val="000968ED"/>
    <w:rsid w:val="000F5E56"/>
    <w:rsid w:val="001362EE"/>
    <w:rsid w:val="00163316"/>
    <w:rsid w:val="00182589"/>
    <w:rsid w:val="001832A6"/>
    <w:rsid w:val="0020191C"/>
    <w:rsid w:val="00246881"/>
    <w:rsid w:val="00251A27"/>
    <w:rsid w:val="00261EAB"/>
    <w:rsid w:val="002634C4"/>
    <w:rsid w:val="002928D3"/>
    <w:rsid w:val="002A248B"/>
    <w:rsid w:val="002C3DFD"/>
    <w:rsid w:val="002D4DD9"/>
    <w:rsid w:val="002D6F91"/>
    <w:rsid w:val="002F1FE6"/>
    <w:rsid w:val="002F4E68"/>
    <w:rsid w:val="00312F7F"/>
    <w:rsid w:val="00321BCF"/>
    <w:rsid w:val="00361450"/>
    <w:rsid w:val="003673CF"/>
    <w:rsid w:val="003845C1"/>
    <w:rsid w:val="00396A3F"/>
    <w:rsid w:val="003A2A01"/>
    <w:rsid w:val="003A455F"/>
    <w:rsid w:val="003A6EAC"/>
    <w:rsid w:val="003A6F89"/>
    <w:rsid w:val="003B38C1"/>
    <w:rsid w:val="003B3DAC"/>
    <w:rsid w:val="003C2462"/>
    <w:rsid w:val="003D2764"/>
    <w:rsid w:val="00413610"/>
    <w:rsid w:val="00423E3E"/>
    <w:rsid w:val="00424263"/>
    <w:rsid w:val="00424EA5"/>
    <w:rsid w:val="00427AF4"/>
    <w:rsid w:val="004477D8"/>
    <w:rsid w:val="004647DA"/>
    <w:rsid w:val="00474062"/>
    <w:rsid w:val="00477D6B"/>
    <w:rsid w:val="004A401D"/>
    <w:rsid w:val="004A7DD7"/>
    <w:rsid w:val="004B09F9"/>
    <w:rsid w:val="004B6CA3"/>
    <w:rsid w:val="004D596B"/>
    <w:rsid w:val="004D5F72"/>
    <w:rsid w:val="005019FF"/>
    <w:rsid w:val="00505C8C"/>
    <w:rsid w:val="0053057A"/>
    <w:rsid w:val="00547AAA"/>
    <w:rsid w:val="00551229"/>
    <w:rsid w:val="00551B54"/>
    <w:rsid w:val="00553FF8"/>
    <w:rsid w:val="00560A29"/>
    <w:rsid w:val="00562784"/>
    <w:rsid w:val="005652B5"/>
    <w:rsid w:val="005834CF"/>
    <w:rsid w:val="005A5377"/>
    <w:rsid w:val="005B6187"/>
    <w:rsid w:val="005C6649"/>
    <w:rsid w:val="005E343B"/>
    <w:rsid w:val="00605827"/>
    <w:rsid w:val="00631A23"/>
    <w:rsid w:val="0063387A"/>
    <w:rsid w:val="00646050"/>
    <w:rsid w:val="006713CA"/>
    <w:rsid w:val="00676C5C"/>
    <w:rsid w:val="00726E5C"/>
    <w:rsid w:val="00785583"/>
    <w:rsid w:val="00796FC8"/>
    <w:rsid w:val="007B4785"/>
    <w:rsid w:val="007B5E6C"/>
    <w:rsid w:val="007D1613"/>
    <w:rsid w:val="007F54EE"/>
    <w:rsid w:val="00811661"/>
    <w:rsid w:val="0082664A"/>
    <w:rsid w:val="008744A2"/>
    <w:rsid w:val="00881462"/>
    <w:rsid w:val="00886EF0"/>
    <w:rsid w:val="00887BBF"/>
    <w:rsid w:val="008B2CC1"/>
    <w:rsid w:val="008B60B2"/>
    <w:rsid w:val="008B67A9"/>
    <w:rsid w:val="008C0AEF"/>
    <w:rsid w:val="0090731E"/>
    <w:rsid w:val="00916EE2"/>
    <w:rsid w:val="00920CAB"/>
    <w:rsid w:val="00935D17"/>
    <w:rsid w:val="00952458"/>
    <w:rsid w:val="00966A22"/>
    <w:rsid w:val="0096722F"/>
    <w:rsid w:val="00980843"/>
    <w:rsid w:val="00984D56"/>
    <w:rsid w:val="00996C74"/>
    <w:rsid w:val="009A3F6B"/>
    <w:rsid w:val="009B6B0E"/>
    <w:rsid w:val="009D412C"/>
    <w:rsid w:val="009E2791"/>
    <w:rsid w:val="009E2DBB"/>
    <w:rsid w:val="009E3F6F"/>
    <w:rsid w:val="009F499F"/>
    <w:rsid w:val="00A07964"/>
    <w:rsid w:val="00A33212"/>
    <w:rsid w:val="00A35BBC"/>
    <w:rsid w:val="00A42DAF"/>
    <w:rsid w:val="00A45BD8"/>
    <w:rsid w:val="00A608BD"/>
    <w:rsid w:val="00A869B7"/>
    <w:rsid w:val="00AC205C"/>
    <w:rsid w:val="00AE79DB"/>
    <w:rsid w:val="00AF0A6B"/>
    <w:rsid w:val="00AF4552"/>
    <w:rsid w:val="00B04964"/>
    <w:rsid w:val="00B05A69"/>
    <w:rsid w:val="00B14D6A"/>
    <w:rsid w:val="00B21F63"/>
    <w:rsid w:val="00B25EAF"/>
    <w:rsid w:val="00B81DD9"/>
    <w:rsid w:val="00B9710D"/>
    <w:rsid w:val="00B9734B"/>
    <w:rsid w:val="00BA4990"/>
    <w:rsid w:val="00BA7269"/>
    <w:rsid w:val="00BB16EE"/>
    <w:rsid w:val="00BB35BD"/>
    <w:rsid w:val="00BC5D78"/>
    <w:rsid w:val="00BD6D11"/>
    <w:rsid w:val="00C04DDA"/>
    <w:rsid w:val="00C0546F"/>
    <w:rsid w:val="00C11BFE"/>
    <w:rsid w:val="00C40CEE"/>
    <w:rsid w:val="00C83CD0"/>
    <w:rsid w:val="00C85691"/>
    <w:rsid w:val="00C948DA"/>
    <w:rsid w:val="00CD6061"/>
    <w:rsid w:val="00D45252"/>
    <w:rsid w:val="00D508C3"/>
    <w:rsid w:val="00D57925"/>
    <w:rsid w:val="00D6056A"/>
    <w:rsid w:val="00D612B0"/>
    <w:rsid w:val="00D71B4D"/>
    <w:rsid w:val="00D90680"/>
    <w:rsid w:val="00D93D55"/>
    <w:rsid w:val="00DB4EC4"/>
    <w:rsid w:val="00DC2E62"/>
    <w:rsid w:val="00DD0ED4"/>
    <w:rsid w:val="00DE2EA3"/>
    <w:rsid w:val="00DF4B40"/>
    <w:rsid w:val="00E04FCB"/>
    <w:rsid w:val="00E10D28"/>
    <w:rsid w:val="00E335FE"/>
    <w:rsid w:val="00E74437"/>
    <w:rsid w:val="00E74EF8"/>
    <w:rsid w:val="00E95261"/>
    <w:rsid w:val="00EC4E49"/>
    <w:rsid w:val="00ED77FB"/>
    <w:rsid w:val="00EE45FA"/>
    <w:rsid w:val="00EE5B40"/>
    <w:rsid w:val="00EF5D06"/>
    <w:rsid w:val="00F00916"/>
    <w:rsid w:val="00F12C0A"/>
    <w:rsid w:val="00F66152"/>
    <w:rsid w:val="00FA38A5"/>
    <w:rsid w:val="00FB1232"/>
    <w:rsid w:val="00FB3216"/>
    <w:rsid w:val="00FB3F1F"/>
    <w:rsid w:val="00FB554C"/>
    <w:rsid w:val="00FD5B19"/>
    <w:rsid w:val="00FE0E13"/>
    <w:rsid w:val="00FE3972"/>
    <w:rsid w:val="00FE6CAB"/>
    <w:rsid w:val="00FF32B0"/>
    <w:rsid w:val="00FF3446"/>
    <w:rsid w:val="00FF4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E5B40"/>
    <w:rPr>
      <w:rFonts w:ascii="Tahoma" w:hAnsi="Tahoma" w:cs="Tahoma"/>
      <w:sz w:val="16"/>
      <w:szCs w:val="16"/>
    </w:rPr>
  </w:style>
  <w:style w:type="character" w:customStyle="1" w:styleId="BalloonTextChar">
    <w:name w:val="Balloon Text Char"/>
    <w:basedOn w:val="DefaultParagraphFont"/>
    <w:link w:val="BalloonText"/>
    <w:rsid w:val="00EE5B40"/>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DF4B40"/>
    <w:rPr>
      <w:rFonts w:ascii="Arial" w:eastAsia="SimSun" w:hAnsi="Arial" w:cs="Arial"/>
      <w:sz w:val="18"/>
      <w:lang w:eastAsia="zh-CN"/>
    </w:rPr>
  </w:style>
  <w:style w:type="character" w:styleId="FootnoteReference">
    <w:name w:val="footnote reference"/>
    <w:basedOn w:val="DefaultParagraphFont"/>
    <w:unhideWhenUsed/>
    <w:rsid w:val="00DF4B40"/>
    <w:rPr>
      <w:vertAlign w:val="superscript"/>
    </w:rPr>
  </w:style>
  <w:style w:type="character" w:customStyle="1" w:styleId="DeletedText">
    <w:name w:val="Deleted Text"/>
    <w:basedOn w:val="DefaultParagraphFont"/>
    <w:uiPriority w:val="1"/>
    <w:qFormat/>
    <w:rsid w:val="00DF4B40"/>
    <w:rPr>
      <w:strike/>
      <w:color w:val="FF0000"/>
    </w:rPr>
  </w:style>
  <w:style w:type="character" w:customStyle="1" w:styleId="InsertedText">
    <w:name w:val="Inserted Text"/>
    <w:basedOn w:val="DefaultParagraphFont"/>
    <w:qFormat/>
    <w:rsid w:val="00DF4B40"/>
    <w:rPr>
      <w:color w:val="0070C0"/>
      <w:u w:val="single"/>
    </w:rPr>
  </w:style>
  <w:style w:type="paragraph" w:customStyle="1" w:styleId="Lega">
    <w:name w:val="Leg (a)"/>
    <w:basedOn w:val="Normal"/>
    <w:rsid w:val="00DF4B40"/>
    <w:pPr>
      <w:tabs>
        <w:tab w:val="left" w:pos="454"/>
      </w:tabs>
      <w:spacing w:before="119" w:line="360" w:lineRule="auto"/>
    </w:pPr>
    <w:rPr>
      <w:rFonts w:eastAsia="Times New Roman" w:cs="Times New Roman"/>
      <w:snapToGrid w:val="0"/>
      <w:lang w:eastAsia="en-US"/>
    </w:rPr>
  </w:style>
  <w:style w:type="paragraph" w:customStyle="1" w:styleId="Legi">
    <w:name w:val="Leg (i)"/>
    <w:basedOn w:val="Normal"/>
    <w:rsid w:val="00DF4B40"/>
    <w:pPr>
      <w:tabs>
        <w:tab w:val="right" w:pos="1020"/>
        <w:tab w:val="left" w:pos="1191"/>
      </w:tabs>
      <w:spacing w:before="60" w:line="360" w:lineRule="auto"/>
    </w:pPr>
    <w:rPr>
      <w:rFonts w:eastAsia="Times New Roman" w:cs="Times New Roman"/>
      <w:snapToGrid w:val="0"/>
      <w:lang w:eastAsia="en-US"/>
    </w:rPr>
  </w:style>
  <w:style w:type="paragraph" w:customStyle="1" w:styleId="LegSubRule">
    <w:name w:val="Leg SubRule #"/>
    <w:basedOn w:val="Normal"/>
    <w:rsid w:val="00DF4B40"/>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cont">
    <w:name w:val="Leg (a) [cont]"/>
    <w:basedOn w:val="Lega"/>
    <w:next w:val="Lega"/>
    <w:rsid w:val="00DF4B40"/>
    <w:pPr>
      <w:spacing w:before="60"/>
    </w:pPr>
  </w:style>
  <w:style w:type="paragraph" w:customStyle="1" w:styleId="Legiindent">
    <w:name w:val="Leg (i) indent"/>
    <w:basedOn w:val="Legi"/>
    <w:rsid w:val="00DF4B40"/>
    <w:pPr>
      <w:ind w:left="1191" w:hanging="1191"/>
    </w:pPr>
  </w:style>
  <w:style w:type="paragraph" w:customStyle="1" w:styleId="LegRule">
    <w:name w:val="Leg Rule #"/>
    <w:basedOn w:val="Normal"/>
    <w:next w:val="LegSubRule"/>
    <w:qFormat/>
    <w:rsid w:val="00DF4B40"/>
    <w:pPr>
      <w:pageBreakBefore/>
      <w:spacing w:line="360" w:lineRule="auto"/>
      <w:jc w:val="center"/>
    </w:pPr>
    <w:rPr>
      <w:b/>
    </w:rPr>
  </w:style>
  <w:style w:type="paragraph" w:customStyle="1" w:styleId="Legcont">
    <w:name w:val="Leg cont"/>
    <w:basedOn w:val="Lega"/>
    <w:qFormat/>
    <w:rsid w:val="00DF4B40"/>
    <w:pPr>
      <w:pageBreakBefore/>
      <w:spacing w:after="720"/>
      <w:jc w:val="center"/>
    </w:pPr>
  </w:style>
  <w:style w:type="paragraph" w:styleId="TOC1">
    <w:name w:val="toc 1"/>
    <w:basedOn w:val="Normal"/>
    <w:next w:val="Normal"/>
    <w:autoRedefine/>
    <w:uiPriority w:val="39"/>
    <w:rsid w:val="00A35BBC"/>
    <w:pPr>
      <w:spacing w:after="100"/>
    </w:pPr>
  </w:style>
  <w:style w:type="paragraph" w:styleId="TOC2">
    <w:name w:val="toc 2"/>
    <w:basedOn w:val="Normal"/>
    <w:next w:val="Normal"/>
    <w:autoRedefine/>
    <w:uiPriority w:val="39"/>
    <w:rsid w:val="00A35BBC"/>
    <w:pPr>
      <w:spacing w:after="100"/>
      <w:ind w:left="220"/>
    </w:pPr>
  </w:style>
  <w:style w:type="character" w:styleId="Hyperlink">
    <w:name w:val="Hyperlink"/>
    <w:basedOn w:val="DefaultParagraphFont"/>
    <w:uiPriority w:val="99"/>
    <w:unhideWhenUsed/>
    <w:rsid w:val="00A35B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E5B40"/>
    <w:rPr>
      <w:rFonts w:ascii="Tahoma" w:hAnsi="Tahoma" w:cs="Tahoma"/>
      <w:sz w:val="16"/>
      <w:szCs w:val="16"/>
    </w:rPr>
  </w:style>
  <w:style w:type="character" w:customStyle="1" w:styleId="BalloonTextChar">
    <w:name w:val="Balloon Text Char"/>
    <w:basedOn w:val="DefaultParagraphFont"/>
    <w:link w:val="BalloonText"/>
    <w:rsid w:val="00EE5B40"/>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DF4B40"/>
    <w:rPr>
      <w:rFonts w:ascii="Arial" w:eastAsia="SimSun" w:hAnsi="Arial" w:cs="Arial"/>
      <w:sz w:val="18"/>
      <w:lang w:eastAsia="zh-CN"/>
    </w:rPr>
  </w:style>
  <w:style w:type="character" w:styleId="FootnoteReference">
    <w:name w:val="footnote reference"/>
    <w:basedOn w:val="DefaultParagraphFont"/>
    <w:unhideWhenUsed/>
    <w:rsid w:val="00DF4B40"/>
    <w:rPr>
      <w:vertAlign w:val="superscript"/>
    </w:rPr>
  </w:style>
  <w:style w:type="character" w:customStyle="1" w:styleId="DeletedText">
    <w:name w:val="Deleted Text"/>
    <w:basedOn w:val="DefaultParagraphFont"/>
    <w:uiPriority w:val="1"/>
    <w:qFormat/>
    <w:rsid w:val="00DF4B40"/>
    <w:rPr>
      <w:strike/>
      <w:color w:val="FF0000"/>
    </w:rPr>
  </w:style>
  <w:style w:type="character" w:customStyle="1" w:styleId="InsertedText">
    <w:name w:val="Inserted Text"/>
    <w:basedOn w:val="DefaultParagraphFont"/>
    <w:qFormat/>
    <w:rsid w:val="00DF4B40"/>
    <w:rPr>
      <w:color w:val="0070C0"/>
      <w:u w:val="single"/>
    </w:rPr>
  </w:style>
  <w:style w:type="paragraph" w:customStyle="1" w:styleId="Lega">
    <w:name w:val="Leg (a)"/>
    <w:basedOn w:val="Normal"/>
    <w:rsid w:val="00DF4B40"/>
    <w:pPr>
      <w:tabs>
        <w:tab w:val="left" w:pos="454"/>
      </w:tabs>
      <w:spacing w:before="119" w:line="360" w:lineRule="auto"/>
    </w:pPr>
    <w:rPr>
      <w:rFonts w:eastAsia="Times New Roman" w:cs="Times New Roman"/>
      <w:snapToGrid w:val="0"/>
      <w:lang w:eastAsia="en-US"/>
    </w:rPr>
  </w:style>
  <w:style w:type="paragraph" w:customStyle="1" w:styleId="Legi">
    <w:name w:val="Leg (i)"/>
    <w:basedOn w:val="Normal"/>
    <w:rsid w:val="00DF4B40"/>
    <w:pPr>
      <w:tabs>
        <w:tab w:val="right" w:pos="1020"/>
        <w:tab w:val="left" w:pos="1191"/>
      </w:tabs>
      <w:spacing w:before="60" w:line="360" w:lineRule="auto"/>
    </w:pPr>
    <w:rPr>
      <w:rFonts w:eastAsia="Times New Roman" w:cs="Times New Roman"/>
      <w:snapToGrid w:val="0"/>
      <w:lang w:eastAsia="en-US"/>
    </w:rPr>
  </w:style>
  <w:style w:type="paragraph" w:customStyle="1" w:styleId="LegSubRule">
    <w:name w:val="Leg SubRule #"/>
    <w:basedOn w:val="Normal"/>
    <w:rsid w:val="00DF4B40"/>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cont">
    <w:name w:val="Leg (a) [cont]"/>
    <w:basedOn w:val="Lega"/>
    <w:next w:val="Lega"/>
    <w:rsid w:val="00DF4B40"/>
    <w:pPr>
      <w:spacing w:before="60"/>
    </w:pPr>
  </w:style>
  <w:style w:type="paragraph" w:customStyle="1" w:styleId="Legiindent">
    <w:name w:val="Leg (i) indent"/>
    <w:basedOn w:val="Legi"/>
    <w:rsid w:val="00DF4B40"/>
    <w:pPr>
      <w:ind w:left="1191" w:hanging="1191"/>
    </w:pPr>
  </w:style>
  <w:style w:type="paragraph" w:customStyle="1" w:styleId="LegRule">
    <w:name w:val="Leg Rule #"/>
    <w:basedOn w:val="Normal"/>
    <w:next w:val="LegSubRule"/>
    <w:qFormat/>
    <w:rsid w:val="00DF4B40"/>
    <w:pPr>
      <w:pageBreakBefore/>
      <w:spacing w:line="360" w:lineRule="auto"/>
      <w:jc w:val="center"/>
    </w:pPr>
    <w:rPr>
      <w:b/>
    </w:rPr>
  </w:style>
  <w:style w:type="paragraph" w:customStyle="1" w:styleId="Legcont">
    <w:name w:val="Leg cont"/>
    <w:basedOn w:val="Lega"/>
    <w:qFormat/>
    <w:rsid w:val="00DF4B40"/>
    <w:pPr>
      <w:pageBreakBefore/>
      <w:spacing w:after="720"/>
      <w:jc w:val="center"/>
    </w:pPr>
  </w:style>
  <w:style w:type="paragraph" w:styleId="TOC1">
    <w:name w:val="toc 1"/>
    <w:basedOn w:val="Normal"/>
    <w:next w:val="Normal"/>
    <w:autoRedefine/>
    <w:uiPriority w:val="39"/>
    <w:rsid w:val="00A35BBC"/>
    <w:pPr>
      <w:spacing w:after="100"/>
    </w:pPr>
  </w:style>
  <w:style w:type="paragraph" w:styleId="TOC2">
    <w:name w:val="toc 2"/>
    <w:basedOn w:val="Normal"/>
    <w:next w:val="Normal"/>
    <w:autoRedefine/>
    <w:uiPriority w:val="39"/>
    <w:rsid w:val="00A35BBC"/>
    <w:pPr>
      <w:spacing w:after="100"/>
      <w:ind w:left="220"/>
    </w:pPr>
  </w:style>
  <w:style w:type="character" w:styleId="Hyperlink">
    <w:name w:val="Hyperlink"/>
    <w:basedOn w:val="DefaultParagraphFont"/>
    <w:uiPriority w:val="99"/>
    <w:unhideWhenUsed/>
    <w:rsid w:val="00A35B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042EC-B8BD-4C17-B29F-E11651B89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8 (E)</Template>
  <TotalTime>1</TotalTime>
  <Pages>8</Pages>
  <Words>3108</Words>
  <Characters>16595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Delays and Force Majeure for Electronic Communications</dc:subject>
  <dc:creator>MARLOW Thomas</dc:creator>
  <cp:lastModifiedBy>MARLOW Thomas</cp:lastModifiedBy>
  <cp:revision>5</cp:revision>
  <cp:lastPrinted>2015-05-01T12:50:00Z</cp:lastPrinted>
  <dcterms:created xsi:type="dcterms:W3CDTF">2015-04-29T15:59:00Z</dcterms:created>
  <dcterms:modified xsi:type="dcterms:W3CDTF">2015-05-01T12:50:00Z</dcterms:modified>
</cp:coreProperties>
</file>