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05099A" w:rsidP="00916EE2">
            <w:r>
              <w:rPr>
                <w:noProof/>
                <w:lang w:eastAsia="en-US"/>
              </w:rPr>
              <w:drawing>
                <wp:inline distT="0" distB="0" distL="0" distR="0" wp14:anchorId="5A56E120" wp14:editId="520771D3">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A5AD8" w:rsidP="00916EE2">
            <w:pPr>
              <w:jc w:val="right"/>
              <w:rPr>
                <w:rFonts w:ascii="Arial Black" w:hAnsi="Arial Black"/>
                <w:caps/>
                <w:sz w:val="15"/>
              </w:rPr>
            </w:pPr>
            <w:r w:rsidRPr="00AA5AD8">
              <w:rPr>
                <w:rFonts w:ascii="Arial Black" w:hAnsi="Arial Black"/>
                <w:caps/>
                <w:sz w:val="15"/>
              </w:rPr>
              <w:t>PCT/WG/7/</w:t>
            </w:r>
            <w:bookmarkStart w:id="0" w:name="Code"/>
            <w:bookmarkEnd w:id="0"/>
            <w:r w:rsidR="00C51573">
              <w:rPr>
                <w:rFonts w:ascii="Arial Black" w:hAnsi="Arial Black"/>
                <w:caps/>
                <w:sz w:val="15"/>
              </w:rPr>
              <w:t>6</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51573">
            <w:pPr>
              <w:jc w:val="right"/>
              <w:rPr>
                <w:rFonts w:ascii="Arial Black" w:hAnsi="Arial Black"/>
                <w:caps/>
                <w:sz w:val="15"/>
              </w:rPr>
            </w:pPr>
            <w:r w:rsidRPr="0090731E">
              <w:rPr>
                <w:rFonts w:ascii="Arial Black" w:hAnsi="Arial Black"/>
                <w:caps/>
                <w:sz w:val="15"/>
              </w:rPr>
              <w:t>ORIGINAL:</w:t>
            </w:r>
            <w:r w:rsidR="00C51573">
              <w:rPr>
                <w:rFonts w:ascii="Arial Black" w:hAnsi="Arial Black"/>
                <w:caps/>
                <w:sz w:val="15"/>
              </w:rPr>
              <w:t xml:space="preserve">  English</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9F14F7">
              <w:rPr>
                <w:rFonts w:ascii="Arial Black" w:hAnsi="Arial Black"/>
                <w:caps/>
                <w:sz w:val="15"/>
              </w:rPr>
              <w:t xml:space="preserve">  May 2</w:t>
            </w:r>
            <w:r w:rsidR="00C51573">
              <w:rPr>
                <w:rFonts w:ascii="Arial Black" w:hAnsi="Arial Black"/>
                <w:caps/>
                <w:sz w:val="15"/>
              </w:rPr>
              <w:t>, 2014</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E979D1" w:rsidRPr="00E979D1" w:rsidRDefault="00E979D1" w:rsidP="00E979D1">
      <w:pPr>
        <w:rPr>
          <w:b/>
          <w:sz w:val="28"/>
          <w:szCs w:val="28"/>
        </w:rPr>
      </w:pPr>
      <w:r w:rsidRPr="00E979D1">
        <w:rPr>
          <w:b/>
          <w:sz w:val="28"/>
          <w:szCs w:val="28"/>
        </w:rPr>
        <w:t>Patent Cooperation Treaty (PCT)</w:t>
      </w:r>
    </w:p>
    <w:p w:rsidR="008B2CC1" w:rsidRPr="003845C1" w:rsidRDefault="00E979D1" w:rsidP="00E979D1">
      <w:pPr>
        <w:rPr>
          <w:b/>
          <w:sz w:val="28"/>
          <w:szCs w:val="28"/>
        </w:rPr>
      </w:pPr>
      <w:r w:rsidRPr="00E979D1">
        <w:rPr>
          <w:b/>
          <w:sz w:val="28"/>
          <w:szCs w:val="28"/>
        </w:rPr>
        <w:t>Working Group</w:t>
      </w:r>
    </w:p>
    <w:p w:rsidR="003845C1" w:rsidRDefault="003845C1" w:rsidP="003845C1"/>
    <w:p w:rsidR="003845C1" w:rsidRDefault="003845C1" w:rsidP="003845C1"/>
    <w:p w:rsidR="008B2CC1" w:rsidRPr="003845C1" w:rsidRDefault="00242E6A" w:rsidP="008B2CC1">
      <w:pPr>
        <w:rPr>
          <w:b/>
          <w:sz w:val="24"/>
          <w:szCs w:val="24"/>
        </w:rPr>
      </w:pPr>
      <w:r w:rsidRPr="00242E6A">
        <w:rPr>
          <w:b/>
          <w:sz w:val="24"/>
          <w:szCs w:val="24"/>
        </w:rPr>
        <w:t>Seventh Session</w:t>
      </w:r>
    </w:p>
    <w:p w:rsidR="008B2CC1" w:rsidRPr="003845C1" w:rsidRDefault="00242E6A" w:rsidP="008B2CC1">
      <w:pPr>
        <w:rPr>
          <w:b/>
          <w:sz w:val="24"/>
          <w:szCs w:val="24"/>
        </w:rPr>
      </w:pPr>
      <w:r w:rsidRPr="00242E6A">
        <w:rPr>
          <w:b/>
          <w:sz w:val="24"/>
          <w:szCs w:val="24"/>
        </w:rPr>
        <w:t>Geneva, June 10 to 13, 2014</w:t>
      </w:r>
    </w:p>
    <w:p w:rsidR="00EA43BA" w:rsidRPr="008B2CC1" w:rsidRDefault="00EA43BA" w:rsidP="00EA43BA"/>
    <w:p w:rsidR="00EA43BA" w:rsidRPr="008B2CC1" w:rsidRDefault="00EA43BA" w:rsidP="00EA43BA"/>
    <w:p w:rsidR="00EA43BA" w:rsidRPr="008B2CC1" w:rsidRDefault="00EA43BA" w:rsidP="00EA43BA"/>
    <w:p w:rsidR="00EA43BA" w:rsidRPr="00EA43BA" w:rsidRDefault="00EA43BA" w:rsidP="00EA43BA">
      <w:pPr>
        <w:rPr>
          <w:caps/>
          <w:sz w:val="24"/>
          <w:szCs w:val="24"/>
        </w:rPr>
      </w:pPr>
      <w:bookmarkStart w:id="3" w:name="TitleOfDoc"/>
      <w:bookmarkEnd w:id="3"/>
      <w:r w:rsidRPr="00EA43BA">
        <w:rPr>
          <w:sz w:val="24"/>
          <w:szCs w:val="24"/>
        </w:rPr>
        <w:t>ESTIMATING A PCT FEE ELASTICITY</w:t>
      </w:r>
    </w:p>
    <w:p w:rsidR="00EA43BA" w:rsidRPr="008B2CC1" w:rsidRDefault="00EA43BA" w:rsidP="00EA43BA"/>
    <w:p w:rsidR="00EA43BA" w:rsidRPr="008B2CC1" w:rsidRDefault="00EA43BA" w:rsidP="00EA43BA">
      <w:pPr>
        <w:rPr>
          <w:i/>
        </w:rPr>
      </w:pPr>
      <w:bookmarkStart w:id="4" w:name="Prepared"/>
      <w:bookmarkEnd w:id="4"/>
      <w:r>
        <w:rPr>
          <w:i/>
        </w:rPr>
        <w:t>Document prepared by the International Bureau</w:t>
      </w:r>
    </w:p>
    <w:p w:rsidR="00EA43BA" w:rsidRDefault="00EA43BA" w:rsidP="00EA43BA"/>
    <w:p w:rsidR="00EA43BA" w:rsidRDefault="00EA43BA" w:rsidP="00EA43BA"/>
    <w:p w:rsidR="00EA43BA" w:rsidRDefault="00EA43BA" w:rsidP="00EA43BA"/>
    <w:p w:rsidR="00EA43BA" w:rsidRDefault="00EA43BA" w:rsidP="00EA43BA"/>
    <w:p w:rsidR="006B331A" w:rsidRPr="003C163A" w:rsidRDefault="006B331A" w:rsidP="006B331A">
      <w:pPr>
        <w:pStyle w:val="Heading1"/>
      </w:pPr>
      <w:r>
        <w:t>summary</w:t>
      </w:r>
    </w:p>
    <w:p w:rsidR="006B331A" w:rsidRPr="003C163A" w:rsidRDefault="006B331A" w:rsidP="006B331A">
      <w:pPr>
        <w:pStyle w:val="ONUME"/>
      </w:pPr>
      <w:r w:rsidRPr="003C163A">
        <w:t>Th</w:t>
      </w:r>
      <w:r>
        <w:t xml:space="preserve">e present document sets out the </w:t>
      </w:r>
      <w:r w:rsidRPr="003C163A">
        <w:t xml:space="preserve">study </w:t>
      </w:r>
      <w:r>
        <w:t>requested by the Working Group on</w:t>
      </w:r>
      <w:r w:rsidRPr="003C163A">
        <w:t xml:space="preserve"> how responsive PCT filings are to changes in the international filing fee.  Using a discrete choice model of an applicant’s decision whether to file through the PCT or through the Paris route, it estimates </w:t>
      </w:r>
      <w:proofErr w:type="gramStart"/>
      <w:r w:rsidRPr="003C163A">
        <w:t>a highly</w:t>
      </w:r>
      <w:proofErr w:type="gramEnd"/>
      <w:r w:rsidRPr="003C163A">
        <w:t xml:space="preserve"> inelastic – but statistically significant – fee responsiveness.  Moreover, the estimation results suggest that the </w:t>
      </w:r>
      <w:r w:rsidR="00EB5B66">
        <w:t xml:space="preserve">international filing </w:t>
      </w:r>
      <w:r w:rsidRPr="003C163A">
        <w:t xml:space="preserve">fee matters most when applicants seek patent protection in exactly three foreign </w:t>
      </w:r>
      <w:r>
        <w:t>O</w:t>
      </w:r>
      <w:r w:rsidRPr="003C163A">
        <w:t xml:space="preserve">ffices, and that universities and public research </w:t>
      </w:r>
      <w:proofErr w:type="gramStart"/>
      <w:r w:rsidRPr="003C163A">
        <w:t>organization</w:t>
      </w:r>
      <w:r>
        <w:t>s</w:t>
      </w:r>
      <w:proofErr w:type="gramEnd"/>
      <w:r w:rsidRPr="003C163A">
        <w:t xml:space="preserve"> (PRO</w:t>
      </w:r>
      <w:r>
        <w:t>s</w:t>
      </w:r>
      <w:r w:rsidRPr="003C163A">
        <w:t>) are somewhat more price sensitive.</w:t>
      </w:r>
    </w:p>
    <w:p w:rsidR="006B331A" w:rsidRPr="003C163A" w:rsidRDefault="006B331A" w:rsidP="006B331A">
      <w:pPr>
        <w:pStyle w:val="ONUME"/>
      </w:pPr>
      <w:r w:rsidRPr="003C163A">
        <w:t>In addition to providing evidence on the fee responsiveness, the estimations also shed empirical light on a number of other determinants of PCT use.  In particular, they indicate that applicants tend to rely to a greater extent on the PCT in good economic times, that PROs and especially universities are more likely to choose the PCT, and that – all else equal – pharmaceuticals and other discrete product technologies are more inclined to rely on the PCT than complex product technologies.</w:t>
      </w:r>
    </w:p>
    <w:p w:rsidR="003529B2" w:rsidRPr="003C163A" w:rsidRDefault="003529B2" w:rsidP="006B331A">
      <w:pPr>
        <w:pStyle w:val="Heading1"/>
        <w:keepLines/>
      </w:pPr>
      <w:r w:rsidRPr="003C163A">
        <w:lastRenderedPageBreak/>
        <w:t>Introduction</w:t>
      </w:r>
    </w:p>
    <w:p w:rsidR="003529B2" w:rsidRPr="003C163A" w:rsidRDefault="000C5CE4" w:rsidP="006B331A">
      <w:pPr>
        <w:pStyle w:val="ONUME"/>
        <w:keepNext/>
        <w:keepLines/>
      </w:pPr>
      <w:r>
        <w:t>At the sixth s</w:t>
      </w:r>
      <w:r w:rsidR="003529B2" w:rsidRPr="003C163A">
        <w:t xml:space="preserve">ession of the Patent Cooperation Treaty (PCT) Working Group, Member States asked the Economics and Statistics Division to conduct a study to estimate fee </w:t>
      </w:r>
      <w:proofErr w:type="spellStart"/>
      <w:r w:rsidR="003529B2" w:rsidRPr="003C163A">
        <w:t>elasticities</w:t>
      </w:r>
      <w:proofErr w:type="spellEnd"/>
      <w:r w:rsidR="003529B2" w:rsidRPr="003C163A">
        <w:t xml:space="preserve"> for the PCT system, especially as they pertain to universities and research institutes and, possibly also, small- and medium-sized enterprises (SMEs).</w:t>
      </w:r>
      <w:r w:rsidR="003529B2" w:rsidRPr="003C163A">
        <w:rPr>
          <w:rStyle w:val="FootnoteReference"/>
          <w:szCs w:val="22"/>
        </w:rPr>
        <w:footnoteReference w:id="2"/>
      </w:r>
    </w:p>
    <w:p w:rsidR="003529B2" w:rsidRPr="003C163A" w:rsidRDefault="003529B2" w:rsidP="003529B2">
      <w:pPr>
        <w:pStyle w:val="ONUME"/>
      </w:pPr>
      <w:r w:rsidRPr="003C163A">
        <w:t xml:space="preserve">In economics, an elasticity measures how sensitive one variable is to a change in another variable.  In the specific context of the patent system, </w:t>
      </w:r>
      <w:proofErr w:type="gramStart"/>
      <w:r w:rsidRPr="003C163A">
        <w:t>a fee</w:t>
      </w:r>
      <w:proofErr w:type="gramEnd"/>
      <w:r w:rsidRPr="003C163A">
        <w:t xml:space="preserve"> elasticity measures how responsive applicants are to changes in the application fee.  In particular, it predicts by what percentage filing volumes would increase, if the application fee were lowered by a certain magnitude.</w:t>
      </w:r>
    </w:p>
    <w:p w:rsidR="003529B2" w:rsidRPr="003C163A" w:rsidRDefault="003529B2" w:rsidP="003529B2">
      <w:pPr>
        <w:pStyle w:val="ONUME"/>
      </w:pPr>
      <w:r w:rsidRPr="003C163A">
        <w:t>Among other things, an estimate of the fee elasticity can inform decision-makers on how changes to application fees affect future filing levels as well as the revenue generated by those filings.  A low value of the fee elasticity means that a fee change will have little impact on filings; the fee responsiveness is then said to be “inelastic”.  A high value of the elasticity means that a fee change has a strong effect on filings; the fee responsiveness is then considered to be “elastic”.  In the former case, an increase (decrease) in the fee will lead to higher (lower) revenues.  In the latter case, an increase (decrease) in the fee will have an ambiguous effect on revenues, as the fall (rise) in the filing volume could outweigh the revenue effect of higher (lower) per-unit fee payments.</w:t>
      </w:r>
    </w:p>
    <w:p w:rsidR="003529B2" w:rsidRPr="003C163A" w:rsidRDefault="003529B2" w:rsidP="003529B2">
      <w:pPr>
        <w:pStyle w:val="ONUME"/>
      </w:pPr>
      <w:r w:rsidRPr="003C163A">
        <w:t xml:space="preserve">No estimate of the PCT fee elasticity is currently available.  Some estimates exist for initial application fee </w:t>
      </w:r>
      <w:proofErr w:type="spellStart"/>
      <w:r w:rsidRPr="003C163A">
        <w:t>elasticities</w:t>
      </w:r>
      <w:proofErr w:type="spellEnd"/>
      <w:r w:rsidRPr="003C163A">
        <w:t xml:space="preserve"> and maintenance fee </w:t>
      </w:r>
      <w:proofErr w:type="spellStart"/>
      <w:r w:rsidRPr="003C163A">
        <w:t>elasticities</w:t>
      </w:r>
      <w:proofErr w:type="spellEnd"/>
      <w:r w:rsidRPr="003C163A">
        <w:t xml:space="preserve"> for national and regional patent offices.</w:t>
      </w:r>
      <w:r w:rsidRPr="003C163A">
        <w:rPr>
          <w:rStyle w:val="FootnoteReference"/>
          <w:szCs w:val="22"/>
        </w:rPr>
        <w:footnoteReference w:id="3"/>
      </w:r>
      <w:r w:rsidRPr="003C163A">
        <w:t xml:space="preserve">  However, there are good reasons to believe that the PCT fee elasticity should be different.  PCT filings are a selected set of patent </w:t>
      </w:r>
      <w:r w:rsidR="00EB5B66">
        <w:t xml:space="preserve">applications </w:t>
      </w:r>
      <w:r w:rsidRPr="003C163A">
        <w:t>for which applicants seek protection in more than one jurisdiction.  Thus, the importance of PCT fees in the overall cost of international patenting will differ from that of national fees in a national or regional patenting context.</w:t>
      </w:r>
    </w:p>
    <w:p w:rsidR="003529B2" w:rsidRPr="003C163A" w:rsidRDefault="003529B2" w:rsidP="003529B2">
      <w:pPr>
        <w:pStyle w:val="Heading1"/>
      </w:pPr>
      <w:r w:rsidRPr="003C163A">
        <w:t>Estimation strategy</w:t>
      </w:r>
    </w:p>
    <w:p w:rsidR="003529B2" w:rsidRPr="003C163A" w:rsidRDefault="003529B2" w:rsidP="003529B2">
      <w:pPr>
        <w:pStyle w:val="ONUME"/>
      </w:pPr>
      <w:r w:rsidRPr="003C163A">
        <w:t xml:space="preserve">In order to empirically estimate the fee elasticity for PCT filings, one needs to rely on historical variation in the </w:t>
      </w:r>
      <w:r w:rsidR="00EB5B66">
        <w:t xml:space="preserve">international filing </w:t>
      </w:r>
      <w:r w:rsidRPr="003C163A">
        <w:t>fee faced by applicants.   Such variation is, at first, not obvious.   In 2004, Member States established an initial filing fee of CHF 1,400 and this fee has only been revised once, in 2008, when it was lowered to CHF 1,330.</w:t>
      </w:r>
      <w:r w:rsidRPr="003C163A">
        <w:rPr>
          <w:rStyle w:val="FootnoteReference"/>
          <w:szCs w:val="22"/>
        </w:rPr>
        <w:footnoteReference w:id="4"/>
      </w:r>
      <w:r w:rsidRPr="003C163A">
        <w:t xml:space="preserve">  In addition, applicants pay a transmittal fee, which depends on where they file their PCT application, but the variation introduced by this additional fee element is relatively minor</w:t>
      </w:r>
      <w:proofErr w:type="gramStart"/>
      <w:r w:rsidRPr="003C163A">
        <w:t>.</w:t>
      </w:r>
      <w:r w:rsidRPr="003C163A">
        <w:rPr>
          <w:rStyle w:val="FootnoteReference"/>
          <w:szCs w:val="22"/>
        </w:rPr>
        <w:footnoteReference w:id="5"/>
      </w:r>
      <w:r w:rsidRPr="003C163A">
        <w:rPr>
          <w:vertAlign w:val="superscript"/>
        </w:rPr>
        <w:t>,</w:t>
      </w:r>
      <w:proofErr w:type="gramEnd"/>
      <w:r w:rsidRPr="003C163A">
        <w:rPr>
          <w:rStyle w:val="FootnoteReference"/>
          <w:szCs w:val="22"/>
        </w:rPr>
        <w:footnoteReference w:id="6"/>
      </w:r>
    </w:p>
    <w:p w:rsidR="003529B2" w:rsidRPr="003C163A" w:rsidRDefault="003529B2" w:rsidP="008223A9">
      <w:pPr>
        <w:pStyle w:val="ONUME"/>
        <w:keepLines/>
      </w:pPr>
      <w:r w:rsidRPr="003C163A">
        <w:lastRenderedPageBreak/>
        <w:t xml:space="preserve">More substantial variation stems from the conversion of the Swiss franc </w:t>
      </w:r>
      <w:r w:rsidR="00EB5B66">
        <w:t xml:space="preserve">international filing </w:t>
      </w:r>
      <w:r w:rsidRPr="003C163A">
        <w:t>fee into the currencies in which applicants from around the world pay the filing fee.  To understand the source of this variation, it is first important to understand how the conversion process functions.  PCT rules distinguish between freely convertible currencies and other currencies.</w:t>
      </w:r>
      <w:r w:rsidRPr="003C163A">
        <w:rPr>
          <w:rStyle w:val="FootnoteReference"/>
          <w:szCs w:val="22"/>
        </w:rPr>
        <w:footnoteReference w:id="7"/>
      </w:r>
      <w:r w:rsidRPr="003C163A">
        <w:t xml:space="preserve">  For freely convertible currencies, WIPO fixes equivalent am</w:t>
      </w:r>
      <w:r w:rsidR="00924FF1">
        <w:t>ounts with effect from January 1</w:t>
      </w:r>
      <w:r w:rsidRPr="003C163A">
        <w:t xml:space="preserve"> every year that reflect the market exchange rates </w:t>
      </w:r>
      <w:r w:rsidRPr="00924FF1">
        <w:rPr>
          <w:i/>
        </w:rPr>
        <w:t>vis-à-vis</w:t>
      </w:r>
      <w:r w:rsidRPr="003C163A">
        <w:t xml:space="preserve"> the Swiss franc prevailing </w:t>
      </w:r>
      <w:r w:rsidR="00357CBF">
        <w:t xml:space="preserve">on the first Monday of </w:t>
      </w:r>
      <w:r w:rsidRPr="003C163A">
        <w:t xml:space="preserve">October of the previous year.  In addition, if in the course of the year, a currency’s exchange rate </w:t>
      </w:r>
      <w:r w:rsidRPr="00924FF1">
        <w:rPr>
          <w:i/>
        </w:rPr>
        <w:t>vis-à-vis</w:t>
      </w:r>
      <w:r w:rsidRPr="003C163A">
        <w:t xml:space="preserve"> the Swiss franc is, </w:t>
      </w:r>
      <w:r w:rsidR="00357CBF">
        <w:t xml:space="preserve">for more than </w:t>
      </w:r>
      <w:r w:rsidRPr="003C163A">
        <w:t>four consecutive Fridays, five percent lower or higher than the previous exchange rate applied, WIPO establishes a new equivalent amount for that currency, which becomes effective after about two months.</w:t>
      </w:r>
    </w:p>
    <w:p w:rsidR="003529B2" w:rsidRPr="003C163A" w:rsidRDefault="003529B2" w:rsidP="003529B2">
      <w:pPr>
        <w:pStyle w:val="ONUME"/>
      </w:pPr>
      <w:r w:rsidRPr="003C163A">
        <w:t xml:space="preserve">National and regional patent offices who receive PCT filings </w:t>
      </w:r>
      <w:r w:rsidR="00357CBF">
        <w:t>(</w:t>
      </w:r>
      <w:r w:rsidRPr="003C163A">
        <w:t xml:space="preserve">“receiving </w:t>
      </w:r>
      <w:r w:rsidR="00357CBF">
        <w:t>O</w:t>
      </w:r>
      <w:r w:rsidRPr="003C163A">
        <w:t>ffices”</w:t>
      </w:r>
      <w:r w:rsidR="00357CBF">
        <w:t>)</w:t>
      </w:r>
      <w:r w:rsidRPr="003C163A">
        <w:t xml:space="preserve"> – determine the currency in which they accept payment for those filings.  Receiving </w:t>
      </w:r>
      <w:r w:rsidR="00357CBF">
        <w:t>O</w:t>
      </w:r>
      <w:r w:rsidRPr="003C163A">
        <w:t xml:space="preserve">ffices in jurisdictions with a freely convertible currency typically require payment in their home currency.  Receiving </w:t>
      </w:r>
      <w:r w:rsidR="00357CBF">
        <w:t>O</w:t>
      </w:r>
      <w:r w:rsidRPr="003C163A">
        <w:t xml:space="preserve">ffices in other jurisdictions follow one of two approaches: they can either require payment in one of the freely convertible currencies – in practice, the euro, the Swiss franc, or the US dollar; or they can require payment in the local currency in an amount which, on the date of filing, is equivalent to the Swiss franc fee.  In either case, applicants in those latter offices face a fee payment that, in local currency terms, depends on the exchange rate </w:t>
      </w:r>
      <w:r w:rsidRPr="00924FF1">
        <w:rPr>
          <w:i/>
        </w:rPr>
        <w:t>vis-à-vis</w:t>
      </w:r>
      <w:r w:rsidRPr="003C163A">
        <w:t xml:space="preserve"> the Swiss franc or another freely convertible currency.  Thus, depending on the exchange rate regime in place, the application fee in local currency terms may vary on a daily basis.</w:t>
      </w:r>
    </w:p>
    <w:p w:rsidR="003529B2" w:rsidRPr="003C163A" w:rsidRDefault="003529B2" w:rsidP="003529B2">
      <w:pPr>
        <w:pStyle w:val="ONUME"/>
      </w:pPr>
      <w:r w:rsidRPr="003C163A">
        <w:t xml:space="preserve">The variation in the local currency value of the PCT filing fee – whether established through equivalent amounts or market exchange rates – can be substantial.  Figure 1 depicts the evolution of the </w:t>
      </w:r>
      <w:r w:rsidR="00EB5B66">
        <w:t xml:space="preserve">international </w:t>
      </w:r>
      <w:r w:rsidRPr="003C163A">
        <w:t>filing fee for selected currencies since 2004.  In particular, it shows how the sharp appreciation of the Swi</w:t>
      </w:r>
      <w:r w:rsidR="00EB5B66">
        <w:t xml:space="preserve">ss Franc </w:t>
      </w:r>
      <w:r w:rsidR="00EB5B66" w:rsidRPr="00924FF1">
        <w:rPr>
          <w:i/>
        </w:rPr>
        <w:t>vis-à-vis</w:t>
      </w:r>
      <w:r w:rsidR="00EB5B66">
        <w:t xml:space="preserve"> most currencies</w:t>
      </w:r>
      <w:r w:rsidRPr="003C163A">
        <w:t xml:space="preserve"> in the course and aftermath of the financial crisis prompted sizeable increases in the filing fee, especially for the US dollar, the British pound, and the Korean won.</w:t>
      </w:r>
    </w:p>
    <w:p w:rsidR="003529B2" w:rsidRPr="003C163A" w:rsidRDefault="003529B2" w:rsidP="003529B2">
      <w:pPr>
        <w:pStyle w:val="ONUME"/>
      </w:pPr>
      <w:r w:rsidRPr="003C163A">
        <w:t xml:space="preserve">Having established the variation in the filing fee, the next question is which econometric model to adopt.  One approach adopted in the </w:t>
      </w:r>
      <w:r w:rsidR="00EC2EF9">
        <w:t xml:space="preserve">economic </w:t>
      </w:r>
      <w:r w:rsidRPr="003C163A">
        <w:t xml:space="preserve">literature is to </w:t>
      </w:r>
      <w:r w:rsidR="00EC2EF9">
        <w:t xml:space="preserve">directly </w:t>
      </w:r>
      <w:r w:rsidRPr="003C163A">
        <w:t>investigate whether fee variations can explain variations in the volume of applications received.  One drawback of this approach is that one does not observe decisions not to file and therefore lacks a counterfactual against which to compare filing decisions.</w:t>
      </w:r>
      <w:r w:rsidRPr="003C163A">
        <w:rPr>
          <w:rStyle w:val="FootnoteReference"/>
          <w:szCs w:val="22"/>
        </w:rPr>
        <w:footnoteReference w:id="8"/>
      </w:r>
      <w:r w:rsidRPr="003C163A">
        <w:t xml:space="preserve">  However, given that PCT applications, in the overwhelming number of cases, are based on a prior national application, one can make use of such a counterfactual.  In particular, one can estimate the probability of a priority application being converted into a PCT application in a discrete choice framework, whereby the </w:t>
      </w:r>
      <w:r w:rsidR="00EB5B66">
        <w:t xml:space="preserve">international filing </w:t>
      </w:r>
      <w:r w:rsidRPr="003C163A">
        <w:t>fee faced by applicants is one of the explanatory variables.</w:t>
      </w:r>
      <w:r w:rsidR="004778D4">
        <w:t xml:space="preserve">  In other words, </w:t>
      </w:r>
      <w:r w:rsidR="003253B8">
        <w:t xml:space="preserve">the discrete choice framework focuses on the choice international patent applicants face between the so-called Paris route and the PCT route.  It ignores the possibility that the PCT </w:t>
      </w:r>
      <w:r w:rsidR="00EB5B66">
        <w:t xml:space="preserve">international </w:t>
      </w:r>
      <w:r w:rsidR="003253B8">
        <w:t>filing fee affects applicants’ decision on whether to seek patent protection beyond the office of priority filing – a matter that we hope to investigate in future work.</w:t>
      </w:r>
      <w:r w:rsidR="003253B8" w:rsidRPr="003253B8">
        <w:rPr>
          <w:rStyle w:val="FootnoteReference"/>
          <w:szCs w:val="22"/>
        </w:rPr>
        <w:t xml:space="preserve"> </w:t>
      </w:r>
      <w:r w:rsidR="003253B8" w:rsidRPr="003C163A">
        <w:rPr>
          <w:rStyle w:val="FootnoteReference"/>
          <w:szCs w:val="22"/>
        </w:rPr>
        <w:footnoteReference w:id="9"/>
      </w:r>
    </w:p>
    <w:p w:rsidR="003529B2" w:rsidRPr="003C163A" w:rsidRDefault="003529B2" w:rsidP="008223A9">
      <w:pPr>
        <w:pStyle w:val="ONUME"/>
        <w:keepNext/>
        <w:keepLines/>
      </w:pPr>
      <w:r w:rsidRPr="003C163A">
        <w:lastRenderedPageBreak/>
        <w:t>In particular, adopting patent families as the unit of analysis, we assume that the choice of PCT versus Paris route is determined as follows:</w:t>
      </w:r>
    </w:p>
    <w:p w:rsidR="003529B2" w:rsidRPr="003C163A" w:rsidRDefault="00060A1C" w:rsidP="008223A9">
      <w:pPr>
        <w:keepNext/>
        <w:keepLines/>
        <w:spacing w:after="360"/>
        <w:jc w:val="center"/>
        <w:rPr>
          <w:szCs w:val="22"/>
        </w:rPr>
      </w:pPr>
      <m:oMath>
        <m:sSub>
          <m:sSubPr>
            <m:ctrlPr>
              <w:rPr>
                <w:rFonts w:ascii="Cambria Math" w:hAnsi="Cambria Math"/>
                <w:i/>
                <w:szCs w:val="22"/>
              </w:rPr>
            </m:ctrlPr>
          </m:sSubPr>
          <m:e>
            <m:r>
              <w:rPr>
                <w:rFonts w:ascii="Cambria Math" w:hAnsi="Cambria Math"/>
                <w:szCs w:val="22"/>
              </w:rPr>
              <m:t>pct</m:t>
            </m:r>
          </m:e>
          <m:sub>
            <m:r>
              <w:rPr>
                <w:rFonts w:ascii="Cambria Math" w:hAnsi="Cambria Math"/>
                <w:szCs w:val="22"/>
              </w:rPr>
              <m:t>ijt</m:t>
            </m:r>
          </m:sub>
        </m:sSub>
        <m:r>
          <w:rPr>
            <w:rFonts w:ascii="Cambria Math" w:hAnsi="Cambria Math"/>
            <w:szCs w:val="22"/>
          </w:rPr>
          <m:t>=</m:t>
        </m:r>
        <m:d>
          <m:dPr>
            <m:begChr m:val="{"/>
            <m:endChr m:val=""/>
            <m:ctrlPr>
              <w:rPr>
                <w:rFonts w:ascii="Cambria Math" w:hAnsi="Cambria Math"/>
                <w:i/>
                <w:szCs w:val="22"/>
              </w:rPr>
            </m:ctrlPr>
          </m:dPr>
          <m:e>
            <m:m>
              <m:mPr>
                <m:mcs>
                  <m:mc>
                    <m:mcPr>
                      <m:count m:val="1"/>
                      <m:mcJc m:val="center"/>
                    </m:mcPr>
                  </m:mc>
                </m:mcs>
                <m:ctrlPr>
                  <w:rPr>
                    <w:rFonts w:ascii="Cambria Math" w:hAnsi="Cambria Math"/>
                    <w:i/>
                    <w:szCs w:val="22"/>
                  </w:rPr>
                </m:ctrlPr>
              </m:mPr>
              <m:mr>
                <m:e>
                  <m:r>
                    <w:rPr>
                      <w:rFonts w:ascii="Cambria Math" w:hAnsi="Cambria Math"/>
                      <w:szCs w:val="22"/>
                    </w:rPr>
                    <m:t xml:space="preserve">0 </m:t>
                  </m:r>
                  <m:r>
                    <m:rPr>
                      <m:sty m:val="p"/>
                    </m:rPr>
                    <w:rPr>
                      <w:rFonts w:ascii="Cambria Math" w:hAnsi="Cambria Math"/>
                      <w:szCs w:val="22"/>
                    </w:rPr>
                    <m:t>if</m:t>
                  </m:r>
                  <m:r>
                    <w:rPr>
                      <w:rFonts w:ascii="Cambria Math" w:hAnsi="Cambria Math"/>
                      <w:szCs w:val="22"/>
                    </w:rPr>
                    <m:t xml:space="preserve"> </m:t>
                  </m:r>
                  <m:sSubSup>
                    <m:sSubSupPr>
                      <m:ctrlPr>
                        <w:rPr>
                          <w:rFonts w:ascii="Cambria Math" w:hAnsi="Cambria Math"/>
                          <w:i/>
                          <w:szCs w:val="22"/>
                        </w:rPr>
                      </m:ctrlPr>
                    </m:sSubSupPr>
                    <m:e>
                      <m:r>
                        <w:rPr>
                          <w:rFonts w:ascii="Cambria Math" w:hAnsi="Cambria Math"/>
                          <w:szCs w:val="22"/>
                        </w:rPr>
                        <m:t>pct</m:t>
                      </m:r>
                    </m:e>
                    <m:sub>
                      <m:r>
                        <w:rPr>
                          <w:rFonts w:ascii="Cambria Math" w:hAnsi="Cambria Math"/>
                          <w:szCs w:val="22"/>
                        </w:rPr>
                        <m:t>ijt</m:t>
                      </m:r>
                    </m:sub>
                    <m:sup>
                      <m:r>
                        <w:rPr>
                          <w:rFonts w:ascii="Cambria Math" w:hAnsi="Cambria Math"/>
                          <w:szCs w:val="22"/>
                        </w:rPr>
                        <m:t>*</m:t>
                      </m:r>
                    </m:sup>
                  </m:sSubSup>
                  <m:r>
                    <w:rPr>
                      <w:rFonts w:ascii="Cambria Math" w:hAnsi="Cambria Math"/>
                      <w:szCs w:val="22"/>
                    </w:rPr>
                    <m:t>≤0</m:t>
                  </m:r>
                </m:e>
              </m:mr>
              <m:mr>
                <m:e>
                  <m:r>
                    <w:rPr>
                      <w:rFonts w:ascii="Cambria Math" w:hAnsi="Cambria Math"/>
                      <w:szCs w:val="22"/>
                    </w:rPr>
                    <m:t xml:space="preserve">1 </m:t>
                  </m:r>
                  <m:r>
                    <m:rPr>
                      <m:sty m:val="p"/>
                    </m:rPr>
                    <w:rPr>
                      <w:rFonts w:ascii="Cambria Math" w:hAnsi="Cambria Math"/>
                      <w:szCs w:val="22"/>
                    </w:rPr>
                    <m:t>if</m:t>
                  </m:r>
                  <m:r>
                    <w:rPr>
                      <w:rFonts w:ascii="Cambria Math" w:hAnsi="Cambria Math"/>
                      <w:szCs w:val="22"/>
                    </w:rPr>
                    <m:t xml:space="preserve"> </m:t>
                  </m:r>
                  <m:sSubSup>
                    <m:sSubSupPr>
                      <m:ctrlPr>
                        <w:rPr>
                          <w:rFonts w:ascii="Cambria Math" w:hAnsi="Cambria Math"/>
                          <w:i/>
                          <w:szCs w:val="22"/>
                        </w:rPr>
                      </m:ctrlPr>
                    </m:sSubSupPr>
                    <m:e>
                      <m:r>
                        <w:rPr>
                          <w:rFonts w:ascii="Cambria Math" w:hAnsi="Cambria Math"/>
                          <w:szCs w:val="22"/>
                        </w:rPr>
                        <m:t>pct</m:t>
                      </m:r>
                    </m:e>
                    <m:sub>
                      <m:r>
                        <w:rPr>
                          <w:rFonts w:ascii="Cambria Math" w:hAnsi="Cambria Math"/>
                          <w:szCs w:val="22"/>
                        </w:rPr>
                        <m:t>i</m:t>
                      </m:r>
                      <m:r>
                        <w:rPr>
                          <w:rFonts w:ascii="Cambria Math" w:hAnsi="Cambria Math"/>
                          <w:szCs w:val="22"/>
                        </w:rPr>
                        <m:t>jt</m:t>
                      </m:r>
                    </m:sub>
                    <m:sup>
                      <m:r>
                        <w:rPr>
                          <w:rFonts w:ascii="Cambria Math" w:hAnsi="Cambria Math"/>
                          <w:szCs w:val="22"/>
                        </w:rPr>
                        <m:t>*</m:t>
                      </m:r>
                    </m:sup>
                  </m:sSubSup>
                  <m:r>
                    <w:rPr>
                      <w:rFonts w:ascii="Cambria Math" w:hAnsi="Cambria Math"/>
                      <w:szCs w:val="22"/>
                    </w:rPr>
                    <m:t>&gt;0</m:t>
                  </m:r>
                </m:e>
              </m:mr>
            </m:m>
          </m:e>
        </m:d>
      </m:oMath>
      <w:r w:rsidR="003529B2" w:rsidRPr="003C163A">
        <w:rPr>
          <w:szCs w:val="22"/>
        </w:rPr>
        <w:t xml:space="preserve">   , </w:t>
      </w:r>
    </w:p>
    <w:p w:rsidR="003529B2" w:rsidRPr="003C163A" w:rsidRDefault="003529B2" w:rsidP="003529B2">
      <w:pPr>
        <w:pStyle w:val="ONUME"/>
        <w:numPr>
          <w:ilvl w:val="0"/>
          <w:numId w:val="0"/>
        </w:numPr>
      </w:pPr>
      <w:r w:rsidRPr="003C163A">
        <w:t xml:space="preserve">whereby </w:t>
      </w:r>
      <m:oMath>
        <m:sSub>
          <m:sSubPr>
            <m:ctrlPr>
              <w:rPr>
                <w:rFonts w:ascii="Cambria Math" w:hAnsi="Cambria Math"/>
                <w:i/>
              </w:rPr>
            </m:ctrlPr>
          </m:sSubPr>
          <m:e>
            <m:r>
              <w:rPr>
                <w:rFonts w:ascii="Cambria Math" w:hAnsi="Cambria Math"/>
              </w:rPr>
              <m:t>pct</m:t>
            </m:r>
          </m:e>
          <m:sub>
            <m:r>
              <w:rPr>
                <w:rFonts w:ascii="Cambria Math" w:hAnsi="Cambria Math"/>
              </w:rPr>
              <m:t>ijt</m:t>
            </m:r>
          </m:sub>
        </m:sSub>
      </m:oMath>
      <w:r w:rsidRPr="003C163A">
        <w:rPr>
          <w:rFonts w:eastAsiaTheme="minorEastAsia"/>
        </w:rPr>
        <w:t xml:space="preserve"> is equal to 1, if patent family </w:t>
      </w:r>
      <w:proofErr w:type="spellStart"/>
      <w:r w:rsidRPr="003C163A">
        <w:rPr>
          <w:rFonts w:eastAsiaTheme="minorEastAsia"/>
          <w:i/>
        </w:rPr>
        <w:t>i</w:t>
      </w:r>
      <w:proofErr w:type="spellEnd"/>
      <w:r w:rsidRPr="003C163A">
        <w:rPr>
          <w:rFonts w:eastAsiaTheme="minorEastAsia"/>
        </w:rPr>
        <w:t xml:space="preserve"> of origin </w:t>
      </w:r>
      <w:r w:rsidRPr="003C163A">
        <w:rPr>
          <w:rFonts w:eastAsiaTheme="minorEastAsia"/>
          <w:i/>
        </w:rPr>
        <w:t>j</w:t>
      </w:r>
      <w:r w:rsidRPr="003C163A">
        <w:rPr>
          <w:rFonts w:eastAsiaTheme="minorEastAsia"/>
        </w:rPr>
        <w:t xml:space="preserve"> includes a PCT application filed during calendar month </w:t>
      </w:r>
      <w:r w:rsidRPr="003C163A">
        <w:rPr>
          <w:rFonts w:eastAsiaTheme="minorEastAsia"/>
          <w:i/>
        </w:rPr>
        <w:t>t</w:t>
      </w:r>
      <w:r w:rsidRPr="003C163A">
        <w:rPr>
          <w:rFonts w:eastAsiaTheme="minorEastAsia"/>
        </w:rPr>
        <w:t xml:space="preserve">, and </w:t>
      </w:r>
      <w:r w:rsidRPr="003C163A">
        <w:t xml:space="preserve">0 if the patent family opted for a Paris-route filing, whereby </w:t>
      </w:r>
      <w:r w:rsidRPr="003C163A">
        <w:rPr>
          <w:i/>
        </w:rPr>
        <w:t>t</w:t>
      </w:r>
      <w:r w:rsidRPr="003C163A">
        <w:t xml:space="preserve"> then corresponds to the month of the first Paris-route filing.  The variable  </w:t>
      </w:r>
      <m:oMath>
        <m:sSubSup>
          <m:sSubSupPr>
            <m:ctrlPr>
              <w:rPr>
                <w:rFonts w:ascii="Cambria Math" w:hAnsi="Cambria Math"/>
                <w:i/>
              </w:rPr>
            </m:ctrlPr>
          </m:sSubSupPr>
          <m:e>
            <m:r>
              <w:rPr>
                <w:rFonts w:ascii="Cambria Math" w:hAnsi="Cambria Math"/>
              </w:rPr>
              <m:t>pct</m:t>
            </m:r>
          </m:e>
          <m:sub>
            <m:r>
              <w:rPr>
                <w:rFonts w:ascii="Cambria Math" w:hAnsi="Cambria Math"/>
              </w:rPr>
              <m:t>ijt</m:t>
            </m:r>
          </m:sub>
          <m:sup>
            <m:r>
              <w:rPr>
                <w:rFonts w:ascii="Cambria Math" w:hAnsi="Cambria Math"/>
              </w:rPr>
              <m:t>*</m:t>
            </m:r>
          </m:sup>
        </m:sSubSup>
      </m:oMath>
      <w:r w:rsidRPr="003C163A">
        <w:rPr>
          <w:rFonts w:eastAsiaTheme="minorEastAsia"/>
        </w:rPr>
        <w:t xml:space="preserve"> is unobservable and is itself determined through:</w:t>
      </w:r>
    </w:p>
    <w:p w:rsidR="003529B2" w:rsidRPr="003C163A" w:rsidRDefault="00060A1C" w:rsidP="003529B2">
      <w:pPr>
        <w:spacing w:after="360"/>
        <w:jc w:val="center"/>
        <w:rPr>
          <w:szCs w:val="22"/>
        </w:rPr>
      </w:pPr>
      <m:oMath>
        <m:sSubSup>
          <m:sSubSupPr>
            <m:ctrlPr>
              <w:rPr>
                <w:rFonts w:ascii="Cambria Math" w:hAnsi="Cambria Math"/>
                <w:i/>
                <w:szCs w:val="22"/>
              </w:rPr>
            </m:ctrlPr>
          </m:sSubSupPr>
          <m:e>
            <m:r>
              <w:rPr>
                <w:rFonts w:ascii="Cambria Math" w:hAnsi="Cambria Math"/>
                <w:szCs w:val="22"/>
              </w:rPr>
              <m:t>pct</m:t>
            </m:r>
          </m:e>
          <m:sub>
            <m:r>
              <w:rPr>
                <w:rFonts w:ascii="Cambria Math" w:hAnsi="Cambria Math"/>
                <w:szCs w:val="22"/>
              </w:rPr>
              <m:t>ijt</m:t>
            </m:r>
          </m:sub>
          <m:sup>
            <m:r>
              <w:rPr>
                <w:rFonts w:ascii="Cambria Math" w:hAnsi="Cambria Math"/>
                <w:szCs w:val="22"/>
              </w:rPr>
              <m:t>*</m:t>
            </m:r>
          </m:sup>
        </m:sSubSup>
        <m:r>
          <w:rPr>
            <w:rFonts w:ascii="Cambria Math" w:hAnsi="Cambria Math"/>
            <w:szCs w:val="22"/>
          </w:rPr>
          <m:t>=α</m:t>
        </m:r>
        <m:sSub>
          <m:sSubPr>
            <m:ctrlPr>
              <w:rPr>
                <w:rFonts w:ascii="Cambria Math" w:hAnsi="Cambria Math"/>
                <w:i/>
                <w:szCs w:val="22"/>
              </w:rPr>
            </m:ctrlPr>
          </m:sSubPr>
          <m:e>
            <m:r>
              <m:rPr>
                <m:sty m:val="p"/>
              </m:rPr>
              <w:rPr>
                <w:rFonts w:ascii="Cambria Math" w:hAnsi="Cambria Math"/>
                <w:szCs w:val="22"/>
              </w:rPr>
              <m:t xml:space="preserve"> ln</m:t>
            </m:r>
            <m:r>
              <w:rPr>
                <w:rFonts w:ascii="Cambria Math" w:hAnsi="Cambria Math"/>
                <w:szCs w:val="22"/>
              </w:rPr>
              <m:t>f</m:t>
            </m:r>
          </m:e>
          <m:sub>
            <m:r>
              <w:rPr>
                <w:rFonts w:ascii="Cambria Math" w:hAnsi="Cambria Math"/>
                <w:szCs w:val="22"/>
              </w:rPr>
              <m:t>jt</m:t>
            </m:r>
          </m:sub>
        </m:sSub>
        <m:r>
          <w:rPr>
            <w:rFonts w:ascii="Cambria Math" w:hAnsi="Cambria Math"/>
            <w:szCs w:val="22"/>
          </w:rPr>
          <m:t>+</m:t>
        </m:r>
        <m:sSub>
          <m:sSubPr>
            <m:ctrlPr>
              <w:rPr>
                <w:rFonts w:ascii="Cambria Math" w:hAnsi="Cambria Math"/>
                <w:i/>
                <w:szCs w:val="22"/>
              </w:rPr>
            </m:ctrlPr>
          </m:sSubPr>
          <m:e>
            <m:r>
              <m:rPr>
                <m:sty m:val="p"/>
              </m:rPr>
              <w:rPr>
                <w:rFonts w:ascii="Cambria Math" w:hAnsi="Cambria Math"/>
                <w:szCs w:val="22"/>
              </w:rPr>
              <m:t>β ln</m:t>
            </m:r>
            <m:r>
              <w:rPr>
                <w:rFonts w:ascii="Cambria Math" w:hAnsi="Cambria Math"/>
                <w:szCs w:val="22"/>
              </w:rPr>
              <m:t>unemp</m:t>
            </m:r>
          </m:e>
          <m:sub>
            <m:r>
              <w:rPr>
                <w:rFonts w:ascii="Cambria Math" w:hAnsi="Cambria Math"/>
                <w:szCs w:val="22"/>
              </w:rPr>
              <m:t>jt</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γ mem</m:t>
            </m:r>
          </m:e>
          <m:sub>
            <m:r>
              <w:rPr>
                <w:rFonts w:ascii="Cambria Math" w:hAnsi="Cambria Math"/>
                <w:szCs w:val="22"/>
              </w:rPr>
              <m:t>jt</m:t>
            </m:r>
          </m:sub>
        </m:sSub>
        <m:r>
          <w:rPr>
            <w:rFonts w:ascii="Cambria Math" w:hAnsi="Cambria Math"/>
            <w:szCs w:val="22"/>
          </w:rPr>
          <m:t xml:space="preserve">+δ </m:t>
        </m:r>
        <m:sSub>
          <m:sSubPr>
            <m:ctrlPr>
              <w:rPr>
                <w:rFonts w:ascii="Cambria Math" w:hAnsi="Cambria Math"/>
                <w:i/>
                <w:szCs w:val="22"/>
              </w:rPr>
            </m:ctrlPr>
          </m:sSubPr>
          <m:e>
            <m:r>
              <m:rPr>
                <m:sty m:val="p"/>
              </m:rPr>
              <w:rPr>
                <w:rFonts w:ascii="Cambria Math" w:hAnsi="Cambria Math"/>
                <w:szCs w:val="22"/>
              </w:rPr>
              <m:t>Ω</m:t>
            </m:r>
          </m:e>
          <m:sub>
            <m:r>
              <w:rPr>
                <w:rFonts w:ascii="Cambria Math" w:hAnsi="Cambria Math"/>
                <w:szCs w:val="22"/>
              </w:rPr>
              <m:t>i</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μ</m:t>
            </m:r>
          </m:e>
          <m:sub>
            <m:r>
              <w:rPr>
                <w:rFonts w:ascii="Cambria Math" w:hAnsi="Cambria Math"/>
                <w:szCs w:val="22"/>
              </w:rPr>
              <m:t>j</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θ</m:t>
            </m:r>
          </m:e>
          <m:sub>
            <m:r>
              <w:rPr>
                <w:rFonts w:ascii="Cambria Math" w:hAnsi="Cambria Math"/>
                <w:szCs w:val="22"/>
              </w:rPr>
              <m:t>t</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φ mkt</m:t>
            </m:r>
          </m:e>
          <m:sub>
            <m:r>
              <w:rPr>
                <w:rFonts w:ascii="Cambria Math" w:hAnsi="Cambria Math"/>
                <w:szCs w:val="22"/>
              </w:rPr>
              <m:t>j(t-12)</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ε</m:t>
            </m:r>
          </m:e>
          <m:sub>
            <m:r>
              <w:rPr>
                <w:rFonts w:ascii="Cambria Math" w:hAnsi="Cambria Math"/>
                <w:szCs w:val="22"/>
              </w:rPr>
              <m:t>ijt</m:t>
            </m:r>
          </m:sub>
        </m:sSub>
      </m:oMath>
      <w:r w:rsidR="003529B2" w:rsidRPr="003C163A">
        <w:rPr>
          <w:rFonts w:eastAsiaTheme="minorEastAsia"/>
          <w:szCs w:val="22"/>
        </w:rPr>
        <w:t xml:space="preserve"> ,</w:t>
      </w:r>
    </w:p>
    <w:p w:rsidR="003529B2" w:rsidRPr="003C163A" w:rsidRDefault="003529B2" w:rsidP="003529B2">
      <w:pPr>
        <w:pStyle w:val="ONUME"/>
        <w:numPr>
          <w:ilvl w:val="0"/>
          <w:numId w:val="0"/>
        </w:numPr>
      </w:pPr>
      <w:r w:rsidRPr="003C163A">
        <w:t xml:space="preserve">whereby </w:t>
      </w:r>
      <w:proofErr w:type="spellStart"/>
      <w:r w:rsidRPr="003C163A">
        <w:rPr>
          <w:i/>
        </w:rPr>
        <w:t>f</w:t>
      </w:r>
      <w:r w:rsidRPr="003C163A">
        <w:rPr>
          <w:vertAlign w:val="subscript"/>
        </w:rPr>
        <w:t>jt</w:t>
      </w:r>
      <w:proofErr w:type="spellEnd"/>
      <w:r w:rsidRPr="003C163A">
        <w:t xml:space="preserve"> captures the local currency filing fee faced by the family’s patent applicant, which varies by origin and month;  </w:t>
      </w:r>
      <w:proofErr w:type="spellStart"/>
      <w:r w:rsidRPr="003C163A">
        <w:rPr>
          <w:i/>
        </w:rPr>
        <w:t>unemp</w:t>
      </w:r>
      <w:r w:rsidRPr="003C163A">
        <w:rPr>
          <w:i/>
          <w:vertAlign w:val="subscript"/>
        </w:rPr>
        <w:t>jt</w:t>
      </w:r>
      <w:proofErr w:type="spellEnd"/>
      <w:r w:rsidRPr="003C163A">
        <w:t xml:space="preserve"> captures the state of the economy at origin </w:t>
      </w:r>
      <w:r w:rsidRPr="003C163A">
        <w:rPr>
          <w:i/>
        </w:rPr>
        <w:t>j</w:t>
      </w:r>
      <w:r w:rsidRPr="003C163A">
        <w:t xml:space="preserve"> and month </w:t>
      </w:r>
      <w:r w:rsidRPr="003C163A">
        <w:rPr>
          <w:i/>
        </w:rPr>
        <w:t>t</w:t>
      </w:r>
      <w:r w:rsidRPr="003C163A">
        <w:t xml:space="preserve">, as captured by the unemployment rate; </w:t>
      </w:r>
      <w:proofErr w:type="spellStart"/>
      <w:r w:rsidRPr="003C163A">
        <w:rPr>
          <w:i/>
        </w:rPr>
        <w:t>mem</w:t>
      </w:r>
      <w:r w:rsidRPr="003C163A">
        <w:rPr>
          <w:vertAlign w:val="subscript"/>
        </w:rPr>
        <w:t>jt</w:t>
      </w:r>
      <w:proofErr w:type="spellEnd"/>
      <w:r w:rsidRPr="003C163A">
        <w:t xml:space="preserve"> is a dummy variable that is 1 if residents of origin </w:t>
      </w:r>
      <w:r w:rsidRPr="003C163A">
        <w:rPr>
          <w:i/>
        </w:rPr>
        <w:t>j</w:t>
      </w:r>
      <w:r w:rsidRPr="003C163A">
        <w:t xml:space="preserve"> were eligible to file under the PCT in calendar month </w:t>
      </w:r>
      <w:r w:rsidRPr="003C163A">
        <w:rPr>
          <w:i/>
        </w:rPr>
        <w:t>t</w:t>
      </w:r>
      <w:r w:rsidRPr="003C163A">
        <w:t xml:space="preserve">, and zero otherwise; </w:t>
      </w:r>
      <w:r w:rsidRPr="003C163A">
        <w:rPr>
          <w:i/>
        </w:rPr>
        <w:t>Ω</w:t>
      </w:r>
      <w:proofErr w:type="spellStart"/>
      <w:r w:rsidRPr="003C163A">
        <w:rPr>
          <w:i/>
          <w:vertAlign w:val="subscript"/>
        </w:rPr>
        <w:t>i</w:t>
      </w:r>
      <w:proofErr w:type="spellEnd"/>
      <w:r w:rsidRPr="003C163A">
        <w:t xml:space="preserve"> is a set of family-specific controls, which includes the size of the family, dummy variables for technology fields, and dummy variables for different applicant types; </w:t>
      </w:r>
      <w:proofErr w:type="spellStart"/>
      <w:r w:rsidRPr="003C163A">
        <w:rPr>
          <w:i/>
        </w:rPr>
        <w:t>μ</w:t>
      </w:r>
      <w:r w:rsidRPr="003C163A">
        <w:rPr>
          <w:i/>
          <w:vertAlign w:val="subscript"/>
        </w:rPr>
        <w:t>j</w:t>
      </w:r>
      <w:proofErr w:type="spellEnd"/>
      <w:r w:rsidRPr="003C163A">
        <w:t xml:space="preserve"> and </w:t>
      </w:r>
      <w:proofErr w:type="spellStart"/>
      <w:r w:rsidRPr="003C163A">
        <w:t>θ</w:t>
      </w:r>
      <w:r w:rsidRPr="003C163A">
        <w:rPr>
          <w:vertAlign w:val="subscript"/>
        </w:rPr>
        <w:t>t</w:t>
      </w:r>
      <w:proofErr w:type="spellEnd"/>
      <w:r w:rsidRPr="003C163A">
        <w:t xml:space="preserve"> are origin and calendar month fixed effects, respectively; </w:t>
      </w:r>
      <w:proofErr w:type="spellStart"/>
      <w:r w:rsidRPr="003C163A">
        <w:rPr>
          <w:i/>
        </w:rPr>
        <w:t>mkt</w:t>
      </w:r>
      <w:r w:rsidRPr="003C163A">
        <w:rPr>
          <w:i/>
          <w:vertAlign w:val="subscript"/>
        </w:rPr>
        <w:t>j</w:t>
      </w:r>
      <w:proofErr w:type="spellEnd"/>
      <w:r w:rsidRPr="003C163A">
        <w:rPr>
          <w:i/>
          <w:vertAlign w:val="subscript"/>
        </w:rPr>
        <w:t>(t-12)</w:t>
      </w:r>
      <w:r w:rsidRPr="003C163A">
        <w:t xml:space="preserve"> is the 12-month lag of the moving average of the PCT market share for origin </w:t>
      </w:r>
      <w:r w:rsidRPr="003C163A">
        <w:rPr>
          <w:i/>
        </w:rPr>
        <w:t>j</w:t>
      </w:r>
      <w:r w:rsidRPr="003C163A">
        <w:t xml:space="preserve">;  </w:t>
      </w:r>
      <w:proofErr w:type="spellStart"/>
      <w:r w:rsidRPr="003C163A">
        <w:t>ε</w:t>
      </w:r>
      <w:r w:rsidRPr="003C163A">
        <w:rPr>
          <w:vertAlign w:val="subscript"/>
        </w:rPr>
        <w:t>ijt</w:t>
      </w:r>
      <w:proofErr w:type="spellEnd"/>
      <w:r w:rsidRPr="003C163A">
        <w:t xml:space="preserve"> is an </w:t>
      </w:r>
      <w:proofErr w:type="spellStart"/>
      <w:r w:rsidRPr="003C163A">
        <w:t>i.i.d</w:t>
      </w:r>
      <w:proofErr w:type="spellEnd"/>
      <w:r w:rsidRPr="003C163A">
        <w:t>. error term; and α, β, γ, δ, and ϕ are (vectors of) coefficients to be estimated.</w:t>
      </w:r>
      <w:r w:rsidR="000B5C8A">
        <w:rPr>
          <w:rStyle w:val="FootnoteReference"/>
        </w:rPr>
        <w:footnoteReference w:id="10"/>
      </w:r>
      <w:r w:rsidRPr="003C163A">
        <w:t xml:space="preserve"> </w:t>
      </w:r>
    </w:p>
    <w:p w:rsidR="003529B2" w:rsidRPr="003C163A" w:rsidRDefault="003529B2" w:rsidP="003529B2">
      <w:pPr>
        <w:pStyle w:val="ONUME"/>
      </w:pPr>
      <w:r w:rsidRPr="003C163A">
        <w:t>Three explanatory comments are in order.  First, it seems important to control for the business cycle in the estimation, but at the outset it is not clear whether the state of the economy affects an applicant’s decision on whether to choose the PCT route positively or negatively.  On the one hand, an underperforming economy may lead companies to shun the PCT and opt for a smaller-family Paris route strategy.  On the other hand, it could also lead applicants to prefer the PCT route as a way to postpone national and regional filing expenses.</w:t>
      </w:r>
    </w:p>
    <w:p w:rsidR="003529B2" w:rsidRPr="003C163A" w:rsidRDefault="003529B2" w:rsidP="003529B2">
      <w:pPr>
        <w:pStyle w:val="ONUME"/>
      </w:pPr>
      <w:r w:rsidRPr="003C163A">
        <w:t>Second, we include the PCT membership dummy, as patent families from origins that are not members of the system may well use it.  In particular, we derive a patent family’s origin by the origin of the first-named applicant.  However, a patent family may have co-applicants of different origin and, in order to qualify under the PCT, it is sufficient for one applicant origin to be a member of the system.</w:t>
      </w:r>
    </w:p>
    <w:p w:rsidR="003529B2" w:rsidRPr="003C163A" w:rsidRDefault="003529B2" w:rsidP="003529B2">
      <w:pPr>
        <w:pStyle w:val="ONUME"/>
      </w:pPr>
      <w:r w:rsidRPr="003C163A">
        <w:t xml:space="preserve">Third, we include the </w:t>
      </w:r>
      <w:proofErr w:type="spellStart"/>
      <w:proofErr w:type="gramStart"/>
      <w:r w:rsidRPr="003C163A">
        <w:rPr>
          <w:i/>
        </w:rPr>
        <w:t>mkt</w:t>
      </w:r>
      <w:r w:rsidRPr="003C163A">
        <w:rPr>
          <w:i/>
          <w:vertAlign w:val="subscript"/>
        </w:rPr>
        <w:t>j</w:t>
      </w:r>
      <w:proofErr w:type="spellEnd"/>
      <w:r w:rsidRPr="003C163A">
        <w:rPr>
          <w:i/>
          <w:vertAlign w:val="subscript"/>
        </w:rPr>
        <w:t>(</w:t>
      </w:r>
      <w:proofErr w:type="gramEnd"/>
      <w:r w:rsidRPr="003C163A">
        <w:rPr>
          <w:i/>
          <w:vertAlign w:val="subscript"/>
        </w:rPr>
        <w:t>t-12)</w:t>
      </w:r>
      <w:r w:rsidRPr="003C163A">
        <w:t xml:space="preserve"> variable as a control for autonomous changes in the propensity to use the PCT system over time.  In particular, most origins have seen an increase in the PCT market share due to shifting company strategies, increased awareness, greater attractiveness of the system due its growing membership, and possibly other factors.  To the extent that these influences are origin-specific, the inclusion of calendar month fixed effects does not fully control for them.  We lag the PCT market share variable by 12-month, as the fee level and unemployment rate may influence the concurrent market share.</w:t>
      </w:r>
    </w:p>
    <w:p w:rsidR="003529B2" w:rsidRPr="003C163A" w:rsidRDefault="003529B2" w:rsidP="003529B2">
      <w:pPr>
        <w:pStyle w:val="Heading1"/>
      </w:pPr>
      <w:r w:rsidRPr="003C163A">
        <w:t>Data</w:t>
      </w:r>
    </w:p>
    <w:p w:rsidR="003529B2" w:rsidRPr="003C163A" w:rsidRDefault="003529B2" w:rsidP="003529B2">
      <w:pPr>
        <w:pStyle w:val="ONUME"/>
      </w:pPr>
      <w:r w:rsidRPr="003C163A">
        <w:t xml:space="preserve">We derive our patent family data from the European Patent Office’s </w:t>
      </w:r>
      <w:r w:rsidRPr="003C163A">
        <w:rPr>
          <w:i/>
        </w:rPr>
        <w:t>PATSTAT</w:t>
      </w:r>
      <w:r w:rsidRPr="003C163A">
        <w:t xml:space="preserve"> database.  In particular, we focus on all families that have equivalents at two offices or more, or one equivalent plus a PCT filing.  In other words, we ignore “domestic only” families as well as “PCT only” families, as applicants in these cases do not face the PCT versus Paris choice underlying the discrete choice model.  We extract all patent families that meet this definition and that have </w:t>
      </w:r>
      <w:r w:rsidRPr="003C163A">
        <w:lastRenderedPageBreak/>
        <w:t>a first filing date of January 1, 2003 or later.  We also extract information on the size of the patent family as well as the technology field(s) covered by the application.</w:t>
      </w:r>
      <w:r w:rsidRPr="003C163A">
        <w:rPr>
          <w:rStyle w:val="FootnoteReference"/>
          <w:szCs w:val="22"/>
        </w:rPr>
        <w:footnoteReference w:id="11"/>
      </w:r>
      <w:r w:rsidRPr="003C163A">
        <w:t xml:space="preserve">  Finally, we employ a keyword-based search algorithm to identify applications for which the first-named applicant is a university or public research organization (PRO).</w:t>
      </w:r>
      <w:r w:rsidRPr="003C163A">
        <w:rPr>
          <w:rStyle w:val="FootnoteReference"/>
          <w:szCs w:val="22"/>
        </w:rPr>
        <w:footnoteReference w:id="12"/>
      </w:r>
      <w:r w:rsidRPr="003C163A">
        <w:t xml:space="preserve">  Unfortunately, it is not possible to identify applicants representing SMEs through similar techniques and patent documents generally do not contain any further information through which one could determine the size of company applicants.</w:t>
      </w:r>
    </w:p>
    <w:p w:rsidR="003529B2" w:rsidRPr="003C163A" w:rsidRDefault="003529B2" w:rsidP="003529B2">
      <w:pPr>
        <w:pStyle w:val="ONUME"/>
      </w:pPr>
      <w:r w:rsidRPr="003C163A">
        <w:t xml:space="preserve">We rely on the PCT’s historical fee schedule to derive monthly local currency fees by origin, from 2004 to 2012.  The fee schedule provides information on the </w:t>
      </w:r>
      <w:r w:rsidR="00EB5B66">
        <w:t xml:space="preserve">amount of the international filing fee in </w:t>
      </w:r>
      <w:r w:rsidRPr="003C163A">
        <w:t>Swiss franc</w:t>
      </w:r>
      <w:r w:rsidR="00EB5B66">
        <w:t>s</w:t>
      </w:r>
      <w:r w:rsidRPr="003C163A">
        <w:t xml:space="preserve"> well as the equivalent amounts for freely convertible currencies.  These fees can be directly applied to jurisdictions with a freely convertible currency.  For other jurisdictions, we use information on the fee policy of receiving </w:t>
      </w:r>
      <w:r w:rsidR="00357CBF">
        <w:t>O</w:t>
      </w:r>
      <w:r w:rsidRPr="003C163A">
        <w:t xml:space="preserve">ffices available in the PCT Applicant’s Guide as well as monthly market exchange rates from the International Monetary Fund’s </w:t>
      </w:r>
      <w:r w:rsidRPr="003C163A">
        <w:rPr>
          <w:i/>
        </w:rPr>
        <w:t>International Financial Statistics</w:t>
      </w:r>
      <w:r w:rsidRPr="003C163A">
        <w:t xml:space="preserve"> to calculate local currency equivalent fees.</w:t>
      </w:r>
      <w:r w:rsidRPr="003C163A">
        <w:rPr>
          <w:rStyle w:val="FootnoteReference"/>
          <w:szCs w:val="22"/>
        </w:rPr>
        <w:footnoteReference w:id="13"/>
      </w:r>
    </w:p>
    <w:p w:rsidR="003529B2" w:rsidRPr="003C163A" w:rsidRDefault="003529B2" w:rsidP="003529B2">
      <w:pPr>
        <w:pStyle w:val="ONUME"/>
      </w:pPr>
      <w:r w:rsidRPr="003C163A">
        <w:t xml:space="preserve">This approach implicitly assumes that applicants of any given origin file at their home receiving </w:t>
      </w:r>
      <w:r w:rsidR="00357CBF">
        <w:t>O</w:t>
      </w:r>
      <w:r w:rsidRPr="003C163A">
        <w:t>ffice.  In practice, this assumption does not always hold, for two reasons.  First, applicants of certain European origins have the choice between filing a PCT application at their national office or at the European Patent Office.  To the extent that the applicant resides in a Eurozone member country, this is not a problem – the same euro fee applies.  However, applicants residing outside the Eurozone – for example, in Switzerland or the UK – would either pay in their local currency at the home office or in euros at the EPO.  For these cases, we use the local currency fee at the home office, noting that the regular adjustment of equivalent amounts preempts large differences between the local currency fee and the local currency equivalent of the euro fee.</w:t>
      </w:r>
    </w:p>
    <w:p w:rsidR="003529B2" w:rsidRPr="003C163A" w:rsidRDefault="003529B2" w:rsidP="003529B2">
      <w:pPr>
        <w:pStyle w:val="ONUME"/>
      </w:pPr>
      <w:r w:rsidRPr="003C163A">
        <w:t>Second, as already pointed out, we derive a patent family’s origin by the origin of the first-named applicant.  However, if the family has a co-applicant of different origin, the application may well be filed at an office other than the home office of the first-named applicant.  Indeed, this will always be the case when the first-named applicant is neither a national nor a resident of a PCT member country.  For such cases, we use – for the same reasons – the local currency fee at the home office or, for non-PCT member countries, the local currency equivalent of the Swiss franc fee.  In any case, the number of applications with more than one applicant is relatively small.</w:t>
      </w:r>
    </w:p>
    <w:p w:rsidR="003529B2" w:rsidRPr="003C163A" w:rsidRDefault="003529B2" w:rsidP="003529B2">
      <w:pPr>
        <w:pStyle w:val="ONUME"/>
      </w:pPr>
      <w:r w:rsidRPr="003C163A">
        <w:t xml:space="preserve">We deflate the nominal fees using monthly consumer price index (CPI) data by origin from the IMF’s </w:t>
      </w:r>
      <w:r w:rsidRPr="003C163A">
        <w:rPr>
          <w:i/>
        </w:rPr>
        <w:t>International Financial Statistics</w:t>
      </w:r>
      <w:r w:rsidRPr="003C163A">
        <w:t>.  Note that this introduces (minor) variation in real fees faced by applicants in Eurozone member countries.  Unfortunately, CPI data are missing for a considerable number of origins, though the implied reduction in the sample size is small as CPI data exist for the largest patent-filing origins.</w:t>
      </w:r>
    </w:p>
    <w:p w:rsidR="003529B2" w:rsidRPr="003C163A" w:rsidRDefault="003529B2" w:rsidP="003529B2">
      <w:pPr>
        <w:pStyle w:val="ONUME"/>
      </w:pPr>
      <w:r w:rsidRPr="003C163A">
        <w:lastRenderedPageBreak/>
        <w:t xml:space="preserve">Finally, we extract data on monthly unemployment rates from the </w:t>
      </w:r>
      <w:r w:rsidRPr="003C163A">
        <w:rPr>
          <w:i/>
        </w:rPr>
        <w:t>LABORSTA</w:t>
      </w:r>
      <w:r w:rsidRPr="003C163A">
        <w:t xml:space="preserve"> database of the International </w:t>
      </w:r>
      <w:proofErr w:type="spellStart"/>
      <w:r w:rsidRPr="003C163A">
        <w:t>Labour</w:t>
      </w:r>
      <w:proofErr w:type="spellEnd"/>
      <w:r w:rsidRPr="003C163A">
        <w:t xml:space="preserve"> Organization (ILO).  Like for the CPI data, unemployment data are missing for many origins, though again the implied reduction in sample size is small.</w:t>
      </w:r>
    </w:p>
    <w:p w:rsidR="003529B2" w:rsidRPr="003C163A" w:rsidRDefault="003529B2" w:rsidP="003529B2">
      <w:pPr>
        <w:pStyle w:val="Heading1"/>
      </w:pPr>
      <w:r w:rsidRPr="003C163A">
        <w:t>Results</w:t>
      </w:r>
    </w:p>
    <w:p w:rsidR="003529B2" w:rsidRPr="003C163A" w:rsidRDefault="003529B2" w:rsidP="003529B2">
      <w:pPr>
        <w:pStyle w:val="ONUME"/>
      </w:pPr>
      <w:r w:rsidRPr="003C163A">
        <w:t xml:space="preserve">We estimate the discrete choice model described in Section 2 using a </w:t>
      </w:r>
      <w:proofErr w:type="spellStart"/>
      <w:r w:rsidRPr="003C163A">
        <w:t>probit</w:t>
      </w:r>
      <w:proofErr w:type="spellEnd"/>
      <w:r w:rsidRPr="003C163A">
        <w:t xml:space="preserve"> maximum likelihood approach.  Table 1 </w:t>
      </w:r>
      <w:r w:rsidR="00F32B06">
        <w:t xml:space="preserve">set out in the Annex </w:t>
      </w:r>
      <w:r w:rsidRPr="003C163A">
        <w:t>presents the main estimation results.</w:t>
      </w:r>
      <w:r w:rsidRPr="003C163A">
        <w:rPr>
          <w:rStyle w:val="FootnoteReference"/>
          <w:szCs w:val="22"/>
        </w:rPr>
        <w:t xml:space="preserve"> </w:t>
      </w:r>
      <w:r w:rsidRPr="003C163A">
        <w:rPr>
          <w:rStyle w:val="FootnoteReference"/>
          <w:szCs w:val="22"/>
        </w:rPr>
        <w:footnoteReference w:id="14"/>
      </w:r>
      <w:r w:rsidRPr="003C163A">
        <w:t xml:space="preserve">  In column (1), we include all model variables except the unemployment rate and the patent family size.  The estimation is based on a total of 1,375,911 patent families.  The results show a negative and statistically significant coefficient on the fee variable and a positive and statistically significant coefficient on the dummy variable for PCT membership.  In addition, the dummy variables for university and PRO applicants show a positive and statistically significant coefficient, with a much higher coefficient value for university applicants.</w:t>
      </w:r>
      <w:r w:rsidRPr="003C163A">
        <w:rPr>
          <w:rStyle w:val="FootnoteReference"/>
          <w:szCs w:val="22"/>
        </w:rPr>
        <w:footnoteReference w:id="15"/>
      </w:r>
    </w:p>
    <w:p w:rsidR="003529B2" w:rsidRPr="003C163A" w:rsidRDefault="003529B2" w:rsidP="003529B2">
      <w:pPr>
        <w:pStyle w:val="ONUME"/>
      </w:pPr>
      <w:r w:rsidRPr="003C163A">
        <w:t>We proceed by including the unemployment rate in column (2)</w:t>
      </w:r>
      <w:r w:rsidR="00F32B06">
        <w:t xml:space="preserve"> of Table 1</w:t>
      </w:r>
      <w:r w:rsidRPr="003C163A">
        <w:t>.  Due to missing data for this variable, the sample size falls somewhat, but the coefficient estimates for most variables do not change.</w:t>
      </w:r>
      <w:r w:rsidRPr="003C163A">
        <w:rPr>
          <w:rStyle w:val="FootnoteReference"/>
          <w:szCs w:val="22"/>
        </w:rPr>
        <w:footnoteReference w:id="16"/>
      </w:r>
      <w:r w:rsidRPr="003C163A">
        <w:t xml:space="preserve">  One important exception is the fee coefficient, which decreases from -0.121 to -0.077, although it remains statistically significant.  The decrease in the coefficient value is due to the relatively strong correlation between the unemployment rate and the PCT local currency fee, which reflects the simultaneous influence of exchange rate movements.</w:t>
      </w:r>
      <w:r w:rsidRPr="003C163A">
        <w:rPr>
          <w:rStyle w:val="FootnoteReference"/>
          <w:szCs w:val="22"/>
        </w:rPr>
        <w:footnoteReference w:id="17"/>
      </w:r>
      <w:r w:rsidRPr="003C163A">
        <w:t xml:space="preserve">  The coefficient on the unemployment rate itself is negative and statistically significant, suggesting that a poorly performing economy lowers the probability that an applicant opts for the PCT route.</w:t>
      </w:r>
    </w:p>
    <w:p w:rsidR="003529B2" w:rsidRPr="003C163A" w:rsidRDefault="003529B2" w:rsidP="003529B2">
      <w:pPr>
        <w:pStyle w:val="ONUME"/>
      </w:pPr>
      <w:r w:rsidRPr="003C163A">
        <w:t>In column (3)</w:t>
      </w:r>
      <w:r w:rsidR="00F32B06">
        <w:t xml:space="preserve"> of Table 1</w:t>
      </w:r>
      <w:r w:rsidRPr="003C163A">
        <w:t>, we introduce the size of the patent family into the estimation.  This requires us to drop 211,367 families that opted for the PCT route, but did not subsequently see any national phase entry, as we do not observe the “anticipated” family size in these cases.</w:t>
      </w:r>
      <w:r w:rsidRPr="003C163A">
        <w:rPr>
          <w:rStyle w:val="FootnoteReference"/>
          <w:szCs w:val="22"/>
        </w:rPr>
        <w:footnoteReference w:id="18"/>
      </w:r>
      <w:r w:rsidRPr="003C163A">
        <w:t xml:space="preserve">  We introduce family size by including dummy variables for different sizes, starting with equivalents at 2 offices, 3 offices and so on, and ending with a dummy variable for families with equivalents at 6 offices or more.  This dummy variable approach allows for a flexible functional impact of the family size.  Note that the number of offices includes the office of first filing.</w:t>
      </w:r>
    </w:p>
    <w:p w:rsidR="003529B2" w:rsidRPr="003C163A" w:rsidRDefault="003529B2" w:rsidP="003529B2">
      <w:pPr>
        <w:pStyle w:val="ONUME"/>
      </w:pPr>
      <w:r w:rsidRPr="003C163A">
        <w:t>The estimation results suggest that bigger families are more likely to opt for the PCT.  In particular, the coefficient estimates on the dummy variable rise from -0.654 for families with only</w:t>
      </w:r>
      <w:r w:rsidR="00F32B06">
        <w:t> </w:t>
      </w:r>
      <w:r w:rsidRPr="003C163A">
        <w:t xml:space="preserve">2 offices to 0.551 for families with 6 or more offices.  </w:t>
      </w:r>
    </w:p>
    <w:p w:rsidR="003529B2" w:rsidRPr="003C163A" w:rsidRDefault="003529B2" w:rsidP="003529B2">
      <w:pPr>
        <w:pStyle w:val="ONUME"/>
      </w:pPr>
      <w:r w:rsidRPr="003C163A">
        <w:t xml:space="preserve">In the final two columns in Table 1, we explore to what degree the effect of the fee variable depends on the family size and on the applicant type.  In particular, in column (4), we </w:t>
      </w:r>
      <w:proofErr w:type="gramStart"/>
      <w:r w:rsidRPr="003C163A">
        <w:t>interact</w:t>
      </w:r>
      <w:proofErr w:type="gramEnd"/>
      <w:r w:rsidRPr="003C163A">
        <w:t xml:space="preserve"> the fee variable with the 5 size dummy variables, thus allowing the coefficient on the fee variable to differ according to the size of the underlying family.  The results first show a rising effect of the fee, with families that include 4 offices exhibiting the largest effect.  The fee effect then declines and the coefficient </w:t>
      </w:r>
      <w:proofErr w:type="gramStart"/>
      <w:r w:rsidRPr="003C163A">
        <w:t>is</w:t>
      </w:r>
      <w:proofErr w:type="gramEnd"/>
      <w:r w:rsidRPr="003C163A">
        <w:t xml:space="preserve"> not any more statistically significant for families with </w:t>
      </w:r>
      <w:r w:rsidRPr="003C163A">
        <w:lastRenderedPageBreak/>
        <w:t>equivalents at 6 or more offices.  One way to interpret this result is that the Paris and PCT routes are especially close substitutes when applicants seek patent protection in exactly three foreign offices, in which case the filing fee matters the most in applicants’ filing decision.</w:t>
      </w:r>
    </w:p>
    <w:p w:rsidR="003529B2" w:rsidRPr="003C163A" w:rsidRDefault="003529B2" w:rsidP="008223A9">
      <w:pPr>
        <w:pStyle w:val="ONUME"/>
        <w:keepLines/>
      </w:pPr>
      <w:r w:rsidRPr="003C163A">
        <w:t>Finally, in column (5)</w:t>
      </w:r>
      <w:r w:rsidR="00F32B06">
        <w:t xml:space="preserve"> of Table 1</w:t>
      </w:r>
      <w:r w:rsidRPr="003C163A">
        <w:t xml:space="preserve">, we </w:t>
      </w:r>
      <w:proofErr w:type="gramStart"/>
      <w:r w:rsidRPr="003C163A">
        <w:t>interact</w:t>
      </w:r>
      <w:proofErr w:type="gramEnd"/>
      <w:r w:rsidRPr="003C163A">
        <w:t xml:space="preserve"> the fee variable with the dummy variable for university and PRO applicants as well as a dummy variable for all remaining applicants.  The results show a much higher fee effect for PRO and especially university applicants.  One possible reason for this result is that these types of applicants face stricter budget constraints in managing their patent portfolios, so that the level of the PCT </w:t>
      </w:r>
      <w:r w:rsidR="00EB5B66">
        <w:t xml:space="preserve">international filing </w:t>
      </w:r>
      <w:r w:rsidRPr="003C163A">
        <w:t>fee exerts a stronger effect on filing decisions.</w:t>
      </w:r>
    </w:p>
    <w:p w:rsidR="003529B2" w:rsidRPr="003C163A" w:rsidRDefault="003529B2" w:rsidP="003529B2">
      <w:pPr>
        <w:pStyle w:val="ONUME"/>
      </w:pPr>
      <w:r w:rsidRPr="003C163A">
        <w:t xml:space="preserve">How large are the estimated effects?  Table 2 </w:t>
      </w:r>
      <w:r w:rsidR="00F32B06">
        <w:t xml:space="preserve">set out in the Annex </w:t>
      </w:r>
      <w:r w:rsidRPr="003C163A">
        <w:t xml:space="preserve">presents the marginal effects associated with the </w:t>
      </w:r>
      <w:proofErr w:type="spellStart"/>
      <w:r w:rsidRPr="003C163A">
        <w:t>probit</w:t>
      </w:r>
      <w:proofErr w:type="spellEnd"/>
      <w:r w:rsidRPr="003C163A">
        <w:t xml:space="preserve"> coefficient estimates obtained in column (3) of Table 1.</w:t>
      </w:r>
      <w:r w:rsidRPr="003C163A">
        <w:rPr>
          <w:rStyle w:val="FootnoteReference"/>
          <w:szCs w:val="22"/>
        </w:rPr>
        <w:footnoteReference w:id="19"/>
      </w:r>
      <w:r w:rsidRPr="003C163A">
        <w:t xml:space="preserve">  One can interpret these marginal effects as percentage probabilities of opting for the PCT.  Thus, the marginal effect on the fee variable suggests that a 10 percent increase in the </w:t>
      </w:r>
      <w:r w:rsidR="00EB5B66">
        <w:t xml:space="preserve">international filing </w:t>
      </w:r>
      <w:r w:rsidRPr="003C163A">
        <w:t xml:space="preserve">fee would imply a 0.138 percent decrease in the probability that a foreign-oriented patent family chooses the PCT route.  Since the PCT market share stands at roughly 50 percent for the sample underlying the estimation, the implied value of the PCT fee elasticity is -0.0278.  In other words, a 10 percent increase of the </w:t>
      </w:r>
      <w:r w:rsidR="00EB5B66">
        <w:t xml:space="preserve">international filing </w:t>
      </w:r>
      <w:r w:rsidRPr="003C163A">
        <w:t xml:space="preserve">fee would lead to a 0.278 percent decline in the PCT filing volume – suggesting a highly inelastic response.  The marginal fee effects for universities and PROs – derived from the estimation in column (5) of Table 1 and not shown in Table 2 – take on values of -0.0338 and -0.0248, respectively; they confirm that universities and PROs are more responsive to fee changes, but even these higher values indicate </w:t>
      </w:r>
      <w:proofErr w:type="gramStart"/>
      <w:r w:rsidRPr="003C163A">
        <w:t>an overall</w:t>
      </w:r>
      <w:proofErr w:type="gramEnd"/>
      <w:r w:rsidRPr="003C163A">
        <w:t xml:space="preserve"> inelastic fee responsiveness.</w:t>
      </w:r>
    </w:p>
    <w:p w:rsidR="003529B2" w:rsidRPr="003C163A" w:rsidRDefault="003529B2" w:rsidP="003529B2">
      <w:pPr>
        <w:pStyle w:val="ONUME"/>
      </w:pPr>
      <w:r w:rsidRPr="003C163A">
        <w:t>The marginal effect on the unemployment rate suggests a more sizeable effect of the state of the economy.  Thus, a doubling of the unemployment rate would lower the probability of choosing the PCT by 3 percent, implying a roughly 6 percent decline in filing volumes.</w:t>
      </w:r>
      <w:r w:rsidRPr="003C163A">
        <w:rPr>
          <w:rStyle w:val="FootnoteReference"/>
          <w:szCs w:val="22"/>
        </w:rPr>
        <w:footnoteReference w:id="20"/>
      </w:r>
    </w:p>
    <w:p w:rsidR="003529B2" w:rsidRPr="003C163A" w:rsidRDefault="003529B2" w:rsidP="003529B2">
      <w:pPr>
        <w:pStyle w:val="ONUME"/>
      </w:pPr>
      <w:r w:rsidRPr="003C163A">
        <w:t xml:space="preserve">Moving on to the effect of the applicant type, being a university applicant increases the probability of choosing the PCT route by almost 25 percent.  This high probability estimate may reflect the special benefits of the PCT to universities; in particular, the </w:t>
      </w:r>
      <w:r w:rsidR="004901FA">
        <w:t xml:space="preserve">typically </w:t>
      </w:r>
      <w:r w:rsidRPr="003C163A">
        <w:t>18-month international phase</w:t>
      </w:r>
      <w:r w:rsidR="004901FA">
        <w:rPr>
          <w:rStyle w:val="FootnoteReference"/>
        </w:rPr>
        <w:footnoteReference w:id="21"/>
      </w:r>
      <w:r w:rsidRPr="003C163A">
        <w:t xml:space="preserve"> offers universities valuable time to </w:t>
      </w:r>
      <w:r w:rsidR="004901FA">
        <w:t xml:space="preserve">consider whether they wish to continue into the national phase based on information obtained from the international search report and written opinions, and to </w:t>
      </w:r>
      <w:r w:rsidRPr="003C163A">
        <w:t>find a commercial partner willing to further invest in the patenting process and in a technology’s development.  In addition, universities mainly engage in “upstream” innovation and may thus possess relatively less information about the commercial potential of their inventions; this also favors the “wait and see” strategy offered by the PCT.  Being a PRO similarly increases the probability of choosing the PCT, though the effect is quantitatively less important.</w:t>
      </w:r>
    </w:p>
    <w:p w:rsidR="003529B2" w:rsidRPr="003C163A" w:rsidRDefault="003529B2" w:rsidP="003529B2">
      <w:pPr>
        <w:pStyle w:val="ONUME"/>
      </w:pPr>
      <w:r w:rsidRPr="003C163A">
        <w:t>The impact of family size is also substantial.  All else equal, families with equivalents at only 2 offices are 19 percent less likely to opt for the PCT, whereas families with equivalents at 6 or more offices are</w:t>
      </w:r>
      <w:bookmarkStart w:id="5" w:name="_GoBack"/>
      <w:bookmarkEnd w:id="5"/>
      <w:r w:rsidRPr="003C163A">
        <w:t xml:space="preserve"> 16 percent more likely to choose the PCT.</w:t>
      </w:r>
    </w:p>
    <w:p w:rsidR="003529B2" w:rsidRPr="003C163A" w:rsidRDefault="003529B2" w:rsidP="00D00490">
      <w:pPr>
        <w:pStyle w:val="ONUME"/>
        <w:keepLines/>
      </w:pPr>
      <w:r w:rsidRPr="003C163A">
        <w:lastRenderedPageBreak/>
        <w:t xml:space="preserve">Finally, Table 2 lists the marginal effects associated with the technology field fixed effects, in declining order of these effects.  Thus, pharmaceutical patent families are most likely – all else equal – to opt for the PCT.  Interestingly, the eight “most PCT-inclined” technology fields are all associated with discrete product technologies.  A second interesting finding is that those technology fields that account for most PCT applications – notably digital communications; medical technology; electrical machinery, apparatus, energy; and computer technology – are not the “most PCT-inclined” fields.  Note that the order of technology fields should not be due to the larger family size (possibly) associated with patent filings in different fields, as the marginal effects shown control for family size as captured by the 6 size dummy variables.  Factors that may influence the order of technology fields and that the econometric analysis does not control for include the uncertainty and length of the research and development cycle.  </w:t>
      </w:r>
    </w:p>
    <w:p w:rsidR="003529B2" w:rsidRPr="003C163A" w:rsidRDefault="003529B2" w:rsidP="003529B2">
      <w:pPr>
        <w:pStyle w:val="Heading1"/>
      </w:pPr>
      <w:r w:rsidRPr="003C163A">
        <w:t>Conclusion</w:t>
      </w:r>
    </w:p>
    <w:p w:rsidR="003529B2" w:rsidRPr="003C163A" w:rsidRDefault="003529B2" w:rsidP="003529B2">
      <w:pPr>
        <w:pStyle w:val="ONUME"/>
      </w:pPr>
      <w:r w:rsidRPr="003C163A">
        <w:t xml:space="preserve">This study presents the first estimate of how responsive PCT filings are to changes in the international filing fee.  Using a discrete choice model of an applicant’s decision whether to file through the PCT or through the Paris route, it estimates </w:t>
      </w:r>
      <w:proofErr w:type="gramStart"/>
      <w:r w:rsidRPr="003C163A">
        <w:t>a highly</w:t>
      </w:r>
      <w:proofErr w:type="gramEnd"/>
      <w:r w:rsidRPr="003C163A">
        <w:t xml:space="preserve"> inelastic – but statistically significant – fee responsiveness.  Moreover, the estimation results suggest that the </w:t>
      </w:r>
      <w:r w:rsidR="00EB5B66">
        <w:t xml:space="preserve">international filing </w:t>
      </w:r>
      <w:r w:rsidRPr="003C163A">
        <w:t>fee matters most when applicants seek patent protection in exactly three foreign offices, and that universities and PROs are somewhat more price sensitive.</w:t>
      </w:r>
    </w:p>
    <w:p w:rsidR="003529B2" w:rsidRPr="003C163A" w:rsidRDefault="003529B2" w:rsidP="003529B2">
      <w:pPr>
        <w:pStyle w:val="ONUME"/>
      </w:pPr>
      <w:r w:rsidRPr="003C163A">
        <w:t>In addition to providing evidence on the fee responsiveness, the estimations also shed empirical light on a number of other determinants of PCT use.  In particular, they indicate that applicants tend to rely to a greater extent on the PCT in good economic times, that PROs and especially universities are more likely to choose the PCT, and that – all else equal – pharmaceuticals and other discrete product technologies are more inclined to rely on the PCT than complex product technologies.</w:t>
      </w:r>
    </w:p>
    <w:p w:rsidR="00E63EE0" w:rsidRDefault="00E63EE0" w:rsidP="00E63EE0">
      <w:pPr>
        <w:pStyle w:val="ONUME"/>
        <w:ind w:left="5533"/>
        <w:rPr>
          <w:i/>
        </w:rPr>
      </w:pPr>
      <w:r w:rsidRPr="00BA2152">
        <w:rPr>
          <w:i/>
        </w:rPr>
        <w:t>The Working Group is invited to take note of the contents of the present document.</w:t>
      </w:r>
    </w:p>
    <w:p w:rsidR="00CD3298" w:rsidRPr="00BA2152" w:rsidRDefault="00CD3298" w:rsidP="00CD3298"/>
    <w:p w:rsidR="00E63EE0" w:rsidRDefault="00E63EE0" w:rsidP="00E63EE0">
      <w:pPr>
        <w:pStyle w:val="Endofdocument-Annex"/>
        <w:sectPr w:rsidR="00E63EE0" w:rsidSect="003529B2">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pPr>
      <w:r>
        <w:t>[Annex follow</w:t>
      </w:r>
      <w:r w:rsidR="00EA43BA">
        <w:t>s</w:t>
      </w:r>
      <w:r>
        <w:t>]</w:t>
      </w:r>
    </w:p>
    <w:p w:rsidR="00E63EE0" w:rsidRDefault="00E63EE0" w:rsidP="00E63EE0">
      <w:pPr>
        <w:spacing w:after="60"/>
        <w:rPr>
          <w:b/>
        </w:rPr>
      </w:pPr>
      <w:r>
        <w:rPr>
          <w:b/>
        </w:rPr>
        <w:lastRenderedPageBreak/>
        <w:t xml:space="preserve">Figure 1: </w:t>
      </w:r>
      <w:r w:rsidR="00EA43BA">
        <w:rPr>
          <w:b/>
        </w:rPr>
        <w:t xml:space="preserve"> </w:t>
      </w:r>
      <w:r>
        <w:rPr>
          <w:b/>
        </w:rPr>
        <w:t xml:space="preserve">Exchange </w:t>
      </w:r>
      <w:r w:rsidR="00F32B06">
        <w:rPr>
          <w:b/>
        </w:rPr>
        <w:t>R</w:t>
      </w:r>
      <w:r>
        <w:rPr>
          <w:b/>
        </w:rPr>
        <w:t xml:space="preserve">ate </w:t>
      </w:r>
      <w:r w:rsidR="00F32B06">
        <w:rPr>
          <w:b/>
        </w:rPr>
        <w:t>M</w:t>
      </w:r>
      <w:r>
        <w:rPr>
          <w:b/>
        </w:rPr>
        <w:t xml:space="preserve">ovements </w:t>
      </w:r>
      <w:r w:rsidR="00F32B06">
        <w:rPr>
          <w:b/>
        </w:rPr>
        <w:t>I</w:t>
      </w:r>
      <w:r>
        <w:rPr>
          <w:b/>
        </w:rPr>
        <w:t xml:space="preserve">ntroduce </w:t>
      </w:r>
      <w:r w:rsidR="00F32B06">
        <w:rPr>
          <w:b/>
        </w:rPr>
        <w:t>S</w:t>
      </w:r>
      <w:r>
        <w:rPr>
          <w:b/>
        </w:rPr>
        <w:t xml:space="preserve">ubstantial </w:t>
      </w:r>
      <w:r w:rsidR="00F32B06">
        <w:rPr>
          <w:b/>
        </w:rPr>
        <w:t>V</w:t>
      </w:r>
      <w:r>
        <w:rPr>
          <w:b/>
        </w:rPr>
        <w:t xml:space="preserve">ariation in the PCT </w:t>
      </w:r>
      <w:r w:rsidR="00F32B06">
        <w:rPr>
          <w:b/>
        </w:rPr>
        <w:t>F</w:t>
      </w:r>
      <w:r>
        <w:rPr>
          <w:b/>
        </w:rPr>
        <w:t xml:space="preserve">iling </w:t>
      </w:r>
      <w:r w:rsidR="00F32B06">
        <w:rPr>
          <w:b/>
        </w:rPr>
        <w:t>F</w:t>
      </w:r>
      <w:r>
        <w:rPr>
          <w:b/>
        </w:rPr>
        <w:t>ee</w:t>
      </w:r>
    </w:p>
    <w:p w:rsidR="00E63EE0" w:rsidRPr="00F53958" w:rsidRDefault="00E63EE0" w:rsidP="00E63EE0">
      <w:pPr>
        <w:spacing w:after="120"/>
        <w:rPr>
          <w:i/>
        </w:rPr>
      </w:pPr>
      <w:r w:rsidRPr="00F53958">
        <w:rPr>
          <w:i/>
        </w:rPr>
        <w:t xml:space="preserve">International filing fee in </w:t>
      </w:r>
      <w:r>
        <w:rPr>
          <w:i/>
        </w:rPr>
        <w:t>selected currencies</w:t>
      </w:r>
      <w:r w:rsidRPr="00F53958">
        <w:rPr>
          <w:i/>
        </w:rPr>
        <w:t xml:space="preserve"> (index, 2004=100)</w:t>
      </w:r>
    </w:p>
    <w:p w:rsidR="00E63EE0" w:rsidRDefault="00E63EE0" w:rsidP="00E63EE0">
      <w:pPr>
        <w:rPr>
          <w:b/>
        </w:rPr>
      </w:pPr>
      <w:r>
        <w:rPr>
          <w:b/>
          <w:noProof/>
          <w:lang w:eastAsia="en-US"/>
        </w:rPr>
        <w:drawing>
          <wp:inline distT="0" distB="0" distL="0" distR="0" wp14:anchorId="2691944C" wp14:editId="39F2E161">
            <wp:extent cx="5740842" cy="37605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4577" cy="3763018"/>
                    </a:xfrm>
                    <a:prstGeom prst="rect">
                      <a:avLst/>
                    </a:prstGeom>
                    <a:noFill/>
                  </pic:spPr>
                </pic:pic>
              </a:graphicData>
            </a:graphic>
          </wp:inline>
        </w:drawing>
      </w:r>
      <w:r>
        <w:rPr>
          <w:b/>
        </w:rPr>
        <w:br w:type="page"/>
      </w:r>
    </w:p>
    <w:p w:rsidR="00E63EE0" w:rsidRDefault="00E63EE0" w:rsidP="00E63EE0">
      <w:pPr>
        <w:spacing w:before="38" w:after="42"/>
        <w:rPr>
          <w:b/>
        </w:rPr>
      </w:pPr>
      <w:r w:rsidRPr="00896F4E">
        <w:rPr>
          <w:b/>
        </w:rPr>
        <w:lastRenderedPageBreak/>
        <w:t xml:space="preserve">Table 1: </w:t>
      </w:r>
      <w:proofErr w:type="spellStart"/>
      <w:r w:rsidRPr="00896F4E">
        <w:rPr>
          <w:b/>
        </w:rPr>
        <w:t>Probit</w:t>
      </w:r>
      <w:proofErr w:type="spellEnd"/>
      <w:r>
        <w:rPr>
          <w:b/>
        </w:rPr>
        <w:t xml:space="preserve"> </w:t>
      </w:r>
      <w:r w:rsidR="00F32B06">
        <w:rPr>
          <w:b/>
        </w:rPr>
        <w:t>E</w:t>
      </w:r>
      <w:r>
        <w:rPr>
          <w:b/>
        </w:rPr>
        <w:t>stimation</w:t>
      </w:r>
      <w:r w:rsidRPr="00896F4E">
        <w:rPr>
          <w:b/>
        </w:rPr>
        <w:t xml:space="preserve"> </w:t>
      </w:r>
      <w:r w:rsidR="00F32B06">
        <w:rPr>
          <w:b/>
        </w:rPr>
        <w:t>R</w:t>
      </w:r>
      <w:r w:rsidRPr="00896F4E">
        <w:rPr>
          <w:b/>
        </w:rPr>
        <w:t>esults</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628"/>
        <w:gridCol w:w="1323"/>
        <w:gridCol w:w="1323"/>
        <w:gridCol w:w="1323"/>
        <w:gridCol w:w="1323"/>
        <w:gridCol w:w="1323"/>
      </w:tblGrid>
      <w:tr w:rsidR="00E63EE0" w:rsidRPr="00EA43BA" w:rsidTr="00EA43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top w:val="none" w:sz="0" w:space="0" w:color="auto"/>
              <w:left w:val="none" w:sz="0" w:space="0" w:color="auto"/>
              <w:bottom w:val="none" w:sz="0" w:space="0" w:color="auto"/>
              <w:right w:val="none" w:sz="0" w:space="0" w:color="auto"/>
            </w:tcBorders>
            <w:shd w:val="clear" w:color="auto" w:fill="FFFFFF" w:themeFill="background1"/>
          </w:tcPr>
          <w:p w:rsidR="00E63EE0" w:rsidRPr="00EA43BA" w:rsidRDefault="00E63EE0" w:rsidP="00C743B1">
            <w:pPr>
              <w:spacing w:before="40" w:after="44"/>
              <w:rPr>
                <w:sz w:val="19"/>
                <w:szCs w:val="19"/>
              </w:rPr>
            </w:pPr>
          </w:p>
        </w:tc>
        <w:tc>
          <w:tcPr>
            <w:tcW w:w="1323" w:type="dxa"/>
            <w:tcBorders>
              <w:top w:val="none" w:sz="0" w:space="0" w:color="auto"/>
              <w:left w:val="none" w:sz="0" w:space="0" w:color="auto"/>
              <w:bottom w:val="none" w:sz="0" w:space="0" w:color="auto"/>
              <w:right w:val="none" w:sz="0" w:space="0" w:color="auto"/>
            </w:tcBorders>
            <w:shd w:val="clear" w:color="auto" w:fill="FFFFFF" w:themeFill="background1"/>
          </w:tcPr>
          <w:p w:rsidR="00E63EE0" w:rsidRPr="00EA43BA" w:rsidRDefault="00E63EE0" w:rsidP="00C743B1">
            <w:pPr>
              <w:spacing w:before="40" w:after="44"/>
              <w:jc w:val="center"/>
              <w:cnfStyle w:val="100000000000" w:firstRow="1" w:lastRow="0" w:firstColumn="0" w:lastColumn="0" w:oddVBand="0" w:evenVBand="0" w:oddHBand="0" w:evenHBand="0" w:firstRowFirstColumn="0" w:firstRowLastColumn="0" w:lastRowFirstColumn="0" w:lastRowLastColumn="0"/>
              <w:rPr>
                <w:sz w:val="19"/>
                <w:szCs w:val="19"/>
              </w:rPr>
            </w:pPr>
            <w:r w:rsidRPr="00EA43BA">
              <w:rPr>
                <w:sz w:val="19"/>
                <w:szCs w:val="19"/>
              </w:rPr>
              <w:t>(1)</w:t>
            </w:r>
          </w:p>
        </w:tc>
        <w:tc>
          <w:tcPr>
            <w:tcW w:w="1323" w:type="dxa"/>
            <w:tcBorders>
              <w:top w:val="none" w:sz="0" w:space="0" w:color="auto"/>
              <w:left w:val="none" w:sz="0" w:space="0" w:color="auto"/>
              <w:bottom w:val="none" w:sz="0" w:space="0" w:color="auto"/>
              <w:right w:val="none" w:sz="0" w:space="0" w:color="auto"/>
            </w:tcBorders>
            <w:shd w:val="clear" w:color="auto" w:fill="FFFFFF" w:themeFill="background1"/>
          </w:tcPr>
          <w:p w:rsidR="00E63EE0" w:rsidRPr="00EA43BA" w:rsidRDefault="00E63EE0" w:rsidP="00C743B1">
            <w:pPr>
              <w:spacing w:before="40" w:after="44"/>
              <w:jc w:val="center"/>
              <w:cnfStyle w:val="100000000000" w:firstRow="1" w:lastRow="0" w:firstColumn="0" w:lastColumn="0" w:oddVBand="0" w:evenVBand="0" w:oddHBand="0" w:evenHBand="0" w:firstRowFirstColumn="0" w:firstRowLastColumn="0" w:lastRowFirstColumn="0" w:lastRowLastColumn="0"/>
              <w:rPr>
                <w:sz w:val="19"/>
                <w:szCs w:val="19"/>
              </w:rPr>
            </w:pPr>
            <w:r w:rsidRPr="00EA43BA">
              <w:rPr>
                <w:sz w:val="19"/>
                <w:szCs w:val="19"/>
              </w:rPr>
              <w:t>(2)</w:t>
            </w:r>
          </w:p>
        </w:tc>
        <w:tc>
          <w:tcPr>
            <w:tcW w:w="1323" w:type="dxa"/>
            <w:tcBorders>
              <w:top w:val="none" w:sz="0" w:space="0" w:color="auto"/>
              <w:left w:val="none" w:sz="0" w:space="0" w:color="auto"/>
              <w:bottom w:val="none" w:sz="0" w:space="0" w:color="auto"/>
              <w:right w:val="none" w:sz="0" w:space="0" w:color="auto"/>
            </w:tcBorders>
            <w:shd w:val="clear" w:color="auto" w:fill="FFFFFF" w:themeFill="background1"/>
          </w:tcPr>
          <w:p w:rsidR="00E63EE0" w:rsidRPr="00EA43BA" w:rsidRDefault="00E63EE0" w:rsidP="00C743B1">
            <w:pPr>
              <w:spacing w:before="40" w:after="44"/>
              <w:jc w:val="center"/>
              <w:cnfStyle w:val="100000000000" w:firstRow="1" w:lastRow="0" w:firstColumn="0" w:lastColumn="0" w:oddVBand="0" w:evenVBand="0" w:oddHBand="0" w:evenHBand="0" w:firstRowFirstColumn="0" w:firstRowLastColumn="0" w:lastRowFirstColumn="0" w:lastRowLastColumn="0"/>
              <w:rPr>
                <w:sz w:val="19"/>
                <w:szCs w:val="19"/>
              </w:rPr>
            </w:pPr>
            <w:r w:rsidRPr="00EA43BA">
              <w:rPr>
                <w:sz w:val="19"/>
                <w:szCs w:val="19"/>
              </w:rPr>
              <w:t>(3)</w:t>
            </w:r>
          </w:p>
        </w:tc>
        <w:tc>
          <w:tcPr>
            <w:tcW w:w="1323" w:type="dxa"/>
            <w:tcBorders>
              <w:top w:val="none" w:sz="0" w:space="0" w:color="auto"/>
              <w:left w:val="none" w:sz="0" w:space="0" w:color="auto"/>
              <w:bottom w:val="none" w:sz="0" w:space="0" w:color="auto"/>
              <w:right w:val="none" w:sz="0" w:space="0" w:color="auto"/>
            </w:tcBorders>
            <w:shd w:val="clear" w:color="auto" w:fill="FFFFFF" w:themeFill="background1"/>
          </w:tcPr>
          <w:p w:rsidR="00E63EE0" w:rsidRPr="00EA43BA" w:rsidRDefault="00E63EE0" w:rsidP="00C743B1">
            <w:pPr>
              <w:spacing w:before="40" w:after="44"/>
              <w:jc w:val="center"/>
              <w:cnfStyle w:val="100000000000" w:firstRow="1" w:lastRow="0" w:firstColumn="0" w:lastColumn="0" w:oddVBand="0" w:evenVBand="0" w:oddHBand="0" w:evenHBand="0" w:firstRowFirstColumn="0" w:firstRowLastColumn="0" w:lastRowFirstColumn="0" w:lastRowLastColumn="0"/>
              <w:rPr>
                <w:sz w:val="19"/>
                <w:szCs w:val="19"/>
              </w:rPr>
            </w:pPr>
            <w:r w:rsidRPr="00EA43BA">
              <w:rPr>
                <w:sz w:val="19"/>
                <w:szCs w:val="19"/>
              </w:rPr>
              <w:t>(4)</w:t>
            </w:r>
          </w:p>
        </w:tc>
        <w:tc>
          <w:tcPr>
            <w:tcW w:w="1323" w:type="dxa"/>
            <w:tcBorders>
              <w:top w:val="none" w:sz="0" w:space="0" w:color="auto"/>
              <w:left w:val="none" w:sz="0" w:space="0" w:color="auto"/>
              <w:bottom w:val="none" w:sz="0" w:space="0" w:color="auto"/>
              <w:right w:val="none" w:sz="0" w:space="0" w:color="auto"/>
            </w:tcBorders>
            <w:shd w:val="clear" w:color="auto" w:fill="FFFFFF" w:themeFill="background1"/>
          </w:tcPr>
          <w:p w:rsidR="00E63EE0" w:rsidRPr="00EA43BA" w:rsidRDefault="00E63EE0" w:rsidP="00C743B1">
            <w:pPr>
              <w:spacing w:before="40" w:after="44"/>
              <w:jc w:val="center"/>
              <w:cnfStyle w:val="100000000000" w:firstRow="1" w:lastRow="0" w:firstColumn="0" w:lastColumn="0" w:oddVBand="0" w:evenVBand="0" w:oddHBand="0" w:evenHBand="0" w:firstRowFirstColumn="0" w:firstRowLastColumn="0" w:lastRowFirstColumn="0" w:lastRowLastColumn="0"/>
              <w:rPr>
                <w:sz w:val="19"/>
                <w:szCs w:val="19"/>
              </w:rPr>
            </w:pPr>
            <w:r w:rsidRPr="00EA43BA">
              <w:rPr>
                <w:sz w:val="19"/>
                <w:szCs w:val="19"/>
              </w:rPr>
              <w:t>(5)</w:t>
            </w:r>
          </w:p>
        </w:tc>
      </w:tr>
      <w:tr w:rsidR="00E63EE0" w:rsidRPr="00B532D6" w:rsidTr="00EA43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left w:val="none" w:sz="0" w:space="0" w:color="auto"/>
              <w:right w:val="none" w:sz="0" w:space="0" w:color="auto"/>
            </w:tcBorders>
            <w:shd w:val="clear" w:color="auto" w:fill="FFFFFF" w:themeFill="background1"/>
          </w:tcPr>
          <w:p w:rsidR="00E63EE0" w:rsidRPr="00EA43BA" w:rsidRDefault="00EA43BA" w:rsidP="00C743B1">
            <w:pPr>
              <w:shd w:val="clear" w:color="auto" w:fill="FFFFFF" w:themeFill="background1"/>
              <w:spacing w:before="40" w:after="44"/>
              <w:rPr>
                <w:sz w:val="19"/>
                <w:szCs w:val="19"/>
              </w:rPr>
            </w:pPr>
            <m:oMathPara>
              <m:oMathParaPr>
                <m:jc m:val="left"/>
              </m:oMathParaPr>
              <m:oMath>
                <m:r>
                  <m:rPr>
                    <m:sty m:val="b"/>
                  </m:rPr>
                  <w:rPr>
                    <w:rFonts w:ascii="Cambria Math" w:hAnsi="Cambria Math"/>
                    <w:sz w:val="19"/>
                    <w:szCs w:val="19"/>
                  </w:rPr>
                  <m:t>ln</m:t>
                </m:r>
                <m:sSub>
                  <m:sSubPr>
                    <m:ctrlPr>
                      <w:rPr>
                        <w:rFonts w:ascii="Cambria Math" w:eastAsiaTheme="minorEastAsia" w:hAnsi="Cambria Math"/>
                        <w:i/>
                        <w:sz w:val="19"/>
                        <w:szCs w:val="19"/>
                      </w:rPr>
                    </m:ctrlPr>
                  </m:sSubPr>
                  <m:e>
                    <m:r>
                      <m:rPr>
                        <m:sty m:val="bi"/>
                      </m:rPr>
                      <w:rPr>
                        <w:rFonts w:ascii="Cambria Math" w:eastAsiaTheme="minorEastAsia" w:hAnsi="Cambria Math"/>
                        <w:sz w:val="19"/>
                        <w:szCs w:val="19"/>
                      </w:rPr>
                      <m:t>f</m:t>
                    </m:r>
                  </m:e>
                  <m:sub>
                    <m:r>
                      <m:rPr>
                        <m:sty m:val="bi"/>
                      </m:rPr>
                      <w:rPr>
                        <w:rFonts w:ascii="Cambria Math" w:eastAsiaTheme="minorEastAsia" w:hAnsi="Cambria Math"/>
                        <w:sz w:val="19"/>
                        <w:szCs w:val="19"/>
                      </w:rPr>
                      <m:t>ijt</m:t>
                    </m:r>
                  </m:sub>
                </m:sSub>
              </m:oMath>
            </m:oMathPara>
          </w:p>
        </w:tc>
        <w:tc>
          <w:tcPr>
            <w:tcW w:w="1323" w:type="dxa"/>
            <w:tcBorders>
              <w:left w:val="none" w:sz="0" w:space="0" w:color="auto"/>
              <w:right w:val="none" w:sz="0" w:space="0" w:color="auto"/>
            </w:tcBorders>
            <w:shd w:val="clear" w:color="auto" w:fill="FFFFFF" w:themeFill="background1"/>
          </w:tcPr>
          <w:p w:rsidR="00E63EE0" w:rsidRPr="00B532D6" w:rsidRDefault="00E63EE0" w:rsidP="00C743B1">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rPr>
            </w:pPr>
            <w:r w:rsidRPr="00B532D6">
              <w:rPr>
                <w:sz w:val="19"/>
                <w:szCs w:val="19"/>
              </w:rPr>
              <w:t>-0.121***</w:t>
            </w:r>
            <w:r w:rsidRPr="00B532D6">
              <w:rPr>
                <w:sz w:val="19"/>
                <w:szCs w:val="19"/>
              </w:rPr>
              <w:br/>
              <w:t>(-7.10)</w:t>
            </w:r>
          </w:p>
        </w:tc>
        <w:tc>
          <w:tcPr>
            <w:tcW w:w="1323" w:type="dxa"/>
            <w:tcBorders>
              <w:left w:val="none" w:sz="0" w:space="0" w:color="auto"/>
              <w:right w:val="none" w:sz="0" w:space="0" w:color="auto"/>
            </w:tcBorders>
            <w:shd w:val="clear" w:color="auto" w:fill="FFFFFF" w:themeFill="background1"/>
          </w:tcPr>
          <w:p w:rsidR="00E63EE0" w:rsidRPr="00B532D6" w:rsidRDefault="00E63EE0" w:rsidP="00C743B1">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rPr>
            </w:pPr>
            <w:r w:rsidRPr="00B532D6">
              <w:rPr>
                <w:sz w:val="19"/>
                <w:szCs w:val="19"/>
              </w:rPr>
              <w:t>-0.077***</w:t>
            </w:r>
            <w:r w:rsidRPr="00B532D6">
              <w:rPr>
                <w:sz w:val="19"/>
                <w:szCs w:val="19"/>
              </w:rPr>
              <w:br/>
              <w:t>(-4.25)</w:t>
            </w:r>
          </w:p>
        </w:tc>
        <w:tc>
          <w:tcPr>
            <w:tcW w:w="1323" w:type="dxa"/>
            <w:tcBorders>
              <w:left w:val="none" w:sz="0" w:space="0" w:color="auto"/>
              <w:right w:val="none" w:sz="0" w:space="0" w:color="auto"/>
            </w:tcBorders>
            <w:shd w:val="clear" w:color="auto" w:fill="FFFFFF" w:themeFill="background1"/>
          </w:tcPr>
          <w:p w:rsidR="00E63EE0" w:rsidRPr="00B532D6" w:rsidRDefault="00E63EE0" w:rsidP="00C743B1">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rPr>
            </w:pPr>
            <w:r w:rsidRPr="00B532D6">
              <w:rPr>
                <w:sz w:val="19"/>
                <w:szCs w:val="19"/>
              </w:rPr>
              <w:t>-0.047**</w:t>
            </w:r>
            <w:r w:rsidRPr="00B532D6">
              <w:rPr>
                <w:sz w:val="19"/>
                <w:szCs w:val="19"/>
              </w:rPr>
              <w:br/>
              <w:t>(-2.30)</w:t>
            </w:r>
          </w:p>
        </w:tc>
        <w:tc>
          <w:tcPr>
            <w:tcW w:w="1323" w:type="dxa"/>
            <w:tcBorders>
              <w:left w:val="none" w:sz="0" w:space="0" w:color="auto"/>
              <w:right w:val="none" w:sz="0" w:space="0" w:color="auto"/>
            </w:tcBorders>
            <w:shd w:val="clear" w:color="auto" w:fill="FFFFFF" w:themeFill="background1"/>
          </w:tcPr>
          <w:p w:rsidR="00E63EE0" w:rsidRPr="00B532D6" w:rsidRDefault="00E63EE0" w:rsidP="00C743B1">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rPr>
            </w:pPr>
          </w:p>
        </w:tc>
        <w:tc>
          <w:tcPr>
            <w:tcW w:w="1323" w:type="dxa"/>
            <w:tcBorders>
              <w:left w:val="none" w:sz="0" w:space="0" w:color="auto"/>
              <w:right w:val="none" w:sz="0" w:space="0" w:color="auto"/>
            </w:tcBorders>
            <w:shd w:val="clear" w:color="auto" w:fill="FFFFFF" w:themeFill="background1"/>
          </w:tcPr>
          <w:p w:rsidR="00E63EE0" w:rsidRPr="00B532D6" w:rsidRDefault="00E63EE0" w:rsidP="00C743B1">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rPr>
            </w:pPr>
          </w:p>
        </w:tc>
      </w:tr>
      <w:tr w:rsidR="00E63EE0" w:rsidRPr="00B532D6" w:rsidTr="00EA43BA">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rsidR="00E63EE0" w:rsidRPr="00EA43BA" w:rsidRDefault="00060A1C" w:rsidP="00C743B1">
            <w:pPr>
              <w:shd w:val="clear" w:color="auto" w:fill="FFFFFF" w:themeFill="background1"/>
              <w:spacing w:before="40" w:after="44"/>
              <w:rPr>
                <w:sz w:val="19"/>
                <w:szCs w:val="19"/>
              </w:rPr>
            </w:pPr>
            <m:oMathPara>
              <m:oMathParaPr>
                <m:jc m:val="left"/>
              </m:oMathParaPr>
              <m:oMath>
                <m:sSub>
                  <m:sSubPr>
                    <m:ctrlPr>
                      <w:rPr>
                        <w:rFonts w:ascii="Cambria Math" w:hAnsi="Cambria Math"/>
                        <w:i/>
                        <w:sz w:val="19"/>
                        <w:szCs w:val="19"/>
                      </w:rPr>
                    </m:ctrlPr>
                  </m:sSubPr>
                  <m:e>
                    <m:r>
                      <m:rPr>
                        <m:sty m:val="bi"/>
                      </m:rPr>
                      <w:rPr>
                        <w:rFonts w:ascii="Cambria Math" w:hAnsi="Cambria Math"/>
                        <w:sz w:val="19"/>
                        <w:szCs w:val="19"/>
                      </w:rPr>
                      <m:t>mem</m:t>
                    </m:r>
                  </m:e>
                  <m:sub>
                    <m:r>
                      <m:rPr>
                        <m:sty m:val="bi"/>
                      </m:rPr>
                      <w:rPr>
                        <w:rFonts w:ascii="Cambria Math" w:hAnsi="Cambria Math"/>
                        <w:sz w:val="19"/>
                        <w:szCs w:val="19"/>
                      </w:rPr>
                      <m:t>jt</m:t>
                    </m:r>
                  </m:sub>
                </m:sSub>
              </m:oMath>
            </m:oMathPara>
          </w:p>
        </w:tc>
        <w:tc>
          <w:tcPr>
            <w:tcW w:w="1323" w:type="dxa"/>
            <w:shd w:val="clear" w:color="auto" w:fill="FFFFFF" w:themeFill="background1"/>
          </w:tcPr>
          <w:p w:rsidR="00E63EE0" w:rsidRPr="00B532D6" w:rsidRDefault="00E63EE0" w:rsidP="00C743B1">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rPr>
            </w:pPr>
            <w:r w:rsidRPr="00B532D6">
              <w:rPr>
                <w:sz w:val="19"/>
                <w:szCs w:val="19"/>
              </w:rPr>
              <w:t>0.404*</w:t>
            </w:r>
            <w:r w:rsidRPr="00B532D6">
              <w:rPr>
                <w:sz w:val="19"/>
                <w:szCs w:val="19"/>
              </w:rPr>
              <w:br/>
              <w:t>(1.67)</w:t>
            </w:r>
          </w:p>
        </w:tc>
        <w:tc>
          <w:tcPr>
            <w:tcW w:w="1323" w:type="dxa"/>
            <w:shd w:val="clear" w:color="auto" w:fill="FFFFFF" w:themeFill="background1"/>
          </w:tcPr>
          <w:p w:rsidR="00E63EE0" w:rsidRPr="00B532D6" w:rsidRDefault="00E63EE0" w:rsidP="00C743B1">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rPr>
            </w:pPr>
            <w:r w:rsidRPr="00B532D6">
              <w:rPr>
                <w:sz w:val="19"/>
                <w:szCs w:val="19"/>
              </w:rPr>
              <w:t>0.081</w:t>
            </w:r>
            <w:r w:rsidRPr="00B532D6">
              <w:rPr>
                <w:sz w:val="19"/>
                <w:szCs w:val="19"/>
              </w:rPr>
              <w:br/>
              <w:t>(0.18)</w:t>
            </w:r>
          </w:p>
        </w:tc>
        <w:tc>
          <w:tcPr>
            <w:tcW w:w="1323" w:type="dxa"/>
            <w:shd w:val="clear" w:color="auto" w:fill="FFFFFF" w:themeFill="background1"/>
          </w:tcPr>
          <w:p w:rsidR="00E63EE0" w:rsidRPr="00B532D6" w:rsidRDefault="00E63EE0" w:rsidP="00C743B1">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rPr>
            </w:pPr>
          </w:p>
        </w:tc>
        <w:tc>
          <w:tcPr>
            <w:tcW w:w="1323" w:type="dxa"/>
            <w:shd w:val="clear" w:color="auto" w:fill="FFFFFF" w:themeFill="background1"/>
          </w:tcPr>
          <w:p w:rsidR="00E63EE0" w:rsidRPr="00B532D6" w:rsidRDefault="00E63EE0" w:rsidP="00C743B1">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rPr>
            </w:pPr>
          </w:p>
        </w:tc>
        <w:tc>
          <w:tcPr>
            <w:tcW w:w="1323" w:type="dxa"/>
            <w:shd w:val="clear" w:color="auto" w:fill="FFFFFF" w:themeFill="background1"/>
          </w:tcPr>
          <w:p w:rsidR="00E63EE0" w:rsidRPr="00B532D6" w:rsidRDefault="00E63EE0" w:rsidP="00C743B1">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rPr>
            </w:pPr>
          </w:p>
        </w:tc>
      </w:tr>
      <w:tr w:rsidR="00E63EE0" w:rsidRPr="00B532D6" w:rsidTr="00EA43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left w:val="none" w:sz="0" w:space="0" w:color="auto"/>
              <w:right w:val="none" w:sz="0" w:space="0" w:color="auto"/>
            </w:tcBorders>
            <w:shd w:val="clear" w:color="auto" w:fill="FFFFFF" w:themeFill="background1"/>
          </w:tcPr>
          <w:p w:rsidR="00E63EE0" w:rsidRPr="00EA43BA" w:rsidRDefault="00060A1C" w:rsidP="00C743B1">
            <w:pPr>
              <w:shd w:val="clear" w:color="auto" w:fill="FFFFFF" w:themeFill="background1"/>
              <w:spacing w:before="40" w:after="44"/>
              <w:rPr>
                <w:sz w:val="19"/>
                <w:szCs w:val="19"/>
              </w:rPr>
            </w:pPr>
            <m:oMathPara>
              <m:oMathParaPr>
                <m:jc m:val="left"/>
              </m:oMathParaPr>
              <m:oMath>
                <m:sSub>
                  <m:sSubPr>
                    <m:ctrlPr>
                      <w:rPr>
                        <w:rFonts w:ascii="Cambria Math" w:hAnsi="Cambria Math"/>
                        <w:i/>
                        <w:sz w:val="19"/>
                        <w:szCs w:val="19"/>
                      </w:rPr>
                    </m:ctrlPr>
                  </m:sSubPr>
                  <m:e>
                    <m:r>
                      <m:rPr>
                        <m:sty m:val="b"/>
                      </m:rPr>
                      <w:rPr>
                        <w:rFonts w:ascii="Cambria Math" w:hAnsi="Cambria Math"/>
                        <w:sz w:val="19"/>
                        <w:szCs w:val="19"/>
                      </w:rPr>
                      <m:t>ln</m:t>
                    </m:r>
                    <m:r>
                      <m:rPr>
                        <m:sty m:val="bi"/>
                      </m:rPr>
                      <w:rPr>
                        <w:rFonts w:ascii="Cambria Math" w:hAnsi="Cambria Math"/>
                        <w:sz w:val="19"/>
                        <w:szCs w:val="19"/>
                      </w:rPr>
                      <m:t>unemp</m:t>
                    </m:r>
                  </m:e>
                  <m:sub>
                    <m:r>
                      <m:rPr>
                        <m:sty m:val="bi"/>
                      </m:rPr>
                      <w:rPr>
                        <w:rFonts w:ascii="Cambria Math" w:hAnsi="Cambria Math"/>
                        <w:sz w:val="19"/>
                        <w:szCs w:val="19"/>
                      </w:rPr>
                      <m:t>jt</m:t>
                    </m:r>
                  </m:sub>
                </m:sSub>
              </m:oMath>
            </m:oMathPara>
          </w:p>
        </w:tc>
        <w:tc>
          <w:tcPr>
            <w:tcW w:w="1323" w:type="dxa"/>
            <w:tcBorders>
              <w:left w:val="none" w:sz="0" w:space="0" w:color="auto"/>
              <w:right w:val="none" w:sz="0" w:space="0" w:color="auto"/>
            </w:tcBorders>
            <w:shd w:val="clear" w:color="auto" w:fill="FFFFFF" w:themeFill="background1"/>
          </w:tcPr>
          <w:p w:rsidR="00E63EE0" w:rsidRPr="00B532D6" w:rsidRDefault="00E63EE0" w:rsidP="00C743B1">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rPr>
            </w:pPr>
          </w:p>
        </w:tc>
        <w:tc>
          <w:tcPr>
            <w:tcW w:w="1323" w:type="dxa"/>
            <w:tcBorders>
              <w:left w:val="none" w:sz="0" w:space="0" w:color="auto"/>
              <w:right w:val="none" w:sz="0" w:space="0" w:color="auto"/>
            </w:tcBorders>
            <w:shd w:val="clear" w:color="auto" w:fill="FFFFFF" w:themeFill="background1"/>
          </w:tcPr>
          <w:p w:rsidR="00E63EE0" w:rsidRPr="00B532D6" w:rsidRDefault="00E63EE0" w:rsidP="00C743B1">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rPr>
            </w:pPr>
            <w:r w:rsidRPr="00B532D6">
              <w:rPr>
                <w:sz w:val="19"/>
                <w:szCs w:val="19"/>
              </w:rPr>
              <w:t>-0.149***</w:t>
            </w:r>
            <w:r w:rsidRPr="00B532D6">
              <w:rPr>
                <w:sz w:val="19"/>
                <w:szCs w:val="19"/>
              </w:rPr>
              <w:br/>
              <w:t>(-20.29)</w:t>
            </w:r>
          </w:p>
        </w:tc>
        <w:tc>
          <w:tcPr>
            <w:tcW w:w="1323" w:type="dxa"/>
            <w:tcBorders>
              <w:left w:val="none" w:sz="0" w:space="0" w:color="auto"/>
              <w:right w:val="none" w:sz="0" w:space="0" w:color="auto"/>
            </w:tcBorders>
            <w:shd w:val="clear" w:color="auto" w:fill="FFFFFF" w:themeFill="background1"/>
          </w:tcPr>
          <w:p w:rsidR="00E63EE0" w:rsidRPr="00B532D6" w:rsidRDefault="00E63EE0" w:rsidP="00C743B1">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rPr>
            </w:pPr>
            <w:r w:rsidRPr="00B532D6">
              <w:rPr>
                <w:sz w:val="19"/>
                <w:szCs w:val="19"/>
              </w:rPr>
              <w:t>-0.104***</w:t>
            </w:r>
            <w:r w:rsidRPr="00B532D6">
              <w:rPr>
                <w:sz w:val="19"/>
                <w:szCs w:val="19"/>
              </w:rPr>
              <w:br/>
              <w:t>(-12.57)</w:t>
            </w:r>
          </w:p>
        </w:tc>
        <w:tc>
          <w:tcPr>
            <w:tcW w:w="1323" w:type="dxa"/>
            <w:tcBorders>
              <w:left w:val="none" w:sz="0" w:space="0" w:color="auto"/>
              <w:right w:val="none" w:sz="0" w:space="0" w:color="auto"/>
            </w:tcBorders>
            <w:shd w:val="clear" w:color="auto" w:fill="FFFFFF" w:themeFill="background1"/>
          </w:tcPr>
          <w:p w:rsidR="00E63EE0" w:rsidRPr="00B532D6" w:rsidRDefault="00E63EE0" w:rsidP="00C743B1">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rPr>
            </w:pPr>
            <w:r w:rsidRPr="00B532D6">
              <w:rPr>
                <w:sz w:val="19"/>
                <w:szCs w:val="19"/>
              </w:rPr>
              <w:t>-0.104***</w:t>
            </w:r>
            <w:r w:rsidRPr="00B532D6">
              <w:rPr>
                <w:sz w:val="19"/>
                <w:szCs w:val="19"/>
              </w:rPr>
              <w:br/>
              <w:t>(-12.61)</w:t>
            </w:r>
          </w:p>
        </w:tc>
        <w:tc>
          <w:tcPr>
            <w:tcW w:w="1323" w:type="dxa"/>
            <w:tcBorders>
              <w:left w:val="none" w:sz="0" w:space="0" w:color="auto"/>
              <w:right w:val="none" w:sz="0" w:space="0" w:color="auto"/>
            </w:tcBorders>
            <w:shd w:val="clear" w:color="auto" w:fill="FFFFFF" w:themeFill="background1"/>
          </w:tcPr>
          <w:p w:rsidR="00E63EE0" w:rsidRPr="00B532D6" w:rsidRDefault="00E63EE0" w:rsidP="00C743B1">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rPr>
            </w:pPr>
            <w:r w:rsidRPr="00B532D6">
              <w:rPr>
                <w:sz w:val="19"/>
                <w:szCs w:val="19"/>
              </w:rPr>
              <w:t>-0.106***</w:t>
            </w:r>
            <w:r w:rsidRPr="00B532D6">
              <w:rPr>
                <w:sz w:val="19"/>
                <w:szCs w:val="19"/>
              </w:rPr>
              <w:br/>
              <w:t>(-12.83)</w:t>
            </w:r>
          </w:p>
        </w:tc>
      </w:tr>
      <w:tr w:rsidR="00E63EE0" w:rsidRPr="00B532D6" w:rsidTr="00EA43BA">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rsidR="00E63EE0" w:rsidRPr="00EA43BA" w:rsidRDefault="00E63EE0" w:rsidP="00C743B1">
            <w:pPr>
              <w:shd w:val="clear" w:color="auto" w:fill="FFFFFF" w:themeFill="background1"/>
              <w:spacing w:before="40" w:after="44"/>
              <w:rPr>
                <w:sz w:val="19"/>
                <w:szCs w:val="19"/>
              </w:rPr>
            </w:pPr>
            <w:r w:rsidRPr="00EA43BA">
              <w:rPr>
                <w:sz w:val="19"/>
                <w:szCs w:val="19"/>
              </w:rPr>
              <w:t>University applicant</w:t>
            </w:r>
          </w:p>
        </w:tc>
        <w:tc>
          <w:tcPr>
            <w:tcW w:w="1323" w:type="dxa"/>
            <w:shd w:val="clear" w:color="auto" w:fill="FFFFFF" w:themeFill="background1"/>
          </w:tcPr>
          <w:p w:rsidR="00E63EE0" w:rsidRPr="00B532D6" w:rsidRDefault="00E63EE0" w:rsidP="00C743B1">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rPr>
            </w:pPr>
            <w:r w:rsidRPr="00B532D6">
              <w:rPr>
                <w:sz w:val="19"/>
                <w:szCs w:val="19"/>
              </w:rPr>
              <w:t>0.828***</w:t>
            </w:r>
            <w:r w:rsidRPr="00B532D6">
              <w:rPr>
                <w:sz w:val="19"/>
                <w:szCs w:val="19"/>
              </w:rPr>
              <w:br/>
              <w:t>(74.92)</w:t>
            </w:r>
          </w:p>
        </w:tc>
        <w:tc>
          <w:tcPr>
            <w:tcW w:w="1323" w:type="dxa"/>
            <w:shd w:val="clear" w:color="auto" w:fill="FFFFFF" w:themeFill="background1"/>
          </w:tcPr>
          <w:p w:rsidR="00E63EE0" w:rsidRPr="00B532D6" w:rsidRDefault="00E63EE0" w:rsidP="00C743B1">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rPr>
            </w:pPr>
            <w:r w:rsidRPr="00B532D6">
              <w:rPr>
                <w:sz w:val="19"/>
                <w:szCs w:val="19"/>
              </w:rPr>
              <w:t>0.826***</w:t>
            </w:r>
            <w:r w:rsidRPr="00B532D6">
              <w:rPr>
                <w:sz w:val="19"/>
                <w:szCs w:val="19"/>
              </w:rPr>
              <w:br/>
              <w:t>(73.24)</w:t>
            </w:r>
          </w:p>
        </w:tc>
        <w:tc>
          <w:tcPr>
            <w:tcW w:w="1323" w:type="dxa"/>
            <w:shd w:val="clear" w:color="auto" w:fill="FFFFFF" w:themeFill="background1"/>
          </w:tcPr>
          <w:p w:rsidR="00E63EE0" w:rsidRPr="00B532D6" w:rsidRDefault="00E63EE0" w:rsidP="00C743B1">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rPr>
            </w:pPr>
            <w:r w:rsidRPr="00B532D6">
              <w:rPr>
                <w:sz w:val="19"/>
                <w:szCs w:val="19"/>
              </w:rPr>
              <w:t>0.848***</w:t>
            </w:r>
            <w:r w:rsidRPr="00B532D6">
              <w:rPr>
                <w:sz w:val="19"/>
                <w:szCs w:val="19"/>
              </w:rPr>
              <w:br/>
              <w:t>(63.73)</w:t>
            </w:r>
          </w:p>
        </w:tc>
        <w:tc>
          <w:tcPr>
            <w:tcW w:w="1323" w:type="dxa"/>
            <w:shd w:val="clear" w:color="auto" w:fill="FFFFFF" w:themeFill="background1"/>
          </w:tcPr>
          <w:p w:rsidR="00E63EE0" w:rsidRPr="00B532D6" w:rsidRDefault="00E63EE0" w:rsidP="00C743B1">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rPr>
            </w:pPr>
            <w:r w:rsidRPr="00B532D6">
              <w:rPr>
                <w:sz w:val="19"/>
                <w:szCs w:val="19"/>
              </w:rPr>
              <w:t>0.845***</w:t>
            </w:r>
            <w:r w:rsidRPr="00B532D6">
              <w:rPr>
                <w:sz w:val="19"/>
                <w:szCs w:val="19"/>
              </w:rPr>
              <w:br/>
              <w:t>(63.52)</w:t>
            </w:r>
          </w:p>
        </w:tc>
        <w:tc>
          <w:tcPr>
            <w:tcW w:w="1323" w:type="dxa"/>
            <w:shd w:val="clear" w:color="auto" w:fill="FFFFFF" w:themeFill="background1"/>
          </w:tcPr>
          <w:p w:rsidR="00E63EE0" w:rsidRPr="00B532D6" w:rsidRDefault="00E63EE0" w:rsidP="00C743B1">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rPr>
            </w:pPr>
            <w:r w:rsidRPr="00B532D6">
              <w:rPr>
                <w:sz w:val="19"/>
                <w:szCs w:val="19"/>
              </w:rPr>
              <w:t>1.261***</w:t>
            </w:r>
            <w:r w:rsidRPr="00B532D6">
              <w:rPr>
                <w:sz w:val="19"/>
                <w:szCs w:val="19"/>
              </w:rPr>
              <w:br/>
              <w:t>(49.08)</w:t>
            </w:r>
          </w:p>
        </w:tc>
      </w:tr>
      <w:tr w:rsidR="00E63EE0" w:rsidRPr="00B532D6" w:rsidTr="00EA43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left w:val="none" w:sz="0" w:space="0" w:color="auto"/>
              <w:right w:val="none" w:sz="0" w:space="0" w:color="auto"/>
            </w:tcBorders>
            <w:shd w:val="clear" w:color="auto" w:fill="FFFFFF" w:themeFill="background1"/>
          </w:tcPr>
          <w:p w:rsidR="00E63EE0" w:rsidRPr="00EA43BA" w:rsidRDefault="00E63EE0" w:rsidP="00C743B1">
            <w:pPr>
              <w:shd w:val="clear" w:color="auto" w:fill="FFFFFF" w:themeFill="background1"/>
              <w:spacing w:before="40" w:after="44"/>
              <w:rPr>
                <w:sz w:val="19"/>
                <w:szCs w:val="19"/>
              </w:rPr>
            </w:pPr>
            <w:r w:rsidRPr="00EA43BA">
              <w:rPr>
                <w:sz w:val="19"/>
                <w:szCs w:val="19"/>
              </w:rPr>
              <w:t>PRO applicant</w:t>
            </w:r>
          </w:p>
        </w:tc>
        <w:tc>
          <w:tcPr>
            <w:tcW w:w="1323" w:type="dxa"/>
            <w:tcBorders>
              <w:left w:val="none" w:sz="0" w:space="0" w:color="auto"/>
              <w:right w:val="none" w:sz="0" w:space="0" w:color="auto"/>
            </w:tcBorders>
            <w:shd w:val="clear" w:color="auto" w:fill="FFFFFF" w:themeFill="background1"/>
          </w:tcPr>
          <w:p w:rsidR="00E63EE0" w:rsidRPr="00B532D6" w:rsidRDefault="00E63EE0" w:rsidP="00C743B1">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rPr>
            </w:pPr>
            <w:r w:rsidRPr="00B532D6">
              <w:rPr>
                <w:sz w:val="19"/>
                <w:szCs w:val="19"/>
              </w:rPr>
              <w:t>0.249***</w:t>
            </w:r>
            <w:r w:rsidRPr="00B532D6">
              <w:rPr>
                <w:sz w:val="19"/>
                <w:szCs w:val="19"/>
              </w:rPr>
              <w:br/>
              <w:t>(23.30)</w:t>
            </w:r>
          </w:p>
        </w:tc>
        <w:tc>
          <w:tcPr>
            <w:tcW w:w="1323" w:type="dxa"/>
            <w:tcBorders>
              <w:left w:val="none" w:sz="0" w:space="0" w:color="auto"/>
              <w:right w:val="none" w:sz="0" w:space="0" w:color="auto"/>
            </w:tcBorders>
            <w:shd w:val="clear" w:color="auto" w:fill="FFFFFF" w:themeFill="background1"/>
          </w:tcPr>
          <w:p w:rsidR="00E63EE0" w:rsidRPr="00B532D6" w:rsidRDefault="00E63EE0" w:rsidP="00C743B1">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rPr>
            </w:pPr>
            <w:r w:rsidRPr="00B532D6">
              <w:rPr>
                <w:sz w:val="19"/>
                <w:szCs w:val="19"/>
              </w:rPr>
              <w:t>0.215***</w:t>
            </w:r>
            <w:r w:rsidRPr="00B532D6">
              <w:rPr>
                <w:sz w:val="19"/>
                <w:szCs w:val="19"/>
              </w:rPr>
              <w:br/>
              <w:t>(19.67)</w:t>
            </w:r>
          </w:p>
        </w:tc>
        <w:tc>
          <w:tcPr>
            <w:tcW w:w="1323" w:type="dxa"/>
            <w:tcBorders>
              <w:left w:val="none" w:sz="0" w:space="0" w:color="auto"/>
              <w:right w:val="none" w:sz="0" w:space="0" w:color="auto"/>
            </w:tcBorders>
            <w:shd w:val="clear" w:color="auto" w:fill="FFFFFF" w:themeFill="background1"/>
          </w:tcPr>
          <w:p w:rsidR="00E63EE0" w:rsidRPr="00B532D6" w:rsidRDefault="00E63EE0" w:rsidP="00C743B1">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rPr>
            </w:pPr>
            <w:r w:rsidRPr="00B532D6">
              <w:rPr>
                <w:sz w:val="19"/>
                <w:szCs w:val="19"/>
              </w:rPr>
              <w:t>0.357***</w:t>
            </w:r>
            <w:r w:rsidRPr="00B532D6">
              <w:rPr>
                <w:sz w:val="19"/>
                <w:szCs w:val="19"/>
              </w:rPr>
              <w:br/>
              <w:t>(29.11)</w:t>
            </w:r>
          </w:p>
        </w:tc>
        <w:tc>
          <w:tcPr>
            <w:tcW w:w="1323" w:type="dxa"/>
            <w:tcBorders>
              <w:left w:val="none" w:sz="0" w:space="0" w:color="auto"/>
              <w:right w:val="none" w:sz="0" w:space="0" w:color="auto"/>
            </w:tcBorders>
            <w:shd w:val="clear" w:color="auto" w:fill="FFFFFF" w:themeFill="background1"/>
          </w:tcPr>
          <w:p w:rsidR="00E63EE0" w:rsidRPr="00B532D6" w:rsidRDefault="00E63EE0" w:rsidP="00C743B1">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rPr>
            </w:pPr>
            <w:r w:rsidRPr="00B532D6">
              <w:rPr>
                <w:sz w:val="19"/>
                <w:szCs w:val="19"/>
              </w:rPr>
              <w:t>0.344***</w:t>
            </w:r>
            <w:r w:rsidRPr="00B532D6">
              <w:rPr>
                <w:sz w:val="19"/>
                <w:szCs w:val="19"/>
              </w:rPr>
              <w:br/>
              <w:t>(27.98)</w:t>
            </w:r>
          </w:p>
        </w:tc>
        <w:tc>
          <w:tcPr>
            <w:tcW w:w="1323" w:type="dxa"/>
            <w:tcBorders>
              <w:left w:val="none" w:sz="0" w:space="0" w:color="auto"/>
              <w:right w:val="none" w:sz="0" w:space="0" w:color="auto"/>
            </w:tcBorders>
            <w:shd w:val="clear" w:color="auto" w:fill="FFFFFF" w:themeFill="background1"/>
          </w:tcPr>
          <w:p w:rsidR="00E63EE0" w:rsidRPr="00B532D6" w:rsidRDefault="00E63EE0" w:rsidP="00C743B1">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rPr>
            </w:pPr>
            <w:r w:rsidRPr="00B532D6">
              <w:rPr>
                <w:sz w:val="19"/>
                <w:szCs w:val="19"/>
              </w:rPr>
              <w:t>0.624***</w:t>
            </w:r>
            <w:r w:rsidRPr="00B532D6">
              <w:rPr>
                <w:sz w:val="19"/>
                <w:szCs w:val="19"/>
              </w:rPr>
              <w:br/>
              <w:t>(26.97)</w:t>
            </w:r>
          </w:p>
        </w:tc>
      </w:tr>
      <w:tr w:rsidR="00E63EE0" w:rsidRPr="00B532D6" w:rsidTr="00EA43BA">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rsidR="00E63EE0" w:rsidRPr="00EA43BA" w:rsidRDefault="00E63EE0" w:rsidP="00C743B1">
            <w:pPr>
              <w:shd w:val="clear" w:color="auto" w:fill="FFFFFF" w:themeFill="background1"/>
              <w:spacing w:before="40" w:after="44"/>
              <w:rPr>
                <w:sz w:val="19"/>
                <w:szCs w:val="19"/>
              </w:rPr>
            </w:pPr>
            <w:r w:rsidRPr="00EA43BA">
              <w:rPr>
                <w:sz w:val="19"/>
                <w:szCs w:val="19"/>
              </w:rPr>
              <w:t xml:space="preserve">2 offices </w:t>
            </w:r>
          </w:p>
        </w:tc>
        <w:tc>
          <w:tcPr>
            <w:tcW w:w="1323" w:type="dxa"/>
            <w:shd w:val="clear" w:color="auto" w:fill="FFFFFF" w:themeFill="background1"/>
          </w:tcPr>
          <w:p w:rsidR="00E63EE0" w:rsidRPr="00B532D6" w:rsidRDefault="00E63EE0" w:rsidP="00C743B1">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rPr>
            </w:pPr>
          </w:p>
        </w:tc>
        <w:tc>
          <w:tcPr>
            <w:tcW w:w="1323" w:type="dxa"/>
            <w:shd w:val="clear" w:color="auto" w:fill="FFFFFF" w:themeFill="background1"/>
          </w:tcPr>
          <w:p w:rsidR="00E63EE0" w:rsidRPr="00B532D6" w:rsidRDefault="00E63EE0" w:rsidP="00C743B1">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rPr>
            </w:pPr>
          </w:p>
        </w:tc>
        <w:tc>
          <w:tcPr>
            <w:tcW w:w="1323" w:type="dxa"/>
            <w:shd w:val="clear" w:color="auto" w:fill="FFFFFF" w:themeFill="background1"/>
          </w:tcPr>
          <w:p w:rsidR="00E63EE0" w:rsidRPr="00B532D6" w:rsidRDefault="00E63EE0" w:rsidP="00C743B1">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rPr>
            </w:pPr>
            <w:r w:rsidRPr="00B532D6">
              <w:rPr>
                <w:sz w:val="19"/>
                <w:szCs w:val="19"/>
              </w:rPr>
              <w:t>-0.654***</w:t>
            </w:r>
            <w:r w:rsidRPr="00B532D6">
              <w:rPr>
                <w:sz w:val="19"/>
                <w:szCs w:val="19"/>
              </w:rPr>
              <w:br/>
              <w:t>(-4.20)</w:t>
            </w:r>
          </w:p>
        </w:tc>
        <w:tc>
          <w:tcPr>
            <w:tcW w:w="1323" w:type="dxa"/>
            <w:shd w:val="clear" w:color="auto" w:fill="FFFFFF" w:themeFill="background1"/>
          </w:tcPr>
          <w:p w:rsidR="00E63EE0" w:rsidRPr="00B532D6" w:rsidRDefault="00E63EE0" w:rsidP="00C743B1">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rPr>
            </w:pPr>
            <w:r w:rsidRPr="00B532D6">
              <w:rPr>
                <w:sz w:val="19"/>
                <w:szCs w:val="19"/>
              </w:rPr>
              <w:t>-0.651***</w:t>
            </w:r>
            <w:r w:rsidRPr="00B532D6">
              <w:rPr>
                <w:sz w:val="19"/>
                <w:szCs w:val="19"/>
              </w:rPr>
              <w:br/>
              <w:t>(-4.17)</w:t>
            </w:r>
          </w:p>
        </w:tc>
        <w:tc>
          <w:tcPr>
            <w:tcW w:w="1323" w:type="dxa"/>
            <w:shd w:val="clear" w:color="auto" w:fill="FFFFFF" w:themeFill="background1"/>
          </w:tcPr>
          <w:p w:rsidR="00E63EE0" w:rsidRPr="00B532D6" w:rsidRDefault="00E63EE0" w:rsidP="00C743B1">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rPr>
            </w:pPr>
            <w:r w:rsidRPr="00B532D6">
              <w:rPr>
                <w:sz w:val="19"/>
                <w:szCs w:val="19"/>
              </w:rPr>
              <w:t>-0.705***</w:t>
            </w:r>
            <w:r w:rsidRPr="00B532D6">
              <w:rPr>
                <w:sz w:val="19"/>
                <w:szCs w:val="19"/>
              </w:rPr>
              <w:br/>
              <w:t>(-4.52)</w:t>
            </w:r>
          </w:p>
        </w:tc>
      </w:tr>
      <w:tr w:rsidR="00E63EE0" w:rsidRPr="00B532D6" w:rsidTr="00EA43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left w:val="none" w:sz="0" w:space="0" w:color="auto"/>
              <w:right w:val="none" w:sz="0" w:space="0" w:color="auto"/>
            </w:tcBorders>
            <w:shd w:val="clear" w:color="auto" w:fill="FFFFFF" w:themeFill="background1"/>
          </w:tcPr>
          <w:p w:rsidR="00E63EE0" w:rsidRPr="00EA43BA" w:rsidRDefault="00E63EE0" w:rsidP="00C743B1">
            <w:pPr>
              <w:shd w:val="clear" w:color="auto" w:fill="FFFFFF" w:themeFill="background1"/>
              <w:spacing w:before="40" w:after="44"/>
              <w:rPr>
                <w:sz w:val="19"/>
                <w:szCs w:val="19"/>
              </w:rPr>
            </w:pPr>
            <w:r w:rsidRPr="00EA43BA">
              <w:rPr>
                <w:sz w:val="19"/>
                <w:szCs w:val="19"/>
              </w:rPr>
              <w:t>3 offices</w:t>
            </w:r>
          </w:p>
        </w:tc>
        <w:tc>
          <w:tcPr>
            <w:tcW w:w="1323" w:type="dxa"/>
            <w:tcBorders>
              <w:left w:val="none" w:sz="0" w:space="0" w:color="auto"/>
              <w:right w:val="none" w:sz="0" w:space="0" w:color="auto"/>
            </w:tcBorders>
            <w:shd w:val="clear" w:color="auto" w:fill="FFFFFF" w:themeFill="background1"/>
          </w:tcPr>
          <w:p w:rsidR="00E63EE0" w:rsidRPr="00B532D6" w:rsidRDefault="00E63EE0" w:rsidP="00C743B1">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rPr>
            </w:pPr>
          </w:p>
        </w:tc>
        <w:tc>
          <w:tcPr>
            <w:tcW w:w="1323" w:type="dxa"/>
            <w:tcBorders>
              <w:left w:val="none" w:sz="0" w:space="0" w:color="auto"/>
              <w:right w:val="none" w:sz="0" w:space="0" w:color="auto"/>
            </w:tcBorders>
            <w:shd w:val="clear" w:color="auto" w:fill="FFFFFF" w:themeFill="background1"/>
          </w:tcPr>
          <w:p w:rsidR="00E63EE0" w:rsidRPr="00B532D6" w:rsidRDefault="00E63EE0" w:rsidP="00C743B1">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rPr>
            </w:pPr>
          </w:p>
        </w:tc>
        <w:tc>
          <w:tcPr>
            <w:tcW w:w="1323" w:type="dxa"/>
            <w:tcBorders>
              <w:left w:val="none" w:sz="0" w:space="0" w:color="auto"/>
              <w:right w:val="none" w:sz="0" w:space="0" w:color="auto"/>
            </w:tcBorders>
            <w:shd w:val="clear" w:color="auto" w:fill="FFFFFF" w:themeFill="background1"/>
          </w:tcPr>
          <w:p w:rsidR="00E63EE0" w:rsidRPr="00B532D6" w:rsidRDefault="00E63EE0" w:rsidP="00C743B1">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rPr>
            </w:pPr>
            <w:r w:rsidRPr="00B532D6">
              <w:rPr>
                <w:sz w:val="19"/>
                <w:szCs w:val="19"/>
              </w:rPr>
              <w:t>-0.288*</w:t>
            </w:r>
            <w:r w:rsidRPr="00B532D6">
              <w:rPr>
                <w:sz w:val="19"/>
                <w:szCs w:val="19"/>
              </w:rPr>
              <w:br/>
              <w:t>(-1.85)</w:t>
            </w:r>
          </w:p>
        </w:tc>
        <w:tc>
          <w:tcPr>
            <w:tcW w:w="1323" w:type="dxa"/>
            <w:tcBorders>
              <w:left w:val="none" w:sz="0" w:space="0" w:color="auto"/>
              <w:right w:val="none" w:sz="0" w:space="0" w:color="auto"/>
            </w:tcBorders>
            <w:shd w:val="clear" w:color="auto" w:fill="FFFFFF" w:themeFill="background1"/>
          </w:tcPr>
          <w:p w:rsidR="00E63EE0" w:rsidRPr="00B532D6" w:rsidRDefault="00E63EE0" w:rsidP="00C743B1">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rPr>
            </w:pPr>
            <w:r w:rsidRPr="00B532D6">
              <w:rPr>
                <w:sz w:val="19"/>
                <w:szCs w:val="19"/>
              </w:rPr>
              <w:t>-0.240</w:t>
            </w:r>
            <w:r w:rsidRPr="00B532D6">
              <w:rPr>
                <w:sz w:val="19"/>
                <w:szCs w:val="19"/>
              </w:rPr>
              <w:br/>
              <w:t>(-1.54)</w:t>
            </w:r>
          </w:p>
        </w:tc>
        <w:tc>
          <w:tcPr>
            <w:tcW w:w="1323" w:type="dxa"/>
            <w:tcBorders>
              <w:left w:val="none" w:sz="0" w:space="0" w:color="auto"/>
              <w:right w:val="none" w:sz="0" w:space="0" w:color="auto"/>
            </w:tcBorders>
            <w:shd w:val="clear" w:color="auto" w:fill="FFFFFF" w:themeFill="background1"/>
          </w:tcPr>
          <w:p w:rsidR="00E63EE0" w:rsidRPr="00B532D6" w:rsidRDefault="00E63EE0" w:rsidP="00C743B1">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rPr>
            </w:pPr>
            <w:r w:rsidRPr="00B532D6">
              <w:rPr>
                <w:sz w:val="19"/>
                <w:szCs w:val="19"/>
              </w:rPr>
              <w:t>-0.342**</w:t>
            </w:r>
            <w:r w:rsidRPr="00B532D6">
              <w:rPr>
                <w:sz w:val="19"/>
                <w:szCs w:val="19"/>
              </w:rPr>
              <w:br/>
              <w:t>(-2.19)</w:t>
            </w:r>
          </w:p>
        </w:tc>
      </w:tr>
      <w:tr w:rsidR="00E63EE0" w:rsidRPr="00B532D6" w:rsidTr="00EA43BA">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rsidR="00E63EE0" w:rsidRPr="00EA43BA" w:rsidRDefault="00E63EE0" w:rsidP="00C743B1">
            <w:pPr>
              <w:shd w:val="clear" w:color="auto" w:fill="FFFFFF" w:themeFill="background1"/>
              <w:spacing w:before="40" w:after="44"/>
              <w:rPr>
                <w:sz w:val="19"/>
                <w:szCs w:val="19"/>
              </w:rPr>
            </w:pPr>
            <w:r w:rsidRPr="00EA43BA">
              <w:rPr>
                <w:sz w:val="19"/>
                <w:szCs w:val="19"/>
              </w:rPr>
              <w:t>4 offices</w:t>
            </w:r>
          </w:p>
        </w:tc>
        <w:tc>
          <w:tcPr>
            <w:tcW w:w="1323" w:type="dxa"/>
            <w:shd w:val="clear" w:color="auto" w:fill="FFFFFF" w:themeFill="background1"/>
          </w:tcPr>
          <w:p w:rsidR="00E63EE0" w:rsidRPr="00B532D6" w:rsidRDefault="00E63EE0" w:rsidP="00C743B1">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rPr>
            </w:pPr>
          </w:p>
        </w:tc>
        <w:tc>
          <w:tcPr>
            <w:tcW w:w="1323" w:type="dxa"/>
            <w:shd w:val="clear" w:color="auto" w:fill="FFFFFF" w:themeFill="background1"/>
          </w:tcPr>
          <w:p w:rsidR="00E63EE0" w:rsidRPr="00B532D6" w:rsidRDefault="00E63EE0" w:rsidP="00C743B1">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rPr>
            </w:pPr>
          </w:p>
        </w:tc>
        <w:tc>
          <w:tcPr>
            <w:tcW w:w="1323" w:type="dxa"/>
            <w:shd w:val="clear" w:color="auto" w:fill="FFFFFF" w:themeFill="background1"/>
          </w:tcPr>
          <w:p w:rsidR="00E63EE0" w:rsidRPr="00B532D6" w:rsidRDefault="00E63EE0" w:rsidP="00C743B1">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rPr>
            </w:pPr>
            <w:r w:rsidRPr="00B532D6">
              <w:rPr>
                <w:sz w:val="19"/>
                <w:szCs w:val="19"/>
              </w:rPr>
              <w:t>0.026</w:t>
            </w:r>
            <w:r w:rsidRPr="00B532D6">
              <w:rPr>
                <w:sz w:val="19"/>
                <w:szCs w:val="19"/>
              </w:rPr>
              <w:br/>
              <w:t>(0.16)</w:t>
            </w:r>
          </w:p>
        </w:tc>
        <w:tc>
          <w:tcPr>
            <w:tcW w:w="1323" w:type="dxa"/>
            <w:shd w:val="clear" w:color="auto" w:fill="FFFFFF" w:themeFill="background1"/>
          </w:tcPr>
          <w:p w:rsidR="00E63EE0" w:rsidRPr="00B532D6" w:rsidRDefault="00E63EE0" w:rsidP="00C743B1">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rPr>
            </w:pPr>
            <w:r w:rsidRPr="00B532D6">
              <w:rPr>
                <w:sz w:val="19"/>
                <w:szCs w:val="19"/>
              </w:rPr>
              <w:t>0.156</w:t>
            </w:r>
            <w:r w:rsidRPr="00B532D6">
              <w:rPr>
                <w:sz w:val="19"/>
                <w:szCs w:val="19"/>
              </w:rPr>
              <w:br/>
              <w:t>(1.00)</w:t>
            </w:r>
          </w:p>
        </w:tc>
        <w:tc>
          <w:tcPr>
            <w:tcW w:w="1323" w:type="dxa"/>
            <w:shd w:val="clear" w:color="auto" w:fill="FFFFFF" w:themeFill="background1"/>
          </w:tcPr>
          <w:p w:rsidR="00E63EE0" w:rsidRPr="00B532D6" w:rsidRDefault="00E63EE0" w:rsidP="00C743B1">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rPr>
            </w:pPr>
            <w:r w:rsidRPr="00B532D6">
              <w:rPr>
                <w:sz w:val="19"/>
                <w:szCs w:val="19"/>
              </w:rPr>
              <w:t>-0.029</w:t>
            </w:r>
            <w:r w:rsidRPr="00B532D6">
              <w:rPr>
                <w:sz w:val="19"/>
                <w:szCs w:val="19"/>
              </w:rPr>
              <w:br/>
              <w:t>(-0.18)</w:t>
            </w:r>
          </w:p>
        </w:tc>
      </w:tr>
      <w:tr w:rsidR="00E63EE0" w:rsidRPr="00B532D6" w:rsidTr="00EA43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left w:val="none" w:sz="0" w:space="0" w:color="auto"/>
              <w:right w:val="none" w:sz="0" w:space="0" w:color="auto"/>
            </w:tcBorders>
            <w:shd w:val="clear" w:color="auto" w:fill="FFFFFF" w:themeFill="background1"/>
          </w:tcPr>
          <w:p w:rsidR="00E63EE0" w:rsidRPr="00EA43BA" w:rsidRDefault="00E63EE0" w:rsidP="00C743B1">
            <w:pPr>
              <w:shd w:val="clear" w:color="auto" w:fill="FFFFFF" w:themeFill="background1"/>
              <w:spacing w:before="40" w:after="44"/>
              <w:rPr>
                <w:sz w:val="19"/>
                <w:szCs w:val="19"/>
              </w:rPr>
            </w:pPr>
            <w:r w:rsidRPr="00EA43BA">
              <w:rPr>
                <w:sz w:val="19"/>
                <w:szCs w:val="19"/>
              </w:rPr>
              <w:t>5 offices</w:t>
            </w:r>
          </w:p>
        </w:tc>
        <w:tc>
          <w:tcPr>
            <w:tcW w:w="1323" w:type="dxa"/>
            <w:tcBorders>
              <w:left w:val="none" w:sz="0" w:space="0" w:color="auto"/>
              <w:right w:val="none" w:sz="0" w:space="0" w:color="auto"/>
            </w:tcBorders>
            <w:shd w:val="clear" w:color="auto" w:fill="FFFFFF" w:themeFill="background1"/>
          </w:tcPr>
          <w:p w:rsidR="00E63EE0" w:rsidRPr="00B532D6" w:rsidRDefault="00E63EE0" w:rsidP="00C743B1">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rPr>
            </w:pPr>
          </w:p>
        </w:tc>
        <w:tc>
          <w:tcPr>
            <w:tcW w:w="1323" w:type="dxa"/>
            <w:tcBorders>
              <w:left w:val="none" w:sz="0" w:space="0" w:color="auto"/>
              <w:right w:val="none" w:sz="0" w:space="0" w:color="auto"/>
            </w:tcBorders>
            <w:shd w:val="clear" w:color="auto" w:fill="FFFFFF" w:themeFill="background1"/>
          </w:tcPr>
          <w:p w:rsidR="00E63EE0" w:rsidRPr="00B532D6" w:rsidRDefault="00E63EE0" w:rsidP="00C743B1">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rPr>
            </w:pPr>
          </w:p>
        </w:tc>
        <w:tc>
          <w:tcPr>
            <w:tcW w:w="1323" w:type="dxa"/>
            <w:tcBorders>
              <w:left w:val="none" w:sz="0" w:space="0" w:color="auto"/>
              <w:right w:val="none" w:sz="0" w:space="0" w:color="auto"/>
            </w:tcBorders>
            <w:shd w:val="clear" w:color="auto" w:fill="FFFFFF" w:themeFill="background1"/>
          </w:tcPr>
          <w:p w:rsidR="00E63EE0" w:rsidRPr="00B532D6" w:rsidRDefault="00E63EE0" w:rsidP="00C743B1">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rPr>
            </w:pPr>
            <w:r w:rsidRPr="00B532D6">
              <w:rPr>
                <w:sz w:val="19"/>
                <w:szCs w:val="19"/>
              </w:rPr>
              <w:t>0.248</w:t>
            </w:r>
            <w:r w:rsidRPr="00B532D6">
              <w:rPr>
                <w:sz w:val="19"/>
                <w:szCs w:val="19"/>
              </w:rPr>
              <w:br/>
              <w:t>(1.59)</w:t>
            </w:r>
          </w:p>
        </w:tc>
        <w:tc>
          <w:tcPr>
            <w:tcW w:w="1323" w:type="dxa"/>
            <w:tcBorders>
              <w:left w:val="none" w:sz="0" w:space="0" w:color="auto"/>
              <w:right w:val="none" w:sz="0" w:space="0" w:color="auto"/>
            </w:tcBorders>
            <w:shd w:val="clear" w:color="auto" w:fill="FFFFFF" w:themeFill="background1"/>
          </w:tcPr>
          <w:p w:rsidR="00E63EE0" w:rsidRPr="00B532D6" w:rsidRDefault="00E63EE0" w:rsidP="00C743B1">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rPr>
            </w:pPr>
            <w:r w:rsidRPr="00B532D6">
              <w:rPr>
                <w:sz w:val="19"/>
                <w:szCs w:val="19"/>
              </w:rPr>
              <w:t>0.301*</w:t>
            </w:r>
            <w:r w:rsidRPr="00B532D6">
              <w:rPr>
                <w:sz w:val="19"/>
                <w:szCs w:val="19"/>
              </w:rPr>
              <w:br/>
              <w:t>(1.93)</w:t>
            </w:r>
          </w:p>
        </w:tc>
        <w:tc>
          <w:tcPr>
            <w:tcW w:w="1323" w:type="dxa"/>
            <w:tcBorders>
              <w:left w:val="none" w:sz="0" w:space="0" w:color="auto"/>
              <w:right w:val="none" w:sz="0" w:space="0" w:color="auto"/>
            </w:tcBorders>
            <w:shd w:val="clear" w:color="auto" w:fill="FFFFFF" w:themeFill="background1"/>
          </w:tcPr>
          <w:p w:rsidR="00E63EE0" w:rsidRPr="00B532D6" w:rsidRDefault="00E63EE0" w:rsidP="00C743B1">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rPr>
            </w:pPr>
            <w:r w:rsidRPr="00B532D6">
              <w:rPr>
                <w:sz w:val="19"/>
                <w:szCs w:val="19"/>
              </w:rPr>
              <w:t>0.194</w:t>
            </w:r>
            <w:r w:rsidRPr="00B532D6">
              <w:rPr>
                <w:sz w:val="19"/>
                <w:szCs w:val="19"/>
              </w:rPr>
              <w:br/>
              <w:t>(1.24)</w:t>
            </w:r>
          </w:p>
        </w:tc>
      </w:tr>
      <w:tr w:rsidR="00E63EE0" w:rsidRPr="00B532D6" w:rsidTr="00EA43BA">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rsidR="00E63EE0" w:rsidRPr="00EA43BA" w:rsidRDefault="00E63EE0" w:rsidP="00C743B1">
            <w:pPr>
              <w:shd w:val="clear" w:color="auto" w:fill="FFFFFF" w:themeFill="background1"/>
              <w:spacing w:before="40" w:after="44"/>
              <w:rPr>
                <w:sz w:val="19"/>
                <w:szCs w:val="19"/>
              </w:rPr>
            </w:pPr>
            <w:r w:rsidRPr="00EA43BA">
              <w:rPr>
                <w:sz w:val="19"/>
                <w:szCs w:val="19"/>
              </w:rPr>
              <w:t>6 or more offices</w:t>
            </w:r>
          </w:p>
        </w:tc>
        <w:tc>
          <w:tcPr>
            <w:tcW w:w="1323" w:type="dxa"/>
            <w:shd w:val="clear" w:color="auto" w:fill="FFFFFF" w:themeFill="background1"/>
          </w:tcPr>
          <w:p w:rsidR="00E63EE0" w:rsidRPr="00B532D6" w:rsidRDefault="00E63EE0" w:rsidP="00C743B1">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rPr>
            </w:pPr>
          </w:p>
        </w:tc>
        <w:tc>
          <w:tcPr>
            <w:tcW w:w="1323" w:type="dxa"/>
            <w:shd w:val="clear" w:color="auto" w:fill="FFFFFF" w:themeFill="background1"/>
          </w:tcPr>
          <w:p w:rsidR="00E63EE0" w:rsidRPr="00B532D6" w:rsidRDefault="00E63EE0" w:rsidP="00C743B1">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rPr>
            </w:pPr>
          </w:p>
        </w:tc>
        <w:tc>
          <w:tcPr>
            <w:tcW w:w="1323" w:type="dxa"/>
            <w:shd w:val="clear" w:color="auto" w:fill="FFFFFF" w:themeFill="background1"/>
          </w:tcPr>
          <w:p w:rsidR="00E63EE0" w:rsidRPr="00B532D6" w:rsidRDefault="00E63EE0" w:rsidP="00C743B1">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rPr>
            </w:pPr>
            <w:r w:rsidRPr="00B532D6">
              <w:rPr>
                <w:sz w:val="19"/>
                <w:szCs w:val="19"/>
              </w:rPr>
              <w:t>0.551***</w:t>
            </w:r>
            <w:r w:rsidRPr="00B532D6">
              <w:rPr>
                <w:sz w:val="19"/>
                <w:szCs w:val="19"/>
              </w:rPr>
              <w:br/>
              <w:t>(3.54)</w:t>
            </w:r>
          </w:p>
        </w:tc>
        <w:tc>
          <w:tcPr>
            <w:tcW w:w="1323" w:type="dxa"/>
            <w:shd w:val="clear" w:color="auto" w:fill="FFFFFF" w:themeFill="background1"/>
          </w:tcPr>
          <w:p w:rsidR="00E63EE0" w:rsidRPr="00B532D6" w:rsidRDefault="00E63EE0" w:rsidP="00C743B1">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rPr>
            </w:pPr>
            <w:r w:rsidRPr="00B532D6">
              <w:rPr>
                <w:sz w:val="19"/>
                <w:szCs w:val="19"/>
              </w:rPr>
              <w:t>0.460**</w:t>
            </w:r>
            <w:r w:rsidRPr="00B532D6">
              <w:rPr>
                <w:sz w:val="19"/>
                <w:szCs w:val="19"/>
              </w:rPr>
              <w:br/>
              <w:t>(2.95)</w:t>
            </w:r>
          </w:p>
        </w:tc>
        <w:tc>
          <w:tcPr>
            <w:tcW w:w="1323" w:type="dxa"/>
            <w:shd w:val="clear" w:color="auto" w:fill="FFFFFF" w:themeFill="background1"/>
          </w:tcPr>
          <w:p w:rsidR="00E63EE0" w:rsidRPr="00B532D6" w:rsidRDefault="00E63EE0" w:rsidP="00C743B1">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rPr>
            </w:pPr>
            <w:r w:rsidRPr="00B532D6">
              <w:rPr>
                <w:sz w:val="19"/>
                <w:szCs w:val="19"/>
              </w:rPr>
              <w:t>0.499***</w:t>
            </w:r>
            <w:r w:rsidRPr="00B532D6">
              <w:rPr>
                <w:sz w:val="19"/>
                <w:szCs w:val="19"/>
              </w:rPr>
              <w:br/>
              <w:t>(3.20)</w:t>
            </w:r>
          </w:p>
        </w:tc>
      </w:tr>
      <w:tr w:rsidR="00E63EE0" w:rsidRPr="00B532D6" w:rsidTr="00EA43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left w:val="none" w:sz="0" w:space="0" w:color="auto"/>
              <w:right w:val="none" w:sz="0" w:space="0" w:color="auto"/>
            </w:tcBorders>
            <w:shd w:val="clear" w:color="auto" w:fill="FFFFFF" w:themeFill="background1"/>
          </w:tcPr>
          <w:p w:rsidR="00E63EE0" w:rsidRPr="00EA43BA" w:rsidRDefault="00EA43BA" w:rsidP="00C743B1">
            <w:pPr>
              <w:shd w:val="clear" w:color="auto" w:fill="FFFFFF" w:themeFill="background1"/>
              <w:spacing w:before="40" w:after="44"/>
              <w:rPr>
                <w:sz w:val="19"/>
                <w:szCs w:val="19"/>
              </w:rPr>
            </w:pPr>
            <m:oMath>
              <m:r>
                <m:rPr>
                  <m:sty m:val="b"/>
                </m:rPr>
                <w:rPr>
                  <w:rFonts w:ascii="Cambria Math" w:hAnsi="Cambria Math"/>
                  <w:sz w:val="19"/>
                  <w:szCs w:val="19"/>
                </w:rPr>
                <m:t>ln</m:t>
              </m:r>
              <m:sSub>
                <m:sSubPr>
                  <m:ctrlPr>
                    <w:rPr>
                      <w:rFonts w:ascii="Cambria Math" w:eastAsiaTheme="minorEastAsia" w:hAnsi="Cambria Math"/>
                      <w:i/>
                      <w:sz w:val="19"/>
                      <w:szCs w:val="19"/>
                    </w:rPr>
                  </m:ctrlPr>
                </m:sSubPr>
                <m:e>
                  <m:r>
                    <m:rPr>
                      <m:sty m:val="bi"/>
                    </m:rPr>
                    <w:rPr>
                      <w:rFonts w:ascii="Cambria Math" w:eastAsiaTheme="minorEastAsia" w:hAnsi="Cambria Math"/>
                      <w:sz w:val="19"/>
                      <w:szCs w:val="19"/>
                    </w:rPr>
                    <m:t>f</m:t>
                  </m:r>
                </m:e>
                <m:sub>
                  <m:r>
                    <m:rPr>
                      <m:sty m:val="bi"/>
                    </m:rPr>
                    <w:rPr>
                      <w:rFonts w:ascii="Cambria Math" w:eastAsiaTheme="minorEastAsia" w:hAnsi="Cambria Math"/>
                      <w:sz w:val="19"/>
                      <w:szCs w:val="19"/>
                    </w:rPr>
                    <m:t>ijt</m:t>
                  </m:r>
                </m:sub>
              </m:sSub>
            </m:oMath>
            <w:r w:rsidR="00E63EE0" w:rsidRPr="00EA43BA">
              <w:rPr>
                <w:rFonts w:eastAsiaTheme="minorEastAsia"/>
                <w:sz w:val="19"/>
                <w:szCs w:val="19"/>
              </w:rPr>
              <w:t xml:space="preserve"> * (2 offices)</w:t>
            </w:r>
          </w:p>
        </w:tc>
        <w:tc>
          <w:tcPr>
            <w:tcW w:w="1323" w:type="dxa"/>
            <w:tcBorders>
              <w:left w:val="none" w:sz="0" w:space="0" w:color="auto"/>
              <w:right w:val="none" w:sz="0" w:space="0" w:color="auto"/>
            </w:tcBorders>
            <w:shd w:val="clear" w:color="auto" w:fill="FFFFFF" w:themeFill="background1"/>
          </w:tcPr>
          <w:p w:rsidR="00E63EE0" w:rsidRPr="00B532D6" w:rsidRDefault="00E63EE0" w:rsidP="00C743B1">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rPr>
            </w:pPr>
          </w:p>
        </w:tc>
        <w:tc>
          <w:tcPr>
            <w:tcW w:w="1323" w:type="dxa"/>
            <w:tcBorders>
              <w:left w:val="none" w:sz="0" w:space="0" w:color="auto"/>
              <w:right w:val="none" w:sz="0" w:space="0" w:color="auto"/>
            </w:tcBorders>
            <w:shd w:val="clear" w:color="auto" w:fill="FFFFFF" w:themeFill="background1"/>
          </w:tcPr>
          <w:p w:rsidR="00E63EE0" w:rsidRPr="00B532D6" w:rsidRDefault="00E63EE0" w:rsidP="00C743B1">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rPr>
            </w:pPr>
          </w:p>
        </w:tc>
        <w:tc>
          <w:tcPr>
            <w:tcW w:w="1323" w:type="dxa"/>
            <w:tcBorders>
              <w:left w:val="none" w:sz="0" w:space="0" w:color="auto"/>
              <w:right w:val="none" w:sz="0" w:space="0" w:color="auto"/>
            </w:tcBorders>
            <w:shd w:val="clear" w:color="auto" w:fill="FFFFFF" w:themeFill="background1"/>
          </w:tcPr>
          <w:p w:rsidR="00E63EE0" w:rsidRPr="00B532D6" w:rsidRDefault="00E63EE0" w:rsidP="00C743B1">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rPr>
            </w:pPr>
          </w:p>
        </w:tc>
        <w:tc>
          <w:tcPr>
            <w:tcW w:w="1323" w:type="dxa"/>
            <w:tcBorders>
              <w:left w:val="none" w:sz="0" w:space="0" w:color="auto"/>
              <w:right w:val="none" w:sz="0" w:space="0" w:color="auto"/>
            </w:tcBorders>
            <w:shd w:val="clear" w:color="auto" w:fill="FFFFFF" w:themeFill="background1"/>
          </w:tcPr>
          <w:p w:rsidR="00E63EE0" w:rsidRPr="00B532D6" w:rsidRDefault="00E63EE0" w:rsidP="00C743B1">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rPr>
            </w:pPr>
            <w:r w:rsidRPr="00B532D6">
              <w:rPr>
                <w:sz w:val="19"/>
                <w:szCs w:val="19"/>
              </w:rPr>
              <w:t>-0.048**</w:t>
            </w:r>
            <w:r w:rsidRPr="00B532D6">
              <w:rPr>
                <w:sz w:val="19"/>
                <w:szCs w:val="19"/>
              </w:rPr>
              <w:br/>
              <w:t>(-2.36)</w:t>
            </w:r>
          </w:p>
        </w:tc>
        <w:tc>
          <w:tcPr>
            <w:tcW w:w="1323" w:type="dxa"/>
            <w:tcBorders>
              <w:left w:val="none" w:sz="0" w:space="0" w:color="auto"/>
              <w:right w:val="none" w:sz="0" w:space="0" w:color="auto"/>
            </w:tcBorders>
            <w:shd w:val="clear" w:color="auto" w:fill="FFFFFF" w:themeFill="background1"/>
          </w:tcPr>
          <w:p w:rsidR="00E63EE0" w:rsidRPr="00B532D6" w:rsidRDefault="00E63EE0" w:rsidP="00C743B1">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rPr>
            </w:pPr>
          </w:p>
        </w:tc>
      </w:tr>
      <w:tr w:rsidR="00E63EE0" w:rsidRPr="00B532D6" w:rsidTr="00EA43BA">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rsidR="00E63EE0" w:rsidRPr="00EA43BA" w:rsidRDefault="00EA43BA" w:rsidP="00C743B1">
            <w:pPr>
              <w:shd w:val="clear" w:color="auto" w:fill="FFFFFF" w:themeFill="background1"/>
              <w:spacing w:before="40" w:after="44"/>
              <w:rPr>
                <w:sz w:val="19"/>
                <w:szCs w:val="19"/>
              </w:rPr>
            </w:pPr>
            <m:oMath>
              <m:r>
                <m:rPr>
                  <m:sty m:val="b"/>
                </m:rPr>
                <w:rPr>
                  <w:rFonts w:ascii="Cambria Math" w:hAnsi="Cambria Math"/>
                  <w:sz w:val="19"/>
                  <w:szCs w:val="19"/>
                </w:rPr>
                <m:t>ln</m:t>
              </m:r>
              <m:sSub>
                <m:sSubPr>
                  <m:ctrlPr>
                    <w:rPr>
                      <w:rFonts w:ascii="Cambria Math" w:eastAsiaTheme="minorEastAsia" w:hAnsi="Cambria Math"/>
                      <w:i/>
                      <w:sz w:val="19"/>
                      <w:szCs w:val="19"/>
                    </w:rPr>
                  </m:ctrlPr>
                </m:sSubPr>
                <m:e>
                  <m:r>
                    <m:rPr>
                      <m:sty m:val="bi"/>
                    </m:rPr>
                    <w:rPr>
                      <w:rFonts w:ascii="Cambria Math" w:eastAsiaTheme="minorEastAsia" w:hAnsi="Cambria Math"/>
                      <w:sz w:val="19"/>
                      <w:szCs w:val="19"/>
                    </w:rPr>
                    <m:t>f</m:t>
                  </m:r>
                </m:e>
                <m:sub>
                  <m:r>
                    <m:rPr>
                      <m:sty m:val="bi"/>
                    </m:rPr>
                    <w:rPr>
                      <w:rFonts w:ascii="Cambria Math" w:eastAsiaTheme="minorEastAsia" w:hAnsi="Cambria Math"/>
                      <w:sz w:val="19"/>
                      <w:szCs w:val="19"/>
                    </w:rPr>
                    <m:t>ijt</m:t>
                  </m:r>
                </m:sub>
              </m:sSub>
            </m:oMath>
            <w:r w:rsidR="00E63EE0" w:rsidRPr="00EA43BA">
              <w:rPr>
                <w:rFonts w:eastAsiaTheme="minorEastAsia"/>
                <w:sz w:val="19"/>
                <w:szCs w:val="19"/>
              </w:rPr>
              <w:t xml:space="preserve"> * (3 offices)</w:t>
            </w:r>
          </w:p>
        </w:tc>
        <w:tc>
          <w:tcPr>
            <w:tcW w:w="1323" w:type="dxa"/>
            <w:shd w:val="clear" w:color="auto" w:fill="FFFFFF" w:themeFill="background1"/>
          </w:tcPr>
          <w:p w:rsidR="00E63EE0" w:rsidRPr="00B532D6" w:rsidRDefault="00E63EE0" w:rsidP="00C743B1">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rPr>
            </w:pPr>
          </w:p>
        </w:tc>
        <w:tc>
          <w:tcPr>
            <w:tcW w:w="1323" w:type="dxa"/>
            <w:shd w:val="clear" w:color="auto" w:fill="FFFFFF" w:themeFill="background1"/>
          </w:tcPr>
          <w:p w:rsidR="00E63EE0" w:rsidRPr="00B532D6" w:rsidRDefault="00E63EE0" w:rsidP="00C743B1">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rPr>
            </w:pPr>
          </w:p>
        </w:tc>
        <w:tc>
          <w:tcPr>
            <w:tcW w:w="1323" w:type="dxa"/>
            <w:shd w:val="clear" w:color="auto" w:fill="FFFFFF" w:themeFill="background1"/>
          </w:tcPr>
          <w:p w:rsidR="00E63EE0" w:rsidRPr="00B532D6" w:rsidRDefault="00E63EE0" w:rsidP="00C743B1">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rPr>
            </w:pPr>
          </w:p>
        </w:tc>
        <w:tc>
          <w:tcPr>
            <w:tcW w:w="1323" w:type="dxa"/>
            <w:shd w:val="clear" w:color="auto" w:fill="FFFFFF" w:themeFill="background1"/>
          </w:tcPr>
          <w:p w:rsidR="00E63EE0" w:rsidRPr="00B532D6" w:rsidRDefault="00E63EE0" w:rsidP="00C743B1">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rPr>
            </w:pPr>
            <w:r w:rsidRPr="00B532D6">
              <w:rPr>
                <w:sz w:val="19"/>
                <w:szCs w:val="19"/>
              </w:rPr>
              <w:t>-0.059***</w:t>
            </w:r>
            <w:r w:rsidRPr="00B532D6">
              <w:rPr>
                <w:sz w:val="19"/>
                <w:szCs w:val="19"/>
              </w:rPr>
              <w:br/>
              <w:t>(-2.87)</w:t>
            </w:r>
          </w:p>
        </w:tc>
        <w:tc>
          <w:tcPr>
            <w:tcW w:w="1323" w:type="dxa"/>
            <w:shd w:val="clear" w:color="auto" w:fill="FFFFFF" w:themeFill="background1"/>
          </w:tcPr>
          <w:p w:rsidR="00E63EE0" w:rsidRPr="00B532D6" w:rsidRDefault="00E63EE0" w:rsidP="00C743B1">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rPr>
            </w:pPr>
          </w:p>
        </w:tc>
      </w:tr>
      <w:tr w:rsidR="00E63EE0" w:rsidRPr="00B532D6" w:rsidTr="00EA43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left w:val="none" w:sz="0" w:space="0" w:color="auto"/>
              <w:right w:val="none" w:sz="0" w:space="0" w:color="auto"/>
            </w:tcBorders>
            <w:shd w:val="clear" w:color="auto" w:fill="FFFFFF" w:themeFill="background1"/>
          </w:tcPr>
          <w:p w:rsidR="00E63EE0" w:rsidRPr="00EA43BA" w:rsidRDefault="00EA43BA" w:rsidP="00C743B1">
            <w:pPr>
              <w:shd w:val="clear" w:color="auto" w:fill="FFFFFF" w:themeFill="background1"/>
              <w:spacing w:before="40" w:after="44"/>
              <w:rPr>
                <w:sz w:val="19"/>
                <w:szCs w:val="19"/>
              </w:rPr>
            </w:pPr>
            <m:oMath>
              <m:r>
                <m:rPr>
                  <m:sty m:val="b"/>
                </m:rPr>
                <w:rPr>
                  <w:rFonts w:ascii="Cambria Math" w:hAnsi="Cambria Math"/>
                  <w:sz w:val="19"/>
                  <w:szCs w:val="19"/>
                </w:rPr>
                <m:t>ln</m:t>
              </m:r>
              <m:sSub>
                <m:sSubPr>
                  <m:ctrlPr>
                    <w:rPr>
                      <w:rFonts w:ascii="Cambria Math" w:eastAsiaTheme="minorEastAsia" w:hAnsi="Cambria Math"/>
                      <w:i/>
                      <w:sz w:val="19"/>
                      <w:szCs w:val="19"/>
                    </w:rPr>
                  </m:ctrlPr>
                </m:sSubPr>
                <m:e>
                  <m:r>
                    <m:rPr>
                      <m:sty m:val="bi"/>
                    </m:rPr>
                    <w:rPr>
                      <w:rFonts w:ascii="Cambria Math" w:eastAsiaTheme="minorEastAsia" w:hAnsi="Cambria Math"/>
                      <w:sz w:val="19"/>
                      <w:szCs w:val="19"/>
                    </w:rPr>
                    <m:t>f</m:t>
                  </m:r>
                </m:e>
                <m:sub>
                  <m:r>
                    <m:rPr>
                      <m:sty m:val="bi"/>
                    </m:rPr>
                    <w:rPr>
                      <w:rFonts w:ascii="Cambria Math" w:eastAsiaTheme="minorEastAsia" w:hAnsi="Cambria Math"/>
                      <w:sz w:val="19"/>
                      <w:szCs w:val="19"/>
                    </w:rPr>
                    <m:t>ijt</m:t>
                  </m:r>
                </m:sub>
              </m:sSub>
            </m:oMath>
            <w:r w:rsidR="00E63EE0" w:rsidRPr="00EA43BA">
              <w:rPr>
                <w:rFonts w:eastAsiaTheme="minorEastAsia"/>
                <w:sz w:val="19"/>
                <w:szCs w:val="19"/>
              </w:rPr>
              <w:t xml:space="preserve"> * (4 offices)</w:t>
            </w:r>
          </w:p>
        </w:tc>
        <w:tc>
          <w:tcPr>
            <w:tcW w:w="1323" w:type="dxa"/>
            <w:tcBorders>
              <w:left w:val="none" w:sz="0" w:space="0" w:color="auto"/>
              <w:right w:val="none" w:sz="0" w:space="0" w:color="auto"/>
            </w:tcBorders>
            <w:shd w:val="clear" w:color="auto" w:fill="FFFFFF" w:themeFill="background1"/>
          </w:tcPr>
          <w:p w:rsidR="00E63EE0" w:rsidRPr="00B532D6" w:rsidRDefault="00E63EE0" w:rsidP="00C743B1">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rPr>
            </w:pPr>
          </w:p>
        </w:tc>
        <w:tc>
          <w:tcPr>
            <w:tcW w:w="1323" w:type="dxa"/>
            <w:tcBorders>
              <w:left w:val="none" w:sz="0" w:space="0" w:color="auto"/>
              <w:right w:val="none" w:sz="0" w:space="0" w:color="auto"/>
            </w:tcBorders>
            <w:shd w:val="clear" w:color="auto" w:fill="FFFFFF" w:themeFill="background1"/>
          </w:tcPr>
          <w:p w:rsidR="00E63EE0" w:rsidRPr="00B532D6" w:rsidRDefault="00E63EE0" w:rsidP="00C743B1">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rPr>
            </w:pPr>
          </w:p>
        </w:tc>
        <w:tc>
          <w:tcPr>
            <w:tcW w:w="1323" w:type="dxa"/>
            <w:tcBorders>
              <w:left w:val="none" w:sz="0" w:space="0" w:color="auto"/>
              <w:right w:val="none" w:sz="0" w:space="0" w:color="auto"/>
            </w:tcBorders>
            <w:shd w:val="clear" w:color="auto" w:fill="FFFFFF" w:themeFill="background1"/>
          </w:tcPr>
          <w:p w:rsidR="00E63EE0" w:rsidRPr="00B532D6" w:rsidRDefault="00E63EE0" w:rsidP="00C743B1">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rPr>
            </w:pPr>
          </w:p>
        </w:tc>
        <w:tc>
          <w:tcPr>
            <w:tcW w:w="1323" w:type="dxa"/>
            <w:tcBorders>
              <w:left w:val="none" w:sz="0" w:space="0" w:color="auto"/>
              <w:right w:val="none" w:sz="0" w:space="0" w:color="auto"/>
            </w:tcBorders>
            <w:shd w:val="clear" w:color="auto" w:fill="FFFFFF" w:themeFill="background1"/>
          </w:tcPr>
          <w:p w:rsidR="00E63EE0" w:rsidRPr="00B532D6" w:rsidRDefault="00E63EE0" w:rsidP="00C743B1">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rPr>
            </w:pPr>
            <w:r w:rsidRPr="00B532D6">
              <w:rPr>
                <w:sz w:val="19"/>
                <w:szCs w:val="19"/>
              </w:rPr>
              <w:t>-0.076***</w:t>
            </w:r>
            <w:r w:rsidRPr="00B532D6">
              <w:rPr>
                <w:sz w:val="19"/>
                <w:szCs w:val="19"/>
              </w:rPr>
              <w:br/>
              <w:t>(-3.69)</w:t>
            </w:r>
          </w:p>
        </w:tc>
        <w:tc>
          <w:tcPr>
            <w:tcW w:w="1323" w:type="dxa"/>
            <w:tcBorders>
              <w:left w:val="none" w:sz="0" w:space="0" w:color="auto"/>
              <w:right w:val="none" w:sz="0" w:space="0" w:color="auto"/>
            </w:tcBorders>
            <w:shd w:val="clear" w:color="auto" w:fill="FFFFFF" w:themeFill="background1"/>
          </w:tcPr>
          <w:p w:rsidR="00E63EE0" w:rsidRPr="00B532D6" w:rsidRDefault="00E63EE0" w:rsidP="00C743B1">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rPr>
            </w:pPr>
          </w:p>
        </w:tc>
      </w:tr>
      <w:tr w:rsidR="00E63EE0" w:rsidRPr="00B532D6" w:rsidTr="00EA43BA">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rsidR="00E63EE0" w:rsidRPr="00EA43BA" w:rsidRDefault="00EA43BA" w:rsidP="00C743B1">
            <w:pPr>
              <w:shd w:val="clear" w:color="auto" w:fill="FFFFFF" w:themeFill="background1"/>
              <w:spacing w:before="40" w:after="44"/>
              <w:rPr>
                <w:sz w:val="19"/>
                <w:szCs w:val="19"/>
              </w:rPr>
            </w:pPr>
            <m:oMath>
              <m:r>
                <m:rPr>
                  <m:sty m:val="b"/>
                </m:rPr>
                <w:rPr>
                  <w:rFonts w:ascii="Cambria Math" w:hAnsi="Cambria Math"/>
                  <w:sz w:val="19"/>
                  <w:szCs w:val="19"/>
                </w:rPr>
                <m:t>ln</m:t>
              </m:r>
              <m:sSub>
                <m:sSubPr>
                  <m:ctrlPr>
                    <w:rPr>
                      <w:rFonts w:ascii="Cambria Math" w:eastAsiaTheme="minorEastAsia" w:hAnsi="Cambria Math"/>
                      <w:i/>
                      <w:sz w:val="19"/>
                      <w:szCs w:val="19"/>
                    </w:rPr>
                  </m:ctrlPr>
                </m:sSubPr>
                <m:e>
                  <m:r>
                    <m:rPr>
                      <m:sty m:val="bi"/>
                    </m:rPr>
                    <w:rPr>
                      <w:rFonts w:ascii="Cambria Math" w:eastAsiaTheme="minorEastAsia" w:hAnsi="Cambria Math"/>
                      <w:sz w:val="19"/>
                      <w:szCs w:val="19"/>
                    </w:rPr>
                    <m:t>f</m:t>
                  </m:r>
                </m:e>
                <m:sub>
                  <m:r>
                    <m:rPr>
                      <m:sty m:val="bi"/>
                    </m:rPr>
                    <w:rPr>
                      <w:rFonts w:ascii="Cambria Math" w:eastAsiaTheme="minorEastAsia" w:hAnsi="Cambria Math"/>
                      <w:sz w:val="19"/>
                      <w:szCs w:val="19"/>
                    </w:rPr>
                    <m:t>ijt</m:t>
                  </m:r>
                </m:sub>
              </m:sSub>
            </m:oMath>
            <w:r w:rsidR="00E63EE0" w:rsidRPr="00EA43BA">
              <w:rPr>
                <w:rFonts w:eastAsiaTheme="minorEastAsia"/>
                <w:sz w:val="19"/>
                <w:szCs w:val="19"/>
              </w:rPr>
              <w:t xml:space="preserve"> * (5 offices)</w:t>
            </w:r>
          </w:p>
        </w:tc>
        <w:tc>
          <w:tcPr>
            <w:tcW w:w="1323" w:type="dxa"/>
            <w:shd w:val="clear" w:color="auto" w:fill="FFFFFF" w:themeFill="background1"/>
          </w:tcPr>
          <w:p w:rsidR="00E63EE0" w:rsidRPr="00B532D6" w:rsidRDefault="00E63EE0" w:rsidP="00C743B1">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rPr>
            </w:pPr>
          </w:p>
        </w:tc>
        <w:tc>
          <w:tcPr>
            <w:tcW w:w="1323" w:type="dxa"/>
            <w:shd w:val="clear" w:color="auto" w:fill="FFFFFF" w:themeFill="background1"/>
          </w:tcPr>
          <w:p w:rsidR="00E63EE0" w:rsidRPr="00B532D6" w:rsidRDefault="00E63EE0" w:rsidP="00C743B1">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rPr>
            </w:pPr>
          </w:p>
        </w:tc>
        <w:tc>
          <w:tcPr>
            <w:tcW w:w="1323" w:type="dxa"/>
            <w:shd w:val="clear" w:color="auto" w:fill="FFFFFF" w:themeFill="background1"/>
          </w:tcPr>
          <w:p w:rsidR="00E63EE0" w:rsidRPr="00B532D6" w:rsidRDefault="00E63EE0" w:rsidP="00C743B1">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rPr>
            </w:pPr>
          </w:p>
        </w:tc>
        <w:tc>
          <w:tcPr>
            <w:tcW w:w="1323" w:type="dxa"/>
            <w:shd w:val="clear" w:color="auto" w:fill="FFFFFF" w:themeFill="background1"/>
          </w:tcPr>
          <w:p w:rsidR="00E63EE0" w:rsidRPr="00B532D6" w:rsidRDefault="00E63EE0" w:rsidP="00C743B1">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rPr>
            </w:pPr>
            <w:r w:rsidRPr="00B532D6">
              <w:rPr>
                <w:sz w:val="19"/>
                <w:szCs w:val="19"/>
              </w:rPr>
              <w:t>-0.060***</w:t>
            </w:r>
            <w:r w:rsidRPr="00B532D6">
              <w:rPr>
                <w:sz w:val="19"/>
                <w:szCs w:val="19"/>
              </w:rPr>
              <w:br/>
              <w:t>(-2.90)</w:t>
            </w:r>
          </w:p>
        </w:tc>
        <w:tc>
          <w:tcPr>
            <w:tcW w:w="1323" w:type="dxa"/>
            <w:shd w:val="clear" w:color="auto" w:fill="FFFFFF" w:themeFill="background1"/>
          </w:tcPr>
          <w:p w:rsidR="00E63EE0" w:rsidRPr="00B532D6" w:rsidRDefault="00E63EE0" w:rsidP="00C743B1">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rPr>
            </w:pPr>
          </w:p>
        </w:tc>
      </w:tr>
      <w:tr w:rsidR="00E63EE0" w:rsidRPr="00B532D6" w:rsidTr="00EA43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left w:val="none" w:sz="0" w:space="0" w:color="auto"/>
              <w:right w:val="none" w:sz="0" w:space="0" w:color="auto"/>
            </w:tcBorders>
            <w:shd w:val="clear" w:color="auto" w:fill="FFFFFF" w:themeFill="background1"/>
          </w:tcPr>
          <w:p w:rsidR="00E63EE0" w:rsidRPr="00EA43BA" w:rsidRDefault="00EA43BA" w:rsidP="00C743B1">
            <w:pPr>
              <w:shd w:val="clear" w:color="auto" w:fill="FFFFFF" w:themeFill="background1"/>
              <w:spacing w:before="40" w:after="44"/>
              <w:rPr>
                <w:sz w:val="19"/>
                <w:szCs w:val="19"/>
              </w:rPr>
            </w:pPr>
            <m:oMath>
              <m:r>
                <m:rPr>
                  <m:sty m:val="b"/>
                </m:rPr>
                <w:rPr>
                  <w:rFonts w:ascii="Cambria Math" w:hAnsi="Cambria Math"/>
                  <w:sz w:val="19"/>
                  <w:szCs w:val="19"/>
                </w:rPr>
                <m:t>ln</m:t>
              </m:r>
              <m:sSub>
                <m:sSubPr>
                  <m:ctrlPr>
                    <w:rPr>
                      <w:rFonts w:ascii="Cambria Math" w:eastAsiaTheme="minorEastAsia" w:hAnsi="Cambria Math"/>
                      <w:i/>
                      <w:sz w:val="19"/>
                      <w:szCs w:val="19"/>
                    </w:rPr>
                  </m:ctrlPr>
                </m:sSubPr>
                <m:e>
                  <m:r>
                    <m:rPr>
                      <m:sty m:val="bi"/>
                    </m:rPr>
                    <w:rPr>
                      <w:rFonts w:ascii="Cambria Math" w:eastAsiaTheme="minorEastAsia" w:hAnsi="Cambria Math"/>
                      <w:sz w:val="19"/>
                      <w:szCs w:val="19"/>
                    </w:rPr>
                    <m:t>f</m:t>
                  </m:r>
                </m:e>
                <m:sub>
                  <m:r>
                    <m:rPr>
                      <m:sty m:val="bi"/>
                    </m:rPr>
                    <w:rPr>
                      <w:rFonts w:ascii="Cambria Math" w:eastAsiaTheme="minorEastAsia" w:hAnsi="Cambria Math"/>
                      <w:sz w:val="19"/>
                      <w:szCs w:val="19"/>
                    </w:rPr>
                    <m:t>ijt</m:t>
                  </m:r>
                </m:sub>
              </m:sSub>
            </m:oMath>
            <w:r w:rsidR="00E63EE0" w:rsidRPr="00EA43BA">
              <w:rPr>
                <w:rFonts w:eastAsiaTheme="minorEastAsia"/>
                <w:sz w:val="19"/>
                <w:szCs w:val="19"/>
              </w:rPr>
              <w:t xml:space="preserve"> * (6 or more offices)</w:t>
            </w:r>
          </w:p>
        </w:tc>
        <w:tc>
          <w:tcPr>
            <w:tcW w:w="1323" w:type="dxa"/>
            <w:tcBorders>
              <w:left w:val="none" w:sz="0" w:space="0" w:color="auto"/>
              <w:right w:val="none" w:sz="0" w:space="0" w:color="auto"/>
            </w:tcBorders>
            <w:shd w:val="clear" w:color="auto" w:fill="FFFFFF" w:themeFill="background1"/>
          </w:tcPr>
          <w:p w:rsidR="00E63EE0" w:rsidRPr="00B532D6" w:rsidRDefault="00E63EE0" w:rsidP="00C743B1">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rPr>
            </w:pPr>
          </w:p>
        </w:tc>
        <w:tc>
          <w:tcPr>
            <w:tcW w:w="1323" w:type="dxa"/>
            <w:tcBorders>
              <w:left w:val="none" w:sz="0" w:space="0" w:color="auto"/>
              <w:right w:val="none" w:sz="0" w:space="0" w:color="auto"/>
            </w:tcBorders>
            <w:shd w:val="clear" w:color="auto" w:fill="FFFFFF" w:themeFill="background1"/>
          </w:tcPr>
          <w:p w:rsidR="00E63EE0" w:rsidRPr="00B532D6" w:rsidRDefault="00E63EE0" w:rsidP="00C743B1">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rPr>
            </w:pPr>
          </w:p>
        </w:tc>
        <w:tc>
          <w:tcPr>
            <w:tcW w:w="1323" w:type="dxa"/>
            <w:tcBorders>
              <w:left w:val="none" w:sz="0" w:space="0" w:color="auto"/>
              <w:right w:val="none" w:sz="0" w:space="0" w:color="auto"/>
            </w:tcBorders>
            <w:shd w:val="clear" w:color="auto" w:fill="FFFFFF" w:themeFill="background1"/>
          </w:tcPr>
          <w:p w:rsidR="00E63EE0" w:rsidRPr="00B532D6" w:rsidRDefault="00E63EE0" w:rsidP="00C743B1">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rPr>
            </w:pPr>
          </w:p>
        </w:tc>
        <w:tc>
          <w:tcPr>
            <w:tcW w:w="1323" w:type="dxa"/>
            <w:tcBorders>
              <w:left w:val="none" w:sz="0" w:space="0" w:color="auto"/>
              <w:right w:val="none" w:sz="0" w:space="0" w:color="auto"/>
            </w:tcBorders>
            <w:shd w:val="clear" w:color="auto" w:fill="FFFFFF" w:themeFill="background1"/>
          </w:tcPr>
          <w:p w:rsidR="00E63EE0" w:rsidRPr="00B532D6" w:rsidRDefault="00E63EE0" w:rsidP="00C743B1">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rPr>
            </w:pPr>
            <w:r w:rsidRPr="00B532D6">
              <w:rPr>
                <w:sz w:val="19"/>
                <w:szCs w:val="19"/>
              </w:rPr>
              <w:t>-0.021</w:t>
            </w:r>
            <w:r w:rsidRPr="00B532D6">
              <w:rPr>
                <w:sz w:val="19"/>
                <w:szCs w:val="19"/>
              </w:rPr>
              <w:br/>
              <w:t>(-1.02)</w:t>
            </w:r>
          </w:p>
        </w:tc>
        <w:tc>
          <w:tcPr>
            <w:tcW w:w="1323" w:type="dxa"/>
            <w:tcBorders>
              <w:left w:val="none" w:sz="0" w:space="0" w:color="auto"/>
              <w:right w:val="none" w:sz="0" w:space="0" w:color="auto"/>
            </w:tcBorders>
            <w:shd w:val="clear" w:color="auto" w:fill="FFFFFF" w:themeFill="background1"/>
          </w:tcPr>
          <w:p w:rsidR="00E63EE0" w:rsidRPr="00B532D6" w:rsidRDefault="00E63EE0" w:rsidP="00C743B1">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rPr>
            </w:pPr>
          </w:p>
        </w:tc>
      </w:tr>
      <w:tr w:rsidR="00E63EE0" w:rsidRPr="00B532D6" w:rsidTr="00EA43BA">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rsidR="00E63EE0" w:rsidRPr="00EA43BA" w:rsidRDefault="00EA43BA" w:rsidP="00C743B1">
            <w:pPr>
              <w:shd w:val="clear" w:color="auto" w:fill="FFFFFF" w:themeFill="background1"/>
              <w:spacing w:before="40" w:after="44"/>
              <w:rPr>
                <w:rFonts w:ascii="Calibri" w:eastAsia="Calibri" w:hAnsi="Calibri" w:cs="Times New Roman"/>
                <w:bCs w:val="0"/>
                <w:sz w:val="19"/>
                <w:szCs w:val="19"/>
              </w:rPr>
            </w:pPr>
            <m:oMath>
              <m:r>
                <m:rPr>
                  <m:sty m:val="b"/>
                </m:rPr>
                <w:rPr>
                  <w:rFonts w:ascii="Cambria Math" w:hAnsi="Cambria Math"/>
                  <w:sz w:val="19"/>
                  <w:szCs w:val="19"/>
                </w:rPr>
                <m:t>ln</m:t>
              </m:r>
              <m:sSub>
                <m:sSubPr>
                  <m:ctrlPr>
                    <w:rPr>
                      <w:rFonts w:ascii="Cambria Math" w:eastAsiaTheme="minorEastAsia" w:hAnsi="Cambria Math"/>
                      <w:i/>
                      <w:sz w:val="19"/>
                      <w:szCs w:val="19"/>
                    </w:rPr>
                  </m:ctrlPr>
                </m:sSubPr>
                <m:e>
                  <m:r>
                    <m:rPr>
                      <m:sty m:val="bi"/>
                    </m:rPr>
                    <w:rPr>
                      <w:rFonts w:ascii="Cambria Math" w:eastAsiaTheme="minorEastAsia" w:hAnsi="Cambria Math"/>
                      <w:sz w:val="19"/>
                      <w:szCs w:val="19"/>
                    </w:rPr>
                    <m:t>f</m:t>
                  </m:r>
                </m:e>
                <m:sub>
                  <m:r>
                    <m:rPr>
                      <m:sty m:val="bi"/>
                    </m:rPr>
                    <w:rPr>
                      <w:rFonts w:ascii="Cambria Math" w:eastAsiaTheme="minorEastAsia" w:hAnsi="Cambria Math"/>
                      <w:sz w:val="19"/>
                      <w:szCs w:val="19"/>
                    </w:rPr>
                    <m:t>ijt</m:t>
                  </m:r>
                </m:sub>
              </m:sSub>
            </m:oMath>
            <w:r w:rsidR="00E63EE0" w:rsidRPr="00EA43BA">
              <w:rPr>
                <w:rFonts w:ascii="Calibri" w:eastAsia="Calibri" w:hAnsi="Calibri" w:cs="Times New Roman"/>
                <w:sz w:val="19"/>
                <w:szCs w:val="19"/>
              </w:rPr>
              <w:t xml:space="preserve"> * (University applicant)</w:t>
            </w:r>
          </w:p>
        </w:tc>
        <w:tc>
          <w:tcPr>
            <w:tcW w:w="1323" w:type="dxa"/>
            <w:shd w:val="clear" w:color="auto" w:fill="FFFFFF" w:themeFill="background1"/>
          </w:tcPr>
          <w:p w:rsidR="00E63EE0" w:rsidRPr="00B532D6" w:rsidRDefault="00E63EE0" w:rsidP="00C743B1">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rPr>
            </w:pPr>
          </w:p>
        </w:tc>
        <w:tc>
          <w:tcPr>
            <w:tcW w:w="1323" w:type="dxa"/>
            <w:shd w:val="clear" w:color="auto" w:fill="FFFFFF" w:themeFill="background1"/>
          </w:tcPr>
          <w:p w:rsidR="00E63EE0" w:rsidRPr="00B532D6" w:rsidRDefault="00E63EE0" w:rsidP="00C743B1">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rPr>
            </w:pPr>
          </w:p>
        </w:tc>
        <w:tc>
          <w:tcPr>
            <w:tcW w:w="1323" w:type="dxa"/>
            <w:shd w:val="clear" w:color="auto" w:fill="FFFFFF" w:themeFill="background1"/>
          </w:tcPr>
          <w:p w:rsidR="00E63EE0" w:rsidRPr="00B532D6" w:rsidRDefault="00E63EE0" w:rsidP="00C743B1">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rPr>
            </w:pPr>
          </w:p>
        </w:tc>
        <w:tc>
          <w:tcPr>
            <w:tcW w:w="1323" w:type="dxa"/>
            <w:shd w:val="clear" w:color="auto" w:fill="FFFFFF" w:themeFill="background1"/>
          </w:tcPr>
          <w:p w:rsidR="00E63EE0" w:rsidRPr="00B532D6" w:rsidRDefault="00E63EE0" w:rsidP="00C743B1">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rPr>
            </w:pPr>
          </w:p>
        </w:tc>
        <w:tc>
          <w:tcPr>
            <w:tcW w:w="1323" w:type="dxa"/>
            <w:shd w:val="clear" w:color="auto" w:fill="FFFFFF" w:themeFill="background1"/>
          </w:tcPr>
          <w:p w:rsidR="00E63EE0" w:rsidRPr="00B532D6" w:rsidRDefault="00E63EE0" w:rsidP="00C743B1">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rPr>
            </w:pPr>
            <w:r w:rsidRPr="00B532D6">
              <w:rPr>
                <w:sz w:val="19"/>
                <w:szCs w:val="19"/>
              </w:rPr>
              <w:t>-0.115***</w:t>
            </w:r>
            <w:r w:rsidRPr="00B532D6">
              <w:rPr>
                <w:sz w:val="19"/>
                <w:szCs w:val="19"/>
              </w:rPr>
              <w:br/>
              <w:t>(-5.53)</w:t>
            </w:r>
          </w:p>
        </w:tc>
      </w:tr>
      <w:tr w:rsidR="00E63EE0" w:rsidRPr="00B532D6" w:rsidTr="00EA43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left w:val="none" w:sz="0" w:space="0" w:color="auto"/>
              <w:right w:val="none" w:sz="0" w:space="0" w:color="auto"/>
            </w:tcBorders>
            <w:shd w:val="clear" w:color="auto" w:fill="FFFFFF" w:themeFill="background1"/>
          </w:tcPr>
          <w:p w:rsidR="00E63EE0" w:rsidRPr="00EA43BA" w:rsidRDefault="00EA43BA" w:rsidP="00C743B1">
            <w:pPr>
              <w:shd w:val="clear" w:color="auto" w:fill="FFFFFF" w:themeFill="background1"/>
              <w:spacing w:before="40" w:after="44"/>
              <w:rPr>
                <w:rFonts w:ascii="Calibri" w:eastAsia="Calibri" w:hAnsi="Calibri" w:cs="Times New Roman"/>
                <w:bCs w:val="0"/>
                <w:sz w:val="19"/>
                <w:szCs w:val="19"/>
              </w:rPr>
            </w:pPr>
            <m:oMath>
              <m:r>
                <m:rPr>
                  <m:sty m:val="b"/>
                </m:rPr>
                <w:rPr>
                  <w:rFonts w:ascii="Cambria Math" w:hAnsi="Cambria Math"/>
                  <w:sz w:val="19"/>
                  <w:szCs w:val="19"/>
                </w:rPr>
                <m:t>ln</m:t>
              </m:r>
              <m:sSub>
                <m:sSubPr>
                  <m:ctrlPr>
                    <w:rPr>
                      <w:rFonts w:ascii="Cambria Math" w:eastAsiaTheme="minorEastAsia" w:hAnsi="Cambria Math"/>
                      <w:i/>
                      <w:sz w:val="19"/>
                      <w:szCs w:val="19"/>
                    </w:rPr>
                  </m:ctrlPr>
                </m:sSubPr>
                <m:e>
                  <m:r>
                    <m:rPr>
                      <m:sty m:val="bi"/>
                    </m:rPr>
                    <w:rPr>
                      <w:rFonts w:ascii="Cambria Math" w:eastAsiaTheme="minorEastAsia" w:hAnsi="Cambria Math"/>
                      <w:sz w:val="19"/>
                      <w:szCs w:val="19"/>
                    </w:rPr>
                    <m:t>f</m:t>
                  </m:r>
                </m:e>
                <m:sub>
                  <m:r>
                    <m:rPr>
                      <m:sty m:val="bi"/>
                    </m:rPr>
                    <w:rPr>
                      <w:rFonts w:ascii="Cambria Math" w:eastAsiaTheme="minorEastAsia" w:hAnsi="Cambria Math"/>
                      <w:sz w:val="19"/>
                      <w:szCs w:val="19"/>
                    </w:rPr>
                    <m:t>ijt</m:t>
                  </m:r>
                </m:sub>
              </m:sSub>
            </m:oMath>
            <w:r w:rsidR="00E63EE0" w:rsidRPr="00EA43BA">
              <w:rPr>
                <w:rFonts w:ascii="Calibri" w:eastAsia="Calibri" w:hAnsi="Calibri" w:cs="Times New Roman"/>
                <w:sz w:val="19"/>
                <w:szCs w:val="19"/>
              </w:rPr>
              <w:t xml:space="preserve"> * (PRO applicant)</w:t>
            </w:r>
          </w:p>
        </w:tc>
        <w:tc>
          <w:tcPr>
            <w:tcW w:w="1323" w:type="dxa"/>
            <w:tcBorders>
              <w:left w:val="none" w:sz="0" w:space="0" w:color="auto"/>
              <w:right w:val="none" w:sz="0" w:space="0" w:color="auto"/>
            </w:tcBorders>
            <w:shd w:val="clear" w:color="auto" w:fill="FFFFFF" w:themeFill="background1"/>
          </w:tcPr>
          <w:p w:rsidR="00E63EE0" w:rsidRPr="00B532D6" w:rsidRDefault="00E63EE0" w:rsidP="00C743B1">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rPr>
            </w:pPr>
          </w:p>
        </w:tc>
        <w:tc>
          <w:tcPr>
            <w:tcW w:w="1323" w:type="dxa"/>
            <w:tcBorders>
              <w:left w:val="none" w:sz="0" w:space="0" w:color="auto"/>
              <w:right w:val="none" w:sz="0" w:space="0" w:color="auto"/>
            </w:tcBorders>
            <w:shd w:val="clear" w:color="auto" w:fill="FFFFFF" w:themeFill="background1"/>
          </w:tcPr>
          <w:p w:rsidR="00E63EE0" w:rsidRPr="00B532D6" w:rsidRDefault="00E63EE0" w:rsidP="00C743B1">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rPr>
            </w:pPr>
          </w:p>
        </w:tc>
        <w:tc>
          <w:tcPr>
            <w:tcW w:w="1323" w:type="dxa"/>
            <w:tcBorders>
              <w:left w:val="none" w:sz="0" w:space="0" w:color="auto"/>
              <w:right w:val="none" w:sz="0" w:space="0" w:color="auto"/>
            </w:tcBorders>
            <w:shd w:val="clear" w:color="auto" w:fill="FFFFFF" w:themeFill="background1"/>
          </w:tcPr>
          <w:p w:rsidR="00E63EE0" w:rsidRPr="00B532D6" w:rsidRDefault="00E63EE0" w:rsidP="00C743B1">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rPr>
            </w:pPr>
          </w:p>
        </w:tc>
        <w:tc>
          <w:tcPr>
            <w:tcW w:w="1323" w:type="dxa"/>
            <w:tcBorders>
              <w:left w:val="none" w:sz="0" w:space="0" w:color="auto"/>
              <w:right w:val="none" w:sz="0" w:space="0" w:color="auto"/>
            </w:tcBorders>
            <w:shd w:val="clear" w:color="auto" w:fill="FFFFFF" w:themeFill="background1"/>
          </w:tcPr>
          <w:p w:rsidR="00E63EE0" w:rsidRPr="00B532D6" w:rsidRDefault="00E63EE0" w:rsidP="00C743B1">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rPr>
            </w:pPr>
          </w:p>
        </w:tc>
        <w:tc>
          <w:tcPr>
            <w:tcW w:w="1323" w:type="dxa"/>
            <w:tcBorders>
              <w:left w:val="none" w:sz="0" w:space="0" w:color="auto"/>
              <w:right w:val="none" w:sz="0" w:space="0" w:color="auto"/>
            </w:tcBorders>
            <w:shd w:val="clear" w:color="auto" w:fill="FFFFFF" w:themeFill="background1"/>
          </w:tcPr>
          <w:p w:rsidR="00E63EE0" w:rsidRPr="00B532D6" w:rsidRDefault="00E63EE0" w:rsidP="00C743B1">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rPr>
            </w:pPr>
            <w:r w:rsidRPr="00B532D6">
              <w:rPr>
                <w:sz w:val="19"/>
                <w:szCs w:val="19"/>
              </w:rPr>
              <w:t>-0.084***</w:t>
            </w:r>
            <w:r w:rsidRPr="00B532D6">
              <w:rPr>
                <w:sz w:val="19"/>
                <w:szCs w:val="19"/>
              </w:rPr>
              <w:br/>
              <w:t>(-4.08)</w:t>
            </w:r>
          </w:p>
        </w:tc>
      </w:tr>
      <w:tr w:rsidR="00E63EE0" w:rsidRPr="00B532D6" w:rsidTr="00EA43BA">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rsidR="00E63EE0" w:rsidRPr="00EA43BA" w:rsidRDefault="00EA43BA" w:rsidP="00C743B1">
            <w:pPr>
              <w:shd w:val="clear" w:color="auto" w:fill="FFFFFF" w:themeFill="background1"/>
              <w:spacing w:before="40" w:after="44"/>
              <w:rPr>
                <w:rFonts w:ascii="Calibri" w:eastAsia="Calibri" w:hAnsi="Calibri" w:cs="Times New Roman"/>
                <w:sz w:val="19"/>
                <w:szCs w:val="19"/>
              </w:rPr>
            </w:pPr>
            <m:oMath>
              <m:r>
                <m:rPr>
                  <m:sty m:val="b"/>
                </m:rPr>
                <w:rPr>
                  <w:rFonts w:ascii="Cambria Math" w:hAnsi="Cambria Math"/>
                  <w:sz w:val="19"/>
                  <w:szCs w:val="19"/>
                </w:rPr>
                <m:t>ln</m:t>
              </m:r>
              <m:sSub>
                <m:sSubPr>
                  <m:ctrlPr>
                    <w:rPr>
                      <w:rFonts w:ascii="Cambria Math" w:eastAsiaTheme="minorEastAsia" w:hAnsi="Cambria Math"/>
                      <w:i/>
                      <w:sz w:val="19"/>
                      <w:szCs w:val="19"/>
                    </w:rPr>
                  </m:ctrlPr>
                </m:sSubPr>
                <m:e>
                  <m:r>
                    <m:rPr>
                      <m:sty m:val="bi"/>
                    </m:rPr>
                    <w:rPr>
                      <w:rFonts w:ascii="Cambria Math" w:eastAsiaTheme="minorEastAsia" w:hAnsi="Cambria Math"/>
                      <w:sz w:val="19"/>
                      <w:szCs w:val="19"/>
                    </w:rPr>
                    <m:t>f</m:t>
                  </m:r>
                </m:e>
                <m:sub>
                  <m:r>
                    <m:rPr>
                      <m:sty m:val="bi"/>
                    </m:rPr>
                    <w:rPr>
                      <w:rFonts w:ascii="Cambria Math" w:eastAsiaTheme="minorEastAsia" w:hAnsi="Cambria Math"/>
                      <w:sz w:val="19"/>
                      <w:szCs w:val="19"/>
                    </w:rPr>
                    <m:t>ijt</m:t>
                  </m:r>
                </m:sub>
              </m:sSub>
            </m:oMath>
            <w:r w:rsidR="00E63EE0" w:rsidRPr="00EA43BA">
              <w:rPr>
                <w:rFonts w:ascii="Calibri" w:eastAsia="Calibri" w:hAnsi="Calibri" w:cs="Times New Roman"/>
                <w:sz w:val="19"/>
                <w:szCs w:val="19"/>
              </w:rPr>
              <w:t xml:space="preserve"> * (Other applicant)</w:t>
            </w:r>
          </w:p>
        </w:tc>
        <w:tc>
          <w:tcPr>
            <w:tcW w:w="1323" w:type="dxa"/>
            <w:shd w:val="clear" w:color="auto" w:fill="FFFFFF" w:themeFill="background1"/>
          </w:tcPr>
          <w:p w:rsidR="00E63EE0" w:rsidRPr="00B532D6" w:rsidRDefault="00E63EE0" w:rsidP="00C743B1">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rPr>
            </w:pPr>
          </w:p>
        </w:tc>
        <w:tc>
          <w:tcPr>
            <w:tcW w:w="1323" w:type="dxa"/>
            <w:shd w:val="clear" w:color="auto" w:fill="FFFFFF" w:themeFill="background1"/>
          </w:tcPr>
          <w:p w:rsidR="00E63EE0" w:rsidRPr="00B532D6" w:rsidRDefault="00E63EE0" w:rsidP="00C743B1">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rPr>
            </w:pPr>
          </w:p>
        </w:tc>
        <w:tc>
          <w:tcPr>
            <w:tcW w:w="1323" w:type="dxa"/>
            <w:shd w:val="clear" w:color="auto" w:fill="FFFFFF" w:themeFill="background1"/>
          </w:tcPr>
          <w:p w:rsidR="00E63EE0" w:rsidRPr="00B532D6" w:rsidRDefault="00E63EE0" w:rsidP="00C743B1">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rPr>
            </w:pPr>
          </w:p>
        </w:tc>
        <w:tc>
          <w:tcPr>
            <w:tcW w:w="1323" w:type="dxa"/>
            <w:shd w:val="clear" w:color="auto" w:fill="FFFFFF" w:themeFill="background1"/>
          </w:tcPr>
          <w:p w:rsidR="00E63EE0" w:rsidRPr="00B532D6" w:rsidRDefault="00E63EE0" w:rsidP="00C743B1">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rPr>
            </w:pPr>
          </w:p>
        </w:tc>
        <w:tc>
          <w:tcPr>
            <w:tcW w:w="1323" w:type="dxa"/>
            <w:shd w:val="clear" w:color="auto" w:fill="FFFFFF" w:themeFill="background1"/>
          </w:tcPr>
          <w:p w:rsidR="00E63EE0" w:rsidRPr="00B532D6" w:rsidRDefault="00E63EE0" w:rsidP="00C743B1">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rPr>
            </w:pPr>
            <w:r w:rsidRPr="00B532D6">
              <w:rPr>
                <w:sz w:val="19"/>
                <w:szCs w:val="19"/>
              </w:rPr>
              <w:t>-0.034*</w:t>
            </w:r>
            <w:r w:rsidRPr="00B532D6">
              <w:rPr>
                <w:sz w:val="19"/>
                <w:szCs w:val="19"/>
              </w:rPr>
              <w:br/>
              <w:t>(-1.66)</w:t>
            </w:r>
          </w:p>
        </w:tc>
      </w:tr>
      <w:tr w:rsidR="00E63EE0" w:rsidRPr="00B532D6" w:rsidTr="00EA43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left w:val="none" w:sz="0" w:space="0" w:color="auto"/>
              <w:right w:val="none" w:sz="0" w:space="0" w:color="auto"/>
            </w:tcBorders>
            <w:shd w:val="clear" w:color="auto" w:fill="FFFFFF" w:themeFill="background1"/>
          </w:tcPr>
          <w:p w:rsidR="00E63EE0" w:rsidRPr="00EA43BA" w:rsidRDefault="00060A1C" w:rsidP="00C743B1">
            <w:pPr>
              <w:shd w:val="clear" w:color="auto" w:fill="FFFFFF" w:themeFill="background1"/>
              <w:spacing w:before="40" w:after="160"/>
              <w:rPr>
                <w:sz w:val="19"/>
                <w:szCs w:val="19"/>
              </w:rPr>
            </w:pPr>
            <m:oMathPara>
              <m:oMathParaPr>
                <m:jc m:val="left"/>
              </m:oMathParaPr>
              <m:oMath>
                <m:sSub>
                  <m:sSubPr>
                    <m:ctrlPr>
                      <w:rPr>
                        <w:rFonts w:ascii="Cambria Math" w:hAnsi="Cambria Math"/>
                        <w:i/>
                        <w:sz w:val="19"/>
                        <w:szCs w:val="19"/>
                      </w:rPr>
                    </m:ctrlPr>
                  </m:sSubPr>
                  <m:e>
                    <m:r>
                      <m:rPr>
                        <m:sty m:val="bi"/>
                      </m:rPr>
                      <w:rPr>
                        <w:rFonts w:ascii="Cambria Math" w:hAnsi="Cambria Math"/>
                        <w:sz w:val="19"/>
                        <w:szCs w:val="19"/>
                      </w:rPr>
                      <m:t>mkt</m:t>
                    </m:r>
                  </m:e>
                  <m:sub>
                    <m:r>
                      <m:rPr>
                        <m:sty m:val="bi"/>
                      </m:rPr>
                      <w:rPr>
                        <w:rFonts w:ascii="Cambria Math" w:hAnsi="Cambria Math"/>
                        <w:sz w:val="19"/>
                        <w:szCs w:val="19"/>
                      </w:rPr>
                      <m:t>j(t-12)</m:t>
                    </m:r>
                  </m:sub>
                </m:sSub>
              </m:oMath>
            </m:oMathPara>
          </w:p>
        </w:tc>
        <w:tc>
          <w:tcPr>
            <w:tcW w:w="1323" w:type="dxa"/>
            <w:tcBorders>
              <w:left w:val="none" w:sz="0" w:space="0" w:color="auto"/>
              <w:right w:val="none" w:sz="0" w:space="0" w:color="auto"/>
            </w:tcBorders>
            <w:shd w:val="clear" w:color="auto" w:fill="FFFFFF" w:themeFill="background1"/>
          </w:tcPr>
          <w:p w:rsidR="00E63EE0" w:rsidRPr="00B532D6" w:rsidRDefault="00E63EE0" w:rsidP="00C743B1">
            <w:pPr>
              <w:shd w:val="clear" w:color="auto" w:fill="FFFFFF" w:themeFill="background1"/>
              <w:spacing w:before="40" w:after="160"/>
              <w:jc w:val="center"/>
              <w:cnfStyle w:val="000000100000" w:firstRow="0" w:lastRow="0" w:firstColumn="0" w:lastColumn="0" w:oddVBand="0" w:evenVBand="0" w:oddHBand="1" w:evenHBand="0" w:firstRowFirstColumn="0" w:firstRowLastColumn="0" w:lastRowFirstColumn="0" w:lastRowLastColumn="0"/>
              <w:rPr>
                <w:sz w:val="19"/>
                <w:szCs w:val="19"/>
              </w:rPr>
            </w:pPr>
            <w:r w:rsidRPr="00B532D6">
              <w:rPr>
                <w:sz w:val="19"/>
                <w:szCs w:val="19"/>
              </w:rPr>
              <w:t>1.342***</w:t>
            </w:r>
            <w:r w:rsidRPr="00B532D6">
              <w:rPr>
                <w:sz w:val="19"/>
                <w:szCs w:val="19"/>
              </w:rPr>
              <w:br/>
              <w:t>(29.38)</w:t>
            </w:r>
          </w:p>
        </w:tc>
        <w:tc>
          <w:tcPr>
            <w:tcW w:w="1323" w:type="dxa"/>
            <w:tcBorders>
              <w:left w:val="none" w:sz="0" w:space="0" w:color="auto"/>
              <w:right w:val="none" w:sz="0" w:space="0" w:color="auto"/>
            </w:tcBorders>
            <w:shd w:val="clear" w:color="auto" w:fill="FFFFFF" w:themeFill="background1"/>
          </w:tcPr>
          <w:p w:rsidR="00E63EE0" w:rsidRPr="00B532D6" w:rsidRDefault="00E63EE0" w:rsidP="00C743B1">
            <w:pPr>
              <w:shd w:val="clear" w:color="auto" w:fill="FFFFFF" w:themeFill="background1"/>
              <w:spacing w:before="40" w:after="160"/>
              <w:jc w:val="center"/>
              <w:cnfStyle w:val="000000100000" w:firstRow="0" w:lastRow="0" w:firstColumn="0" w:lastColumn="0" w:oddVBand="0" w:evenVBand="0" w:oddHBand="1" w:evenHBand="0" w:firstRowFirstColumn="0" w:firstRowLastColumn="0" w:lastRowFirstColumn="0" w:lastRowLastColumn="0"/>
              <w:rPr>
                <w:sz w:val="19"/>
                <w:szCs w:val="19"/>
              </w:rPr>
            </w:pPr>
            <w:r w:rsidRPr="00B532D6">
              <w:rPr>
                <w:sz w:val="19"/>
                <w:szCs w:val="19"/>
              </w:rPr>
              <w:t>1.355***</w:t>
            </w:r>
            <w:r w:rsidRPr="00B532D6">
              <w:rPr>
                <w:sz w:val="19"/>
                <w:szCs w:val="19"/>
              </w:rPr>
              <w:br/>
              <w:t>(28.92)</w:t>
            </w:r>
          </w:p>
        </w:tc>
        <w:tc>
          <w:tcPr>
            <w:tcW w:w="1323" w:type="dxa"/>
            <w:tcBorders>
              <w:left w:val="none" w:sz="0" w:space="0" w:color="auto"/>
              <w:right w:val="none" w:sz="0" w:space="0" w:color="auto"/>
            </w:tcBorders>
            <w:shd w:val="clear" w:color="auto" w:fill="FFFFFF" w:themeFill="background1"/>
          </w:tcPr>
          <w:p w:rsidR="00E63EE0" w:rsidRPr="00B532D6" w:rsidRDefault="00E63EE0" w:rsidP="00C743B1">
            <w:pPr>
              <w:shd w:val="clear" w:color="auto" w:fill="FFFFFF" w:themeFill="background1"/>
              <w:spacing w:before="40" w:after="160"/>
              <w:jc w:val="center"/>
              <w:cnfStyle w:val="000000100000" w:firstRow="0" w:lastRow="0" w:firstColumn="0" w:lastColumn="0" w:oddVBand="0" w:evenVBand="0" w:oddHBand="1" w:evenHBand="0" w:firstRowFirstColumn="0" w:firstRowLastColumn="0" w:lastRowFirstColumn="0" w:lastRowLastColumn="0"/>
              <w:rPr>
                <w:sz w:val="19"/>
                <w:szCs w:val="19"/>
              </w:rPr>
            </w:pPr>
            <w:r w:rsidRPr="00B532D6">
              <w:rPr>
                <w:sz w:val="19"/>
                <w:szCs w:val="19"/>
              </w:rPr>
              <w:t>0.746***</w:t>
            </w:r>
            <w:r w:rsidRPr="00B532D6">
              <w:rPr>
                <w:sz w:val="19"/>
                <w:szCs w:val="19"/>
              </w:rPr>
              <w:br/>
              <w:t>(13.98)</w:t>
            </w:r>
          </w:p>
        </w:tc>
        <w:tc>
          <w:tcPr>
            <w:tcW w:w="1323" w:type="dxa"/>
            <w:tcBorders>
              <w:left w:val="none" w:sz="0" w:space="0" w:color="auto"/>
              <w:right w:val="none" w:sz="0" w:space="0" w:color="auto"/>
            </w:tcBorders>
            <w:shd w:val="clear" w:color="auto" w:fill="FFFFFF" w:themeFill="background1"/>
          </w:tcPr>
          <w:p w:rsidR="00E63EE0" w:rsidRPr="00B532D6" w:rsidRDefault="00E63EE0" w:rsidP="00C743B1">
            <w:pPr>
              <w:shd w:val="clear" w:color="auto" w:fill="FFFFFF" w:themeFill="background1"/>
              <w:spacing w:before="40" w:after="160"/>
              <w:jc w:val="center"/>
              <w:cnfStyle w:val="000000100000" w:firstRow="0" w:lastRow="0" w:firstColumn="0" w:lastColumn="0" w:oddVBand="0" w:evenVBand="0" w:oddHBand="1" w:evenHBand="0" w:firstRowFirstColumn="0" w:firstRowLastColumn="0" w:lastRowFirstColumn="0" w:lastRowLastColumn="0"/>
              <w:rPr>
                <w:sz w:val="19"/>
                <w:szCs w:val="19"/>
              </w:rPr>
            </w:pPr>
            <w:r w:rsidRPr="00B532D6">
              <w:rPr>
                <w:sz w:val="19"/>
                <w:szCs w:val="19"/>
              </w:rPr>
              <w:t>0.742***</w:t>
            </w:r>
            <w:r w:rsidRPr="00B532D6">
              <w:rPr>
                <w:sz w:val="19"/>
                <w:szCs w:val="19"/>
              </w:rPr>
              <w:br/>
              <w:t>(13.87)</w:t>
            </w:r>
          </w:p>
        </w:tc>
        <w:tc>
          <w:tcPr>
            <w:tcW w:w="1323" w:type="dxa"/>
            <w:tcBorders>
              <w:left w:val="none" w:sz="0" w:space="0" w:color="auto"/>
              <w:right w:val="none" w:sz="0" w:space="0" w:color="auto"/>
            </w:tcBorders>
            <w:shd w:val="clear" w:color="auto" w:fill="FFFFFF" w:themeFill="background1"/>
          </w:tcPr>
          <w:p w:rsidR="00E63EE0" w:rsidRPr="00B532D6" w:rsidRDefault="00E63EE0" w:rsidP="00C743B1">
            <w:pPr>
              <w:shd w:val="clear" w:color="auto" w:fill="FFFFFF" w:themeFill="background1"/>
              <w:spacing w:before="40" w:after="160"/>
              <w:jc w:val="center"/>
              <w:cnfStyle w:val="000000100000" w:firstRow="0" w:lastRow="0" w:firstColumn="0" w:lastColumn="0" w:oddVBand="0" w:evenVBand="0" w:oddHBand="1" w:evenHBand="0" w:firstRowFirstColumn="0" w:firstRowLastColumn="0" w:lastRowFirstColumn="0" w:lastRowLastColumn="0"/>
              <w:rPr>
                <w:sz w:val="19"/>
                <w:szCs w:val="19"/>
              </w:rPr>
            </w:pPr>
            <w:r w:rsidRPr="00B532D6">
              <w:rPr>
                <w:sz w:val="19"/>
                <w:szCs w:val="19"/>
              </w:rPr>
              <w:t>0.772***</w:t>
            </w:r>
            <w:r w:rsidRPr="00B532D6">
              <w:rPr>
                <w:sz w:val="19"/>
                <w:szCs w:val="19"/>
              </w:rPr>
              <w:br/>
              <w:t>(14.47)</w:t>
            </w:r>
          </w:p>
        </w:tc>
      </w:tr>
      <w:tr w:rsidR="00E63EE0" w:rsidRPr="00E53570" w:rsidTr="00EA43BA">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rsidR="00E63EE0" w:rsidRPr="00EA43BA" w:rsidRDefault="00E63EE0" w:rsidP="00C743B1">
            <w:pPr>
              <w:shd w:val="clear" w:color="auto" w:fill="FFFFFF" w:themeFill="background1"/>
              <w:spacing w:before="36" w:after="36"/>
              <w:rPr>
                <w:i/>
                <w:sz w:val="19"/>
                <w:szCs w:val="19"/>
              </w:rPr>
            </w:pPr>
            <w:r w:rsidRPr="00EA43BA">
              <w:rPr>
                <w:i/>
                <w:sz w:val="19"/>
                <w:szCs w:val="19"/>
              </w:rPr>
              <w:t>Technology field fixed effects</w:t>
            </w:r>
          </w:p>
        </w:tc>
        <w:tc>
          <w:tcPr>
            <w:tcW w:w="1323" w:type="dxa"/>
            <w:shd w:val="clear" w:color="auto" w:fill="FFFFFF" w:themeFill="background1"/>
          </w:tcPr>
          <w:p w:rsidR="00E63EE0" w:rsidRPr="00E53570" w:rsidRDefault="00E63EE0" w:rsidP="00C743B1">
            <w:pPr>
              <w:shd w:val="clear" w:color="auto" w:fill="FFFFFF" w:themeFill="background1"/>
              <w:spacing w:before="36" w:after="36"/>
              <w:jc w:val="center"/>
              <w:cnfStyle w:val="000000000000" w:firstRow="0" w:lastRow="0" w:firstColumn="0" w:lastColumn="0" w:oddVBand="0" w:evenVBand="0" w:oddHBand="0" w:evenHBand="0" w:firstRowFirstColumn="0" w:firstRowLastColumn="0" w:lastRowFirstColumn="0" w:lastRowLastColumn="0"/>
              <w:rPr>
                <w:i/>
                <w:sz w:val="19"/>
                <w:szCs w:val="19"/>
              </w:rPr>
            </w:pPr>
            <w:r w:rsidRPr="00E53570">
              <w:rPr>
                <w:i/>
                <w:sz w:val="19"/>
                <w:szCs w:val="19"/>
              </w:rPr>
              <w:t>Yes</w:t>
            </w:r>
          </w:p>
        </w:tc>
        <w:tc>
          <w:tcPr>
            <w:tcW w:w="1323" w:type="dxa"/>
            <w:shd w:val="clear" w:color="auto" w:fill="FFFFFF" w:themeFill="background1"/>
          </w:tcPr>
          <w:p w:rsidR="00E63EE0" w:rsidRPr="00E53570" w:rsidRDefault="00E63EE0" w:rsidP="00C743B1">
            <w:pPr>
              <w:shd w:val="clear" w:color="auto" w:fill="FFFFFF" w:themeFill="background1"/>
              <w:spacing w:before="36" w:after="36"/>
              <w:jc w:val="center"/>
              <w:cnfStyle w:val="000000000000" w:firstRow="0" w:lastRow="0" w:firstColumn="0" w:lastColumn="0" w:oddVBand="0" w:evenVBand="0" w:oddHBand="0" w:evenHBand="0" w:firstRowFirstColumn="0" w:firstRowLastColumn="0" w:lastRowFirstColumn="0" w:lastRowLastColumn="0"/>
              <w:rPr>
                <w:i/>
                <w:sz w:val="19"/>
                <w:szCs w:val="19"/>
              </w:rPr>
            </w:pPr>
            <w:r w:rsidRPr="00E53570">
              <w:rPr>
                <w:i/>
                <w:sz w:val="19"/>
                <w:szCs w:val="19"/>
              </w:rPr>
              <w:t>Yes</w:t>
            </w:r>
          </w:p>
        </w:tc>
        <w:tc>
          <w:tcPr>
            <w:tcW w:w="1323" w:type="dxa"/>
            <w:shd w:val="clear" w:color="auto" w:fill="FFFFFF" w:themeFill="background1"/>
          </w:tcPr>
          <w:p w:rsidR="00E63EE0" w:rsidRPr="00E53570" w:rsidRDefault="00E63EE0" w:rsidP="00C743B1">
            <w:pPr>
              <w:shd w:val="clear" w:color="auto" w:fill="FFFFFF" w:themeFill="background1"/>
              <w:spacing w:before="36" w:after="36"/>
              <w:jc w:val="center"/>
              <w:cnfStyle w:val="000000000000" w:firstRow="0" w:lastRow="0" w:firstColumn="0" w:lastColumn="0" w:oddVBand="0" w:evenVBand="0" w:oddHBand="0" w:evenHBand="0" w:firstRowFirstColumn="0" w:firstRowLastColumn="0" w:lastRowFirstColumn="0" w:lastRowLastColumn="0"/>
              <w:rPr>
                <w:i/>
                <w:sz w:val="19"/>
                <w:szCs w:val="19"/>
              </w:rPr>
            </w:pPr>
            <w:r w:rsidRPr="00E53570">
              <w:rPr>
                <w:i/>
                <w:sz w:val="19"/>
                <w:szCs w:val="19"/>
              </w:rPr>
              <w:t>Yes</w:t>
            </w:r>
          </w:p>
        </w:tc>
        <w:tc>
          <w:tcPr>
            <w:tcW w:w="1323" w:type="dxa"/>
            <w:shd w:val="clear" w:color="auto" w:fill="FFFFFF" w:themeFill="background1"/>
          </w:tcPr>
          <w:p w:rsidR="00E63EE0" w:rsidRPr="00E53570" w:rsidRDefault="00E63EE0" w:rsidP="00C743B1">
            <w:pPr>
              <w:shd w:val="clear" w:color="auto" w:fill="FFFFFF" w:themeFill="background1"/>
              <w:spacing w:before="36" w:after="36"/>
              <w:jc w:val="center"/>
              <w:cnfStyle w:val="000000000000" w:firstRow="0" w:lastRow="0" w:firstColumn="0" w:lastColumn="0" w:oddVBand="0" w:evenVBand="0" w:oddHBand="0" w:evenHBand="0" w:firstRowFirstColumn="0" w:firstRowLastColumn="0" w:lastRowFirstColumn="0" w:lastRowLastColumn="0"/>
              <w:rPr>
                <w:i/>
                <w:sz w:val="19"/>
                <w:szCs w:val="19"/>
              </w:rPr>
            </w:pPr>
            <w:r w:rsidRPr="00E53570">
              <w:rPr>
                <w:i/>
                <w:sz w:val="19"/>
                <w:szCs w:val="19"/>
              </w:rPr>
              <w:t>Yes</w:t>
            </w:r>
          </w:p>
        </w:tc>
        <w:tc>
          <w:tcPr>
            <w:tcW w:w="1323" w:type="dxa"/>
            <w:shd w:val="clear" w:color="auto" w:fill="FFFFFF" w:themeFill="background1"/>
          </w:tcPr>
          <w:p w:rsidR="00E63EE0" w:rsidRPr="00E53570" w:rsidRDefault="00E63EE0" w:rsidP="00C743B1">
            <w:pPr>
              <w:shd w:val="clear" w:color="auto" w:fill="FFFFFF" w:themeFill="background1"/>
              <w:spacing w:before="36" w:after="36"/>
              <w:jc w:val="center"/>
              <w:cnfStyle w:val="000000000000" w:firstRow="0" w:lastRow="0" w:firstColumn="0" w:lastColumn="0" w:oddVBand="0" w:evenVBand="0" w:oddHBand="0" w:evenHBand="0" w:firstRowFirstColumn="0" w:firstRowLastColumn="0" w:lastRowFirstColumn="0" w:lastRowLastColumn="0"/>
              <w:rPr>
                <w:i/>
                <w:sz w:val="19"/>
                <w:szCs w:val="19"/>
              </w:rPr>
            </w:pPr>
            <w:r w:rsidRPr="00E53570">
              <w:rPr>
                <w:i/>
                <w:sz w:val="19"/>
                <w:szCs w:val="19"/>
              </w:rPr>
              <w:t>Yes</w:t>
            </w:r>
          </w:p>
        </w:tc>
      </w:tr>
      <w:tr w:rsidR="00E63EE0" w:rsidRPr="00E53570" w:rsidTr="00EA43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left w:val="none" w:sz="0" w:space="0" w:color="auto"/>
              <w:right w:val="none" w:sz="0" w:space="0" w:color="auto"/>
            </w:tcBorders>
            <w:shd w:val="clear" w:color="auto" w:fill="FFFFFF" w:themeFill="background1"/>
          </w:tcPr>
          <w:p w:rsidR="00E63EE0" w:rsidRPr="00EA43BA" w:rsidRDefault="00E63EE0" w:rsidP="00C743B1">
            <w:pPr>
              <w:shd w:val="clear" w:color="auto" w:fill="FFFFFF" w:themeFill="background1"/>
              <w:spacing w:before="36" w:after="36"/>
              <w:rPr>
                <w:i/>
                <w:sz w:val="19"/>
                <w:szCs w:val="19"/>
              </w:rPr>
            </w:pPr>
            <w:r w:rsidRPr="00EA43BA">
              <w:rPr>
                <w:i/>
                <w:sz w:val="19"/>
                <w:szCs w:val="19"/>
              </w:rPr>
              <w:t>Origin fixed effects</w:t>
            </w:r>
          </w:p>
        </w:tc>
        <w:tc>
          <w:tcPr>
            <w:tcW w:w="1323" w:type="dxa"/>
            <w:tcBorders>
              <w:left w:val="none" w:sz="0" w:space="0" w:color="auto"/>
              <w:right w:val="none" w:sz="0" w:space="0" w:color="auto"/>
            </w:tcBorders>
            <w:shd w:val="clear" w:color="auto" w:fill="FFFFFF" w:themeFill="background1"/>
          </w:tcPr>
          <w:p w:rsidR="00E63EE0" w:rsidRPr="00E53570" w:rsidRDefault="00E63EE0" w:rsidP="00C743B1">
            <w:pPr>
              <w:shd w:val="clear" w:color="auto" w:fill="FFFFFF" w:themeFill="background1"/>
              <w:spacing w:before="36" w:after="36"/>
              <w:jc w:val="center"/>
              <w:cnfStyle w:val="000000100000" w:firstRow="0" w:lastRow="0" w:firstColumn="0" w:lastColumn="0" w:oddVBand="0" w:evenVBand="0" w:oddHBand="1" w:evenHBand="0" w:firstRowFirstColumn="0" w:firstRowLastColumn="0" w:lastRowFirstColumn="0" w:lastRowLastColumn="0"/>
              <w:rPr>
                <w:i/>
                <w:sz w:val="19"/>
                <w:szCs w:val="19"/>
              </w:rPr>
            </w:pPr>
            <w:r w:rsidRPr="00E53570">
              <w:rPr>
                <w:i/>
                <w:sz w:val="19"/>
                <w:szCs w:val="19"/>
              </w:rPr>
              <w:t>Yes</w:t>
            </w:r>
          </w:p>
        </w:tc>
        <w:tc>
          <w:tcPr>
            <w:tcW w:w="1323" w:type="dxa"/>
            <w:tcBorders>
              <w:left w:val="none" w:sz="0" w:space="0" w:color="auto"/>
              <w:right w:val="none" w:sz="0" w:space="0" w:color="auto"/>
            </w:tcBorders>
            <w:shd w:val="clear" w:color="auto" w:fill="FFFFFF" w:themeFill="background1"/>
          </w:tcPr>
          <w:p w:rsidR="00E63EE0" w:rsidRPr="00E53570" w:rsidRDefault="00E63EE0" w:rsidP="00C743B1">
            <w:pPr>
              <w:shd w:val="clear" w:color="auto" w:fill="FFFFFF" w:themeFill="background1"/>
              <w:spacing w:before="36" w:after="36"/>
              <w:jc w:val="center"/>
              <w:cnfStyle w:val="000000100000" w:firstRow="0" w:lastRow="0" w:firstColumn="0" w:lastColumn="0" w:oddVBand="0" w:evenVBand="0" w:oddHBand="1" w:evenHBand="0" w:firstRowFirstColumn="0" w:firstRowLastColumn="0" w:lastRowFirstColumn="0" w:lastRowLastColumn="0"/>
              <w:rPr>
                <w:i/>
                <w:sz w:val="19"/>
                <w:szCs w:val="19"/>
              </w:rPr>
            </w:pPr>
            <w:r w:rsidRPr="00E53570">
              <w:rPr>
                <w:i/>
                <w:sz w:val="19"/>
                <w:szCs w:val="19"/>
              </w:rPr>
              <w:t>Yes</w:t>
            </w:r>
          </w:p>
        </w:tc>
        <w:tc>
          <w:tcPr>
            <w:tcW w:w="1323" w:type="dxa"/>
            <w:tcBorders>
              <w:left w:val="none" w:sz="0" w:space="0" w:color="auto"/>
              <w:right w:val="none" w:sz="0" w:space="0" w:color="auto"/>
            </w:tcBorders>
            <w:shd w:val="clear" w:color="auto" w:fill="FFFFFF" w:themeFill="background1"/>
          </w:tcPr>
          <w:p w:rsidR="00E63EE0" w:rsidRPr="00E53570" w:rsidRDefault="00E63EE0" w:rsidP="00C743B1">
            <w:pPr>
              <w:shd w:val="clear" w:color="auto" w:fill="FFFFFF" w:themeFill="background1"/>
              <w:spacing w:before="36" w:after="36"/>
              <w:jc w:val="center"/>
              <w:cnfStyle w:val="000000100000" w:firstRow="0" w:lastRow="0" w:firstColumn="0" w:lastColumn="0" w:oddVBand="0" w:evenVBand="0" w:oddHBand="1" w:evenHBand="0" w:firstRowFirstColumn="0" w:firstRowLastColumn="0" w:lastRowFirstColumn="0" w:lastRowLastColumn="0"/>
              <w:rPr>
                <w:i/>
                <w:sz w:val="19"/>
                <w:szCs w:val="19"/>
              </w:rPr>
            </w:pPr>
            <w:r w:rsidRPr="00E53570">
              <w:rPr>
                <w:i/>
                <w:sz w:val="19"/>
                <w:szCs w:val="19"/>
              </w:rPr>
              <w:t>Yes</w:t>
            </w:r>
          </w:p>
        </w:tc>
        <w:tc>
          <w:tcPr>
            <w:tcW w:w="1323" w:type="dxa"/>
            <w:tcBorders>
              <w:left w:val="none" w:sz="0" w:space="0" w:color="auto"/>
              <w:right w:val="none" w:sz="0" w:space="0" w:color="auto"/>
            </w:tcBorders>
            <w:shd w:val="clear" w:color="auto" w:fill="FFFFFF" w:themeFill="background1"/>
          </w:tcPr>
          <w:p w:rsidR="00E63EE0" w:rsidRPr="00E53570" w:rsidRDefault="00E63EE0" w:rsidP="00C743B1">
            <w:pPr>
              <w:shd w:val="clear" w:color="auto" w:fill="FFFFFF" w:themeFill="background1"/>
              <w:spacing w:before="36" w:after="36"/>
              <w:jc w:val="center"/>
              <w:cnfStyle w:val="000000100000" w:firstRow="0" w:lastRow="0" w:firstColumn="0" w:lastColumn="0" w:oddVBand="0" w:evenVBand="0" w:oddHBand="1" w:evenHBand="0" w:firstRowFirstColumn="0" w:firstRowLastColumn="0" w:lastRowFirstColumn="0" w:lastRowLastColumn="0"/>
              <w:rPr>
                <w:i/>
                <w:sz w:val="19"/>
                <w:szCs w:val="19"/>
              </w:rPr>
            </w:pPr>
            <w:r w:rsidRPr="00E53570">
              <w:rPr>
                <w:i/>
                <w:sz w:val="19"/>
                <w:szCs w:val="19"/>
              </w:rPr>
              <w:t>Yes</w:t>
            </w:r>
          </w:p>
        </w:tc>
        <w:tc>
          <w:tcPr>
            <w:tcW w:w="1323" w:type="dxa"/>
            <w:tcBorders>
              <w:left w:val="none" w:sz="0" w:space="0" w:color="auto"/>
              <w:right w:val="none" w:sz="0" w:space="0" w:color="auto"/>
            </w:tcBorders>
            <w:shd w:val="clear" w:color="auto" w:fill="FFFFFF" w:themeFill="background1"/>
          </w:tcPr>
          <w:p w:rsidR="00E63EE0" w:rsidRPr="00E53570" w:rsidRDefault="00E63EE0" w:rsidP="00C743B1">
            <w:pPr>
              <w:shd w:val="clear" w:color="auto" w:fill="FFFFFF" w:themeFill="background1"/>
              <w:spacing w:before="36" w:after="36"/>
              <w:jc w:val="center"/>
              <w:cnfStyle w:val="000000100000" w:firstRow="0" w:lastRow="0" w:firstColumn="0" w:lastColumn="0" w:oddVBand="0" w:evenVBand="0" w:oddHBand="1" w:evenHBand="0" w:firstRowFirstColumn="0" w:firstRowLastColumn="0" w:lastRowFirstColumn="0" w:lastRowLastColumn="0"/>
              <w:rPr>
                <w:i/>
                <w:sz w:val="19"/>
                <w:szCs w:val="19"/>
              </w:rPr>
            </w:pPr>
            <w:r w:rsidRPr="00E53570">
              <w:rPr>
                <w:i/>
                <w:sz w:val="19"/>
                <w:szCs w:val="19"/>
              </w:rPr>
              <w:t>Yes</w:t>
            </w:r>
          </w:p>
        </w:tc>
      </w:tr>
      <w:tr w:rsidR="00E63EE0" w:rsidRPr="00E53570" w:rsidTr="00EA43BA">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rsidR="00E63EE0" w:rsidRPr="00EA43BA" w:rsidRDefault="00E63EE0" w:rsidP="00C743B1">
            <w:pPr>
              <w:shd w:val="clear" w:color="auto" w:fill="FFFFFF" w:themeFill="background1"/>
              <w:spacing w:before="36" w:after="120"/>
              <w:rPr>
                <w:i/>
                <w:sz w:val="19"/>
                <w:szCs w:val="19"/>
              </w:rPr>
            </w:pPr>
            <w:r w:rsidRPr="00EA43BA">
              <w:rPr>
                <w:i/>
                <w:sz w:val="19"/>
                <w:szCs w:val="19"/>
              </w:rPr>
              <w:t>Time fixed effects</w:t>
            </w:r>
          </w:p>
        </w:tc>
        <w:tc>
          <w:tcPr>
            <w:tcW w:w="1323" w:type="dxa"/>
            <w:shd w:val="clear" w:color="auto" w:fill="FFFFFF" w:themeFill="background1"/>
          </w:tcPr>
          <w:p w:rsidR="00E63EE0" w:rsidRPr="00E53570" w:rsidRDefault="00E63EE0" w:rsidP="00C743B1">
            <w:pPr>
              <w:shd w:val="clear" w:color="auto" w:fill="FFFFFF" w:themeFill="background1"/>
              <w:spacing w:before="36" w:after="36"/>
              <w:jc w:val="center"/>
              <w:cnfStyle w:val="000000000000" w:firstRow="0" w:lastRow="0" w:firstColumn="0" w:lastColumn="0" w:oddVBand="0" w:evenVBand="0" w:oddHBand="0" w:evenHBand="0" w:firstRowFirstColumn="0" w:firstRowLastColumn="0" w:lastRowFirstColumn="0" w:lastRowLastColumn="0"/>
              <w:rPr>
                <w:i/>
                <w:sz w:val="19"/>
                <w:szCs w:val="19"/>
              </w:rPr>
            </w:pPr>
            <w:r w:rsidRPr="00E53570">
              <w:rPr>
                <w:i/>
                <w:sz w:val="19"/>
                <w:szCs w:val="19"/>
              </w:rPr>
              <w:t>Yes</w:t>
            </w:r>
          </w:p>
        </w:tc>
        <w:tc>
          <w:tcPr>
            <w:tcW w:w="1323" w:type="dxa"/>
            <w:shd w:val="clear" w:color="auto" w:fill="FFFFFF" w:themeFill="background1"/>
          </w:tcPr>
          <w:p w:rsidR="00E63EE0" w:rsidRPr="00E53570" w:rsidRDefault="00E63EE0" w:rsidP="00C743B1">
            <w:pPr>
              <w:shd w:val="clear" w:color="auto" w:fill="FFFFFF" w:themeFill="background1"/>
              <w:spacing w:before="36" w:after="36"/>
              <w:jc w:val="center"/>
              <w:cnfStyle w:val="000000000000" w:firstRow="0" w:lastRow="0" w:firstColumn="0" w:lastColumn="0" w:oddVBand="0" w:evenVBand="0" w:oddHBand="0" w:evenHBand="0" w:firstRowFirstColumn="0" w:firstRowLastColumn="0" w:lastRowFirstColumn="0" w:lastRowLastColumn="0"/>
              <w:rPr>
                <w:i/>
                <w:sz w:val="19"/>
                <w:szCs w:val="19"/>
              </w:rPr>
            </w:pPr>
            <w:r w:rsidRPr="00E53570">
              <w:rPr>
                <w:i/>
                <w:sz w:val="19"/>
                <w:szCs w:val="19"/>
              </w:rPr>
              <w:t>Yes</w:t>
            </w:r>
          </w:p>
        </w:tc>
        <w:tc>
          <w:tcPr>
            <w:tcW w:w="1323" w:type="dxa"/>
            <w:shd w:val="clear" w:color="auto" w:fill="FFFFFF" w:themeFill="background1"/>
          </w:tcPr>
          <w:p w:rsidR="00E63EE0" w:rsidRPr="00E53570" w:rsidRDefault="00E63EE0" w:rsidP="00C743B1">
            <w:pPr>
              <w:shd w:val="clear" w:color="auto" w:fill="FFFFFF" w:themeFill="background1"/>
              <w:spacing w:before="36" w:after="36"/>
              <w:jc w:val="center"/>
              <w:cnfStyle w:val="000000000000" w:firstRow="0" w:lastRow="0" w:firstColumn="0" w:lastColumn="0" w:oddVBand="0" w:evenVBand="0" w:oddHBand="0" w:evenHBand="0" w:firstRowFirstColumn="0" w:firstRowLastColumn="0" w:lastRowFirstColumn="0" w:lastRowLastColumn="0"/>
              <w:rPr>
                <w:i/>
                <w:sz w:val="19"/>
                <w:szCs w:val="19"/>
              </w:rPr>
            </w:pPr>
            <w:r w:rsidRPr="00E53570">
              <w:rPr>
                <w:i/>
                <w:sz w:val="19"/>
                <w:szCs w:val="19"/>
              </w:rPr>
              <w:t>Yes</w:t>
            </w:r>
          </w:p>
        </w:tc>
        <w:tc>
          <w:tcPr>
            <w:tcW w:w="1323" w:type="dxa"/>
            <w:shd w:val="clear" w:color="auto" w:fill="FFFFFF" w:themeFill="background1"/>
          </w:tcPr>
          <w:p w:rsidR="00E63EE0" w:rsidRPr="00E53570" w:rsidRDefault="00E63EE0" w:rsidP="00C743B1">
            <w:pPr>
              <w:shd w:val="clear" w:color="auto" w:fill="FFFFFF" w:themeFill="background1"/>
              <w:spacing w:before="36" w:after="36"/>
              <w:jc w:val="center"/>
              <w:cnfStyle w:val="000000000000" w:firstRow="0" w:lastRow="0" w:firstColumn="0" w:lastColumn="0" w:oddVBand="0" w:evenVBand="0" w:oddHBand="0" w:evenHBand="0" w:firstRowFirstColumn="0" w:firstRowLastColumn="0" w:lastRowFirstColumn="0" w:lastRowLastColumn="0"/>
              <w:rPr>
                <w:i/>
                <w:sz w:val="19"/>
                <w:szCs w:val="19"/>
              </w:rPr>
            </w:pPr>
            <w:r w:rsidRPr="00E53570">
              <w:rPr>
                <w:i/>
                <w:sz w:val="19"/>
                <w:szCs w:val="19"/>
              </w:rPr>
              <w:t>Yes</w:t>
            </w:r>
          </w:p>
        </w:tc>
        <w:tc>
          <w:tcPr>
            <w:tcW w:w="1323" w:type="dxa"/>
            <w:shd w:val="clear" w:color="auto" w:fill="FFFFFF" w:themeFill="background1"/>
          </w:tcPr>
          <w:p w:rsidR="00E63EE0" w:rsidRPr="00E53570" w:rsidRDefault="00E63EE0" w:rsidP="00C743B1">
            <w:pPr>
              <w:shd w:val="clear" w:color="auto" w:fill="FFFFFF" w:themeFill="background1"/>
              <w:spacing w:before="36" w:after="36"/>
              <w:jc w:val="center"/>
              <w:cnfStyle w:val="000000000000" w:firstRow="0" w:lastRow="0" w:firstColumn="0" w:lastColumn="0" w:oddVBand="0" w:evenVBand="0" w:oddHBand="0" w:evenHBand="0" w:firstRowFirstColumn="0" w:firstRowLastColumn="0" w:lastRowFirstColumn="0" w:lastRowLastColumn="0"/>
              <w:rPr>
                <w:i/>
                <w:sz w:val="19"/>
                <w:szCs w:val="19"/>
              </w:rPr>
            </w:pPr>
            <w:r w:rsidRPr="00E53570">
              <w:rPr>
                <w:i/>
                <w:sz w:val="19"/>
                <w:szCs w:val="19"/>
              </w:rPr>
              <w:t>Yes</w:t>
            </w:r>
          </w:p>
        </w:tc>
      </w:tr>
      <w:tr w:rsidR="00E63EE0" w:rsidRPr="00E53570" w:rsidTr="00EA43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left w:val="none" w:sz="0" w:space="0" w:color="auto"/>
              <w:right w:val="none" w:sz="0" w:space="0" w:color="auto"/>
            </w:tcBorders>
            <w:shd w:val="clear" w:color="auto" w:fill="FFFFFF" w:themeFill="background1"/>
          </w:tcPr>
          <w:p w:rsidR="00E63EE0" w:rsidRPr="00EA43BA" w:rsidRDefault="00E63EE0" w:rsidP="00C743B1">
            <w:pPr>
              <w:shd w:val="clear" w:color="auto" w:fill="FFFFFF" w:themeFill="background1"/>
              <w:spacing w:before="36" w:after="120"/>
              <w:rPr>
                <w:sz w:val="19"/>
                <w:szCs w:val="19"/>
              </w:rPr>
            </w:pPr>
            <w:r w:rsidRPr="00EA43BA">
              <w:rPr>
                <w:sz w:val="19"/>
                <w:szCs w:val="19"/>
              </w:rPr>
              <w:t>Observations</w:t>
            </w:r>
          </w:p>
        </w:tc>
        <w:tc>
          <w:tcPr>
            <w:tcW w:w="1323" w:type="dxa"/>
            <w:tcBorders>
              <w:left w:val="none" w:sz="0" w:space="0" w:color="auto"/>
              <w:right w:val="none" w:sz="0" w:space="0" w:color="auto"/>
            </w:tcBorders>
            <w:shd w:val="clear" w:color="auto" w:fill="FFFFFF" w:themeFill="background1"/>
          </w:tcPr>
          <w:p w:rsidR="00E63EE0" w:rsidRPr="00E53570" w:rsidRDefault="00E63EE0" w:rsidP="00C743B1">
            <w:pPr>
              <w:shd w:val="clear" w:color="auto" w:fill="FFFFFF" w:themeFill="background1"/>
              <w:spacing w:before="36" w:after="120"/>
              <w:jc w:val="center"/>
              <w:cnfStyle w:val="000000100000" w:firstRow="0" w:lastRow="0" w:firstColumn="0" w:lastColumn="0" w:oddVBand="0" w:evenVBand="0" w:oddHBand="1" w:evenHBand="0" w:firstRowFirstColumn="0" w:firstRowLastColumn="0" w:lastRowFirstColumn="0" w:lastRowLastColumn="0"/>
              <w:rPr>
                <w:sz w:val="19"/>
                <w:szCs w:val="19"/>
              </w:rPr>
            </w:pPr>
            <w:r w:rsidRPr="00E53570">
              <w:rPr>
                <w:sz w:val="19"/>
                <w:szCs w:val="19"/>
              </w:rPr>
              <w:t>1,375,911</w:t>
            </w:r>
          </w:p>
        </w:tc>
        <w:tc>
          <w:tcPr>
            <w:tcW w:w="1323" w:type="dxa"/>
            <w:tcBorders>
              <w:left w:val="none" w:sz="0" w:space="0" w:color="auto"/>
              <w:right w:val="none" w:sz="0" w:space="0" w:color="auto"/>
            </w:tcBorders>
            <w:shd w:val="clear" w:color="auto" w:fill="FFFFFF" w:themeFill="background1"/>
          </w:tcPr>
          <w:p w:rsidR="00E63EE0" w:rsidRPr="00E53570" w:rsidRDefault="00E63EE0" w:rsidP="00C743B1">
            <w:pPr>
              <w:shd w:val="clear" w:color="auto" w:fill="FFFFFF" w:themeFill="background1"/>
              <w:spacing w:before="36" w:after="120"/>
              <w:jc w:val="center"/>
              <w:cnfStyle w:val="000000100000" w:firstRow="0" w:lastRow="0" w:firstColumn="0" w:lastColumn="0" w:oddVBand="0" w:evenVBand="0" w:oddHBand="1" w:evenHBand="0" w:firstRowFirstColumn="0" w:firstRowLastColumn="0" w:lastRowFirstColumn="0" w:lastRowLastColumn="0"/>
              <w:rPr>
                <w:sz w:val="19"/>
                <w:szCs w:val="19"/>
              </w:rPr>
            </w:pPr>
            <w:r w:rsidRPr="00E53570">
              <w:rPr>
                <w:sz w:val="19"/>
                <w:szCs w:val="19"/>
              </w:rPr>
              <w:t>1,339,373</w:t>
            </w:r>
          </w:p>
        </w:tc>
        <w:tc>
          <w:tcPr>
            <w:tcW w:w="1323" w:type="dxa"/>
            <w:tcBorders>
              <w:left w:val="none" w:sz="0" w:space="0" w:color="auto"/>
              <w:right w:val="none" w:sz="0" w:space="0" w:color="auto"/>
            </w:tcBorders>
            <w:shd w:val="clear" w:color="auto" w:fill="FFFFFF" w:themeFill="background1"/>
          </w:tcPr>
          <w:p w:rsidR="00E63EE0" w:rsidRPr="00E53570" w:rsidRDefault="00E63EE0" w:rsidP="00C743B1">
            <w:pPr>
              <w:shd w:val="clear" w:color="auto" w:fill="FFFFFF" w:themeFill="background1"/>
              <w:spacing w:before="36" w:after="120"/>
              <w:jc w:val="center"/>
              <w:cnfStyle w:val="000000100000" w:firstRow="0" w:lastRow="0" w:firstColumn="0" w:lastColumn="0" w:oddVBand="0" w:evenVBand="0" w:oddHBand="1" w:evenHBand="0" w:firstRowFirstColumn="0" w:firstRowLastColumn="0" w:lastRowFirstColumn="0" w:lastRowLastColumn="0"/>
              <w:rPr>
                <w:sz w:val="19"/>
                <w:szCs w:val="19"/>
              </w:rPr>
            </w:pPr>
            <w:r w:rsidRPr="00E53570">
              <w:rPr>
                <w:sz w:val="19"/>
                <w:szCs w:val="19"/>
              </w:rPr>
              <w:t>1,128,006</w:t>
            </w:r>
          </w:p>
        </w:tc>
        <w:tc>
          <w:tcPr>
            <w:tcW w:w="1323" w:type="dxa"/>
            <w:tcBorders>
              <w:left w:val="none" w:sz="0" w:space="0" w:color="auto"/>
              <w:right w:val="none" w:sz="0" w:space="0" w:color="auto"/>
            </w:tcBorders>
            <w:shd w:val="clear" w:color="auto" w:fill="FFFFFF" w:themeFill="background1"/>
          </w:tcPr>
          <w:p w:rsidR="00E63EE0" w:rsidRPr="00E53570" w:rsidRDefault="00E63EE0" w:rsidP="00C743B1">
            <w:pPr>
              <w:shd w:val="clear" w:color="auto" w:fill="FFFFFF" w:themeFill="background1"/>
              <w:spacing w:before="36" w:after="120"/>
              <w:jc w:val="center"/>
              <w:cnfStyle w:val="000000100000" w:firstRow="0" w:lastRow="0" w:firstColumn="0" w:lastColumn="0" w:oddVBand="0" w:evenVBand="0" w:oddHBand="1" w:evenHBand="0" w:firstRowFirstColumn="0" w:firstRowLastColumn="0" w:lastRowFirstColumn="0" w:lastRowLastColumn="0"/>
              <w:rPr>
                <w:sz w:val="19"/>
                <w:szCs w:val="19"/>
              </w:rPr>
            </w:pPr>
            <w:r w:rsidRPr="00E53570">
              <w:rPr>
                <w:sz w:val="19"/>
                <w:szCs w:val="19"/>
              </w:rPr>
              <w:t>1,128,006</w:t>
            </w:r>
          </w:p>
        </w:tc>
        <w:tc>
          <w:tcPr>
            <w:tcW w:w="1323" w:type="dxa"/>
            <w:tcBorders>
              <w:left w:val="none" w:sz="0" w:space="0" w:color="auto"/>
              <w:right w:val="none" w:sz="0" w:space="0" w:color="auto"/>
            </w:tcBorders>
            <w:shd w:val="clear" w:color="auto" w:fill="FFFFFF" w:themeFill="background1"/>
          </w:tcPr>
          <w:p w:rsidR="00E63EE0" w:rsidRPr="00E53570" w:rsidRDefault="00E63EE0" w:rsidP="00C743B1">
            <w:pPr>
              <w:shd w:val="clear" w:color="auto" w:fill="FFFFFF" w:themeFill="background1"/>
              <w:spacing w:before="36" w:after="120"/>
              <w:jc w:val="center"/>
              <w:cnfStyle w:val="000000100000" w:firstRow="0" w:lastRow="0" w:firstColumn="0" w:lastColumn="0" w:oddVBand="0" w:evenVBand="0" w:oddHBand="1" w:evenHBand="0" w:firstRowFirstColumn="0" w:firstRowLastColumn="0" w:lastRowFirstColumn="0" w:lastRowLastColumn="0"/>
              <w:rPr>
                <w:sz w:val="19"/>
                <w:szCs w:val="19"/>
              </w:rPr>
            </w:pPr>
            <w:r w:rsidRPr="00E53570">
              <w:rPr>
                <w:sz w:val="19"/>
                <w:szCs w:val="19"/>
              </w:rPr>
              <w:t>1,128,006</w:t>
            </w:r>
          </w:p>
        </w:tc>
      </w:tr>
      <w:tr w:rsidR="00E63EE0" w:rsidRPr="00E53570" w:rsidTr="00EA43BA">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rsidR="00E63EE0" w:rsidRPr="00EA43BA" w:rsidRDefault="00E63EE0" w:rsidP="00C743B1">
            <w:pPr>
              <w:shd w:val="clear" w:color="auto" w:fill="FFFFFF" w:themeFill="background1"/>
              <w:spacing w:before="36" w:after="36"/>
              <w:rPr>
                <w:sz w:val="19"/>
                <w:szCs w:val="19"/>
              </w:rPr>
            </w:pPr>
            <w:r w:rsidRPr="00EA43BA">
              <w:rPr>
                <w:sz w:val="19"/>
                <w:szCs w:val="19"/>
              </w:rPr>
              <w:t>Log-likelihood</w:t>
            </w:r>
          </w:p>
        </w:tc>
        <w:tc>
          <w:tcPr>
            <w:tcW w:w="1323" w:type="dxa"/>
            <w:shd w:val="clear" w:color="auto" w:fill="FFFFFF" w:themeFill="background1"/>
          </w:tcPr>
          <w:p w:rsidR="00E63EE0" w:rsidRPr="00E53570" w:rsidRDefault="00E63EE0" w:rsidP="00C743B1">
            <w:pPr>
              <w:shd w:val="clear" w:color="auto" w:fill="FFFFFF" w:themeFill="background1"/>
              <w:spacing w:before="36" w:after="36"/>
              <w:jc w:val="center"/>
              <w:cnfStyle w:val="000000000000" w:firstRow="0" w:lastRow="0" w:firstColumn="0" w:lastColumn="0" w:oddVBand="0" w:evenVBand="0" w:oddHBand="0" w:evenHBand="0" w:firstRowFirstColumn="0" w:firstRowLastColumn="0" w:lastRowFirstColumn="0" w:lastRowLastColumn="0"/>
              <w:rPr>
                <w:sz w:val="19"/>
                <w:szCs w:val="19"/>
              </w:rPr>
            </w:pPr>
            <w:r w:rsidRPr="00E53570">
              <w:rPr>
                <w:sz w:val="19"/>
                <w:szCs w:val="19"/>
              </w:rPr>
              <w:t>-758,194.1</w:t>
            </w:r>
          </w:p>
        </w:tc>
        <w:tc>
          <w:tcPr>
            <w:tcW w:w="1323" w:type="dxa"/>
            <w:shd w:val="clear" w:color="auto" w:fill="FFFFFF" w:themeFill="background1"/>
          </w:tcPr>
          <w:p w:rsidR="00E63EE0" w:rsidRPr="00E53570" w:rsidRDefault="00E63EE0" w:rsidP="00C743B1">
            <w:pPr>
              <w:shd w:val="clear" w:color="auto" w:fill="FFFFFF" w:themeFill="background1"/>
              <w:spacing w:before="36" w:after="36"/>
              <w:jc w:val="center"/>
              <w:cnfStyle w:val="000000000000" w:firstRow="0" w:lastRow="0" w:firstColumn="0" w:lastColumn="0" w:oddVBand="0" w:evenVBand="0" w:oddHBand="0" w:evenHBand="0" w:firstRowFirstColumn="0" w:firstRowLastColumn="0" w:lastRowFirstColumn="0" w:lastRowLastColumn="0"/>
              <w:rPr>
                <w:sz w:val="19"/>
                <w:szCs w:val="19"/>
              </w:rPr>
            </w:pPr>
            <w:r w:rsidRPr="00E53570">
              <w:rPr>
                <w:sz w:val="19"/>
                <w:szCs w:val="19"/>
              </w:rPr>
              <w:t>-739,586.0</w:t>
            </w:r>
          </w:p>
        </w:tc>
        <w:tc>
          <w:tcPr>
            <w:tcW w:w="1323" w:type="dxa"/>
            <w:shd w:val="clear" w:color="auto" w:fill="FFFFFF" w:themeFill="background1"/>
          </w:tcPr>
          <w:p w:rsidR="00E63EE0" w:rsidRPr="00E53570" w:rsidRDefault="00E63EE0" w:rsidP="00C743B1">
            <w:pPr>
              <w:shd w:val="clear" w:color="auto" w:fill="FFFFFF" w:themeFill="background1"/>
              <w:spacing w:before="36" w:after="36"/>
              <w:jc w:val="center"/>
              <w:cnfStyle w:val="000000000000" w:firstRow="0" w:lastRow="0" w:firstColumn="0" w:lastColumn="0" w:oddVBand="0" w:evenVBand="0" w:oddHBand="0" w:evenHBand="0" w:firstRowFirstColumn="0" w:firstRowLastColumn="0" w:lastRowFirstColumn="0" w:lastRowLastColumn="0"/>
              <w:rPr>
                <w:sz w:val="19"/>
                <w:szCs w:val="19"/>
              </w:rPr>
            </w:pPr>
            <w:r w:rsidRPr="00E53570">
              <w:rPr>
                <w:sz w:val="19"/>
                <w:szCs w:val="19"/>
              </w:rPr>
              <w:t>-586,857.8</w:t>
            </w:r>
          </w:p>
        </w:tc>
        <w:tc>
          <w:tcPr>
            <w:tcW w:w="1323" w:type="dxa"/>
            <w:shd w:val="clear" w:color="auto" w:fill="FFFFFF" w:themeFill="background1"/>
          </w:tcPr>
          <w:p w:rsidR="00E63EE0" w:rsidRPr="00E53570" w:rsidRDefault="00E63EE0" w:rsidP="00C743B1">
            <w:pPr>
              <w:shd w:val="clear" w:color="auto" w:fill="FFFFFF" w:themeFill="background1"/>
              <w:spacing w:before="36" w:after="36"/>
              <w:jc w:val="center"/>
              <w:cnfStyle w:val="000000000000" w:firstRow="0" w:lastRow="0" w:firstColumn="0" w:lastColumn="0" w:oddVBand="0" w:evenVBand="0" w:oddHBand="0" w:evenHBand="0" w:firstRowFirstColumn="0" w:firstRowLastColumn="0" w:lastRowFirstColumn="0" w:lastRowLastColumn="0"/>
              <w:rPr>
                <w:sz w:val="19"/>
                <w:szCs w:val="19"/>
              </w:rPr>
            </w:pPr>
            <w:r w:rsidRPr="00E53570">
              <w:rPr>
                <w:sz w:val="19"/>
                <w:szCs w:val="19"/>
              </w:rPr>
              <w:t>-586,489.4</w:t>
            </w:r>
          </w:p>
        </w:tc>
        <w:tc>
          <w:tcPr>
            <w:tcW w:w="1323" w:type="dxa"/>
            <w:shd w:val="clear" w:color="auto" w:fill="FFFFFF" w:themeFill="background1"/>
          </w:tcPr>
          <w:p w:rsidR="00E63EE0" w:rsidRPr="00E53570" w:rsidRDefault="00E63EE0" w:rsidP="00C743B1">
            <w:pPr>
              <w:shd w:val="clear" w:color="auto" w:fill="FFFFFF" w:themeFill="background1"/>
              <w:spacing w:before="36" w:after="36"/>
              <w:jc w:val="center"/>
              <w:cnfStyle w:val="000000000000" w:firstRow="0" w:lastRow="0" w:firstColumn="0" w:lastColumn="0" w:oddVBand="0" w:evenVBand="0" w:oddHBand="0" w:evenHBand="0" w:firstRowFirstColumn="0" w:firstRowLastColumn="0" w:lastRowFirstColumn="0" w:lastRowLastColumn="0"/>
              <w:rPr>
                <w:sz w:val="19"/>
                <w:szCs w:val="19"/>
              </w:rPr>
            </w:pPr>
            <w:r w:rsidRPr="00E53570">
              <w:rPr>
                <w:sz w:val="19"/>
                <w:szCs w:val="19"/>
              </w:rPr>
              <w:t>-586,564.3</w:t>
            </w:r>
          </w:p>
        </w:tc>
      </w:tr>
    </w:tbl>
    <w:p w:rsidR="00E63EE0" w:rsidRDefault="00E63EE0" w:rsidP="00E63EE0">
      <w:pPr>
        <w:spacing w:before="40"/>
        <w:rPr>
          <w:sz w:val="19"/>
          <w:szCs w:val="19"/>
        </w:rPr>
      </w:pPr>
      <w:r w:rsidRPr="006F190E">
        <w:rPr>
          <w:sz w:val="19"/>
          <w:szCs w:val="19"/>
        </w:rPr>
        <w:t>Note:</w:t>
      </w:r>
      <w:r w:rsidR="00EA43BA">
        <w:rPr>
          <w:sz w:val="19"/>
          <w:szCs w:val="19"/>
        </w:rPr>
        <w:t xml:space="preserve"> </w:t>
      </w:r>
      <w:r w:rsidRPr="006F190E">
        <w:rPr>
          <w:sz w:val="19"/>
          <w:szCs w:val="19"/>
        </w:rPr>
        <w:t xml:space="preserve"> z-statistic in parentheses; ***</w:t>
      </w:r>
      <w:proofErr w:type="gramStart"/>
      <w:r w:rsidRPr="006F190E">
        <w:rPr>
          <w:sz w:val="19"/>
          <w:szCs w:val="19"/>
        </w:rPr>
        <w:t>,*</w:t>
      </w:r>
      <w:proofErr w:type="gramEnd"/>
      <w:r w:rsidRPr="006F190E">
        <w:rPr>
          <w:sz w:val="19"/>
          <w:szCs w:val="19"/>
        </w:rPr>
        <w:t>*, and * indicate statistical significance at 1, 5, and 10 percent, respectively.</w:t>
      </w:r>
    </w:p>
    <w:p w:rsidR="00E63EE0" w:rsidRDefault="00E63EE0" w:rsidP="00E63EE0">
      <w:pPr>
        <w:rPr>
          <w:sz w:val="19"/>
          <w:szCs w:val="19"/>
        </w:rPr>
      </w:pPr>
      <w:r>
        <w:rPr>
          <w:sz w:val="19"/>
          <w:szCs w:val="19"/>
        </w:rPr>
        <w:br w:type="page"/>
      </w:r>
    </w:p>
    <w:p w:rsidR="00E63EE0" w:rsidRPr="006655F3" w:rsidRDefault="00E63EE0" w:rsidP="00E63EE0">
      <w:pPr>
        <w:spacing w:before="38" w:after="42"/>
        <w:rPr>
          <w:b/>
          <w:szCs w:val="22"/>
        </w:rPr>
      </w:pPr>
      <w:r w:rsidRPr="006655F3">
        <w:rPr>
          <w:b/>
          <w:szCs w:val="22"/>
        </w:rPr>
        <w:lastRenderedPageBreak/>
        <w:t xml:space="preserve">Table 2: Marginal </w:t>
      </w:r>
      <w:r w:rsidR="00F32B06">
        <w:rPr>
          <w:b/>
          <w:szCs w:val="22"/>
        </w:rPr>
        <w:t>E</w:t>
      </w:r>
      <w:r w:rsidRPr="006655F3">
        <w:rPr>
          <w:b/>
          <w:szCs w:val="22"/>
        </w:rPr>
        <w:t xml:space="preserve">ffects </w:t>
      </w:r>
      <w:r w:rsidR="00F32B06">
        <w:rPr>
          <w:b/>
          <w:szCs w:val="22"/>
        </w:rPr>
        <w:t>A</w:t>
      </w:r>
      <w:r w:rsidRPr="006655F3">
        <w:rPr>
          <w:b/>
          <w:szCs w:val="22"/>
        </w:rPr>
        <w:t xml:space="preserve">ssociated </w:t>
      </w:r>
      <w:r w:rsidR="00F32B06">
        <w:rPr>
          <w:b/>
          <w:szCs w:val="22"/>
        </w:rPr>
        <w:t>W</w:t>
      </w:r>
      <w:r w:rsidRPr="006655F3">
        <w:rPr>
          <w:b/>
          <w:szCs w:val="22"/>
        </w:rPr>
        <w:t xml:space="preserve">ith </w:t>
      </w:r>
      <w:proofErr w:type="spellStart"/>
      <w:r w:rsidR="00F32B06">
        <w:rPr>
          <w:b/>
          <w:szCs w:val="22"/>
        </w:rPr>
        <w:t>P</w:t>
      </w:r>
      <w:r w:rsidRPr="006655F3">
        <w:rPr>
          <w:b/>
          <w:szCs w:val="22"/>
        </w:rPr>
        <w:t>robit</w:t>
      </w:r>
      <w:proofErr w:type="spellEnd"/>
      <w:r w:rsidRPr="006655F3">
        <w:rPr>
          <w:b/>
          <w:szCs w:val="22"/>
        </w:rPr>
        <w:t xml:space="preserve"> </w:t>
      </w:r>
      <w:r w:rsidR="00F32B06">
        <w:rPr>
          <w:b/>
          <w:szCs w:val="22"/>
        </w:rPr>
        <w:t>E</w:t>
      </w:r>
      <w:r w:rsidRPr="006655F3">
        <w:rPr>
          <w:b/>
          <w:szCs w:val="22"/>
        </w:rPr>
        <w:t>stimates</w:t>
      </w:r>
    </w:p>
    <w:tbl>
      <w:tblPr>
        <w:tblStyle w:val="LightShading"/>
        <w:tblW w:w="0" w:type="auto"/>
        <w:shd w:val="clear" w:color="auto" w:fill="FFFFFF" w:themeFill="background1"/>
        <w:tblLook w:val="04A0" w:firstRow="1" w:lastRow="0" w:firstColumn="1" w:lastColumn="0" w:noHBand="0" w:noVBand="1"/>
      </w:tblPr>
      <w:tblGrid>
        <w:gridCol w:w="3348"/>
        <w:gridCol w:w="360"/>
        <w:gridCol w:w="1170"/>
      </w:tblGrid>
      <w:tr w:rsidR="00E63EE0" w:rsidRPr="00EA43BA" w:rsidTr="00C743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Borders>
              <w:bottom w:val="nil"/>
            </w:tcBorders>
            <w:shd w:val="clear" w:color="auto" w:fill="FFFFFF" w:themeFill="background1"/>
          </w:tcPr>
          <w:p w:rsidR="00E63EE0" w:rsidRPr="00EA43BA" w:rsidRDefault="00E63EE0" w:rsidP="00C743B1">
            <w:pPr>
              <w:shd w:val="clear" w:color="auto" w:fill="FFFFFF" w:themeFill="background1"/>
              <w:spacing w:before="40" w:after="40"/>
              <w:rPr>
                <w:rFonts w:eastAsia="Calibri"/>
                <w:b w:val="0"/>
                <w:i/>
                <w:sz w:val="18"/>
                <w:szCs w:val="18"/>
              </w:rPr>
            </w:pPr>
            <w:r w:rsidRPr="00EA43BA">
              <w:rPr>
                <w:rFonts w:eastAsia="Calibri"/>
                <w:b w:val="0"/>
                <w:i/>
                <w:sz w:val="18"/>
                <w:szCs w:val="18"/>
              </w:rPr>
              <w:t>Main variables</w:t>
            </w:r>
          </w:p>
        </w:tc>
        <w:tc>
          <w:tcPr>
            <w:tcW w:w="1530" w:type="dxa"/>
            <w:gridSpan w:val="2"/>
            <w:tcBorders>
              <w:bottom w:val="nil"/>
            </w:tcBorders>
            <w:shd w:val="clear" w:color="auto" w:fill="FFFFFF" w:themeFill="background1"/>
          </w:tcPr>
          <w:p w:rsidR="00E63EE0" w:rsidRPr="00EA43BA" w:rsidRDefault="00E63EE0" w:rsidP="00C743B1">
            <w:pPr>
              <w:shd w:val="clear" w:color="auto" w:fill="FFFFFF" w:themeFill="background1"/>
              <w:spacing w:before="40" w:after="40"/>
              <w:jc w:val="right"/>
              <w:cnfStyle w:val="100000000000" w:firstRow="1" w:lastRow="0" w:firstColumn="0" w:lastColumn="0" w:oddVBand="0" w:evenVBand="0" w:oddHBand="0" w:evenHBand="0" w:firstRowFirstColumn="0" w:firstRowLastColumn="0" w:lastRowFirstColumn="0" w:lastRowLastColumn="0"/>
              <w:rPr>
                <w:b w:val="0"/>
                <w:i/>
                <w:sz w:val="18"/>
                <w:szCs w:val="18"/>
              </w:rPr>
            </w:pPr>
          </w:p>
        </w:tc>
      </w:tr>
      <w:tr w:rsidR="00E63EE0" w:rsidRPr="00EC2EF9" w:rsidTr="00C743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Borders>
              <w:bottom w:val="nil"/>
            </w:tcBorders>
            <w:shd w:val="clear" w:color="auto" w:fill="FFFFFF" w:themeFill="background1"/>
          </w:tcPr>
          <w:p w:rsidR="00E63EE0" w:rsidRPr="00EC2EF9" w:rsidRDefault="00EC2EF9" w:rsidP="00C743B1">
            <w:pPr>
              <w:shd w:val="clear" w:color="auto" w:fill="FFFFFF" w:themeFill="background1"/>
              <w:spacing w:before="40" w:after="40"/>
              <w:ind w:left="270"/>
              <w:rPr>
                <w:b w:val="0"/>
                <w:sz w:val="18"/>
                <w:szCs w:val="18"/>
              </w:rPr>
            </w:pPr>
            <m:oMathPara>
              <m:oMathParaPr>
                <m:jc m:val="left"/>
              </m:oMathParaPr>
              <m:oMath>
                <m:r>
                  <m:rPr>
                    <m:sty m:val="b"/>
                  </m:rPr>
                  <w:rPr>
                    <w:rFonts w:ascii="Cambria Math" w:hAnsi="Cambria Math"/>
                    <w:sz w:val="18"/>
                    <w:szCs w:val="18"/>
                  </w:rPr>
                  <m:t>ln</m:t>
                </m:r>
                <m:sSub>
                  <m:sSubPr>
                    <m:ctrlPr>
                      <w:rPr>
                        <w:rFonts w:ascii="Cambria Math" w:eastAsiaTheme="minorEastAsia" w:hAnsi="Cambria Math"/>
                        <w:b w:val="0"/>
                        <w:i/>
                        <w:sz w:val="18"/>
                        <w:szCs w:val="18"/>
                      </w:rPr>
                    </m:ctrlPr>
                  </m:sSubPr>
                  <m:e>
                    <m:r>
                      <m:rPr>
                        <m:sty m:val="bi"/>
                      </m:rPr>
                      <w:rPr>
                        <w:rFonts w:ascii="Cambria Math" w:eastAsiaTheme="minorEastAsia" w:hAnsi="Cambria Math"/>
                        <w:sz w:val="18"/>
                        <w:szCs w:val="18"/>
                      </w:rPr>
                      <m:t>f</m:t>
                    </m:r>
                  </m:e>
                  <m:sub>
                    <m:r>
                      <m:rPr>
                        <m:sty m:val="bi"/>
                      </m:rPr>
                      <w:rPr>
                        <w:rFonts w:ascii="Cambria Math" w:eastAsiaTheme="minorEastAsia" w:hAnsi="Cambria Math"/>
                        <w:sz w:val="18"/>
                        <w:szCs w:val="18"/>
                      </w:rPr>
                      <m:t>ijt</m:t>
                    </m:r>
                  </m:sub>
                </m:sSub>
              </m:oMath>
            </m:oMathPara>
          </w:p>
        </w:tc>
        <w:tc>
          <w:tcPr>
            <w:tcW w:w="1530" w:type="dxa"/>
            <w:gridSpan w:val="2"/>
            <w:tcBorders>
              <w:bottom w:val="nil"/>
            </w:tcBorders>
            <w:shd w:val="clear" w:color="auto" w:fill="FFFFFF" w:themeFill="background1"/>
          </w:tcPr>
          <w:p w:rsidR="00E63EE0" w:rsidRPr="00EC2EF9" w:rsidRDefault="00E63EE0" w:rsidP="00C743B1">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8"/>
                <w:szCs w:val="18"/>
              </w:rPr>
            </w:pPr>
            <w:r w:rsidRPr="00EC2EF9">
              <w:rPr>
                <w:sz w:val="18"/>
                <w:szCs w:val="18"/>
              </w:rPr>
              <w:t>-0.0138</w:t>
            </w:r>
          </w:p>
        </w:tc>
      </w:tr>
      <w:tr w:rsidR="00E63EE0" w:rsidRPr="00EC2EF9" w:rsidTr="00C743B1">
        <w:tc>
          <w:tcPr>
            <w:cnfStyle w:val="001000000000" w:firstRow="0" w:lastRow="0" w:firstColumn="1" w:lastColumn="0" w:oddVBand="0" w:evenVBand="0" w:oddHBand="0" w:evenHBand="0" w:firstRowFirstColumn="0" w:firstRowLastColumn="0" w:lastRowFirstColumn="0" w:lastRowLastColumn="0"/>
            <w:tcW w:w="3348" w:type="dxa"/>
            <w:tcBorders>
              <w:top w:val="nil"/>
            </w:tcBorders>
            <w:shd w:val="clear" w:color="auto" w:fill="FFFFFF" w:themeFill="background1"/>
          </w:tcPr>
          <w:p w:rsidR="00E63EE0" w:rsidRPr="00EC2EF9" w:rsidRDefault="00060A1C" w:rsidP="00C743B1">
            <w:pPr>
              <w:shd w:val="clear" w:color="auto" w:fill="FFFFFF" w:themeFill="background1"/>
              <w:spacing w:before="40" w:after="40"/>
              <w:ind w:left="270"/>
              <w:rPr>
                <w:b w:val="0"/>
                <w:sz w:val="18"/>
                <w:szCs w:val="18"/>
              </w:rPr>
            </w:pPr>
            <m:oMathPara>
              <m:oMathParaPr>
                <m:jc m:val="left"/>
              </m:oMathParaPr>
              <m:oMath>
                <m:sSub>
                  <m:sSubPr>
                    <m:ctrlPr>
                      <w:rPr>
                        <w:rFonts w:ascii="Cambria Math" w:hAnsi="Cambria Math"/>
                        <w:b w:val="0"/>
                        <w:i/>
                        <w:sz w:val="18"/>
                        <w:szCs w:val="18"/>
                      </w:rPr>
                    </m:ctrlPr>
                  </m:sSubPr>
                  <m:e>
                    <m:r>
                      <m:rPr>
                        <m:sty m:val="b"/>
                      </m:rPr>
                      <w:rPr>
                        <w:rFonts w:ascii="Cambria Math" w:hAnsi="Cambria Math"/>
                        <w:sz w:val="18"/>
                        <w:szCs w:val="18"/>
                      </w:rPr>
                      <m:t>ln</m:t>
                    </m:r>
                    <m:r>
                      <m:rPr>
                        <m:sty m:val="bi"/>
                      </m:rPr>
                      <w:rPr>
                        <w:rFonts w:ascii="Cambria Math" w:hAnsi="Cambria Math"/>
                        <w:sz w:val="18"/>
                        <w:szCs w:val="18"/>
                      </w:rPr>
                      <m:t>unemp</m:t>
                    </m:r>
                  </m:e>
                  <m:sub>
                    <m:r>
                      <m:rPr>
                        <m:sty m:val="bi"/>
                      </m:rPr>
                      <w:rPr>
                        <w:rFonts w:ascii="Cambria Math" w:hAnsi="Cambria Math"/>
                        <w:sz w:val="18"/>
                        <w:szCs w:val="18"/>
                      </w:rPr>
                      <m:t>jt</m:t>
                    </m:r>
                  </m:sub>
                </m:sSub>
              </m:oMath>
            </m:oMathPara>
          </w:p>
        </w:tc>
        <w:tc>
          <w:tcPr>
            <w:tcW w:w="1530" w:type="dxa"/>
            <w:gridSpan w:val="2"/>
            <w:tcBorders>
              <w:top w:val="nil"/>
            </w:tcBorders>
            <w:shd w:val="clear" w:color="auto" w:fill="FFFFFF" w:themeFill="background1"/>
          </w:tcPr>
          <w:p w:rsidR="00E63EE0" w:rsidRPr="00EC2EF9" w:rsidRDefault="00E63EE0" w:rsidP="00C743B1">
            <w:pPr>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sz w:val="18"/>
                <w:szCs w:val="18"/>
              </w:rPr>
            </w:pPr>
            <w:r w:rsidRPr="00EC2EF9">
              <w:rPr>
                <w:sz w:val="18"/>
                <w:szCs w:val="18"/>
              </w:rPr>
              <w:t>-0.0305</w:t>
            </w:r>
          </w:p>
        </w:tc>
      </w:tr>
      <w:tr w:rsidR="00E63EE0" w:rsidRPr="00EA43BA" w:rsidTr="00C743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gridSpan w:val="2"/>
            <w:shd w:val="clear" w:color="auto" w:fill="FFFFFF" w:themeFill="background1"/>
          </w:tcPr>
          <w:p w:rsidR="00E63EE0" w:rsidRPr="00EA43BA" w:rsidRDefault="00E63EE0" w:rsidP="00C743B1">
            <w:pPr>
              <w:shd w:val="clear" w:color="auto" w:fill="FFFFFF" w:themeFill="background1"/>
              <w:spacing w:before="40" w:after="40"/>
              <w:ind w:left="270"/>
              <w:rPr>
                <w:b w:val="0"/>
                <w:sz w:val="18"/>
                <w:szCs w:val="18"/>
              </w:rPr>
            </w:pPr>
            <w:r w:rsidRPr="00EA43BA">
              <w:rPr>
                <w:b w:val="0"/>
                <w:sz w:val="18"/>
                <w:szCs w:val="18"/>
              </w:rPr>
              <w:t>University applicant</w:t>
            </w:r>
          </w:p>
        </w:tc>
        <w:tc>
          <w:tcPr>
            <w:tcW w:w="1170" w:type="dxa"/>
            <w:shd w:val="clear" w:color="auto" w:fill="FFFFFF" w:themeFill="background1"/>
          </w:tcPr>
          <w:p w:rsidR="00E63EE0" w:rsidRPr="00EA43BA" w:rsidRDefault="00E63EE0" w:rsidP="00C743B1">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8"/>
                <w:szCs w:val="18"/>
              </w:rPr>
            </w:pPr>
            <w:r w:rsidRPr="00EA43BA">
              <w:rPr>
                <w:sz w:val="18"/>
                <w:szCs w:val="18"/>
              </w:rPr>
              <w:t>0.2493</w:t>
            </w:r>
          </w:p>
        </w:tc>
      </w:tr>
      <w:tr w:rsidR="00E63EE0" w:rsidRPr="00EA43BA" w:rsidTr="00C743B1">
        <w:tc>
          <w:tcPr>
            <w:cnfStyle w:val="001000000000" w:firstRow="0" w:lastRow="0" w:firstColumn="1" w:lastColumn="0" w:oddVBand="0" w:evenVBand="0" w:oddHBand="0" w:evenHBand="0" w:firstRowFirstColumn="0" w:firstRowLastColumn="0" w:lastRowFirstColumn="0" w:lastRowLastColumn="0"/>
            <w:tcW w:w="3708" w:type="dxa"/>
            <w:gridSpan w:val="2"/>
            <w:shd w:val="clear" w:color="auto" w:fill="FFFFFF" w:themeFill="background1"/>
          </w:tcPr>
          <w:p w:rsidR="00E63EE0" w:rsidRPr="00EA43BA" w:rsidRDefault="00E63EE0" w:rsidP="00C743B1">
            <w:pPr>
              <w:shd w:val="clear" w:color="auto" w:fill="FFFFFF" w:themeFill="background1"/>
              <w:spacing w:before="40" w:after="40"/>
              <w:ind w:left="270"/>
              <w:rPr>
                <w:b w:val="0"/>
                <w:sz w:val="18"/>
                <w:szCs w:val="18"/>
              </w:rPr>
            </w:pPr>
            <w:r w:rsidRPr="00EA43BA">
              <w:rPr>
                <w:b w:val="0"/>
                <w:sz w:val="18"/>
                <w:szCs w:val="18"/>
              </w:rPr>
              <w:t>PRO applicant</w:t>
            </w:r>
          </w:p>
        </w:tc>
        <w:tc>
          <w:tcPr>
            <w:tcW w:w="1170" w:type="dxa"/>
            <w:shd w:val="clear" w:color="auto" w:fill="FFFFFF" w:themeFill="background1"/>
          </w:tcPr>
          <w:p w:rsidR="00E63EE0" w:rsidRPr="00EA43BA" w:rsidRDefault="00E63EE0" w:rsidP="00C743B1">
            <w:pPr>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sz w:val="18"/>
                <w:szCs w:val="18"/>
              </w:rPr>
            </w:pPr>
            <w:r w:rsidRPr="00EA43BA">
              <w:rPr>
                <w:sz w:val="18"/>
                <w:szCs w:val="18"/>
              </w:rPr>
              <w:t>0.1049</w:t>
            </w:r>
          </w:p>
        </w:tc>
      </w:tr>
      <w:tr w:rsidR="00E63EE0" w:rsidRPr="00EA43BA" w:rsidTr="00C743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gridSpan w:val="2"/>
            <w:shd w:val="clear" w:color="auto" w:fill="FFFFFF" w:themeFill="background1"/>
          </w:tcPr>
          <w:p w:rsidR="00E63EE0" w:rsidRPr="00EA43BA" w:rsidRDefault="00E63EE0" w:rsidP="00C743B1">
            <w:pPr>
              <w:shd w:val="clear" w:color="auto" w:fill="FFFFFF" w:themeFill="background1"/>
              <w:spacing w:before="40" w:after="40"/>
              <w:ind w:left="270"/>
              <w:rPr>
                <w:b w:val="0"/>
                <w:sz w:val="18"/>
                <w:szCs w:val="18"/>
              </w:rPr>
            </w:pPr>
            <w:r w:rsidRPr="00EA43BA">
              <w:rPr>
                <w:b w:val="0"/>
                <w:sz w:val="18"/>
                <w:szCs w:val="18"/>
              </w:rPr>
              <w:t xml:space="preserve">2 offices </w:t>
            </w:r>
          </w:p>
        </w:tc>
        <w:tc>
          <w:tcPr>
            <w:tcW w:w="1170" w:type="dxa"/>
            <w:shd w:val="clear" w:color="auto" w:fill="FFFFFF" w:themeFill="background1"/>
          </w:tcPr>
          <w:p w:rsidR="00E63EE0" w:rsidRPr="00EA43BA" w:rsidRDefault="00E63EE0" w:rsidP="00C743B1">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8"/>
                <w:szCs w:val="18"/>
              </w:rPr>
            </w:pPr>
            <w:r w:rsidRPr="00EA43BA">
              <w:rPr>
                <w:sz w:val="18"/>
                <w:szCs w:val="18"/>
              </w:rPr>
              <w:t>-0.1924</w:t>
            </w:r>
          </w:p>
        </w:tc>
      </w:tr>
      <w:tr w:rsidR="00E63EE0" w:rsidRPr="00EA43BA" w:rsidTr="00C743B1">
        <w:tc>
          <w:tcPr>
            <w:cnfStyle w:val="001000000000" w:firstRow="0" w:lastRow="0" w:firstColumn="1" w:lastColumn="0" w:oddVBand="0" w:evenVBand="0" w:oddHBand="0" w:evenHBand="0" w:firstRowFirstColumn="0" w:firstRowLastColumn="0" w:lastRowFirstColumn="0" w:lastRowLastColumn="0"/>
            <w:tcW w:w="3708" w:type="dxa"/>
            <w:gridSpan w:val="2"/>
            <w:shd w:val="clear" w:color="auto" w:fill="FFFFFF" w:themeFill="background1"/>
          </w:tcPr>
          <w:p w:rsidR="00E63EE0" w:rsidRPr="00EA43BA" w:rsidRDefault="00E63EE0" w:rsidP="00C743B1">
            <w:pPr>
              <w:shd w:val="clear" w:color="auto" w:fill="FFFFFF" w:themeFill="background1"/>
              <w:spacing w:before="40" w:after="40"/>
              <w:ind w:left="270"/>
              <w:rPr>
                <w:b w:val="0"/>
                <w:sz w:val="18"/>
                <w:szCs w:val="18"/>
              </w:rPr>
            </w:pPr>
            <w:r w:rsidRPr="00EA43BA">
              <w:rPr>
                <w:b w:val="0"/>
                <w:sz w:val="18"/>
                <w:szCs w:val="18"/>
              </w:rPr>
              <w:t>3 offices</w:t>
            </w:r>
          </w:p>
        </w:tc>
        <w:tc>
          <w:tcPr>
            <w:tcW w:w="1170" w:type="dxa"/>
            <w:shd w:val="clear" w:color="auto" w:fill="FFFFFF" w:themeFill="background1"/>
          </w:tcPr>
          <w:p w:rsidR="00E63EE0" w:rsidRPr="00EA43BA" w:rsidRDefault="00E63EE0" w:rsidP="00C743B1">
            <w:pPr>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sz w:val="18"/>
                <w:szCs w:val="18"/>
              </w:rPr>
            </w:pPr>
            <w:r w:rsidRPr="00EA43BA">
              <w:rPr>
                <w:sz w:val="18"/>
                <w:szCs w:val="18"/>
              </w:rPr>
              <w:t>-0.0848</w:t>
            </w:r>
          </w:p>
        </w:tc>
      </w:tr>
      <w:tr w:rsidR="00E63EE0" w:rsidRPr="00EA43BA" w:rsidTr="00C743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gridSpan w:val="2"/>
            <w:shd w:val="clear" w:color="auto" w:fill="FFFFFF" w:themeFill="background1"/>
          </w:tcPr>
          <w:p w:rsidR="00E63EE0" w:rsidRPr="00EA43BA" w:rsidRDefault="00E63EE0" w:rsidP="00C743B1">
            <w:pPr>
              <w:shd w:val="clear" w:color="auto" w:fill="FFFFFF" w:themeFill="background1"/>
              <w:spacing w:before="40" w:after="40"/>
              <w:ind w:left="270"/>
              <w:rPr>
                <w:b w:val="0"/>
                <w:sz w:val="18"/>
                <w:szCs w:val="18"/>
              </w:rPr>
            </w:pPr>
            <w:r w:rsidRPr="00EA43BA">
              <w:rPr>
                <w:b w:val="0"/>
                <w:sz w:val="18"/>
                <w:szCs w:val="18"/>
              </w:rPr>
              <w:t>4 offices</w:t>
            </w:r>
          </w:p>
        </w:tc>
        <w:tc>
          <w:tcPr>
            <w:tcW w:w="1170" w:type="dxa"/>
            <w:shd w:val="clear" w:color="auto" w:fill="FFFFFF" w:themeFill="background1"/>
          </w:tcPr>
          <w:p w:rsidR="00E63EE0" w:rsidRPr="00EA43BA" w:rsidRDefault="00E63EE0" w:rsidP="00C743B1">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8"/>
                <w:szCs w:val="18"/>
              </w:rPr>
            </w:pPr>
            <w:r w:rsidRPr="00EA43BA">
              <w:rPr>
                <w:sz w:val="18"/>
                <w:szCs w:val="18"/>
              </w:rPr>
              <w:t>0.0075</w:t>
            </w:r>
          </w:p>
        </w:tc>
      </w:tr>
      <w:tr w:rsidR="00E63EE0" w:rsidRPr="00EA43BA" w:rsidTr="00C743B1">
        <w:tc>
          <w:tcPr>
            <w:cnfStyle w:val="001000000000" w:firstRow="0" w:lastRow="0" w:firstColumn="1" w:lastColumn="0" w:oddVBand="0" w:evenVBand="0" w:oddHBand="0" w:evenHBand="0" w:firstRowFirstColumn="0" w:firstRowLastColumn="0" w:lastRowFirstColumn="0" w:lastRowLastColumn="0"/>
            <w:tcW w:w="3708" w:type="dxa"/>
            <w:gridSpan w:val="2"/>
            <w:shd w:val="clear" w:color="auto" w:fill="FFFFFF" w:themeFill="background1"/>
          </w:tcPr>
          <w:p w:rsidR="00E63EE0" w:rsidRPr="00EA43BA" w:rsidRDefault="00E63EE0" w:rsidP="00C743B1">
            <w:pPr>
              <w:shd w:val="clear" w:color="auto" w:fill="FFFFFF" w:themeFill="background1"/>
              <w:spacing w:before="40" w:after="40"/>
              <w:ind w:left="270"/>
              <w:rPr>
                <w:b w:val="0"/>
                <w:sz w:val="18"/>
                <w:szCs w:val="18"/>
              </w:rPr>
            </w:pPr>
            <w:r w:rsidRPr="00EA43BA">
              <w:rPr>
                <w:b w:val="0"/>
                <w:sz w:val="18"/>
                <w:szCs w:val="18"/>
              </w:rPr>
              <w:t>5 offices</w:t>
            </w:r>
          </w:p>
        </w:tc>
        <w:tc>
          <w:tcPr>
            <w:tcW w:w="1170" w:type="dxa"/>
            <w:shd w:val="clear" w:color="auto" w:fill="FFFFFF" w:themeFill="background1"/>
          </w:tcPr>
          <w:p w:rsidR="00E63EE0" w:rsidRPr="00EA43BA" w:rsidRDefault="00E63EE0" w:rsidP="00C743B1">
            <w:pPr>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sz w:val="18"/>
                <w:szCs w:val="18"/>
              </w:rPr>
            </w:pPr>
            <w:r w:rsidRPr="00EA43BA">
              <w:rPr>
                <w:sz w:val="18"/>
                <w:szCs w:val="18"/>
              </w:rPr>
              <w:t>0.0730</w:t>
            </w:r>
          </w:p>
        </w:tc>
      </w:tr>
      <w:tr w:rsidR="00E63EE0" w:rsidRPr="00EA43BA" w:rsidTr="00C743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gridSpan w:val="2"/>
            <w:shd w:val="clear" w:color="auto" w:fill="FFFFFF" w:themeFill="background1"/>
          </w:tcPr>
          <w:p w:rsidR="00E63EE0" w:rsidRPr="00EA43BA" w:rsidRDefault="00E63EE0" w:rsidP="00C743B1">
            <w:pPr>
              <w:shd w:val="clear" w:color="auto" w:fill="FFFFFF" w:themeFill="background1"/>
              <w:spacing w:before="40" w:after="120"/>
              <w:ind w:left="274"/>
              <w:rPr>
                <w:b w:val="0"/>
                <w:sz w:val="18"/>
                <w:szCs w:val="18"/>
              </w:rPr>
            </w:pPr>
            <w:r w:rsidRPr="00EA43BA">
              <w:rPr>
                <w:b w:val="0"/>
                <w:sz w:val="18"/>
                <w:szCs w:val="18"/>
              </w:rPr>
              <w:t>6 or more offices</w:t>
            </w:r>
          </w:p>
        </w:tc>
        <w:tc>
          <w:tcPr>
            <w:tcW w:w="1170" w:type="dxa"/>
            <w:shd w:val="clear" w:color="auto" w:fill="FFFFFF" w:themeFill="background1"/>
          </w:tcPr>
          <w:p w:rsidR="00E63EE0" w:rsidRPr="00EA43BA" w:rsidRDefault="00E63EE0" w:rsidP="00C743B1">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8"/>
                <w:szCs w:val="18"/>
              </w:rPr>
            </w:pPr>
            <w:r w:rsidRPr="00EA43BA">
              <w:rPr>
                <w:sz w:val="18"/>
                <w:szCs w:val="18"/>
              </w:rPr>
              <w:t>0.1620</w:t>
            </w:r>
          </w:p>
        </w:tc>
      </w:tr>
      <w:tr w:rsidR="00E63EE0" w:rsidRPr="00EA43BA" w:rsidTr="00C743B1">
        <w:tc>
          <w:tcPr>
            <w:cnfStyle w:val="001000000000" w:firstRow="0" w:lastRow="0" w:firstColumn="1" w:lastColumn="0" w:oddVBand="0" w:evenVBand="0" w:oddHBand="0" w:evenHBand="0" w:firstRowFirstColumn="0" w:firstRowLastColumn="0" w:lastRowFirstColumn="0" w:lastRowLastColumn="0"/>
            <w:tcW w:w="3708" w:type="dxa"/>
            <w:gridSpan w:val="2"/>
            <w:shd w:val="clear" w:color="auto" w:fill="FFFFFF" w:themeFill="background1"/>
          </w:tcPr>
          <w:p w:rsidR="00E63EE0" w:rsidRPr="00EA43BA" w:rsidRDefault="00E63EE0" w:rsidP="00C743B1">
            <w:pPr>
              <w:shd w:val="clear" w:color="auto" w:fill="FFFFFF" w:themeFill="background1"/>
              <w:spacing w:before="40" w:after="40"/>
              <w:rPr>
                <w:b w:val="0"/>
                <w:i/>
                <w:sz w:val="18"/>
                <w:szCs w:val="18"/>
              </w:rPr>
            </w:pPr>
            <w:r w:rsidRPr="00EA43BA">
              <w:rPr>
                <w:b w:val="0"/>
                <w:i/>
                <w:sz w:val="18"/>
                <w:szCs w:val="18"/>
              </w:rPr>
              <w:t>Technology fields</w:t>
            </w:r>
          </w:p>
        </w:tc>
        <w:tc>
          <w:tcPr>
            <w:tcW w:w="1170" w:type="dxa"/>
            <w:shd w:val="clear" w:color="auto" w:fill="FFFFFF" w:themeFill="background1"/>
          </w:tcPr>
          <w:p w:rsidR="00E63EE0" w:rsidRPr="00EA43BA" w:rsidRDefault="00E63EE0" w:rsidP="00C743B1">
            <w:pPr>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sz w:val="18"/>
                <w:szCs w:val="18"/>
              </w:rPr>
            </w:pPr>
          </w:p>
        </w:tc>
      </w:tr>
      <w:tr w:rsidR="00E63EE0" w:rsidRPr="00EA43BA" w:rsidTr="00C743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gridSpan w:val="2"/>
            <w:shd w:val="clear" w:color="auto" w:fill="FFFFFF" w:themeFill="background1"/>
          </w:tcPr>
          <w:p w:rsidR="00E63EE0" w:rsidRPr="00EA43BA" w:rsidRDefault="00E63EE0" w:rsidP="00C743B1">
            <w:pPr>
              <w:shd w:val="clear" w:color="auto" w:fill="FFFFFF" w:themeFill="background1"/>
              <w:spacing w:before="40" w:after="40"/>
              <w:ind w:left="270"/>
              <w:rPr>
                <w:b w:val="0"/>
                <w:sz w:val="18"/>
                <w:szCs w:val="18"/>
              </w:rPr>
            </w:pPr>
            <w:r w:rsidRPr="00EA43BA">
              <w:rPr>
                <w:b w:val="0"/>
                <w:sz w:val="18"/>
                <w:szCs w:val="18"/>
              </w:rPr>
              <w:t>Pharmaceuticals</w:t>
            </w:r>
          </w:p>
          <w:p w:rsidR="00E63EE0" w:rsidRPr="00EA43BA" w:rsidRDefault="00E63EE0" w:rsidP="00C743B1">
            <w:pPr>
              <w:shd w:val="clear" w:color="auto" w:fill="FFFFFF" w:themeFill="background1"/>
              <w:spacing w:before="40" w:after="40"/>
              <w:ind w:left="270"/>
              <w:rPr>
                <w:b w:val="0"/>
                <w:sz w:val="18"/>
                <w:szCs w:val="18"/>
              </w:rPr>
            </w:pPr>
            <w:r w:rsidRPr="00EA43BA">
              <w:rPr>
                <w:b w:val="0"/>
                <w:sz w:val="18"/>
                <w:szCs w:val="18"/>
              </w:rPr>
              <w:t>Biotechnology</w:t>
            </w:r>
          </w:p>
          <w:p w:rsidR="00E63EE0" w:rsidRPr="00EA43BA" w:rsidRDefault="00E63EE0" w:rsidP="00C743B1">
            <w:pPr>
              <w:shd w:val="clear" w:color="auto" w:fill="FFFFFF" w:themeFill="background1"/>
              <w:spacing w:before="40" w:after="40"/>
              <w:ind w:left="270"/>
              <w:rPr>
                <w:b w:val="0"/>
                <w:sz w:val="18"/>
                <w:szCs w:val="18"/>
              </w:rPr>
            </w:pPr>
            <w:r w:rsidRPr="00EA43BA">
              <w:rPr>
                <w:b w:val="0"/>
                <w:sz w:val="18"/>
                <w:szCs w:val="18"/>
              </w:rPr>
              <w:t>Analysis of biological materials</w:t>
            </w:r>
          </w:p>
          <w:p w:rsidR="00E63EE0" w:rsidRPr="00EA43BA" w:rsidRDefault="00E63EE0" w:rsidP="00C743B1">
            <w:pPr>
              <w:shd w:val="clear" w:color="auto" w:fill="FFFFFF" w:themeFill="background1"/>
              <w:spacing w:before="40" w:after="40"/>
              <w:ind w:left="270"/>
              <w:rPr>
                <w:b w:val="0"/>
                <w:sz w:val="18"/>
                <w:szCs w:val="18"/>
              </w:rPr>
            </w:pPr>
            <w:r w:rsidRPr="00EA43BA">
              <w:rPr>
                <w:b w:val="0"/>
                <w:sz w:val="18"/>
                <w:szCs w:val="18"/>
              </w:rPr>
              <w:t>Macromolecular chemistry, polymers</w:t>
            </w:r>
          </w:p>
          <w:p w:rsidR="00E63EE0" w:rsidRPr="00EA43BA" w:rsidRDefault="00E63EE0" w:rsidP="00C743B1">
            <w:pPr>
              <w:shd w:val="clear" w:color="auto" w:fill="FFFFFF" w:themeFill="background1"/>
              <w:spacing w:before="40" w:after="40"/>
              <w:ind w:left="270"/>
              <w:rPr>
                <w:b w:val="0"/>
                <w:sz w:val="18"/>
                <w:szCs w:val="18"/>
              </w:rPr>
            </w:pPr>
            <w:r w:rsidRPr="00EA43BA">
              <w:rPr>
                <w:b w:val="0"/>
                <w:sz w:val="18"/>
                <w:szCs w:val="18"/>
              </w:rPr>
              <w:t>Basic materials chemistry</w:t>
            </w:r>
          </w:p>
          <w:p w:rsidR="00E63EE0" w:rsidRPr="00EA43BA" w:rsidRDefault="00E63EE0" w:rsidP="00C743B1">
            <w:pPr>
              <w:shd w:val="clear" w:color="auto" w:fill="FFFFFF" w:themeFill="background1"/>
              <w:spacing w:before="40" w:after="40"/>
              <w:ind w:left="270"/>
              <w:rPr>
                <w:b w:val="0"/>
                <w:sz w:val="18"/>
                <w:szCs w:val="18"/>
              </w:rPr>
            </w:pPr>
            <w:r w:rsidRPr="00EA43BA">
              <w:rPr>
                <w:b w:val="0"/>
                <w:sz w:val="18"/>
                <w:szCs w:val="18"/>
              </w:rPr>
              <w:t>Organic fine chemistry</w:t>
            </w:r>
          </w:p>
          <w:p w:rsidR="00E63EE0" w:rsidRPr="00EA43BA" w:rsidRDefault="00E63EE0" w:rsidP="00C743B1">
            <w:pPr>
              <w:shd w:val="clear" w:color="auto" w:fill="FFFFFF" w:themeFill="background1"/>
              <w:spacing w:before="40" w:after="40"/>
              <w:ind w:left="270"/>
              <w:rPr>
                <w:b w:val="0"/>
                <w:sz w:val="18"/>
                <w:szCs w:val="18"/>
              </w:rPr>
            </w:pPr>
            <w:r w:rsidRPr="00EA43BA">
              <w:rPr>
                <w:b w:val="0"/>
                <w:sz w:val="18"/>
                <w:szCs w:val="18"/>
              </w:rPr>
              <w:t>Materials, metallurgy</w:t>
            </w:r>
          </w:p>
          <w:p w:rsidR="00E63EE0" w:rsidRPr="00EA43BA" w:rsidRDefault="00E63EE0" w:rsidP="00C743B1">
            <w:pPr>
              <w:shd w:val="clear" w:color="auto" w:fill="FFFFFF" w:themeFill="background1"/>
              <w:spacing w:before="40" w:after="40"/>
              <w:ind w:left="270"/>
              <w:rPr>
                <w:b w:val="0"/>
                <w:sz w:val="18"/>
                <w:szCs w:val="18"/>
              </w:rPr>
            </w:pPr>
            <w:r w:rsidRPr="00EA43BA">
              <w:rPr>
                <w:b w:val="0"/>
                <w:sz w:val="18"/>
                <w:szCs w:val="18"/>
              </w:rPr>
              <w:t>Food chemistry</w:t>
            </w:r>
          </w:p>
          <w:p w:rsidR="00E63EE0" w:rsidRPr="00EA43BA" w:rsidRDefault="00E63EE0" w:rsidP="00C743B1">
            <w:pPr>
              <w:shd w:val="clear" w:color="auto" w:fill="FFFFFF" w:themeFill="background1"/>
              <w:spacing w:before="40" w:after="40"/>
              <w:ind w:left="270"/>
              <w:rPr>
                <w:b w:val="0"/>
                <w:sz w:val="18"/>
                <w:szCs w:val="18"/>
              </w:rPr>
            </w:pPr>
            <w:r w:rsidRPr="00EA43BA">
              <w:rPr>
                <w:b w:val="0"/>
                <w:sz w:val="18"/>
                <w:szCs w:val="18"/>
              </w:rPr>
              <w:t>Digital communication</w:t>
            </w:r>
          </w:p>
          <w:p w:rsidR="00E63EE0" w:rsidRPr="00EA43BA" w:rsidRDefault="00E63EE0" w:rsidP="00C743B1">
            <w:pPr>
              <w:shd w:val="clear" w:color="auto" w:fill="FFFFFF" w:themeFill="background1"/>
              <w:spacing w:before="40" w:after="40"/>
              <w:ind w:left="270"/>
              <w:rPr>
                <w:b w:val="0"/>
                <w:sz w:val="18"/>
                <w:szCs w:val="18"/>
              </w:rPr>
            </w:pPr>
            <w:r w:rsidRPr="00EA43BA">
              <w:rPr>
                <w:b w:val="0"/>
                <w:sz w:val="18"/>
                <w:szCs w:val="18"/>
              </w:rPr>
              <w:t>Medical technology</w:t>
            </w:r>
          </w:p>
          <w:p w:rsidR="00E63EE0" w:rsidRPr="00EA43BA" w:rsidRDefault="00E63EE0" w:rsidP="00C743B1">
            <w:pPr>
              <w:shd w:val="clear" w:color="auto" w:fill="FFFFFF" w:themeFill="background1"/>
              <w:spacing w:before="40" w:after="40"/>
              <w:ind w:left="270"/>
              <w:rPr>
                <w:b w:val="0"/>
                <w:sz w:val="18"/>
                <w:szCs w:val="18"/>
              </w:rPr>
            </w:pPr>
            <w:r w:rsidRPr="00EA43BA">
              <w:rPr>
                <w:b w:val="0"/>
                <w:sz w:val="18"/>
                <w:szCs w:val="18"/>
              </w:rPr>
              <w:t>IT methods for management</w:t>
            </w:r>
          </w:p>
          <w:p w:rsidR="00E63EE0" w:rsidRPr="00EA43BA" w:rsidRDefault="00E63EE0" w:rsidP="00C743B1">
            <w:pPr>
              <w:shd w:val="clear" w:color="auto" w:fill="FFFFFF" w:themeFill="background1"/>
              <w:spacing w:before="40" w:after="40"/>
              <w:ind w:left="270"/>
              <w:rPr>
                <w:b w:val="0"/>
                <w:sz w:val="18"/>
                <w:szCs w:val="18"/>
              </w:rPr>
            </w:pPr>
            <w:r w:rsidRPr="00EA43BA">
              <w:rPr>
                <w:b w:val="0"/>
                <w:sz w:val="18"/>
                <w:szCs w:val="18"/>
              </w:rPr>
              <w:t>Surface technology, coating</w:t>
            </w:r>
          </w:p>
          <w:p w:rsidR="00E63EE0" w:rsidRPr="00EA43BA" w:rsidRDefault="00E63EE0" w:rsidP="00C743B1">
            <w:pPr>
              <w:shd w:val="clear" w:color="auto" w:fill="FFFFFF" w:themeFill="background1"/>
              <w:spacing w:before="40" w:after="40"/>
              <w:ind w:left="270"/>
              <w:rPr>
                <w:b w:val="0"/>
                <w:sz w:val="18"/>
                <w:szCs w:val="18"/>
              </w:rPr>
            </w:pPr>
            <w:r w:rsidRPr="00EA43BA">
              <w:rPr>
                <w:b w:val="0"/>
                <w:sz w:val="18"/>
                <w:szCs w:val="18"/>
              </w:rPr>
              <w:t>Chemical engineering</w:t>
            </w:r>
          </w:p>
          <w:p w:rsidR="00E63EE0" w:rsidRPr="00EA43BA" w:rsidRDefault="00E63EE0" w:rsidP="00C743B1">
            <w:pPr>
              <w:shd w:val="clear" w:color="auto" w:fill="FFFFFF" w:themeFill="background1"/>
              <w:spacing w:before="40" w:after="40"/>
              <w:ind w:left="270"/>
              <w:rPr>
                <w:b w:val="0"/>
                <w:sz w:val="18"/>
                <w:szCs w:val="18"/>
              </w:rPr>
            </w:pPr>
            <w:r w:rsidRPr="00EA43BA">
              <w:rPr>
                <w:b w:val="0"/>
                <w:sz w:val="18"/>
                <w:szCs w:val="18"/>
              </w:rPr>
              <w:t>Environmental technology</w:t>
            </w:r>
          </w:p>
          <w:p w:rsidR="00E63EE0" w:rsidRPr="00EA43BA" w:rsidRDefault="00E63EE0" w:rsidP="00C743B1">
            <w:pPr>
              <w:shd w:val="clear" w:color="auto" w:fill="FFFFFF" w:themeFill="background1"/>
              <w:spacing w:before="40" w:after="40"/>
              <w:ind w:left="270"/>
              <w:rPr>
                <w:b w:val="0"/>
                <w:sz w:val="18"/>
                <w:szCs w:val="18"/>
              </w:rPr>
            </w:pPr>
            <w:r w:rsidRPr="00EA43BA">
              <w:rPr>
                <w:b w:val="0"/>
                <w:sz w:val="18"/>
                <w:szCs w:val="18"/>
              </w:rPr>
              <w:t>Other consumer goods</w:t>
            </w:r>
          </w:p>
          <w:p w:rsidR="00E63EE0" w:rsidRPr="00EA43BA" w:rsidRDefault="00E63EE0" w:rsidP="00C743B1">
            <w:pPr>
              <w:shd w:val="clear" w:color="auto" w:fill="FFFFFF" w:themeFill="background1"/>
              <w:spacing w:before="40" w:after="40"/>
              <w:ind w:left="270"/>
              <w:rPr>
                <w:b w:val="0"/>
                <w:sz w:val="18"/>
                <w:szCs w:val="18"/>
              </w:rPr>
            </w:pPr>
            <w:r w:rsidRPr="00EA43BA">
              <w:rPr>
                <w:b w:val="0"/>
                <w:sz w:val="18"/>
                <w:szCs w:val="18"/>
              </w:rPr>
              <w:t>Thermal processes and apparatus</w:t>
            </w:r>
          </w:p>
          <w:p w:rsidR="00E63EE0" w:rsidRPr="00EA43BA" w:rsidRDefault="00E63EE0" w:rsidP="00C743B1">
            <w:pPr>
              <w:shd w:val="clear" w:color="auto" w:fill="FFFFFF" w:themeFill="background1"/>
              <w:spacing w:before="40" w:after="40"/>
              <w:ind w:left="270"/>
              <w:rPr>
                <w:b w:val="0"/>
                <w:sz w:val="18"/>
                <w:szCs w:val="18"/>
              </w:rPr>
            </w:pPr>
            <w:r w:rsidRPr="00EA43BA">
              <w:rPr>
                <w:b w:val="0"/>
                <w:sz w:val="18"/>
                <w:szCs w:val="18"/>
              </w:rPr>
              <w:t>Handling</w:t>
            </w:r>
          </w:p>
          <w:p w:rsidR="00E63EE0" w:rsidRPr="00EA43BA" w:rsidRDefault="00E63EE0" w:rsidP="00C743B1">
            <w:pPr>
              <w:shd w:val="clear" w:color="auto" w:fill="FFFFFF" w:themeFill="background1"/>
              <w:spacing w:before="40" w:after="40"/>
              <w:ind w:left="270"/>
              <w:rPr>
                <w:b w:val="0"/>
                <w:sz w:val="18"/>
                <w:szCs w:val="18"/>
              </w:rPr>
            </w:pPr>
            <w:r w:rsidRPr="00EA43BA">
              <w:rPr>
                <w:b w:val="0"/>
                <w:sz w:val="18"/>
                <w:szCs w:val="18"/>
              </w:rPr>
              <w:t>Telecommunications</w:t>
            </w:r>
          </w:p>
          <w:p w:rsidR="00E63EE0" w:rsidRPr="00EA43BA" w:rsidRDefault="00E63EE0" w:rsidP="00C743B1">
            <w:pPr>
              <w:shd w:val="clear" w:color="auto" w:fill="FFFFFF" w:themeFill="background1"/>
              <w:spacing w:before="40" w:after="40"/>
              <w:ind w:left="270"/>
              <w:rPr>
                <w:b w:val="0"/>
                <w:sz w:val="18"/>
                <w:szCs w:val="18"/>
              </w:rPr>
            </w:pPr>
            <w:r w:rsidRPr="00EA43BA">
              <w:rPr>
                <w:b w:val="0"/>
                <w:sz w:val="18"/>
                <w:szCs w:val="18"/>
              </w:rPr>
              <w:t>Furniture, games</w:t>
            </w:r>
          </w:p>
          <w:p w:rsidR="00E63EE0" w:rsidRPr="00EA43BA" w:rsidRDefault="00E63EE0" w:rsidP="00C743B1">
            <w:pPr>
              <w:shd w:val="clear" w:color="auto" w:fill="FFFFFF" w:themeFill="background1"/>
              <w:spacing w:before="40" w:after="40"/>
              <w:ind w:left="270"/>
              <w:rPr>
                <w:b w:val="0"/>
                <w:sz w:val="18"/>
                <w:szCs w:val="18"/>
              </w:rPr>
            </w:pPr>
            <w:r w:rsidRPr="00EA43BA">
              <w:rPr>
                <w:b w:val="0"/>
                <w:sz w:val="18"/>
                <w:szCs w:val="18"/>
              </w:rPr>
              <w:t>Measurement</w:t>
            </w:r>
          </w:p>
          <w:p w:rsidR="00E63EE0" w:rsidRPr="00EA43BA" w:rsidRDefault="00E63EE0" w:rsidP="00C743B1">
            <w:pPr>
              <w:shd w:val="clear" w:color="auto" w:fill="FFFFFF" w:themeFill="background1"/>
              <w:spacing w:before="40" w:after="40"/>
              <w:ind w:left="270"/>
              <w:rPr>
                <w:b w:val="0"/>
                <w:sz w:val="18"/>
                <w:szCs w:val="18"/>
              </w:rPr>
            </w:pPr>
            <w:r w:rsidRPr="00EA43BA">
              <w:rPr>
                <w:b w:val="0"/>
                <w:sz w:val="18"/>
                <w:szCs w:val="18"/>
              </w:rPr>
              <w:t>Other special machines</w:t>
            </w:r>
          </w:p>
          <w:p w:rsidR="00E63EE0" w:rsidRPr="00EA43BA" w:rsidRDefault="00E63EE0" w:rsidP="00C743B1">
            <w:pPr>
              <w:shd w:val="clear" w:color="auto" w:fill="FFFFFF" w:themeFill="background1"/>
              <w:spacing w:before="40" w:after="40"/>
              <w:ind w:left="270"/>
              <w:rPr>
                <w:b w:val="0"/>
                <w:sz w:val="18"/>
                <w:szCs w:val="18"/>
              </w:rPr>
            </w:pPr>
            <w:r w:rsidRPr="00EA43BA">
              <w:rPr>
                <w:b w:val="0"/>
                <w:sz w:val="18"/>
                <w:szCs w:val="18"/>
              </w:rPr>
              <w:t>Machine tools</w:t>
            </w:r>
          </w:p>
          <w:p w:rsidR="00E63EE0" w:rsidRPr="00EA43BA" w:rsidRDefault="00E63EE0" w:rsidP="00C743B1">
            <w:pPr>
              <w:shd w:val="clear" w:color="auto" w:fill="FFFFFF" w:themeFill="background1"/>
              <w:spacing w:before="40" w:after="40"/>
              <w:ind w:left="270"/>
              <w:rPr>
                <w:b w:val="0"/>
                <w:sz w:val="18"/>
                <w:szCs w:val="18"/>
              </w:rPr>
            </w:pPr>
            <w:r w:rsidRPr="00EA43BA">
              <w:rPr>
                <w:b w:val="0"/>
                <w:sz w:val="18"/>
                <w:szCs w:val="18"/>
              </w:rPr>
              <w:t>Electrical machinery, apparatus, energy</w:t>
            </w:r>
          </w:p>
          <w:p w:rsidR="00E63EE0" w:rsidRPr="00EA43BA" w:rsidRDefault="00E63EE0" w:rsidP="00C743B1">
            <w:pPr>
              <w:shd w:val="clear" w:color="auto" w:fill="FFFFFF" w:themeFill="background1"/>
              <w:spacing w:before="40" w:after="40"/>
              <w:ind w:left="270"/>
              <w:rPr>
                <w:b w:val="0"/>
                <w:sz w:val="18"/>
                <w:szCs w:val="18"/>
              </w:rPr>
            </w:pPr>
            <w:r w:rsidRPr="00EA43BA">
              <w:rPr>
                <w:b w:val="0"/>
                <w:sz w:val="18"/>
                <w:szCs w:val="18"/>
              </w:rPr>
              <w:t>Control</w:t>
            </w:r>
          </w:p>
          <w:p w:rsidR="00E63EE0" w:rsidRPr="00EA43BA" w:rsidRDefault="00E63EE0" w:rsidP="00C743B1">
            <w:pPr>
              <w:shd w:val="clear" w:color="auto" w:fill="FFFFFF" w:themeFill="background1"/>
              <w:spacing w:before="40" w:after="40"/>
              <w:ind w:left="270"/>
              <w:rPr>
                <w:b w:val="0"/>
                <w:sz w:val="18"/>
                <w:szCs w:val="18"/>
              </w:rPr>
            </w:pPr>
            <w:r w:rsidRPr="00EA43BA">
              <w:rPr>
                <w:b w:val="0"/>
                <w:sz w:val="18"/>
                <w:szCs w:val="18"/>
              </w:rPr>
              <w:t>Mechanical elements</w:t>
            </w:r>
          </w:p>
          <w:p w:rsidR="00E63EE0" w:rsidRPr="00EA43BA" w:rsidRDefault="00E63EE0" w:rsidP="00C743B1">
            <w:pPr>
              <w:shd w:val="clear" w:color="auto" w:fill="FFFFFF" w:themeFill="background1"/>
              <w:spacing w:before="40" w:after="40"/>
              <w:ind w:left="270"/>
              <w:rPr>
                <w:b w:val="0"/>
                <w:sz w:val="18"/>
                <w:szCs w:val="18"/>
              </w:rPr>
            </w:pPr>
            <w:r w:rsidRPr="00EA43BA">
              <w:rPr>
                <w:b w:val="0"/>
                <w:sz w:val="18"/>
                <w:szCs w:val="18"/>
              </w:rPr>
              <w:t>Micro-structural and nanotechnology</w:t>
            </w:r>
          </w:p>
          <w:p w:rsidR="00E63EE0" w:rsidRPr="00EA43BA" w:rsidRDefault="00E63EE0" w:rsidP="00C743B1">
            <w:pPr>
              <w:shd w:val="clear" w:color="auto" w:fill="FFFFFF" w:themeFill="background1"/>
              <w:spacing w:before="40" w:after="40"/>
              <w:ind w:left="270"/>
              <w:rPr>
                <w:b w:val="0"/>
                <w:sz w:val="18"/>
                <w:szCs w:val="18"/>
              </w:rPr>
            </w:pPr>
            <w:r w:rsidRPr="00EA43BA">
              <w:rPr>
                <w:b w:val="0"/>
                <w:sz w:val="18"/>
                <w:szCs w:val="18"/>
              </w:rPr>
              <w:t>Civil engineering</w:t>
            </w:r>
          </w:p>
          <w:p w:rsidR="00E63EE0" w:rsidRPr="00EA43BA" w:rsidRDefault="00E63EE0" w:rsidP="00C743B1">
            <w:pPr>
              <w:shd w:val="clear" w:color="auto" w:fill="FFFFFF" w:themeFill="background1"/>
              <w:spacing w:before="40" w:after="40"/>
              <w:ind w:left="270"/>
              <w:rPr>
                <w:b w:val="0"/>
                <w:sz w:val="18"/>
                <w:szCs w:val="18"/>
              </w:rPr>
            </w:pPr>
            <w:r w:rsidRPr="00EA43BA">
              <w:rPr>
                <w:b w:val="0"/>
                <w:sz w:val="18"/>
                <w:szCs w:val="18"/>
              </w:rPr>
              <w:t>Computer technology</w:t>
            </w:r>
          </w:p>
          <w:p w:rsidR="00E63EE0" w:rsidRPr="00EA43BA" w:rsidRDefault="00E63EE0" w:rsidP="00C743B1">
            <w:pPr>
              <w:shd w:val="clear" w:color="auto" w:fill="FFFFFF" w:themeFill="background1"/>
              <w:spacing w:before="40" w:after="40"/>
              <w:ind w:left="270"/>
              <w:rPr>
                <w:b w:val="0"/>
                <w:sz w:val="18"/>
                <w:szCs w:val="18"/>
              </w:rPr>
            </w:pPr>
            <w:r w:rsidRPr="00EA43BA">
              <w:rPr>
                <w:b w:val="0"/>
                <w:sz w:val="18"/>
                <w:szCs w:val="18"/>
              </w:rPr>
              <w:t>Transport</w:t>
            </w:r>
          </w:p>
          <w:p w:rsidR="00E63EE0" w:rsidRPr="00EA43BA" w:rsidRDefault="00E63EE0" w:rsidP="00C743B1">
            <w:pPr>
              <w:shd w:val="clear" w:color="auto" w:fill="FFFFFF" w:themeFill="background1"/>
              <w:spacing w:before="40" w:after="40"/>
              <w:ind w:left="270"/>
              <w:rPr>
                <w:b w:val="0"/>
                <w:sz w:val="18"/>
                <w:szCs w:val="18"/>
              </w:rPr>
            </w:pPr>
            <w:r w:rsidRPr="00EA43BA">
              <w:rPr>
                <w:b w:val="0"/>
                <w:sz w:val="18"/>
                <w:szCs w:val="18"/>
              </w:rPr>
              <w:t>Audio-visual technology</w:t>
            </w:r>
          </w:p>
          <w:p w:rsidR="00E63EE0" w:rsidRPr="00EA43BA" w:rsidRDefault="00E63EE0" w:rsidP="00C743B1">
            <w:pPr>
              <w:shd w:val="clear" w:color="auto" w:fill="FFFFFF" w:themeFill="background1"/>
              <w:spacing w:before="40" w:after="40"/>
              <w:ind w:left="270"/>
              <w:rPr>
                <w:b w:val="0"/>
                <w:sz w:val="18"/>
                <w:szCs w:val="18"/>
              </w:rPr>
            </w:pPr>
            <w:r w:rsidRPr="00EA43BA">
              <w:rPr>
                <w:b w:val="0"/>
                <w:sz w:val="18"/>
                <w:szCs w:val="18"/>
              </w:rPr>
              <w:t>Engines, pumps, turbines</w:t>
            </w:r>
          </w:p>
          <w:p w:rsidR="00E63EE0" w:rsidRPr="00EA43BA" w:rsidRDefault="00E63EE0" w:rsidP="00C743B1">
            <w:pPr>
              <w:shd w:val="clear" w:color="auto" w:fill="FFFFFF" w:themeFill="background1"/>
              <w:spacing w:before="40" w:after="40"/>
              <w:ind w:left="270"/>
              <w:rPr>
                <w:b w:val="0"/>
                <w:sz w:val="18"/>
                <w:szCs w:val="18"/>
              </w:rPr>
            </w:pPr>
            <w:r w:rsidRPr="00EA43BA">
              <w:rPr>
                <w:b w:val="0"/>
                <w:sz w:val="18"/>
                <w:szCs w:val="18"/>
              </w:rPr>
              <w:t>Semiconductors</w:t>
            </w:r>
          </w:p>
          <w:p w:rsidR="00E63EE0" w:rsidRPr="00EA43BA" w:rsidRDefault="00E63EE0" w:rsidP="00C743B1">
            <w:pPr>
              <w:shd w:val="clear" w:color="auto" w:fill="FFFFFF" w:themeFill="background1"/>
              <w:spacing w:before="40" w:after="40"/>
              <w:ind w:left="270"/>
              <w:rPr>
                <w:b w:val="0"/>
                <w:sz w:val="18"/>
                <w:szCs w:val="18"/>
              </w:rPr>
            </w:pPr>
            <w:r w:rsidRPr="00EA43BA">
              <w:rPr>
                <w:b w:val="0"/>
                <w:sz w:val="18"/>
                <w:szCs w:val="18"/>
              </w:rPr>
              <w:t>Basic communication processes</w:t>
            </w:r>
          </w:p>
          <w:p w:rsidR="00E63EE0" w:rsidRPr="00EA43BA" w:rsidRDefault="00E63EE0" w:rsidP="00C743B1">
            <w:pPr>
              <w:shd w:val="clear" w:color="auto" w:fill="FFFFFF" w:themeFill="background1"/>
              <w:spacing w:before="40" w:after="40"/>
              <w:ind w:left="270"/>
              <w:rPr>
                <w:b w:val="0"/>
                <w:sz w:val="18"/>
                <w:szCs w:val="18"/>
              </w:rPr>
            </w:pPr>
            <w:r w:rsidRPr="00EA43BA">
              <w:rPr>
                <w:b w:val="0"/>
                <w:sz w:val="18"/>
                <w:szCs w:val="18"/>
              </w:rPr>
              <w:t>Textile and paper machines</w:t>
            </w:r>
          </w:p>
          <w:p w:rsidR="00E63EE0" w:rsidRPr="00EA43BA" w:rsidRDefault="00E63EE0" w:rsidP="00C743B1">
            <w:pPr>
              <w:shd w:val="clear" w:color="auto" w:fill="FFFFFF" w:themeFill="background1"/>
              <w:spacing w:before="40" w:after="40"/>
              <w:ind w:left="270"/>
              <w:rPr>
                <w:b w:val="0"/>
                <w:sz w:val="18"/>
                <w:szCs w:val="18"/>
              </w:rPr>
            </w:pPr>
            <w:r w:rsidRPr="00EA43BA">
              <w:rPr>
                <w:b w:val="0"/>
                <w:sz w:val="18"/>
                <w:szCs w:val="18"/>
              </w:rPr>
              <w:t>Optics</w:t>
            </w:r>
          </w:p>
        </w:tc>
        <w:tc>
          <w:tcPr>
            <w:tcW w:w="1170" w:type="dxa"/>
            <w:shd w:val="clear" w:color="auto" w:fill="FFFFFF" w:themeFill="background1"/>
          </w:tcPr>
          <w:p w:rsidR="00E63EE0" w:rsidRPr="00EA43BA" w:rsidRDefault="00E63EE0" w:rsidP="00C743B1">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8"/>
                <w:szCs w:val="18"/>
              </w:rPr>
            </w:pPr>
            <w:r w:rsidRPr="00EA43BA">
              <w:rPr>
                <w:sz w:val="18"/>
                <w:szCs w:val="18"/>
              </w:rPr>
              <w:t>0.1609</w:t>
            </w:r>
          </w:p>
          <w:p w:rsidR="00E63EE0" w:rsidRPr="00EA43BA" w:rsidRDefault="00E63EE0" w:rsidP="00C743B1">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8"/>
                <w:szCs w:val="18"/>
              </w:rPr>
            </w:pPr>
            <w:r w:rsidRPr="00EA43BA">
              <w:rPr>
                <w:sz w:val="18"/>
                <w:szCs w:val="18"/>
              </w:rPr>
              <w:t>0.1007</w:t>
            </w:r>
          </w:p>
          <w:p w:rsidR="00E63EE0" w:rsidRPr="00EA43BA" w:rsidRDefault="00E63EE0" w:rsidP="00C743B1">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8"/>
                <w:szCs w:val="18"/>
              </w:rPr>
            </w:pPr>
            <w:r w:rsidRPr="00EA43BA">
              <w:rPr>
                <w:sz w:val="18"/>
                <w:szCs w:val="18"/>
              </w:rPr>
              <w:t>-0.0433</w:t>
            </w:r>
          </w:p>
          <w:p w:rsidR="00E63EE0" w:rsidRPr="00EA43BA" w:rsidRDefault="00E63EE0" w:rsidP="00C743B1">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8"/>
                <w:szCs w:val="18"/>
              </w:rPr>
            </w:pPr>
            <w:r w:rsidRPr="00EA43BA">
              <w:rPr>
                <w:sz w:val="18"/>
                <w:szCs w:val="18"/>
              </w:rPr>
              <w:t>-0.0458</w:t>
            </w:r>
          </w:p>
          <w:p w:rsidR="00E63EE0" w:rsidRPr="00EA43BA" w:rsidRDefault="00E63EE0" w:rsidP="00C743B1">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8"/>
                <w:szCs w:val="18"/>
              </w:rPr>
            </w:pPr>
            <w:r w:rsidRPr="00EA43BA">
              <w:rPr>
                <w:sz w:val="18"/>
                <w:szCs w:val="18"/>
              </w:rPr>
              <w:t>-0.0826</w:t>
            </w:r>
          </w:p>
          <w:p w:rsidR="00E63EE0" w:rsidRPr="00EA43BA" w:rsidRDefault="00E63EE0" w:rsidP="00C743B1">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8"/>
                <w:szCs w:val="18"/>
              </w:rPr>
            </w:pPr>
            <w:r w:rsidRPr="00EA43BA">
              <w:rPr>
                <w:sz w:val="18"/>
                <w:szCs w:val="18"/>
              </w:rPr>
              <w:t>-0.0865</w:t>
            </w:r>
          </w:p>
          <w:p w:rsidR="00E63EE0" w:rsidRPr="00EA43BA" w:rsidRDefault="00E63EE0" w:rsidP="00C743B1">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8"/>
                <w:szCs w:val="18"/>
              </w:rPr>
            </w:pPr>
            <w:r w:rsidRPr="00EA43BA">
              <w:rPr>
                <w:sz w:val="18"/>
                <w:szCs w:val="18"/>
              </w:rPr>
              <w:t>-0.1208</w:t>
            </w:r>
          </w:p>
          <w:p w:rsidR="00E63EE0" w:rsidRPr="00EA43BA" w:rsidRDefault="00E63EE0" w:rsidP="00C743B1">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8"/>
                <w:szCs w:val="18"/>
              </w:rPr>
            </w:pPr>
            <w:r w:rsidRPr="00EA43BA">
              <w:rPr>
                <w:sz w:val="18"/>
                <w:szCs w:val="18"/>
              </w:rPr>
              <w:t>-0.1387</w:t>
            </w:r>
          </w:p>
          <w:p w:rsidR="00E63EE0" w:rsidRPr="00EA43BA" w:rsidRDefault="00E63EE0" w:rsidP="00C743B1">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8"/>
                <w:szCs w:val="18"/>
              </w:rPr>
            </w:pPr>
            <w:r w:rsidRPr="00EA43BA">
              <w:rPr>
                <w:sz w:val="18"/>
                <w:szCs w:val="18"/>
              </w:rPr>
              <w:t>-0.1474</w:t>
            </w:r>
          </w:p>
          <w:p w:rsidR="00E63EE0" w:rsidRPr="00EA43BA" w:rsidRDefault="00E63EE0" w:rsidP="00C743B1">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8"/>
                <w:szCs w:val="18"/>
              </w:rPr>
            </w:pPr>
            <w:r w:rsidRPr="00EA43BA">
              <w:rPr>
                <w:sz w:val="18"/>
                <w:szCs w:val="18"/>
              </w:rPr>
              <w:t>-0.1593</w:t>
            </w:r>
          </w:p>
          <w:p w:rsidR="00E63EE0" w:rsidRPr="00EA43BA" w:rsidRDefault="00E63EE0" w:rsidP="00C743B1">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8"/>
                <w:szCs w:val="18"/>
              </w:rPr>
            </w:pPr>
            <w:r w:rsidRPr="00EA43BA">
              <w:rPr>
                <w:sz w:val="18"/>
                <w:szCs w:val="18"/>
              </w:rPr>
              <w:t>-0.1639</w:t>
            </w:r>
          </w:p>
          <w:p w:rsidR="00E63EE0" w:rsidRPr="00EA43BA" w:rsidRDefault="00E63EE0" w:rsidP="00C743B1">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8"/>
                <w:szCs w:val="18"/>
              </w:rPr>
            </w:pPr>
            <w:r w:rsidRPr="00EA43BA">
              <w:rPr>
                <w:sz w:val="18"/>
                <w:szCs w:val="18"/>
              </w:rPr>
              <w:t>-0.1812</w:t>
            </w:r>
          </w:p>
          <w:p w:rsidR="00E63EE0" w:rsidRPr="00EA43BA" w:rsidRDefault="00E63EE0" w:rsidP="00C743B1">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8"/>
                <w:szCs w:val="18"/>
              </w:rPr>
            </w:pPr>
            <w:r w:rsidRPr="00EA43BA">
              <w:rPr>
                <w:sz w:val="18"/>
                <w:szCs w:val="18"/>
              </w:rPr>
              <w:t>-0.1833</w:t>
            </w:r>
          </w:p>
          <w:p w:rsidR="00E63EE0" w:rsidRPr="00EA43BA" w:rsidRDefault="00E63EE0" w:rsidP="00C743B1">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8"/>
                <w:szCs w:val="18"/>
              </w:rPr>
            </w:pPr>
            <w:r w:rsidRPr="00EA43BA">
              <w:rPr>
                <w:sz w:val="18"/>
                <w:szCs w:val="18"/>
              </w:rPr>
              <w:t>-0.2249</w:t>
            </w:r>
          </w:p>
          <w:p w:rsidR="00E63EE0" w:rsidRPr="00EA43BA" w:rsidRDefault="00E63EE0" w:rsidP="00C743B1">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8"/>
                <w:szCs w:val="18"/>
              </w:rPr>
            </w:pPr>
            <w:r w:rsidRPr="00EA43BA">
              <w:rPr>
                <w:sz w:val="18"/>
                <w:szCs w:val="18"/>
              </w:rPr>
              <w:t>-0.2360</w:t>
            </w:r>
          </w:p>
          <w:p w:rsidR="00E63EE0" w:rsidRPr="00EA43BA" w:rsidRDefault="00E63EE0" w:rsidP="00C743B1">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8"/>
                <w:szCs w:val="18"/>
              </w:rPr>
            </w:pPr>
            <w:r w:rsidRPr="00EA43BA">
              <w:rPr>
                <w:sz w:val="18"/>
                <w:szCs w:val="18"/>
              </w:rPr>
              <w:t>-0.2758</w:t>
            </w:r>
          </w:p>
          <w:p w:rsidR="00E63EE0" w:rsidRPr="00EA43BA" w:rsidRDefault="00E63EE0" w:rsidP="00C743B1">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8"/>
                <w:szCs w:val="18"/>
              </w:rPr>
            </w:pPr>
            <w:r w:rsidRPr="00EA43BA">
              <w:rPr>
                <w:sz w:val="18"/>
                <w:szCs w:val="18"/>
              </w:rPr>
              <w:t>-0.2839</w:t>
            </w:r>
          </w:p>
          <w:p w:rsidR="00E63EE0" w:rsidRPr="00EA43BA" w:rsidRDefault="00E63EE0" w:rsidP="00C743B1">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8"/>
                <w:szCs w:val="18"/>
              </w:rPr>
            </w:pPr>
            <w:r w:rsidRPr="00EA43BA">
              <w:rPr>
                <w:sz w:val="18"/>
                <w:szCs w:val="18"/>
              </w:rPr>
              <w:t>-0.2850</w:t>
            </w:r>
          </w:p>
          <w:p w:rsidR="00E63EE0" w:rsidRPr="00EA43BA" w:rsidRDefault="00E63EE0" w:rsidP="00C743B1">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8"/>
                <w:szCs w:val="18"/>
              </w:rPr>
            </w:pPr>
            <w:r w:rsidRPr="00EA43BA">
              <w:rPr>
                <w:sz w:val="18"/>
                <w:szCs w:val="18"/>
              </w:rPr>
              <w:t>-0.3016</w:t>
            </w:r>
          </w:p>
          <w:p w:rsidR="00E63EE0" w:rsidRPr="00EA43BA" w:rsidRDefault="00E63EE0" w:rsidP="00C743B1">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8"/>
                <w:szCs w:val="18"/>
              </w:rPr>
            </w:pPr>
            <w:r w:rsidRPr="00EA43BA">
              <w:rPr>
                <w:sz w:val="18"/>
                <w:szCs w:val="18"/>
              </w:rPr>
              <w:t>-0.3024</w:t>
            </w:r>
          </w:p>
          <w:p w:rsidR="00E63EE0" w:rsidRPr="00EA43BA" w:rsidRDefault="00E63EE0" w:rsidP="00C743B1">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8"/>
                <w:szCs w:val="18"/>
              </w:rPr>
            </w:pPr>
            <w:r w:rsidRPr="00EA43BA">
              <w:rPr>
                <w:sz w:val="18"/>
                <w:szCs w:val="18"/>
              </w:rPr>
              <w:t>-0.3071</w:t>
            </w:r>
          </w:p>
          <w:p w:rsidR="00E63EE0" w:rsidRPr="00EA43BA" w:rsidRDefault="00E63EE0" w:rsidP="00C743B1">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8"/>
                <w:szCs w:val="18"/>
              </w:rPr>
            </w:pPr>
            <w:r w:rsidRPr="00EA43BA">
              <w:rPr>
                <w:sz w:val="18"/>
                <w:szCs w:val="18"/>
              </w:rPr>
              <w:t>-0.3103</w:t>
            </w:r>
          </w:p>
          <w:p w:rsidR="00E63EE0" w:rsidRPr="00EA43BA" w:rsidRDefault="00E63EE0" w:rsidP="00C743B1">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8"/>
                <w:szCs w:val="18"/>
              </w:rPr>
            </w:pPr>
            <w:r w:rsidRPr="00EA43BA">
              <w:rPr>
                <w:sz w:val="18"/>
                <w:szCs w:val="18"/>
              </w:rPr>
              <w:t>-0.3130</w:t>
            </w:r>
          </w:p>
          <w:p w:rsidR="00E63EE0" w:rsidRPr="00EA43BA" w:rsidRDefault="00E63EE0" w:rsidP="00C743B1">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8"/>
                <w:szCs w:val="18"/>
              </w:rPr>
            </w:pPr>
            <w:r w:rsidRPr="00EA43BA">
              <w:rPr>
                <w:sz w:val="18"/>
                <w:szCs w:val="18"/>
              </w:rPr>
              <w:t>-0.3217</w:t>
            </w:r>
          </w:p>
          <w:p w:rsidR="00E63EE0" w:rsidRPr="00EA43BA" w:rsidRDefault="00E63EE0" w:rsidP="00C743B1">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8"/>
                <w:szCs w:val="18"/>
              </w:rPr>
            </w:pPr>
            <w:r w:rsidRPr="00EA43BA">
              <w:rPr>
                <w:sz w:val="18"/>
                <w:szCs w:val="18"/>
              </w:rPr>
              <w:t>-0.3219</w:t>
            </w:r>
          </w:p>
          <w:p w:rsidR="00E63EE0" w:rsidRPr="00EA43BA" w:rsidRDefault="00E63EE0" w:rsidP="00C743B1">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8"/>
                <w:szCs w:val="18"/>
              </w:rPr>
            </w:pPr>
            <w:r w:rsidRPr="00EA43BA">
              <w:rPr>
                <w:sz w:val="18"/>
                <w:szCs w:val="18"/>
              </w:rPr>
              <w:t>-0.3252</w:t>
            </w:r>
          </w:p>
          <w:p w:rsidR="00E63EE0" w:rsidRPr="00EA43BA" w:rsidRDefault="00E63EE0" w:rsidP="00C743B1">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8"/>
                <w:szCs w:val="18"/>
              </w:rPr>
            </w:pPr>
            <w:r w:rsidRPr="00EA43BA">
              <w:rPr>
                <w:sz w:val="18"/>
                <w:szCs w:val="18"/>
              </w:rPr>
              <w:t>-0.3257</w:t>
            </w:r>
          </w:p>
          <w:p w:rsidR="00E63EE0" w:rsidRPr="00EA43BA" w:rsidRDefault="00E63EE0" w:rsidP="00C743B1">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8"/>
                <w:szCs w:val="18"/>
              </w:rPr>
            </w:pPr>
            <w:r w:rsidRPr="00EA43BA">
              <w:rPr>
                <w:sz w:val="18"/>
                <w:szCs w:val="18"/>
              </w:rPr>
              <w:t>-0.3421</w:t>
            </w:r>
          </w:p>
          <w:p w:rsidR="00E63EE0" w:rsidRPr="00EA43BA" w:rsidRDefault="00E63EE0" w:rsidP="00C743B1">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8"/>
                <w:szCs w:val="18"/>
              </w:rPr>
            </w:pPr>
            <w:r w:rsidRPr="00EA43BA">
              <w:rPr>
                <w:sz w:val="18"/>
                <w:szCs w:val="18"/>
              </w:rPr>
              <w:t>-0.3517</w:t>
            </w:r>
          </w:p>
          <w:p w:rsidR="00E63EE0" w:rsidRPr="00EA43BA" w:rsidRDefault="00E63EE0" w:rsidP="00C743B1">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8"/>
                <w:szCs w:val="18"/>
              </w:rPr>
            </w:pPr>
            <w:r w:rsidRPr="00EA43BA">
              <w:rPr>
                <w:sz w:val="18"/>
                <w:szCs w:val="18"/>
              </w:rPr>
              <w:t>-0.3609</w:t>
            </w:r>
          </w:p>
          <w:p w:rsidR="00E63EE0" w:rsidRPr="00EA43BA" w:rsidRDefault="00E63EE0" w:rsidP="00C743B1">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8"/>
                <w:szCs w:val="18"/>
              </w:rPr>
            </w:pPr>
            <w:r w:rsidRPr="00EA43BA">
              <w:rPr>
                <w:sz w:val="18"/>
                <w:szCs w:val="18"/>
              </w:rPr>
              <w:t>-0.3690</w:t>
            </w:r>
          </w:p>
          <w:p w:rsidR="00E63EE0" w:rsidRPr="00EA43BA" w:rsidRDefault="00E63EE0" w:rsidP="00C743B1">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8"/>
                <w:szCs w:val="18"/>
              </w:rPr>
            </w:pPr>
            <w:r w:rsidRPr="00EA43BA">
              <w:rPr>
                <w:sz w:val="18"/>
                <w:szCs w:val="18"/>
              </w:rPr>
              <w:t>-0.3841</w:t>
            </w:r>
          </w:p>
          <w:p w:rsidR="00E63EE0" w:rsidRPr="00EA43BA" w:rsidRDefault="00E63EE0" w:rsidP="00C743B1">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8"/>
                <w:szCs w:val="18"/>
              </w:rPr>
            </w:pPr>
            <w:r w:rsidRPr="00EA43BA">
              <w:rPr>
                <w:sz w:val="18"/>
                <w:szCs w:val="18"/>
              </w:rPr>
              <w:t>-0.3891</w:t>
            </w:r>
          </w:p>
          <w:p w:rsidR="00E63EE0" w:rsidRPr="00EA43BA" w:rsidRDefault="00E63EE0" w:rsidP="00C743B1">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8"/>
                <w:szCs w:val="18"/>
              </w:rPr>
            </w:pPr>
            <w:r w:rsidRPr="00EA43BA">
              <w:rPr>
                <w:sz w:val="18"/>
                <w:szCs w:val="18"/>
              </w:rPr>
              <w:t>-0.4174</w:t>
            </w:r>
          </w:p>
          <w:p w:rsidR="00E63EE0" w:rsidRPr="00EA43BA" w:rsidRDefault="00E63EE0" w:rsidP="00C743B1">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8"/>
                <w:szCs w:val="18"/>
              </w:rPr>
            </w:pPr>
            <w:r w:rsidRPr="00EA43BA">
              <w:rPr>
                <w:sz w:val="18"/>
                <w:szCs w:val="18"/>
              </w:rPr>
              <w:t>-0.4266</w:t>
            </w:r>
          </w:p>
        </w:tc>
      </w:tr>
    </w:tbl>
    <w:p w:rsidR="00E63EE0" w:rsidRPr="00EA43BA" w:rsidRDefault="00E63EE0" w:rsidP="00E63EE0">
      <w:pPr>
        <w:spacing w:before="40"/>
        <w:rPr>
          <w:sz w:val="18"/>
          <w:szCs w:val="18"/>
        </w:rPr>
      </w:pPr>
      <w:r w:rsidRPr="00EA43BA">
        <w:rPr>
          <w:sz w:val="18"/>
          <w:szCs w:val="18"/>
        </w:rPr>
        <w:t>Note: the marginal effects shown relate to the coefficient estimates of column (3) in Table 1.</w:t>
      </w:r>
    </w:p>
    <w:p w:rsidR="00EA43BA" w:rsidRDefault="00EA43BA" w:rsidP="00EA43BA">
      <w:pPr>
        <w:pStyle w:val="Endofdocument-Annex"/>
      </w:pPr>
    </w:p>
    <w:p w:rsidR="00EA43BA" w:rsidRDefault="00EA43BA" w:rsidP="00EA43BA">
      <w:pPr>
        <w:pStyle w:val="Endofdocument-Annex"/>
      </w:pPr>
    </w:p>
    <w:p w:rsidR="002928D3" w:rsidRDefault="00EA43BA" w:rsidP="00EA43BA">
      <w:pPr>
        <w:pStyle w:val="Endofdocument-Annex"/>
      </w:pPr>
      <w:r>
        <w:t>[End of Annex and of document]</w:t>
      </w:r>
    </w:p>
    <w:sectPr w:rsidR="002928D3" w:rsidSect="00EA43BA">
      <w:headerReference w:type="default" r:id="rId13"/>
      <w:footerReference w:type="default" r:id="rId14"/>
      <w:headerReference w:type="first" r:id="rId15"/>
      <w:pgSz w:w="11907" w:h="16839" w:code="9"/>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9B2" w:rsidRDefault="003529B2">
      <w:r>
        <w:separator/>
      </w:r>
    </w:p>
  </w:endnote>
  <w:endnote w:type="continuationSeparator" w:id="0">
    <w:p w:rsidR="003529B2" w:rsidRDefault="003529B2" w:rsidP="003B38C1">
      <w:r>
        <w:separator/>
      </w:r>
    </w:p>
    <w:p w:rsidR="003529B2" w:rsidRPr="003B38C1" w:rsidRDefault="003529B2" w:rsidP="003B38C1">
      <w:pPr>
        <w:spacing w:after="60"/>
        <w:rPr>
          <w:sz w:val="17"/>
        </w:rPr>
      </w:pPr>
      <w:r>
        <w:rPr>
          <w:sz w:val="17"/>
        </w:rPr>
        <w:t>[Endnote continued from previous page]</w:t>
      </w:r>
    </w:p>
  </w:endnote>
  <w:endnote w:type="continuationNotice" w:id="1">
    <w:p w:rsidR="003529B2" w:rsidRPr="003B38C1" w:rsidRDefault="003529B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7C9" w:rsidRDefault="00060A1C">
    <w:pPr>
      <w:pStyle w:val="Footer"/>
      <w:jc w:val="right"/>
    </w:pPr>
  </w:p>
  <w:p w:rsidR="009537C9" w:rsidRDefault="00060A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9B2" w:rsidRDefault="003529B2">
      <w:r>
        <w:separator/>
      </w:r>
    </w:p>
  </w:footnote>
  <w:footnote w:type="continuationSeparator" w:id="0">
    <w:p w:rsidR="003529B2" w:rsidRDefault="003529B2" w:rsidP="008B60B2">
      <w:r>
        <w:separator/>
      </w:r>
    </w:p>
    <w:p w:rsidR="003529B2" w:rsidRPr="00ED77FB" w:rsidRDefault="003529B2" w:rsidP="008B60B2">
      <w:pPr>
        <w:spacing w:after="60"/>
        <w:rPr>
          <w:sz w:val="17"/>
          <w:szCs w:val="17"/>
        </w:rPr>
      </w:pPr>
      <w:r w:rsidRPr="00ED77FB">
        <w:rPr>
          <w:sz w:val="17"/>
          <w:szCs w:val="17"/>
        </w:rPr>
        <w:t>[Footnote continued from previous page]</w:t>
      </w:r>
    </w:p>
  </w:footnote>
  <w:footnote w:type="continuationNotice" w:id="1">
    <w:p w:rsidR="003529B2" w:rsidRPr="00ED77FB" w:rsidRDefault="003529B2" w:rsidP="008B60B2">
      <w:pPr>
        <w:spacing w:before="60"/>
        <w:jc w:val="right"/>
        <w:rPr>
          <w:sz w:val="17"/>
          <w:szCs w:val="17"/>
        </w:rPr>
      </w:pPr>
      <w:r w:rsidRPr="00ED77FB">
        <w:rPr>
          <w:sz w:val="17"/>
          <w:szCs w:val="17"/>
        </w:rPr>
        <w:t>[Footnote continued on next page]</w:t>
      </w:r>
    </w:p>
  </w:footnote>
  <w:footnote w:id="2">
    <w:p w:rsidR="003529B2" w:rsidRDefault="003529B2" w:rsidP="003529B2">
      <w:pPr>
        <w:pStyle w:val="FootnoteText"/>
        <w:spacing w:after="120"/>
      </w:pPr>
      <w:r>
        <w:rPr>
          <w:rStyle w:val="FootnoteReference"/>
        </w:rPr>
        <w:footnoteRef/>
      </w:r>
      <w:r>
        <w:t xml:space="preserve"> </w:t>
      </w:r>
      <w:r w:rsidR="00EA43BA">
        <w:tab/>
      </w:r>
      <w:r>
        <w:t>See Summary by the Chair (PCT/WG/6/23).</w:t>
      </w:r>
    </w:p>
  </w:footnote>
  <w:footnote w:id="3">
    <w:p w:rsidR="003529B2" w:rsidRDefault="003529B2" w:rsidP="003529B2">
      <w:pPr>
        <w:pStyle w:val="FootnoteText"/>
        <w:spacing w:after="120"/>
      </w:pPr>
      <w:r>
        <w:rPr>
          <w:rStyle w:val="FootnoteReference"/>
        </w:rPr>
        <w:footnoteRef/>
      </w:r>
      <w:r w:rsidR="00EA43BA">
        <w:tab/>
      </w:r>
      <w:r>
        <w:t xml:space="preserve">For a review of the literature, see </w:t>
      </w:r>
      <w:r w:rsidRPr="006F55B9">
        <w:t xml:space="preserve">de </w:t>
      </w:r>
      <w:proofErr w:type="spellStart"/>
      <w:r w:rsidRPr="006F55B9">
        <w:t>Rassenfosse</w:t>
      </w:r>
      <w:proofErr w:type="spellEnd"/>
      <w:r w:rsidRPr="006F55B9">
        <w:t xml:space="preserve">, G. and B. van </w:t>
      </w:r>
      <w:proofErr w:type="spellStart"/>
      <w:r w:rsidRPr="006F55B9">
        <w:t>Pottelsberghe</w:t>
      </w:r>
      <w:proofErr w:type="spellEnd"/>
      <w:r w:rsidRPr="006F55B9">
        <w:t xml:space="preserve">. (2012). “The role of fees in patent systems: Theory and evidence.” </w:t>
      </w:r>
      <w:r w:rsidRPr="006F55B9">
        <w:rPr>
          <w:i/>
        </w:rPr>
        <w:t>Journal of Economic Surveys</w:t>
      </w:r>
      <w:r w:rsidRPr="006F55B9">
        <w:t>, 2(5), p. 806.</w:t>
      </w:r>
    </w:p>
  </w:footnote>
  <w:footnote w:id="4">
    <w:p w:rsidR="003529B2" w:rsidRDefault="003529B2" w:rsidP="003529B2">
      <w:pPr>
        <w:pStyle w:val="FootnoteText"/>
        <w:spacing w:after="120"/>
      </w:pPr>
      <w:r>
        <w:rPr>
          <w:rStyle w:val="FootnoteReference"/>
        </w:rPr>
        <w:footnoteRef/>
      </w:r>
      <w:r>
        <w:t xml:space="preserve"> </w:t>
      </w:r>
      <w:r w:rsidR="00EA43BA">
        <w:tab/>
      </w:r>
      <w:r>
        <w:t xml:space="preserve">Before 2004, the </w:t>
      </w:r>
      <w:r w:rsidR="00EB5B66">
        <w:t xml:space="preserve">international </w:t>
      </w:r>
      <w:r>
        <w:t>filing fee depended on the number of countries designated in the PCT application.  Starting in 2004, all applications designate all PCT member states and a uniform international filing fee applies.  Given this structural break, this study only employs data from 2004 onwards.</w:t>
      </w:r>
    </w:p>
  </w:footnote>
  <w:footnote w:id="5">
    <w:p w:rsidR="003529B2" w:rsidRDefault="003529B2" w:rsidP="003529B2">
      <w:pPr>
        <w:pStyle w:val="FootnoteText"/>
        <w:spacing w:after="120"/>
      </w:pPr>
      <w:r>
        <w:rPr>
          <w:rStyle w:val="FootnoteReference"/>
        </w:rPr>
        <w:footnoteRef/>
      </w:r>
      <w:r w:rsidR="00EA43BA">
        <w:tab/>
      </w:r>
      <w:r>
        <w:t xml:space="preserve">Unfortunately, </w:t>
      </w:r>
      <w:r w:rsidR="000B0218">
        <w:t>historical data on the transmittal fee are not easily available</w:t>
      </w:r>
      <w:r>
        <w:t xml:space="preserve">.  </w:t>
      </w:r>
      <w:r w:rsidR="000B0218">
        <w:t>T</w:t>
      </w:r>
      <w:r>
        <w:t xml:space="preserve">his study </w:t>
      </w:r>
      <w:r w:rsidR="000B0218">
        <w:t xml:space="preserve">thus </w:t>
      </w:r>
      <w:r>
        <w:t xml:space="preserve">ignores the transmittal fee.  However, since </w:t>
      </w:r>
      <w:r w:rsidR="000B0218">
        <w:t xml:space="preserve">the receiving </w:t>
      </w:r>
      <w:r w:rsidR="00357CBF">
        <w:t>O</w:t>
      </w:r>
      <w:r w:rsidR="000B0218">
        <w:t xml:space="preserve">ffices set this fee in the local currency, </w:t>
      </w:r>
      <w:r>
        <w:t xml:space="preserve">exchange rate variations do not introduce fee </w:t>
      </w:r>
      <w:r w:rsidR="000B0218">
        <w:t xml:space="preserve">changes </w:t>
      </w:r>
      <w:r>
        <w:t>over time</w:t>
      </w:r>
      <w:r w:rsidR="000B0218">
        <w:t>;</w:t>
      </w:r>
      <w:r>
        <w:t xml:space="preserve"> the origin fixed effects included in the </w:t>
      </w:r>
      <w:proofErr w:type="spellStart"/>
      <w:r>
        <w:t>probit</w:t>
      </w:r>
      <w:proofErr w:type="spellEnd"/>
      <w:r>
        <w:t xml:space="preserve"> regression should </w:t>
      </w:r>
      <w:r w:rsidR="000B0218">
        <w:t xml:space="preserve">therefore </w:t>
      </w:r>
      <w:r>
        <w:t>control for their effect.</w:t>
      </w:r>
    </w:p>
  </w:footnote>
  <w:footnote w:id="6">
    <w:p w:rsidR="003529B2" w:rsidRDefault="003529B2" w:rsidP="003529B2">
      <w:pPr>
        <w:pStyle w:val="FootnoteText"/>
        <w:spacing w:after="120"/>
      </w:pPr>
      <w:r>
        <w:rPr>
          <w:rStyle w:val="FootnoteReference"/>
        </w:rPr>
        <w:footnoteRef/>
      </w:r>
      <w:r w:rsidR="00EA43BA">
        <w:tab/>
      </w:r>
      <w:r>
        <w:t xml:space="preserve">Applicants can benefit from a discount </w:t>
      </w:r>
      <w:r w:rsidR="00EB5B66">
        <w:t xml:space="preserve">between CHF 100 and 300 </w:t>
      </w:r>
      <w:r>
        <w:t>when they file their PCT application electronically.  This study ignores this fee discount, because the sample underlying the econometric investigation includes patent applications for which applicants do not file PCT applications and one does not observe whether those applicants would have filed electronically.</w:t>
      </w:r>
    </w:p>
  </w:footnote>
  <w:footnote w:id="7">
    <w:p w:rsidR="003529B2" w:rsidRDefault="003529B2" w:rsidP="003529B2">
      <w:pPr>
        <w:pStyle w:val="FootnoteText"/>
        <w:spacing w:after="120"/>
      </w:pPr>
      <w:r>
        <w:rPr>
          <w:rStyle w:val="FootnoteReference"/>
        </w:rPr>
        <w:footnoteRef/>
      </w:r>
      <w:r>
        <w:t xml:space="preserve"> </w:t>
      </w:r>
      <w:r w:rsidR="00EA43BA">
        <w:tab/>
      </w:r>
      <w:r>
        <w:t xml:space="preserve">Freely convertible currencies </w:t>
      </w:r>
      <w:r w:rsidR="003F30F3">
        <w:t xml:space="preserve">include </w:t>
      </w:r>
      <w:r>
        <w:t>the Australian dollar, the Canadian dollar, the Danish krone, the euro, the Icelandic krona, the Japanese yen, the New Zealand dollar, the Norwegian krone, the South African Rand, the Swedish krona, the Swiss franc, the UK pound, and the US dollar.</w:t>
      </w:r>
    </w:p>
  </w:footnote>
  <w:footnote w:id="8">
    <w:p w:rsidR="003529B2" w:rsidRDefault="003529B2" w:rsidP="003529B2">
      <w:pPr>
        <w:pStyle w:val="FootnoteText"/>
        <w:spacing w:after="120"/>
      </w:pPr>
      <w:r>
        <w:rPr>
          <w:rStyle w:val="FootnoteReference"/>
        </w:rPr>
        <w:footnoteRef/>
      </w:r>
      <w:r>
        <w:t xml:space="preserve"> </w:t>
      </w:r>
      <w:r w:rsidR="00EA43BA">
        <w:tab/>
      </w:r>
      <w:r w:rsidRPr="003006F0">
        <w:t>In addition, PCT filing volumes are unlikely to be stationary over time, raising difficult econometric questions.</w:t>
      </w:r>
    </w:p>
  </w:footnote>
  <w:footnote w:id="9">
    <w:p w:rsidR="003253B8" w:rsidRDefault="003253B8" w:rsidP="003253B8">
      <w:pPr>
        <w:pStyle w:val="FootnoteText"/>
        <w:spacing w:after="120"/>
      </w:pPr>
      <w:r>
        <w:rPr>
          <w:rStyle w:val="FootnoteReference"/>
        </w:rPr>
        <w:footnoteRef/>
      </w:r>
      <w:r>
        <w:t xml:space="preserve"> </w:t>
      </w:r>
      <w:r>
        <w:tab/>
        <w:t xml:space="preserve">This approach also ignores the possibility that the PCT filing fee affects applicants’ decisions on whether to file a priority </w:t>
      </w:r>
      <w:r w:rsidR="00EB5B66">
        <w:t xml:space="preserve">application </w:t>
      </w:r>
      <w:r>
        <w:t xml:space="preserve">in the first place.  However, given that PCT filings are optional and the PCT </w:t>
      </w:r>
      <w:r w:rsidR="00EB5B66">
        <w:t xml:space="preserve">international </w:t>
      </w:r>
      <w:r>
        <w:t xml:space="preserve">filing fee is typically small in relation to the overall costs of patenting, this approach seems defensible. </w:t>
      </w:r>
    </w:p>
  </w:footnote>
  <w:footnote w:id="10">
    <w:p w:rsidR="000B5C8A" w:rsidRDefault="000B5C8A">
      <w:pPr>
        <w:pStyle w:val="FootnoteText"/>
      </w:pPr>
      <w:r>
        <w:rPr>
          <w:rStyle w:val="FootnoteReference"/>
        </w:rPr>
        <w:footnoteRef/>
      </w:r>
      <w:r>
        <w:t xml:space="preserve"> </w:t>
      </w:r>
      <w:r w:rsidR="00C046B3">
        <w:tab/>
      </w:r>
      <w:r>
        <w:t>A</w:t>
      </w:r>
      <w:r w:rsidRPr="000B5C8A">
        <w:t xml:space="preserve"> dummy variable </w:t>
      </w:r>
      <w:r>
        <w:t xml:space="preserve">– </w:t>
      </w:r>
      <w:r w:rsidRPr="000B5C8A">
        <w:t>also known as an indicator variable</w:t>
      </w:r>
      <w:r>
        <w:t xml:space="preserve"> – </w:t>
      </w:r>
      <w:r w:rsidRPr="000B5C8A">
        <w:t>is one that indicate</w:t>
      </w:r>
      <w:r>
        <w:t>s</w:t>
      </w:r>
      <w:r w:rsidRPr="000B5C8A">
        <w:t xml:space="preserve"> the absence or presence of some categorical effect that may be expected to shift the outcome.</w:t>
      </w:r>
    </w:p>
  </w:footnote>
  <w:footnote w:id="11">
    <w:p w:rsidR="003529B2" w:rsidRDefault="003529B2" w:rsidP="003529B2">
      <w:pPr>
        <w:pStyle w:val="FootnoteText"/>
        <w:spacing w:after="120"/>
      </w:pPr>
      <w:r>
        <w:rPr>
          <w:rStyle w:val="FootnoteReference"/>
        </w:rPr>
        <w:footnoteRef/>
      </w:r>
      <w:r>
        <w:t xml:space="preserve"> </w:t>
      </w:r>
      <w:r w:rsidR="00EA43BA">
        <w:tab/>
      </w:r>
      <w:r>
        <w:t xml:space="preserve">In assigning technology fields, we rely on the concordance between International Patent Classification (IPC) symbols and 35 technology fields developed by WIPO (see </w:t>
      </w:r>
      <w:hyperlink r:id="rId1" w:history="1">
        <w:r w:rsidRPr="00E649B2">
          <w:rPr>
            <w:rStyle w:val="Hyperlink"/>
            <w:color w:val="auto"/>
            <w:u w:val="none"/>
          </w:rPr>
          <w:t>http://www.wipo.int/ipstats/en/statistics/technology_concordance.html</w:t>
        </w:r>
      </w:hyperlink>
      <w:r>
        <w:t>). Where a patent application relates to multiple fields of technology, we assign technology fields on a “fractional” basis, calculating equal shares, each representing one field of technology.</w:t>
      </w:r>
    </w:p>
  </w:footnote>
  <w:footnote w:id="12">
    <w:p w:rsidR="003529B2" w:rsidRDefault="003529B2" w:rsidP="003529B2">
      <w:pPr>
        <w:pStyle w:val="FootnoteText"/>
        <w:spacing w:after="120"/>
      </w:pPr>
      <w:r>
        <w:rPr>
          <w:rStyle w:val="FootnoteReference"/>
        </w:rPr>
        <w:footnoteRef/>
      </w:r>
      <w:r w:rsidR="00EA43BA">
        <w:tab/>
      </w:r>
      <w:r>
        <w:t>For a description of the methodology, see Chapter 4, Methodological Annex, in WIPO (2011), “World Intellectual Property Report: The Changing Face of Innovation,” (WIPO, Geneva).</w:t>
      </w:r>
    </w:p>
  </w:footnote>
  <w:footnote w:id="13">
    <w:p w:rsidR="003529B2" w:rsidRDefault="003529B2" w:rsidP="003529B2">
      <w:pPr>
        <w:pStyle w:val="FootnoteText"/>
        <w:spacing w:after="120"/>
      </w:pPr>
      <w:r>
        <w:rPr>
          <w:rStyle w:val="FootnoteReference"/>
        </w:rPr>
        <w:footnoteRef/>
      </w:r>
      <w:r>
        <w:t xml:space="preserve"> </w:t>
      </w:r>
      <w:r w:rsidR="00EA43BA">
        <w:tab/>
      </w:r>
      <w:r>
        <w:t xml:space="preserve">The PCT Applicant’s Guide is available at </w:t>
      </w:r>
      <w:hyperlink r:id="rId2" w:history="1">
        <w:r w:rsidRPr="00E649B2">
          <w:rPr>
            <w:rStyle w:val="Hyperlink"/>
            <w:color w:val="auto"/>
            <w:u w:val="none"/>
          </w:rPr>
          <w:t>http://www.wipo.int/pct/en/appguide/index.jsp</w:t>
        </w:r>
      </w:hyperlink>
      <w:r>
        <w:t>.  For countries that joined the euro after 2004, we used the official euro conversion rates fixed at the time of accession to extend the local currency series.</w:t>
      </w:r>
    </w:p>
  </w:footnote>
  <w:footnote w:id="14">
    <w:p w:rsidR="003529B2" w:rsidRDefault="003529B2" w:rsidP="003529B2">
      <w:pPr>
        <w:pStyle w:val="FootnoteText"/>
        <w:spacing w:after="120"/>
      </w:pPr>
      <w:r>
        <w:rPr>
          <w:rStyle w:val="FootnoteReference"/>
        </w:rPr>
        <w:footnoteRef/>
      </w:r>
      <w:r>
        <w:t xml:space="preserve"> </w:t>
      </w:r>
      <w:r w:rsidR="00EA43BA">
        <w:tab/>
      </w:r>
      <w:r>
        <w:t xml:space="preserve">We also estimated all the specifications shown in Table 1 using a </w:t>
      </w:r>
      <w:proofErr w:type="spellStart"/>
      <w:r>
        <w:t>logit</w:t>
      </w:r>
      <w:proofErr w:type="spellEnd"/>
      <w:r>
        <w:t xml:space="preserve"> maximum likelihood approach and obtained almost identical results as far as coefficient signs and levels of statistical significance are concerned.</w:t>
      </w:r>
    </w:p>
  </w:footnote>
  <w:footnote w:id="15">
    <w:p w:rsidR="003529B2" w:rsidRDefault="003529B2" w:rsidP="003529B2">
      <w:pPr>
        <w:pStyle w:val="FootnoteText"/>
        <w:spacing w:after="120"/>
      </w:pPr>
      <w:r>
        <w:rPr>
          <w:rStyle w:val="FootnoteReference"/>
        </w:rPr>
        <w:footnoteRef/>
      </w:r>
      <w:r>
        <w:t xml:space="preserve"> </w:t>
      </w:r>
      <w:r w:rsidR="00EA43BA">
        <w:tab/>
      </w:r>
      <w:r>
        <w:t xml:space="preserve">Throughout all </w:t>
      </w:r>
      <w:proofErr w:type="spellStart"/>
      <w:r>
        <w:t>probit</w:t>
      </w:r>
      <w:proofErr w:type="spellEnd"/>
      <w:r>
        <w:t xml:space="preserve"> estimations, the lagged PCT market share variable shows a positive and statistically significant coefficient – as one would expect.</w:t>
      </w:r>
    </w:p>
  </w:footnote>
  <w:footnote w:id="16">
    <w:p w:rsidR="003529B2" w:rsidRDefault="003529B2" w:rsidP="003529B2">
      <w:pPr>
        <w:pStyle w:val="FootnoteText"/>
        <w:spacing w:after="120"/>
      </w:pPr>
      <w:r>
        <w:rPr>
          <w:rStyle w:val="FootnoteReference"/>
        </w:rPr>
        <w:footnoteRef/>
      </w:r>
      <w:r>
        <w:t xml:space="preserve"> </w:t>
      </w:r>
      <w:r w:rsidR="00EA43BA">
        <w:tab/>
      </w:r>
      <w:r>
        <w:t>The coefficient on the PCT membership dummy variable is not any more statistically significant, which reflects the exclusion of observations from origins that are not PCT members.</w:t>
      </w:r>
    </w:p>
  </w:footnote>
  <w:footnote w:id="17">
    <w:p w:rsidR="003529B2" w:rsidRDefault="003529B2" w:rsidP="003529B2">
      <w:pPr>
        <w:pStyle w:val="FootnoteText"/>
        <w:spacing w:after="120"/>
      </w:pPr>
      <w:r>
        <w:rPr>
          <w:rStyle w:val="FootnoteReference"/>
        </w:rPr>
        <w:footnoteRef/>
      </w:r>
      <w:r>
        <w:t xml:space="preserve"> </w:t>
      </w:r>
      <w:r w:rsidR="00EA43BA">
        <w:tab/>
      </w:r>
      <w:proofErr w:type="gramStart"/>
      <w:r>
        <w:t>The bivariate correlation coefficient between the fee and unemployment variables stands at -0.69.</w:t>
      </w:r>
      <w:proofErr w:type="gramEnd"/>
    </w:p>
  </w:footnote>
  <w:footnote w:id="18">
    <w:p w:rsidR="003529B2" w:rsidRDefault="003529B2" w:rsidP="003529B2">
      <w:pPr>
        <w:pStyle w:val="FootnoteText"/>
        <w:spacing w:after="120"/>
      </w:pPr>
      <w:r>
        <w:rPr>
          <w:rStyle w:val="FootnoteReference"/>
        </w:rPr>
        <w:footnoteRef/>
      </w:r>
      <w:r>
        <w:t xml:space="preserve"> </w:t>
      </w:r>
      <w:r w:rsidR="00EA43BA">
        <w:tab/>
      </w:r>
      <w:r>
        <w:t>The exclusion of these 211,367 observations also forces us to drop the PCT membership dummy variable, as there are no more origins in the sample that are not members of the PCT.</w:t>
      </w:r>
    </w:p>
  </w:footnote>
  <w:footnote w:id="19">
    <w:p w:rsidR="003529B2" w:rsidRPr="00950705" w:rsidRDefault="003529B2" w:rsidP="003529B2">
      <w:pPr>
        <w:pStyle w:val="FootnoteText"/>
        <w:spacing w:after="120"/>
      </w:pPr>
      <w:r>
        <w:rPr>
          <w:rStyle w:val="FootnoteReference"/>
        </w:rPr>
        <w:footnoteRef/>
      </w:r>
      <w:r>
        <w:t xml:space="preserve"> </w:t>
      </w:r>
      <w:r w:rsidR="00EA43BA">
        <w:tab/>
      </w:r>
      <w:r>
        <w:t xml:space="preserve">We computed these marginal effects using the “margins, </w:t>
      </w:r>
      <w:proofErr w:type="spellStart"/>
      <w:proofErr w:type="gramStart"/>
      <w:r>
        <w:t>dydx</w:t>
      </w:r>
      <w:proofErr w:type="spellEnd"/>
      <w:r>
        <w:t>(</w:t>
      </w:r>
      <w:proofErr w:type="gramEnd"/>
      <w:r>
        <w:rPr>
          <w:i/>
        </w:rPr>
        <w:t>variable</w:t>
      </w:r>
      <w:r>
        <w:t>)” command in STATA.</w:t>
      </w:r>
    </w:p>
  </w:footnote>
  <w:footnote w:id="20">
    <w:p w:rsidR="003529B2" w:rsidRDefault="003529B2" w:rsidP="003529B2">
      <w:pPr>
        <w:pStyle w:val="FootnoteText"/>
        <w:spacing w:after="120"/>
      </w:pPr>
      <w:r>
        <w:rPr>
          <w:rStyle w:val="FootnoteReference"/>
        </w:rPr>
        <w:footnoteRef/>
      </w:r>
      <w:r>
        <w:t xml:space="preserve"> </w:t>
      </w:r>
      <w:r w:rsidR="00EA43BA">
        <w:tab/>
      </w:r>
      <w:r>
        <w:t xml:space="preserve">It is important to point out that these </w:t>
      </w:r>
      <w:proofErr w:type="spellStart"/>
      <w:r>
        <w:t>elasticities</w:t>
      </w:r>
      <w:proofErr w:type="spellEnd"/>
      <w:r>
        <w:t xml:space="preserve"> assume no change in the population of foreign-oriented patent families.  This is a strong assumption, especially when considering the influence of the business cycle.</w:t>
      </w:r>
    </w:p>
  </w:footnote>
  <w:footnote w:id="21">
    <w:p w:rsidR="004901FA" w:rsidRDefault="004901FA">
      <w:pPr>
        <w:pStyle w:val="FootnoteText"/>
      </w:pPr>
      <w:r>
        <w:rPr>
          <w:rStyle w:val="FootnoteReference"/>
        </w:rPr>
        <w:footnoteRef/>
      </w:r>
      <w:r>
        <w:t xml:space="preserve"> </w:t>
      </w:r>
      <w:r>
        <w:tab/>
        <w:t>The international phase lasts until 30 months from the priority date with most international applications claiming priority from an earlier national application.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3529B2" w:rsidP="00477D6B">
    <w:pPr>
      <w:jc w:val="right"/>
    </w:pPr>
    <w:bookmarkStart w:id="6" w:name="Code2"/>
    <w:bookmarkEnd w:id="6"/>
    <w:r>
      <w:t>PCT/WG/7/</w:t>
    </w:r>
    <w:r w:rsidR="00E63EE0">
      <w:t>6</w:t>
    </w:r>
  </w:p>
  <w:p w:rsidR="00EC4E49" w:rsidRDefault="00E517D6" w:rsidP="00477D6B">
    <w:pPr>
      <w:jc w:val="right"/>
      <w:rPr>
        <w:noProof/>
      </w:rPr>
    </w:pPr>
    <w:proofErr w:type="gramStart"/>
    <w:r>
      <w:t>page</w:t>
    </w:r>
    <w:proofErr w:type="gramEnd"/>
    <w:r>
      <w:t xml:space="preserve"> </w:t>
    </w:r>
    <w:r>
      <w:fldChar w:fldCharType="begin"/>
    </w:r>
    <w:r>
      <w:instrText xml:space="preserve"> PAGE   \* MERGEFORMAT </w:instrText>
    </w:r>
    <w:r>
      <w:fldChar w:fldCharType="separate"/>
    </w:r>
    <w:r w:rsidR="00060A1C">
      <w:rPr>
        <w:noProof/>
      </w:rPr>
      <w:t>8</w:t>
    </w:r>
    <w:r>
      <w:rPr>
        <w:noProof/>
      </w:rPr>
      <w:fldChar w:fldCharType="end"/>
    </w:r>
  </w:p>
  <w:p w:rsidR="00061659" w:rsidRDefault="0006165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EE0" w:rsidRPr="00E63EE0" w:rsidRDefault="00E63EE0" w:rsidP="00E63EE0">
    <w:pPr>
      <w:pStyle w:val="Header"/>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EE0" w:rsidRDefault="00E63EE0" w:rsidP="00477D6B">
    <w:pPr>
      <w:jc w:val="right"/>
    </w:pPr>
    <w:r>
      <w:t>PCT/WG/7/6</w:t>
    </w:r>
  </w:p>
  <w:p w:rsidR="00E63EE0" w:rsidRDefault="00E63EE0" w:rsidP="00477D6B">
    <w:pPr>
      <w:jc w:val="right"/>
    </w:pPr>
    <w:r>
      <w:t>A</w:t>
    </w:r>
    <w:r w:rsidR="00EA43BA">
      <w:t xml:space="preserve">nnex, page </w:t>
    </w:r>
    <w:r w:rsidR="00EA43BA">
      <w:fldChar w:fldCharType="begin"/>
    </w:r>
    <w:r w:rsidR="00EA43BA">
      <w:instrText xml:space="preserve"> PAGE   \* MERGEFORMAT </w:instrText>
    </w:r>
    <w:r w:rsidR="00EA43BA">
      <w:fldChar w:fldCharType="separate"/>
    </w:r>
    <w:r w:rsidR="00060A1C">
      <w:rPr>
        <w:noProof/>
      </w:rPr>
      <w:t>3</w:t>
    </w:r>
    <w:r w:rsidR="00EA43BA">
      <w:rPr>
        <w:noProof/>
      </w:rPr>
      <w:fldChar w:fldCharType="end"/>
    </w:r>
  </w:p>
  <w:p w:rsidR="00E63EE0" w:rsidRDefault="00E63EE0"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B66" w:rsidRDefault="00EB5B66" w:rsidP="00E63EE0">
    <w:pPr>
      <w:pStyle w:val="Header"/>
      <w:jc w:val="right"/>
      <w:rPr>
        <w:lang w:val="fr-CH"/>
      </w:rPr>
    </w:pPr>
    <w:r>
      <w:rPr>
        <w:lang w:val="fr-CH"/>
      </w:rPr>
      <w:t>PCT/WG/7/6</w:t>
    </w:r>
  </w:p>
  <w:p w:rsidR="00EB5B66" w:rsidRDefault="00EB5B66" w:rsidP="00E63EE0">
    <w:pPr>
      <w:pStyle w:val="Header"/>
      <w:jc w:val="right"/>
      <w:rPr>
        <w:lang w:val="fr-CH"/>
      </w:rPr>
    </w:pPr>
    <w:r>
      <w:rPr>
        <w:lang w:val="fr-CH"/>
      </w:rPr>
      <w:t>ANNEX</w:t>
    </w:r>
  </w:p>
  <w:p w:rsidR="00EB5B66" w:rsidRPr="00E63EE0" w:rsidRDefault="00EB5B66" w:rsidP="00E63EE0">
    <w:pPr>
      <w:pStyle w:val="Heade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9B2"/>
    <w:rsid w:val="000054A3"/>
    <w:rsid w:val="00043CAA"/>
    <w:rsid w:val="0005099A"/>
    <w:rsid w:val="00060A1C"/>
    <w:rsid w:val="00061659"/>
    <w:rsid w:val="00075432"/>
    <w:rsid w:val="000968ED"/>
    <w:rsid w:val="000B0218"/>
    <w:rsid w:val="000B5C8A"/>
    <w:rsid w:val="000C5CE4"/>
    <w:rsid w:val="000F5E56"/>
    <w:rsid w:val="00134697"/>
    <w:rsid w:val="001362EE"/>
    <w:rsid w:val="001832A6"/>
    <w:rsid w:val="00242E6A"/>
    <w:rsid w:val="002634C4"/>
    <w:rsid w:val="00273B52"/>
    <w:rsid w:val="002928D3"/>
    <w:rsid w:val="002F1FE6"/>
    <w:rsid w:val="002F4E68"/>
    <w:rsid w:val="00311560"/>
    <w:rsid w:val="00312F7F"/>
    <w:rsid w:val="003253B8"/>
    <w:rsid w:val="003529B2"/>
    <w:rsid w:val="00357CBF"/>
    <w:rsid w:val="00360675"/>
    <w:rsid w:val="00361450"/>
    <w:rsid w:val="003673CF"/>
    <w:rsid w:val="003845C1"/>
    <w:rsid w:val="003A6F89"/>
    <w:rsid w:val="003B38C1"/>
    <w:rsid w:val="003F30F3"/>
    <w:rsid w:val="00423E3E"/>
    <w:rsid w:val="00427AF4"/>
    <w:rsid w:val="004647DA"/>
    <w:rsid w:val="00474062"/>
    <w:rsid w:val="0047464D"/>
    <w:rsid w:val="004778D4"/>
    <w:rsid w:val="00477D6B"/>
    <w:rsid w:val="004901FA"/>
    <w:rsid w:val="005019FF"/>
    <w:rsid w:val="0053057A"/>
    <w:rsid w:val="00530AB6"/>
    <w:rsid w:val="00560A29"/>
    <w:rsid w:val="005C4E7C"/>
    <w:rsid w:val="005C6649"/>
    <w:rsid w:val="00605827"/>
    <w:rsid w:val="00646050"/>
    <w:rsid w:val="006655F3"/>
    <w:rsid w:val="006713CA"/>
    <w:rsid w:val="00676C5C"/>
    <w:rsid w:val="006B331A"/>
    <w:rsid w:val="006B36F1"/>
    <w:rsid w:val="007D1613"/>
    <w:rsid w:val="008223A9"/>
    <w:rsid w:val="008B2CC1"/>
    <w:rsid w:val="008B60B2"/>
    <w:rsid w:val="0090731E"/>
    <w:rsid w:val="00916EE2"/>
    <w:rsid w:val="00924FF1"/>
    <w:rsid w:val="00966A22"/>
    <w:rsid w:val="0096722F"/>
    <w:rsid w:val="00980843"/>
    <w:rsid w:val="009A42B5"/>
    <w:rsid w:val="009E2791"/>
    <w:rsid w:val="009E3F6F"/>
    <w:rsid w:val="009F14F7"/>
    <w:rsid w:val="009F499F"/>
    <w:rsid w:val="00A42DAF"/>
    <w:rsid w:val="00A45BD8"/>
    <w:rsid w:val="00A869B7"/>
    <w:rsid w:val="00AA5AD8"/>
    <w:rsid w:val="00AC205C"/>
    <w:rsid w:val="00AF0A6B"/>
    <w:rsid w:val="00B05A69"/>
    <w:rsid w:val="00B10EB1"/>
    <w:rsid w:val="00B9734B"/>
    <w:rsid w:val="00C046B3"/>
    <w:rsid w:val="00C11BFE"/>
    <w:rsid w:val="00C16982"/>
    <w:rsid w:val="00C51573"/>
    <w:rsid w:val="00CD3298"/>
    <w:rsid w:val="00D00490"/>
    <w:rsid w:val="00D45252"/>
    <w:rsid w:val="00D71B4D"/>
    <w:rsid w:val="00D93D55"/>
    <w:rsid w:val="00DA1ED2"/>
    <w:rsid w:val="00E335FE"/>
    <w:rsid w:val="00E517D6"/>
    <w:rsid w:val="00E63EE0"/>
    <w:rsid w:val="00E649B2"/>
    <w:rsid w:val="00E738E5"/>
    <w:rsid w:val="00E979D1"/>
    <w:rsid w:val="00EA43BA"/>
    <w:rsid w:val="00EB5B66"/>
    <w:rsid w:val="00EC2EF9"/>
    <w:rsid w:val="00EC4E49"/>
    <w:rsid w:val="00ED77FB"/>
    <w:rsid w:val="00EE45FA"/>
    <w:rsid w:val="00F32B06"/>
    <w:rsid w:val="00F66152"/>
    <w:rsid w:val="00FB0B90"/>
    <w:rsid w:val="00FC7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FF1"/>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link w:val="FootnoteTextChar"/>
    <w:uiPriority w:val="99"/>
    <w:rsid w:val="00924FF1"/>
    <w:pPr>
      <w:spacing w:after="160"/>
    </w:pPr>
    <w:rPr>
      <w:sz w:val="20"/>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customStyle="1" w:styleId="FootnoteTextChar">
    <w:name w:val="Footnote Text Char"/>
    <w:basedOn w:val="DefaultParagraphFont"/>
    <w:link w:val="FootnoteText"/>
    <w:uiPriority w:val="99"/>
    <w:rsid w:val="00924FF1"/>
    <w:rPr>
      <w:rFonts w:ascii="Arial" w:eastAsia="SimSun" w:hAnsi="Arial" w:cs="Arial"/>
      <w:lang w:eastAsia="zh-CN"/>
    </w:rPr>
  </w:style>
  <w:style w:type="character" w:styleId="FootnoteReference">
    <w:name w:val="footnote reference"/>
    <w:basedOn w:val="DefaultParagraphFont"/>
    <w:uiPriority w:val="99"/>
    <w:unhideWhenUsed/>
    <w:rsid w:val="003529B2"/>
    <w:rPr>
      <w:vertAlign w:val="superscript"/>
    </w:rPr>
  </w:style>
  <w:style w:type="character" w:styleId="Hyperlink">
    <w:name w:val="Hyperlink"/>
    <w:basedOn w:val="DefaultParagraphFont"/>
    <w:uiPriority w:val="99"/>
    <w:unhideWhenUsed/>
    <w:rsid w:val="003529B2"/>
    <w:rPr>
      <w:color w:val="0000FF" w:themeColor="hyperlink"/>
      <w:u w:val="single"/>
    </w:rPr>
  </w:style>
  <w:style w:type="character" w:customStyle="1" w:styleId="FooterChar">
    <w:name w:val="Footer Char"/>
    <w:basedOn w:val="DefaultParagraphFont"/>
    <w:link w:val="Footer"/>
    <w:uiPriority w:val="99"/>
    <w:rsid w:val="00E63EE0"/>
    <w:rPr>
      <w:rFonts w:ascii="Arial" w:eastAsia="SimSun" w:hAnsi="Arial" w:cs="Arial"/>
      <w:sz w:val="22"/>
      <w:lang w:eastAsia="zh-CN"/>
    </w:rPr>
  </w:style>
  <w:style w:type="table" w:styleId="LightShading">
    <w:name w:val="Light Shading"/>
    <w:basedOn w:val="TableNormal"/>
    <w:uiPriority w:val="60"/>
    <w:rsid w:val="00E63EE0"/>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rsid w:val="00F32B06"/>
    <w:rPr>
      <w:sz w:val="16"/>
      <w:szCs w:val="16"/>
    </w:rPr>
  </w:style>
  <w:style w:type="paragraph" w:styleId="CommentSubject">
    <w:name w:val="annotation subject"/>
    <w:basedOn w:val="CommentText"/>
    <w:next w:val="CommentText"/>
    <w:link w:val="CommentSubjectChar"/>
    <w:rsid w:val="00F32B06"/>
    <w:rPr>
      <w:b/>
      <w:bCs/>
      <w:sz w:val="20"/>
    </w:rPr>
  </w:style>
  <w:style w:type="character" w:customStyle="1" w:styleId="CommentTextChar">
    <w:name w:val="Comment Text Char"/>
    <w:basedOn w:val="DefaultParagraphFont"/>
    <w:link w:val="CommentText"/>
    <w:semiHidden/>
    <w:rsid w:val="00F32B06"/>
    <w:rPr>
      <w:rFonts w:ascii="Arial" w:eastAsia="SimSun" w:hAnsi="Arial" w:cs="Arial"/>
      <w:sz w:val="18"/>
      <w:lang w:eastAsia="zh-CN"/>
    </w:rPr>
  </w:style>
  <w:style w:type="character" w:customStyle="1" w:styleId="CommentSubjectChar">
    <w:name w:val="Comment Subject Char"/>
    <w:basedOn w:val="CommentTextChar"/>
    <w:link w:val="CommentSubject"/>
    <w:rsid w:val="00F32B06"/>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FF1"/>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link w:val="FootnoteTextChar"/>
    <w:uiPriority w:val="99"/>
    <w:rsid w:val="00924FF1"/>
    <w:pPr>
      <w:spacing w:after="160"/>
    </w:pPr>
    <w:rPr>
      <w:sz w:val="20"/>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customStyle="1" w:styleId="FootnoteTextChar">
    <w:name w:val="Footnote Text Char"/>
    <w:basedOn w:val="DefaultParagraphFont"/>
    <w:link w:val="FootnoteText"/>
    <w:uiPriority w:val="99"/>
    <w:rsid w:val="00924FF1"/>
    <w:rPr>
      <w:rFonts w:ascii="Arial" w:eastAsia="SimSun" w:hAnsi="Arial" w:cs="Arial"/>
      <w:lang w:eastAsia="zh-CN"/>
    </w:rPr>
  </w:style>
  <w:style w:type="character" w:styleId="FootnoteReference">
    <w:name w:val="footnote reference"/>
    <w:basedOn w:val="DefaultParagraphFont"/>
    <w:uiPriority w:val="99"/>
    <w:unhideWhenUsed/>
    <w:rsid w:val="003529B2"/>
    <w:rPr>
      <w:vertAlign w:val="superscript"/>
    </w:rPr>
  </w:style>
  <w:style w:type="character" w:styleId="Hyperlink">
    <w:name w:val="Hyperlink"/>
    <w:basedOn w:val="DefaultParagraphFont"/>
    <w:uiPriority w:val="99"/>
    <w:unhideWhenUsed/>
    <w:rsid w:val="003529B2"/>
    <w:rPr>
      <w:color w:val="0000FF" w:themeColor="hyperlink"/>
      <w:u w:val="single"/>
    </w:rPr>
  </w:style>
  <w:style w:type="character" w:customStyle="1" w:styleId="FooterChar">
    <w:name w:val="Footer Char"/>
    <w:basedOn w:val="DefaultParagraphFont"/>
    <w:link w:val="Footer"/>
    <w:uiPriority w:val="99"/>
    <w:rsid w:val="00E63EE0"/>
    <w:rPr>
      <w:rFonts w:ascii="Arial" w:eastAsia="SimSun" w:hAnsi="Arial" w:cs="Arial"/>
      <w:sz w:val="22"/>
      <w:lang w:eastAsia="zh-CN"/>
    </w:rPr>
  </w:style>
  <w:style w:type="table" w:styleId="LightShading">
    <w:name w:val="Light Shading"/>
    <w:basedOn w:val="TableNormal"/>
    <w:uiPriority w:val="60"/>
    <w:rsid w:val="00E63EE0"/>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rsid w:val="00F32B06"/>
    <w:rPr>
      <w:sz w:val="16"/>
      <w:szCs w:val="16"/>
    </w:rPr>
  </w:style>
  <w:style w:type="paragraph" w:styleId="CommentSubject">
    <w:name w:val="annotation subject"/>
    <w:basedOn w:val="CommentText"/>
    <w:next w:val="CommentText"/>
    <w:link w:val="CommentSubjectChar"/>
    <w:rsid w:val="00F32B06"/>
    <w:rPr>
      <w:b/>
      <w:bCs/>
      <w:sz w:val="20"/>
    </w:rPr>
  </w:style>
  <w:style w:type="character" w:customStyle="1" w:styleId="CommentTextChar">
    <w:name w:val="Comment Text Char"/>
    <w:basedOn w:val="DefaultParagraphFont"/>
    <w:link w:val="CommentText"/>
    <w:semiHidden/>
    <w:rsid w:val="00F32B06"/>
    <w:rPr>
      <w:rFonts w:ascii="Arial" w:eastAsia="SimSun" w:hAnsi="Arial" w:cs="Arial"/>
      <w:sz w:val="18"/>
      <w:lang w:eastAsia="zh-CN"/>
    </w:rPr>
  </w:style>
  <w:style w:type="character" w:customStyle="1" w:styleId="CommentSubjectChar">
    <w:name w:val="Comment Subject Char"/>
    <w:basedOn w:val="CommentTextChar"/>
    <w:link w:val="CommentSubject"/>
    <w:rsid w:val="00F32B06"/>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pct/en/appguide/index.jsp" TargetMode="External"/><Relationship Id="rId1" Type="http://schemas.openxmlformats.org/officeDocument/2006/relationships/hyperlink" Target="http://www.wipo.int/ipstats/en/statistics/technology_concordanc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A5837-7769-4179-A2D5-F9B86C496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7 (E)</Template>
  <TotalTime>48</TotalTime>
  <Pages>11</Pages>
  <Words>4120</Words>
  <Characters>22561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PCT/WG/7/6</vt:lpstr>
    </vt:vector>
  </TitlesOfParts>
  <Company>WIPO</Company>
  <LinksUpToDate>false</LinksUpToDate>
  <CharactersWithSpaces>26628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PCT/WG/7/6</dc:title>
  <dc:subject>Estimating a PCT Fee Elasticity</dc:subject>
  <dc:creator>WIPO</dc:creator>
  <cp:lastModifiedBy>MARLOW Thomas</cp:lastModifiedBy>
  <cp:revision>10</cp:revision>
  <cp:lastPrinted>2014-04-17T13:16:00Z</cp:lastPrinted>
  <dcterms:created xsi:type="dcterms:W3CDTF">2014-04-17T11:50:00Z</dcterms:created>
  <dcterms:modified xsi:type="dcterms:W3CDTF">2014-05-02T13:41:00Z</dcterms:modified>
</cp:coreProperties>
</file>