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AD2B" w14:textId="77777777" w:rsidR="008B2CC1" w:rsidRPr="008B2CC1" w:rsidRDefault="00873EE5" w:rsidP="00F11D94">
      <w:pPr>
        <w:spacing w:after="120"/>
        <w:jc w:val="right"/>
      </w:pPr>
      <w:r>
        <w:rPr>
          <w:noProof/>
          <w:sz w:val="28"/>
          <w:szCs w:val="28"/>
          <w:lang w:eastAsia="ja-JP"/>
        </w:rPr>
        <w:drawing>
          <wp:inline distT="0" distB="0" distL="0" distR="0" wp14:anchorId="74B7D506" wp14:editId="4B74477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46E62C25" wp14:editId="07385CB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CD8C9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504F9F9" w14:textId="4380E749"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B36CA2">
        <w:rPr>
          <w:rFonts w:ascii="Arial Black" w:hAnsi="Arial Black"/>
          <w:caps/>
          <w:sz w:val="15"/>
          <w:szCs w:val="15"/>
        </w:rPr>
        <w:t>9</w:t>
      </w:r>
      <w:r w:rsidR="00497C1B">
        <w:rPr>
          <w:rFonts w:ascii="Arial Black" w:hAnsi="Arial Black"/>
          <w:caps/>
          <w:sz w:val="15"/>
          <w:szCs w:val="15"/>
        </w:rPr>
        <w:t>/</w:t>
      </w:r>
      <w:bookmarkStart w:id="0" w:name="Code"/>
      <w:bookmarkEnd w:id="0"/>
      <w:r w:rsidR="00673E88">
        <w:rPr>
          <w:rFonts w:ascii="Arial Black" w:hAnsi="Arial Black"/>
          <w:caps/>
          <w:sz w:val="15"/>
          <w:szCs w:val="15"/>
        </w:rPr>
        <w:t>8</w:t>
      </w:r>
    </w:p>
    <w:p w14:paraId="5AF6BDDE" w14:textId="5725EA1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735743">
        <w:rPr>
          <w:rFonts w:ascii="Arial Black" w:hAnsi="Arial Black"/>
          <w:caps/>
          <w:sz w:val="15"/>
          <w:szCs w:val="15"/>
        </w:rPr>
        <w:t>English</w:t>
      </w:r>
    </w:p>
    <w:bookmarkEnd w:id="1"/>
    <w:p w14:paraId="46DEC397" w14:textId="206BEE43"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735743">
        <w:rPr>
          <w:rFonts w:ascii="Arial Black" w:hAnsi="Arial Black"/>
          <w:caps/>
          <w:sz w:val="15"/>
          <w:szCs w:val="15"/>
        </w:rPr>
        <w:t xml:space="preserve">December </w:t>
      </w:r>
      <w:r w:rsidR="006A68F2">
        <w:rPr>
          <w:rFonts w:ascii="Arial Black" w:hAnsi="Arial Black"/>
          <w:caps/>
          <w:sz w:val="15"/>
          <w:szCs w:val="15"/>
        </w:rPr>
        <w:t>19</w:t>
      </w:r>
      <w:r w:rsidR="00735743">
        <w:rPr>
          <w:rFonts w:ascii="Arial Black" w:hAnsi="Arial Black"/>
          <w:caps/>
          <w:sz w:val="15"/>
          <w:szCs w:val="15"/>
        </w:rPr>
        <w:t>, 2025</w:t>
      </w:r>
    </w:p>
    <w:bookmarkEnd w:id="2"/>
    <w:p w14:paraId="6B025ECE" w14:textId="77777777" w:rsidR="008B2CC1" w:rsidRPr="003845C1" w:rsidRDefault="00E90B8B" w:rsidP="00FB3E54">
      <w:pPr>
        <w:spacing w:after="600"/>
        <w:rPr>
          <w:b/>
          <w:sz w:val="28"/>
          <w:szCs w:val="28"/>
        </w:rPr>
      </w:pPr>
      <w:r w:rsidRPr="00E90B8B">
        <w:rPr>
          <w:b/>
          <w:sz w:val="28"/>
          <w:szCs w:val="28"/>
        </w:rPr>
        <w:t>Patent Cooperation Treaty (PCT) Working Group</w:t>
      </w:r>
    </w:p>
    <w:p w14:paraId="54FBF4B4" w14:textId="77777777" w:rsidR="008B2CC1" w:rsidRPr="003845C1" w:rsidRDefault="00B36CA2" w:rsidP="008B2CC1">
      <w:pPr>
        <w:rPr>
          <w:b/>
          <w:sz w:val="24"/>
          <w:szCs w:val="24"/>
        </w:rPr>
      </w:pPr>
      <w:r>
        <w:rPr>
          <w:b/>
          <w:sz w:val="24"/>
          <w:szCs w:val="24"/>
        </w:rPr>
        <w:t>Nine</w:t>
      </w:r>
      <w:r w:rsidR="00946221">
        <w:rPr>
          <w:b/>
          <w:sz w:val="24"/>
          <w:szCs w:val="24"/>
        </w:rPr>
        <w:t>te</w:t>
      </w:r>
      <w:r w:rsidR="00946221" w:rsidRPr="008D0E8D">
        <w:rPr>
          <w:b/>
          <w:sz w:val="24"/>
          <w:szCs w:val="24"/>
        </w:rPr>
        <w:t xml:space="preserve">enth </w:t>
      </w:r>
      <w:r w:rsidR="00E90B8B" w:rsidRPr="008D0E8D">
        <w:rPr>
          <w:b/>
          <w:sz w:val="24"/>
          <w:szCs w:val="24"/>
        </w:rPr>
        <w:t>Session</w:t>
      </w:r>
    </w:p>
    <w:p w14:paraId="60E77E92"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2</w:t>
      </w:r>
      <w:r w:rsidR="00B36CA2">
        <w:rPr>
          <w:b/>
          <w:sz w:val="24"/>
          <w:szCs w:val="24"/>
        </w:rPr>
        <w:t xml:space="preserve"> to 6</w:t>
      </w:r>
      <w:r w:rsidR="003F4C9E">
        <w:rPr>
          <w:b/>
          <w:sz w:val="24"/>
          <w:szCs w:val="24"/>
        </w:rPr>
        <w:t>, 202</w:t>
      </w:r>
      <w:r w:rsidR="00B36CA2">
        <w:rPr>
          <w:b/>
          <w:sz w:val="24"/>
          <w:szCs w:val="24"/>
        </w:rPr>
        <w:t>6</w:t>
      </w:r>
    </w:p>
    <w:p w14:paraId="2BEF976F" w14:textId="534F36C0" w:rsidR="008B2CC1" w:rsidRPr="009F3BF9" w:rsidRDefault="007A5E3A" w:rsidP="007A5E3A">
      <w:pPr>
        <w:spacing w:after="360"/>
        <w:rPr>
          <w:caps/>
          <w:sz w:val="24"/>
        </w:rPr>
      </w:pPr>
      <w:bookmarkStart w:id="3" w:name="TitleOfDoc"/>
      <w:r w:rsidRPr="007A5E3A">
        <w:rPr>
          <w:caps/>
          <w:sz w:val="24"/>
        </w:rPr>
        <w:t>Acceptance of Documents by the International Bureau on Behalf of the Competent</w:t>
      </w:r>
      <w:r>
        <w:rPr>
          <w:caps/>
          <w:sz w:val="24"/>
        </w:rPr>
        <w:t xml:space="preserve"> </w:t>
      </w:r>
      <w:r w:rsidRPr="007A5E3A">
        <w:rPr>
          <w:caps/>
          <w:sz w:val="24"/>
        </w:rPr>
        <w:t>Authority</w:t>
      </w:r>
    </w:p>
    <w:p w14:paraId="2191427C" w14:textId="0EF7C640" w:rsidR="008B2CC1" w:rsidRPr="004D39C4" w:rsidRDefault="00735743" w:rsidP="00CE65D4">
      <w:pPr>
        <w:spacing w:after="960"/>
        <w:rPr>
          <w:i/>
        </w:rPr>
      </w:pPr>
      <w:bookmarkStart w:id="4" w:name="Prepared"/>
      <w:bookmarkEnd w:id="3"/>
      <w:r>
        <w:rPr>
          <w:i/>
        </w:rPr>
        <w:t>Document prepared by the International Bureau</w:t>
      </w:r>
    </w:p>
    <w:bookmarkEnd w:id="4"/>
    <w:p w14:paraId="137077E2" w14:textId="1D6A9294" w:rsidR="007A5E3A" w:rsidRDefault="007A5E3A" w:rsidP="007A5E3A">
      <w:pPr>
        <w:pStyle w:val="Heading1"/>
      </w:pPr>
      <w:r>
        <w:t>Summary</w:t>
      </w:r>
    </w:p>
    <w:p w14:paraId="5D27C6F2" w14:textId="2CB62899" w:rsidR="007A5E3A" w:rsidRPr="007A5E3A" w:rsidRDefault="00FF26C4" w:rsidP="00CF1B22">
      <w:pPr>
        <w:pStyle w:val="ONUME"/>
      </w:pPr>
      <w:r>
        <w:t xml:space="preserve">The Annex contains proposals for a Rule allowing </w:t>
      </w:r>
      <w:r w:rsidR="00CF1B22">
        <w:t xml:space="preserve">the International Bureau to receive correspondence on behalf of a national Office </w:t>
      </w:r>
      <w:r>
        <w:t xml:space="preserve">in </w:t>
      </w:r>
      <w:r w:rsidR="00CF1B22">
        <w:t xml:space="preserve">its </w:t>
      </w:r>
      <w:r>
        <w:t xml:space="preserve">capacity as receiving Office, International Searching Authority, Authority specified for supplementary search or International Preliminary Examining Authority </w:t>
      </w:r>
      <w:r w:rsidR="004B28C6">
        <w:t>(competent authority)</w:t>
      </w:r>
      <w:r w:rsidR="00CF1B22">
        <w:t>, and for that correspondence</w:t>
      </w:r>
      <w:r w:rsidR="004B28C6">
        <w:t xml:space="preserve"> </w:t>
      </w:r>
      <w:r>
        <w:t xml:space="preserve">to be transmitted to the competent authority and be treated as if </w:t>
      </w:r>
      <w:r w:rsidR="00CF1B22">
        <w:t xml:space="preserve">it </w:t>
      </w:r>
      <w:r>
        <w:t>had been received by the competent authority on the date of receipt by the International Bureau.</w:t>
      </w:r>
    </w:p>
    <w:p w14:paraId="5CB05B9F" w14:textId="21E2C371" w:rsidR="002928D3" w:rsidRDefault="00735743" w:rsidP="007A5E3A">
      <w:pPr>
        <w:pStyle w:val="Heading1"/>
      </w:pPr>
      <w:r w:rsidRPr="007A5E3A">
        <w:t>Background</w:t>
      </w:r>
    </w:p>
    <w:p w14:paraId="4EACBE81" w14:textId="62A3151C" w:rsidR="00B00D9B" w:rsidRDefault="00735743" w:rsidP="007A5E3A">
      <w:pPr>
        <w:pStyle w:val="ONUME"/>
      </w:pPr>
      <w:r w:rsidRPr="00735743">
        <w:t>At the seventeenth Session of the PCT Working Group, discussion</w:t>
      </w:r>
      <w:r>
        <w:t>s</w:t>
      </w:r>
      <w:r w:rsidRPr="00735743">
        <w:t xml:space="preserve"> were held on a proposal from Brazil for </w:t>
      </w:r>
      <w:r w:rsidR="0056063F">
        <w:t xml:space="preserve">receiving </w:t>
      </w:r>
      <w:r w:rsidRPr="00735743">
        <w:t>Offices</w:t>
      </w:r>
      <w:r w:rsidR="0056063F">
        <w:t xml:space="preserve"> to require </w:t>
      </w:r>
      <w:r w:rsidR="00B00D9B">
        <w:t>applications to be filed and subsequent documents to be transmitted in electronic form only.  The proposal was approved, noting that (among other safeguards) this option was not available to the receiving Office of the International Bureau, which accepted a provision in Rule 89</w:t>
      </w:r>
      <w:r w:rsidR="00B00D9B">
        <w:rPr>
          <w:i/>
          <w:iCs/>
        </w:rPr>
        <w:t>bis</w:t>
      </w:r>
      <w:r w:rsidR="00B00D9B">
        <w:t>.1(d-</w:t>
      </w:r>
      <w:r w:rsidR="00B00D9B">
        <w:rPr>
          <w:i/>
          <w:iCs/>
        </w:rPr>
        <w:t>bis</w:t>
      </w:r>
      <w:r w:rsidR="00B00D9B">
        <w:t xml:space="preserve">) requiring it to continue to accept paper applications and documents until such time as the Rule might be further amended.  The proposed Rules were approved by the PCT Union Assembly and came into </w:t>
      </w:r>
      <w:proofErr w:type="gramStart"/>
      <w:r w:rsidR="00B00D9B">
        <w:t>force</w:t>
      </w:r>
      <w:proofErr w:type="gramEnd"/>
      <w:r w:rsidR="00B00D9B">
        <w:t xml:space="preserve"> July 1, 2025.</w:t>
      </w:r>
    </w:p>
    <w:p w14:paraId="790079B3" w14:textId="77777777" w:rsidR="00CF1B22" w:rsidRDefault="00B00D9B" w:rsidP="007A5E3A">
      <w:pPr>
        <w:pStyle w:val="ONUME"/>
      </w:pPr>
      <w:r>
        <w:t xml:space="preserve">One delegation asked the International Bureau whether it would be willing </w:t>
      </w:r>
      <w:r w:rsidR="00CF1B22">
        <w:t xml:space="preserve">also </w:t>
      </w:r>
      <w:r>
        <w:t>to accept paper documents on behalf of national Offices that wished to accept documents furnished after filing of the international application only in electronic form.</w:t>
      </w:r>
    </w:p>
    <w:p w14:paraId="4EAD36E1" w14:textId="14B1F684" w:rsidR="00B00D9B" w:rsidRDefault="00B00D9B" w:rsidP="007A5E3A">
      <w:pPr>
        <w:pStyle w:val="ONUME"/>
      </w:pPr>
      <w:r>
        <w:lastRenderedPageBreak/>
        <w:t xml:space="preserve">The International Bureau responded that </w:t>
      </w:r>
      <w:r w:rsidR="00CF1B22">
        <w:t xml:space="preserve">this service would only be used very occasionally.  Consequently, </w:t>
      </w:r>
      <w:r>
        <w:t>the work of receiving, scanning and transmitting the documents onwards would be insignificant and</w:t>
      </w:r>
      <w:r w:rsidR="00CF1B22">
        <w:t>,</w:t>
      </w:r>
      <w:r>
        <w:t xml:space="preserve"> in principle</w:t>
      </w:r>
      <w:r w:rsidR="00CF1B22">
        <w:t>,</w:t>
      </w:r>
      <w:r w:rsidR="004B28C6">
        <w:t xml:space="preserve"> it would be willing to offer that service</w:t>
      </w:r>
      <w:r>
        <w:t xml:space="preserve">.  However, it was not clear that national Offices in their roles as receiving Office, International Searching Authority or International Preliminary Examining Authority would be able to treat the documents as received on the date that they were received by the International Bureau.  It was possible that they might be treated as received only when they were </w:t>
      </w:r>
      <w:proofErr w:type="gramStart"/>
      <w:r>
        <w:t>actually received</w:t>
      </w:r>
      <w:proofErr w:type="gramEnd"/>
      <w:r>
        <w:t xml:space="preserve"> by the Office in question, potentially </w:t>
      </w:r>
      <w:r w:rsidR="00466BCD">
        <w:t xml:space="preserve">resulting in the applicant </w:t>
      </w:r>
      <w:r>
        <w:t>missing a deadline for action.</w:t>
      </w:r>
    </w:p>
    <w:p w14:paraId="05D16912" w14:textId="378197D8" w:rsidR="00496131" w:rsidRDefault="00496131" w:rsidP="007A5E3A">
      <w:pPr>
        <w:pStyle w:val="ONUME"/>
      </w:pPr>
      <w:r>
        <w:t>Consequently, the International Bureau would recommend such an arrangement only if a clear legal basis were provided for it.</w:t>
      </w:r>
    </w:p>
    <w:p w14:paraId="4431954E" w14:textId="6BAF0C1B" w:rsidR="00496131" w:rsidRDefault="00496131" w:rsidP="00BD7374">
      <w:pPr>
        <w:pStyle w:val="ONUME"/>
      </w:pPr>
      <w:r>
        <w:t>At present, the</w:t>
      </w:r>
      <w:r w:rsidR="00060D23">
        <w:t xml:space="preserve">re is a specific legal basis for requiring an Office to treat a document as having been received by them on the date when it was received by the International Bureau or </w:t>
      </w:r>
      <w:proofErr w:type="gramStart"/>
      <w:r w:rsidR="00060D23">
        <w:t>other</w:t>
      </w:r>
      <w:proofErr w:type="gramEnd"/>
      <w:r w:rsidR="00060D23">
        <w:t xml:space="preserve"> Office only in one special case.  Specifically, </w:t>
      </w:r>
      <w:r w:rsidRPr="00735743">
        <w:t>Rule 59.3</w:t>
      </w:r>
      <w:r>
        <w:t xml:space="preserve"> provides that a demand submitted to any PCT authority (including the International Bureau) that is not competent for the International Preliminary Examination of that international application shall transmit the demand to the competent International Preliminary Examining Authority, which must then treat the demand as having been received on the date that it was received by the non-competent authority.</w:t>
      </w:r>
    </w:p>
    <w:p w14:paraId="65F29700" w14:textId="7BB6BBEC" w:rsidR="0053353E" w:rsidRDefault="0053353E" w:rsidP="00BD7374">
      <w:pPr>
        <w:pStyle w:val="ONUME"/>
      </w:pPr>
      <w:r>
        <w:t>The ePCT system offers a</w:t>
      </w:r>
      <w:r w:rsidR="00060D23">
        <w:t xml:space="preserve"> similar and more wide-ranging effect through the </w:t>
      </w:r>
      <w:r>
        <w:t xml:space="preserve">document </w:t>
      </w:r>
      <w:proofErr w:type="spellStart"/>
      <w:r>
        <w:t>e</w:t>
      </w:r>
      <w:r w:rsidR="00C56328">
        <w:t>R</w:t>
      </w:r>
      <w:r>
        <w:t>outing</w:t>
      </w:r>
      <w:proofErr w:type="spellEnd"/>
      <w:r>
        <w:t xml:space="preserve"> service that 101 Offices have opted into</w:t>
      </w:r>
      <w:r w:rsidR="00060D23">
        <w:t xml:space="preserve">.  Here, </w:t>
      </w:r>
      <w:r>
        <w:t>documents can be uploaded electronically to the ePCT system, where they are recorded as having been received on a particular date according to the time</w:t>
      </w:r>
      <w:r w:rsidR="00466BCD">
        <w:t xml:space="preserve"> </w:t>
      </w:r>
      <w:r>
        <w:t xml:space="preserve">zone of that Office and are stored on a server for the Office.  In </w:t>
      </w:r>
      <w:r w:rsidR="00180046">
        <w:t xml:space="preserve">some cases, that is the actual server that the Office uses for documents used in its international phase processing work;  otherwise, the server </w:t>
      </w:r>
      <w:proofErr w:type="gramStart"/>
      <w:r w:rsidR="00180046">
        <w:t>is considered to be</w:t>
      </w:r>
      <w:proofErr w:type="gramEnd"/>
      <w:r w:rsidR="00180046">
        <w:t xml:space="preserve"> </w:t>
      </w:r>
      <w:r w:rsidR="00FF26C4">
        <w:t xml:space="preserve">part of the </w:t>
      </w:r>
      <w:proofErr w:type="gramStart"/>
      <w:r w:rsidR="00FF26C4">
        <w:t>Office</w:t>
      </w:r>
      <w:proofErr w:type="gramEnd"/>
      <w:r w:rsidR="00FF26C4">
        <w:t xml:space="preserve"> and it is agreed to respect the date</w:t>
      </w:r>
      <w:r w:rsidR="00CF1B22" w:rsidRPr="00CF1B22">
        <w:t xml:space="preserve"> </w:t>
      </w:r>
      <w:r w:rsidR="00CF1B22">
        <w:t>as part of the terms of service</w:t>
      </w:r>
      <w:r w:rsidR="00FF26C4">
        <w:t>.</w:t>
      </w:r>
      <w:r w:rsidR="00CF1B22">
        <w:t xml:space="preserve">  </w:t>
      </w:r>
      <w:r w:rsidR="00060D23">
        <w:t xml:space="preserve">However, either way, </w:t>
      </w:r>
      <w:r w:rsidR="00CF1B22">
        <w:t>although the International Bureau is providing the service, the document is legally considered to have been delivered directly to the Office.</w:t>
      </w:r>
      <w:r w:rsidR="00060D23">
        <w:t xml:space="preserve">  Moreover, it only </w:t>
      </w:r>
      <w:r w:rsidR="00466BCD">
        <w:t xml:space="preserve">applies to </w:t>
      </w:r>
      <w:proofErr w:type="gramStart"/>
      <w:r w:rsidR="00466BCD">
        <w:t>document</w:t>
      </w:r>
      <w:proofErr w:type="gramEnd"/>
      <w:r w:rsidR="00466BCD">
        <w:t xml:space="preserve"> submitted </w:t>
      </w:r>
      <w:r w:rsidR="00060D23">
        <w:t>electronically and through the appropriate service</w:t>
      </w:r>
      <w:r w:rsidR="00466BCD">
        <w:t xml:space="preserve"> and would not be relevant to documents received on paper</w:t>
      </w:r>
      <w:r w:rsidR="00060D23">
        <w:t>.</w:t>
      </w:r>
    </w:p>
    <w:p w14:paraId="4EB4CEE1" w14:textId="10253A11" w:rsidR="00735743" w:rsidRDefault="00735743" w:rsidP="007A5E3A">
      <w:pPr>
        <w:pStyle w:val="Heading1"/>
      </w:pPr>
      <w:r>
        <w:t>Possible extension of the provisions under Rule 59.3 to other submissions</w:t>
      </w:r>
    </w:p>
    <w:p w14:paraId="5B59B896" w14:textId="1E6AC1DE" w:rsidR="004B28C6" w:rsidRDefault="00FF26C4" w:rsidP="007A5E3A">
      <w:pPr>
        <w:pStyle w:val="ONUME"/>
      </w:pPr>
      <w:r>
        <w:t>To address the issue</w:t>
      </w:r>
      <w:r w:rsidR="004B28C6">
        <w:t xml:space="preserve"> referred to in paragraph 3, it would appear necessary to provide a rule </w:t>
      </w:r>
      <w:proofErr w:type="gramStart"/>
      <w:r w:rsidR="004B28C6">
        <w:t>similar to</w:t>
      </w:r>
      <w:proofErr w:type="gramEnd"/>
      <w:r w:rsidR="004B28C6">
        <w:t xml:space="preserve"> Rule </w:t>
      </w:r>
      <w:proofErr w:type="gramStart"/>
      <w:r w:rsidR="004B28C6">
        <w:t>59.3, but</w:t>
      </w:r>
      <w:proofErr w:type="gramEnd"/>
      <w:r w:rsidR="004B28C6">
        <w:t xml:space="preserve"> applying to any document type and any type of authority competent for an international phase action</w:t>
      </w:r>
      <w:r>
        <w:t>.</w:t>
      </w:r>
      <w:r w:rsidR="00CF1B22">
        <w:t xml:space="preserve">  T</w:t>
      </w:r>
      <w:r w:rsidR="004B28C6">
        <w:t>he Annex to this document contains</w:t>
      </w:r>
      <w:r w:rsidR="00C62022">
        <w:t xml:space="preserve"> a proposed amendment to Rule 92</w:t>
      </w:r>
      <w:r w:rsidR="00CF1B22">
        <w:t xml:space="preserve"> to this effect</w:t>
      </w:r>
      <w:r w:rsidR="00C62022">
        <w:t>.</w:t>
      </w:r>
    </w:p>
    <w:p w14:paraId="7A175F8C" w14:textId="77777777" w:rsidR="00C62022" w:rsidRDefault="00C62022" w:rsidP="007A5E3A">
      <w:pPr>
        <w:pStyle w:val="ONUME"/>
      </w:pPr>
      <w:r>
        <w:t>If the International Bureau received correspondence intended for another Office, it would forward it promptly through the same electronic services used for other correspondence with the relevant Office.  Documents received on paper would usually be scanned and transmitted within one or two working days.</w:t>
      </w:r>
    </w:p>
    <w:p w14:paraId="5346CF9F" w14:textId="0BCABC98" w:rsidR="00C62022" w:rsidRDefault="00C62022" w:rsidP="007A5E3A">
      <w:pPr>
        <w:pStyle w:val="ONUME"/>
      </w:pPr>
      <w:r>
        <w:t xml:space="preserve">It should be noted that the ePCT </w:t>
      </w:r>
      <w:proofErr w:type="spellStart"/>
      <w:r>
        <w:t>eRouting</w:t>
      </w:r>
      <w:proofErr w:type="spellEnd"/>
      <w:r>
        <w:t xml:space="preserve"> service</w:t>
      </w:r>
      <w:r w:rsidR="00060D23">
        <w:t xml:space="preserve"> would not fall within the scope of the proposed rule and would continue under its existing arrangements</w:t>
      </w:r>
      <w:r>
        <w:t xml:space="preserve">.  Where an applicant uploads a document to that service expressly indicating that it is directed to a national Office, it </w:t>
      </w:r>
      <w:r w:rsidR="00CF1B22">
        <w:t xml:space="preserve">is not considered to have been received by the International Bureau but by the Office itself.  Such documents </w:t>
      </w:r>
      <w:r>
        <w:t xml:space="preserve">would </w:t>
      </w:r>
      <w:proofErr w:type="gramStart"/>
      <w:r>
        <w:t>be time</w:t>
      </w:r>
      <w:r w:rsidR="00466BCD">
        <w:noBreakHyphen/>
      </w:r>
      <w:r>
        <w:t>stamped</w:t>
      </w:r>
      <w:proofErr w:type="gramEnd"/>
      <w:r>
        <w:t xml:space="preserve"> according to the time in that Office and routed in the normal manner for that service.</w:t>
      </w:r>
      <w:r w:rsidR="00CF1B22">
        <w:t xml:space="preserve">  The </w:t>
      </w:r>
      <w:r w:rsidR="00466BCD">
        <w:t>proposed r</w:t>
      </w:r>
      <w:r w:rsidR="00CF1B22">
        <w:t xml:space="preserve">ule </w:t>
      </w:r>
      <w:r w:rsidR="00466BCD">
        <w:t>could</w:t>
      </w:r>
      <w:r w:rsidR="00CF1B22">
        <w:t xml:space="preserve">, however, apply to documents uploaded through ePCT incorrectly </w:t>
      </w:r>
      <w:r w:rsidR="00466BCD">
        <w:t xml:space="preserve">addressed </w:t>
      </w:r>
      <w:r w:rsidR="00CF1B22">
        <w:t>to the International Bureau and subsequently forwarded.</w:t>
      </w:r>
    </w:p>
    <w:p w14:paraId="48019D24" w14:textId="581217A1" w:rsidR="00C62022" w:rsidRPr="00C62022" w:rsidRDefault="00C62022" w:rsidP="00BD7374">
      <w:pPr>
        <w:pStyle w:val="ONUME"/>
        <w:keepLines/>
        <w:tabs>
          <w:tab w:val="left" w:pos="6096"/>
        </w:tabs>
        <w:ind w:left="5534"/>
        <w:rPr>
          <w:i/>
        </w:rPr>
      </w:pPr>
      <w:r w:rsidRPr="00C62022">
        <w:rPr>
          <w:i/>
        </w:rPr>
        <w:lastRenderedPageBreak/>
        <w:t>The Working Group is invited to consider the proposed amendment to Rule 92 set out in the Annex to document PCT/WG/19/</w:t>
      </w:r>
      <w:r w:rsidR="00AB677A">
        <w:rPr>
          <w:i/>
        </w:rPr>
        <w:t>8</w:t>
      </w:r>
      <w:r>
        <w:rPr>
          <w:i/>
        </w:rPr>
        <w:t>.</w:t>
      </w:r>
    </w:p>
    <w:p w14:paraId="283E4B08" w14:textId="77777777" w:rsidR="001D2815" w:rsidRDefault="001D2815" w:rsidP="00A86FE8">
      <w:pPr>
        <w:pStyle w:val="ONUME"/>
        <w:numPr>
          <w:ilvl w:val="0"/>
          <w:numId w:val="0"/>
        </w:numPr>
      </w:pPr>
    </w:p>
    <w:p w14:paraId="5FB1DAC9" w14:textId="76844C9C" w:rsidR="00586632" w:rsidRDefault="00C62022" w:rsidP="00C62022">
      <w:pPr>
        <w:pStyle w:val="Endofdocument-Annex"/>
        <w:sectPr w:rsidR="00586632" w:rsidSect="00586632">
          <w:headerReference w:type="default" r:id="rId9"/>
          <w:endnotePr>
            <w:numFmt w:val="decimal"/>
          </w:endnotePr>
          <w:pgSz w:w="11907" w:h="16840" w:code="9"/>
          <w:pgMar w:top="567" w:right="1134" w:bottom="1418" w:left="1418" w:header="510" w:footer="1021" w:gutter="0"/>
          <w:pgNumType w:start="1"/>
          <w:cols w:space="720"/>
          <w:titlePg/>
          <w:docGrid w:linePitch="299"/>
        </w:sectPr>
      </w:pPr>
      <w:r>
        <w:t>[Annex follows</w:t>
      </w:r>
      <w:r w:rsidR="003C486F">
        <w:t>]</w:t>
      </w:r>
    </w:p>
    <w:p w14:paraId="02F2394D" w14:textId="77777777" w:rsidR="006B2BD7" w:rsidRDefault="006B2BD7" w:rsidP="003C486F">
      <w:pPr>
        <w:jc w:val="center"/>
      </w:pPr>
    </w:p>
    <w:p w14:paraId="37DEF036" w14:textId="77777777" w:rsidR="006B2BD7" w:rsidRDefault="006B2BD7" w:rsidP="003C486F">
      <w:pPr>
        <w:jc w:val="center"/>
      </w:pPr>
    </w:p>
    <w:p w14:paraId="3A7A00AA" w14:textId="218CF6A6" w:rsidR="003C486F" w:rsidRDefault="003C486F" w:rsidP="003C486F">
      <w:pPr>
        <w:jc w:val="center"/>
      </w:pPr>
      <w:r>
        <w:t>PROPOSED AMENDMENTS TO THE PCT REGULATIONS</w:t>
      </w:r>
      <w:r w:rsidR="00F86A87">
        <w:rPr>
          <w:rStyle w:val="FootnoteReference"/>
        </w:rPr>
        <w:footnoteReference w:id="2"/>
      </w:r>
    </w:p>
    <w:p w14:paraId="59783AC1" w14:textId="7432E4F5" w:rsidR="00C62022" w:rsidRDefault="00C62022" w:rsidP="003C486F">
      <w:pPr>
        <w:pStyle w:val="Endofdocument-Annex"/>
        <w:ind w:left="0"/>
      </w:pPr>
    </w:p>
    <w:p w14:paraId="415D0FEB" w14:textId="612B132B" w:rsidR="00C56328" w:rsidRDefault="000A2AD1">
      <w:pPr>
        <w:pStyle w:val="TOC1"/>
        <w:tabs>
          <w:tab w:val="right" w:leader="dot" w:pos="9345"/>
        </w:tabs>
        <w:rPr>
          <w:rFonts w:asciiTheme="minorHAnsi" w:eastAsiaTheme="minorEastAsia" w:hAnsiTheme="minorHAnsi" w:cstheme="minorBidi"/>
          <w:noProof/>
          <w:kern w:val="2"/>
          <w:sz w:val="24"/>
          <w:szCs w:val="24"/>
          <w:lang w:val="en-GB"/>
          <w14:ligatures w14:val="standardContextual"/>
        </w:rPr>
      </w:pPr>
      <w:r>
        <w:fldChar w:fldCharType="begin"/>
      </w:r>
      <w:r>
        <w:instrText xml:space="preserve"> TOC \h \z \t "Leg SubRule #,2,Leg # Title,1" </w:instrText>
      </w:r>
      <w:r>
        <w:fldChar w:fldCharType="separate"/>
      </w:r>
      <w:hyperlink w:anchor="_Toc217058215" w:history="1">
        <w:r w:rsidR="00C56328" w:rsidRPr="00587759">
          <w:rPr>
            <w:rStyle w:val="Hyperlink"/>
            <w:noProof/>
          </w:rPr>
          <w:t>Rule 92  Correspondence</w:t>
        </w:r>
        <w:r w:rsidR="00C56328">
          <w:rPr>
            <w:noProof/>
            <w:webHidden/>
          </w:rPr>
          <w:tab/>
        </w:r>
        <w:r w:rsidR="00C56328">
          <w:rPr>
            <w:noProof/>
            <w:webHidden/>
          </w:rPr>
          <w:fldChar w:fldCharType="begin"/>
        </w:r>
        <w:r w:rsidR="00C56328">
          <w:rPr>
            <w:noProof/>
            <w:webHidden/>
          </w:rPr>
          <w:instrText xml:space="preserve"> PAGEREF _Toc217058215 \h </w:instrText>
        </w:r>
        <w:r w:rsidR="00C56328">
          <w:rPr>
            <w:noProof/>
            <w:webHidden/>
          </w:rPr>
        </w:r>
        <w:r w:rsidR="00C56328">
          <w:rPr>
            <w:noProof/>
            <w:webHidden/>
          </w:rPr>
          <w:fldChar w:fldCharType="separate"/>
        </w:r>
        <w:r w:rsidR="00262EA3">
          <w:rPr>
            <w:noProof/>
            <w:webHidden/>
          </w:rPr>
          <w:t>2</w:t>
        </w:r>
        <w:r w:rsidR="00C56328">
          <w:rPr>
            <w:noProof/>
            <w:webHidden/>
          </w:rPr>
          <w:fldChar w:fldCharType="end"/>
        </w:r>
      </w:hyperlink>
    </w:p>
    <w:p w14:paraId="2A388ABB" w14:textId="4D9F7833" w:rsidR="00C56328" w:rsidRDefault="00C56328">
      <w:pPr>
        <w:pStyle w:val="TOC2"/>
        <w:tabs>
          <w:tab w:val="right" w:leader="dot" w:pos="9345"/>
        </w:tabs>
        <w:rPr>
          <w:rFonts w:asciiTheme="minorHAnsi" w:eastAsiaTheme="minorEastAsia" w:hAnsiTheme="minorHAnsi" w:cstheme="minorBidi"/>
          <w:noProof/>
          <w:kern w:val="2"/>
          <w:sz w:val="24"/>
          <w:szCs w:val="24"/>
          <w:lang w:val="en-GB"/>
          <w14:ligatures w14:val="standardContextual"/>
        </w:rPr>
      </w:pPr>
      <w:hyperlink w:anchor="_Toc217058216" w:history="1">
        <w:r w:rsidRPr="00587759">
          <w:rPr>
            <w:rStyle w:val="Hyperlink"/>
            <w:noProof/>
          </w:rPr>
          <w:t xml:space="preserve">92.1   [No change]  </w:t>
        </w:r>
        <w:r w:rsidRPr="00587759">
          <w:rPr>
            <w:rStyle w:val="Hyperlink"/>
            <w:i/>
            <w:noProof/>
          </w:rPr>
          <w:t>Need for Letter and for Signature</w:t>
        </w:r>
        <w:r>
          <w:rPr>
            <w:noProof/>
            <w:webHidden/>
          </w:rPr>
          <w:tab/>
        </w:r>
        <w:r>
          <w:rPr>
            <w:noProof/>
            <w:webHidden/>
          </w:rPr>
          <w:fldChar w:fldCharType="begin"/>
        </w:r>
        <w:r>
          <w:rPr>
            <w:noProof/>
            <w:webHidden/>
          </w:rPr>
          <w:instrText xml:space="preserve"> PAGEREF _Toc217058216 \h </w:instrText>
        </w:r>
        <w:r>
          <w:rPr>
            <w:noProof/>
            <w:webHidden/>
          </w:rPr>
        </w:r>
        <w:r>
          <w:rPr>
            <w:noProof/>
            <w:webHidden/>
          </w:rPr>
          <w:fldChar w:fldCharType="separate"/>
        </w:r>
        <w:r w:rsidR="00262EA3">
          <w:rPr>
            <w:noProof/>
            <w:webHidden/>
          </w:rPr>
          <w:t>2</w:t>
        </w:r>
        <w:r>
          <w:rPr>
            <w:noProof/>
            <w:webHidden/>
          </w:rPr>
          <w:fldChar w:fldCharType="end"/>
        </w:r>
      </w:hyperlink>
    </w:p>
    <w:p w14:paraId="562EF209" w14:textId="5332F860" w:rsidR="00C56328" w:rsidRDefault="00C56328">
      <w:pPr>
        <w:pStyle w:val="TOC2"/>
        <w:tabs>
          <w:tab w:val="right" w:leader="dot" w:pos="9345"/>
        </w:tabs>
        <w:rPr>
          <w:rFonts w:asciiTheme="minorHAnsi" w:eastAsiaTheme="minorEastAsia" w:hAnsiTheme="minorHAnsi" w:cstheme="minorBidi"/>
          <w:noProof/>
          <w:kern w:val="2"/>
          <w:sz w:val="24"/>
          <w:szCs w:val="24"/>
          <w:lang w:val="en-GB"/>
          <w14:ligatures w14:val="standardContextual"/>
        </w:rPr>
      </w:pPr>
      <w:hyperlink w:anchor="_Toc217058217" w:history="1">
        <w:r w:rsidRPr="00587759">
          <w:rPr>
            <w:rStyle w:val="Hyperlink"/>
            <w:noProof/>
          </w:rPr>
          <w:t xml:space="preserve">92.2   [No change]  </w:t>
        </w:r>
        <w:r w:rsidRPr="00587759">
          <w:rPr>
            <w:rStyle w:val="Hyperlink"/>
            <w:i/>
            <w:noProof/>
          </w:rPr>
          <w:t>Languages</w:t>
        </w:r>
        <w:r>
          <w:rPr>
            <w:noProof/>
            <w:webHidden/>
          </w:rPr>
          <w:tab/>
        </w:r>
        <w:r>
          <w:rPr>
            <w:noProof/>
            <w:webHidden/>
          </w:rPr>
          <w:fldChar w:fldCharType="begin"/>
        </w:r>
        <w:r>
          <w:rPr>
            <w:noProof/>
            <w:webHidden/>
          </w:rPr>
          <w:instrText xml:space="preserve"> PAGEREF _Toc217058217 \h </w:instrText>
        </w:r>
        <w:r>
          <w:rPr>
            <w:noProof/>
            <w:webHidden/>
          </w:rPr>
        </w:r>
        <w:r>
          <w:rPr>
            <w:noProof/>
            <w:webHidden/>
          </w:rPr>
          <w:fldChar w:fldCharType="separate"/>
        </w:r>
        <w:r w:rsidR="00262EA3">
          <w:rPr>
            <w:noProof/>
            <w:webHidden/>
          </w:rPr>
          <w:t>2</w:t>
        </w:r>
        <w:r>
          <w:rPr>
            <w:noProof/>
            <w:webHidden/>
          </w:rPr>
          <w:fldChar w:fldCharType="end"/>
        </w:r>
      </w:hyperlink>
    </w:p>
    <w:p w14:paraId="620835C2" w14:textId="02C5CFEF" w:rsidR="00C56328" w:rsidRDefault="00C56328">
      <w:pPr>
        <w:pStyle w:val="TOC2"/>
        <w:tabs>
          <w:tab w:val="right" w:leader="dot" w:pos="9345"/>
        </w:tabs>
        <w:rPr>
          <w:rFonts w:asciiTheme="minorHAnsi" w:eastAsiaTheme="minorEastAsia" w:hAnsiTheme="minorHAnsi" w:cstheme="minorBidi"/>
          <w:noProof/>
          <w:kern w:val="2"/>
          <w:sz w:val="24"/>
          <w:szCs w:val="24"/>
          <w:lang w:val="en-GB"/>
          <w14:ligatures w14:val="standardContextual"/>
        </w:rPr>
      </w:pPr>
      <w:hyperlink w:anchor="_Toc217058218" w:history="1">
        <w:r w:rsidRPr="00587759">
          <w:rPr>
            <w:rStyle w:val="Hyperlink"/>
            <w:noProof/>
          </w:rPr>
          <w:t xml:space="preserve">92.3   [No change]  </w:t>
        </w:r>
        <w:r w:rsidRPr="00587759">
          <w:rPr>
            <w:rStyle w:val="Hyperlink"/>
            <w:i/>
            <w:noProof/>
          </w:rPr>
          <w:t>Mailings by National Offices and Intergovernmental Organizations</w:t>
        </w:r>
        <w:r>
          <w:rPr>
            <w:noProof/>
            <w:webHidden/>
          </w:rPr>
          <w:tab/>
        </w:r>
        <w:r>
          <w:rPr>
            <w:noProof/>
            <w:webHidden/>
          </w:rPr>
          <w:fldChar w:fldCharType="begin"/>
        </w:r>
        <w:r>
          <w:rPr>
            <w:noProof/>
            <w:webHidden/>
          </w:rPr>
          <w:instrText xml:space="preserve"> PAGEREF _Toc217058218 \h </w:instrText>
        </w:r>
        <w:r>
          <w:rPr>
            <w:noProof/>
            <w:webHidden/>
          </w:rPr>
        </w:r>
        <w:r>
          <w:rPr>
            <w:noProof/>
            <w:webHidden/>
          </w:rPr>
          <w:fldChar w:fldCharType="separate"/>
        </w:r>
        <w:r w:rsidR="00262EA3">
          <w:rPr>
            <w:noProof/>
            <w:webHidden/>
          </w:rPr>
          <w:t>2</w:t>
        </w:r>
        <w:r>
          <w:rPr>
            <w:noProof/>
            <w:webHidden/>
          </w:rPr>
          <w:fldChar w:fldCharType="end"/>
        </w:r>
      </w:hyperlink>
    </w:p>
    <w:p w14:paraId="7003424B" w14:textId="2408CF3E" w:rsidR="00C56328" w:rsidRDefault="00C56328">
      <w:pPr>
        <w:pStyle w:val="TOC2"/>
        <w:tabs>
          <w:tab w:val="right" w:leader="dot" w:pos="9345"/>
        </w:tabs>
        <w:rPr>
          <w:rFonts w:asciiTheme="minorHAnsi" w:eastAsiaTheme="minorEastAsia" w:hAnsiTheme="minorHAnsi" w:cstheme="minorBidi"/>
          <w:noProof/>
          <w:kern w:val="2"/>
          <w:sz w:val="24"/>
          <w:szCs w:val="24"/>
          <w:lang w:val="en-GB"/>
          <w14:ligatures w14:val="standardContextual"/>
        </w:rPr>
      </w:pPr>
      <w:hyperlink w:anchor="_Toc217058219" w:history="1">
        <w:r w:rsidRPr="00587759">
          <w:rPr>
            <w:rStyle w:val="Hyperlink"/>
            <w:noProof/>
          </w:rPr>
          <w:t xml:space="preserve">92.4   [No change]  </w:t>
        </w:r>
        <w:r w:rsidRPr="00587759">
          <w:rPr>
            <w:rStyle w:val="Hyperlink"/>
            <w:i/>
            <w:noProof/>
          </w:rPr>
          <w:t>Use of Telegraph, Teleprinter, Facsimile Machine, Etc.</w:t>
        </w:r>
        <w:r>
          <w:rPr>
            <w:noProof/>
            <w:webHidden/>
          </w:rPr>
          <w:tab/>
        </w:r>
        <w:r>
          <w:rPr>
            <w:noProof/>
            <w:webHidden/>
          </w:rPr>
          <w:fldChar w:fldCharType="begin"/>
        </w:r>
        <w:r>
          <w:rPr>
            <w:noProof/>
            <w:webHidden/>
          </w:rPr>
          <w:instrText xml:space="preserve"> PAGEREF _Toc217058219 \h </w:instrText>
        </w:r>
        <w:r>
          <w:rPr>
            <w:noProof/>
            <w:webHidden/>
          </w:rPr>
        </w:r>
        <w:r>
          <w:rPr>
            <w:noProof/>
            <w:webHidden/>
          </w:rPr>
          <w:fldChar w:fldCharType="separate"/>
        </w:r>
        <w:r w:rsidR="00262EA3">
          <w:rPr>
            <w:noProof/>
            <w:webHidden/>
          </w:rPr>
          <w:t>2</w:t>
        </w:r>
        <w:r>
          <w:rPr>
            <w:noProof/>
            <w:webHidden/>
          </w:rPr>
          <w:fldChar w:fldCharType="end"/>
        </w:r>
      </w:hyperlink>
    </w:p>
    <w:p w14:paraId="481329E3" w14:textId="39ADEB42" w:rsidR="00C56328" w:rsidRDefault="00C56328">
      <w:pPr>
        <w:pStyle w:val="TOC2"/>
        <w:tabs>
          <w:tab w:val="right" w:leader="dot" w:pos="9345"/>
        </w:tabs>
        <w:rPr>
          <w:rFonts w:asciiTheme="minorHAnsi" w:eastAsiaTheme="minorEastAsia" w:hAnsiTheme="minorHAnsi" w:cstheme="minorBidi"/>
          <w:noProof/>
          <w:kern w:val="2"/>
          <w:sz w:val="24"/>
          <w:szCs w:val="24"/>
          <w:lang w:val="en-GB"/>
          <w14:ligatures w14:val="standardContextual"/>
        </w:rPr>
      </w:pPr>
      <w:hyperlink w:anchor="_Toc217058220" w:history="1">
        <w:r w:rsidRPr="00587759">
          <w:rPr>
            <w:rStyle w:val="Hyperlink"/>
            <w:noProof/>
          </w:rPr>
          <w:t>92.5   </w:t>
        </w:r>
        <w:r w:rsidRPr="00587759">
          <w:rPr>
            <w:rStyle w:val="Hyperlink"/>
            <w:i/>
            <w:iCs/>
            <w:noProof/>
          </w:rPr>
          <w:t>Transmittal of Correspondence to the Competent Authority</w:t>
        </w:r>
        <w:r>
          <w:rPr>
            <w:noProof/>
            <w:webHidden/>
          </w:rPr>
          <w:tab/>
        </w:r>
        <w:r>
          <w:rPr>
            <w:noProof/>
            <w:webHidden/>
          </w:rPr>
          <w:fldChar w:fldCharType="begin"/>
        </w:r>
        <w:r>
          <w:rPr>
            <w:noProof/>
            <w:webHidden/>
          </w:rPr>
          <w:instrText xml:space="preserve"> PAGEREF _Toc217058220 \h </w:instrText>
        </w:r>
        <w:r>
          <w:rPr>
            <w:noProof/>
            <w:webHidden/>
          </w:rPr>
        </w:r>
        <w:r>
          <w:rPr>
            <w:noProof/>
            <w:webHidden/>
          </w:rPr>
          <w:fldChar w:fldCharType="separate"/>
        </w:r>
        <w:r w:rsidR="00262EA3">
          <w:rPr>
            <w:noProof/>
            <w:webHidden/>
          </w:rPr>
          <w:t>2</w:t>
        </w:r>
        <w:r>
          <w:rPr>
            <w:noProof/>
            <w:webHidden/>
          </w:rPr>
          <w:fldChar w:fldCharType="end"/>
        </w:r>
      </w:hyperlink>
    </w:p>
    <w:p w14:paraId="67286F8F" w14:textId="223AC002" w:rsidR="000A2AD1" w:rsidRDefault="000A2AD1" w:rsidP="000A2AD1">
      <w:r>
        <w:fldChar w:fldCharType="end"/>
      </w:r>
    </w:p>
    <w:p w14:paraId="054497C0" w14:textId="388D1587" w:rsidR="004B28C6" w:rsidRDefault="004B28C6" w:rsidP="00A86FE8">
      <w:pPr>
        <w:pStyle w:val="ONUME"/>
        <w:numPr>
          <w:ilvl w:val="0"/>
          <w:numId w:val="0"/>
        </w:numPr>
      </w:pPr>
    </w:p>
    <w:p w14:paraId="7513FD13" w14:textId="77777777" w:rsidR="004B28C6" w:rsidRDefault="004B28C6" w:rsidP="004B28C6"/>
    <w:p w14:paraId="380B1F98" w14:textId="77777777" w:rsidR="004B28C6" w:rsidRDefault="004B28C6" w:rsidP="004B28C6"/>
    <w:p w14:paraId="15E72342" w14:textId="77777777" w:rsidR="004B28C6" w:rsidRDefault="004B28C6" w:rsidP="004B28C6"/>
    <w:p w14:paraId="678C99B8" w14:textId="36E4FE48" w:rsidR="004B28C6" w:rsidRPr="003C486F" w:rsidRDefault="004B28C6" w:rsidP="003C486F">
      <w:pPr>
        <w:pStyle w:val="LegTitle"/>
      </w:pPr>
      <w:bookmarkStart w:id="6" w:name="_Toc217058215"/>
      <w:r w:rsidRPr="003C486F">
        <w:lastRenderedPageBreak/>
        <w:t xml:space="preserve">Rule 92 </w:t>
      </w:r>
      <w:r w:rsidRPr="003C486F">
        <w:br/>
        <w:t>Correspondence</w:t>
      </w:r>
      <w:bookmarkEnd w:id="6"/>
    </w:p>
    <w:p w14:paraId="17F2208E" w14:textId="61FC6EB6" w:rsidR="004B28C6" w:rsidRDefault="004B28C6" w:rsidP="004B28C6">
      <w:pPr>
        <w:pStyle w:val="LegSubRule"/>
        <w:keepLines w:val="0"/>
        <w:outlineLvl w:val="0"/>
      </w:pPr>
      <w:bookmarkStart w:id="7" w:name="_Toc217058216"/>
      <w:r>
        <w:t>92.1   </w:t>
      </w:r>
      <w:r w:rsidR="00EB4CC5">
        <w:t xml:space="preserve">[No change]  </w:t>
      </w:r>
      <w:r w:rsidRPr="00C00524">
        <w:rPr>
          <w:i/>
        </w:rPr>
        <w:t>Need for Letter and for Signature</w:t>
      </w:r>
      <w:bookmarkEnd w:id="7"/>
    </w:p>
    <w:p w14:paraId="2BCFB399" w14:textId="4CF7DBF7" w:rsidR="004B28C6" w:rsidRDefault="004B28C6" w:rsidP="004B28C6">
      <w:pPr>
        <w:pStyle w:val="LegSubRule"/>
      </w:pPr>
      <w:bookmarkStart w:id="8" w:name="_Toc217058217"/>
      <w:r>
        <w:t>92.2   </w:t>
      </w:r>
      <w:r w:rsidR="00EB4CC5">
        <w:t xml:space="preserve">[No change]  </w:t>
      </w:r>
      <w:r w:rsidRPr="00C00524">
        <w:rPr>
          <w:i/>
        </w:rPr>
        <w:t>Languages</w:t>
      </w:r>
      <w:bookmarkEnd w:id="8"/>
    </w:p>
    <w:p w14:paraId="160A5726" w14:textId="3492DA01" w:rsidR="004B28C6" w:rsidRDefault="004B28C6" w:rsidP="004B28C6">
      <w:pPr>
        <w:pStyle w:val="LegSubRule"/>
        <w:outlineLvl w:val="0"/>
      </w:pPr>
      <w:bookmarkStart w:id="9" w:name="_Toc217058218"/>
      <w:r>
        <w:t>92.3   </w:t>
      </w:r>
      <w:r w:rsidR="00EB4CC5">
        <w:t xml:space="preserve">[No change]  </w:t>
      </w:r>
      <w:r w:rsidRPr="00C00524">
        <w:rPr>
          <w:i/>
        </w:rPr>
        <w:t>Mailings by National Offices and Intergovernmental Organizations</w:t>
      </w:r>
      <w:bookmarkEnd w:id="9"/>
    </w:p>
    <w:p w14:paraId="04AD80E0" w14:textId="5B11928F" w:rsidR="004B28C6" w:rsidRDefault="004B28C6" w:rsidP="004B28C6">
      <w:pPr>
        <w:pStyle w:val="LegSubRule"/>
        <w:outlineLvl w:val="0"/>
      </w:pPr>
      <w:bookmarkStart w:id="10" w:name="_Toc217058219"/>
      <w:r>
        <w:t>92.4   </w:t>
      </w:r>
      <w:r w:rsidR="00EB4CC5">
        <w:t xml:space="preserve">[No change]  </w:t>
      </w:r>
      <w:r w:rsidRPr="00C00524">
        <w:rPr>
          <w:i/>
        </w:rPr>
        <w:t>Use of Telegraph, Teleprinter, Facsimile Machine, Etc.</w:t>
      </w:r>
      <w:bookmarkEnd w:id="10"/>
    </w:p>
    <w:p w14:paraId="1B9E33F5" w14:textId="7519827B" w:rsidR="00EB4CC5" w:rsidRPr="00CF1B22" w:rsidRDefault="00C62022" w:rsidP="00EB4CC5">
      <w:pPr>
        <w:pStyle w:val="LegSubRule"/>
        <w:tabs>
          <w:tab w:val="clear" w:pos="510"/>
        </w:tabs>
        <w:ind w:left="709" w:hanging="709"/>
        <w:outlineLvl w:val="0"/>
        <w:rPr>
          <w:rStyle w:val="LegAddedText"/>
        </w:rPr>
      </w:pPr>
      <w:bookmarkStart w:id="11" w:name="_Toc217058220"/>
      <w:bookmarkStart w:id="12" w:name="_Hlk216960089"/>
      <w:r w:rsidRPr="00CF1B22">
        <w:rPr>
          <w:rStyle w:val="LegAddedText"/>
        </w:rPr>
        <w:t>92.5</w:t>
      </w:r>
      <w:r w:rsidR="00EB4CC5" w:rsidRPr="00CF1B22">
        <w:rPr>
          <w:rStyle w:val="LegAddedText"/>
        </w:rPr>
        <w:t>   </w:t>
      </w:r>
      <w:r w:rsidR="00EB4CC5" w:rsidRPr="00CF1B22">
        <w:rPr>
          <w:rStyle w:val="LegAddedText"/>
          <w:i/>
          <w:iCs/>
        </w:rPr>
        <w:t>Transmittal of Correspondence to the Competent Authority</w:t>
      </w:r>
      <w:bookmarkEnd w:id="11"/>
    </w:p>
    <w:p w14:paraId="1F3C04AA" w14:textId="50859738" w:rsidR="00EB4CC5" w:rsidRPr="00CF1B22" w:rsidRDefault="00EB4CC5" w:rsidP="00EB4CC5">
      <w:pPr>
        <w:pStyle w:val="Lega"/>
        <w:rPr>
          <w:rStyle w:val="LegAddedText"/>
        </w:rPr>
      </w:pPr>
      <w:r w:rsidRPr="00CF1B22">
        <w:tab/>
      </w:r>
      <w:r w:rsidRPr="00CF1B22">
        <w:rPr>
          <w:rStyle w:val="LegAddedText"/>
        </w:rPr>
        <w:t xml:space="preserve">(a)  If correspondence is submitted to the International Bureau for which a national Office is competent to act in its role as receiving Office, International Searching Authority, Authority specified for supplementary search, or International Preliminary Examining Authority, the International Bureau shall, subject to paragraph (b), mark the date of receipt on the correspondence and transmit it promptly to the competent </w:t>
      </w:r>
      <w:r w:rsidR="00060D23">
        <w:rPr>
          <w:rStyle w:val="LegAddedText"/>
        </w:rPr>
        <w:t>a</w:t>
      </w:r>
      <w:r w:rsidRPr="00CF1B22">
        <w:rPr>
          <w:rStyle w:val="LegAddedText"/>
        </w:rPr>
        <w:t>uthority.</w:t>
      </w:r>
    </w:p>
    <w:p w14:paraId="5C8BAC3F" w14:textId="5D11C5D2" w:rsidR="00EB4CC5" w:rsidRPr="00CF1B22" w:rsidRDefault="00EB4CC5" w:rsidP="00EB4CC5">
      <w:pPr>
        <w:pStyle w:val="Lega"/>
        <w:rPr>
          <w:rStyle w:val="LegAddedText"/>
        </w:rPr>
      </w:pPr>
      <w:r w:rsidRPr="00CF1B22">
        <w:tab/>
      </w:r>
      <w:r w:rsidRPr="00CF1B22">
        <w:rPr>
          <w:rStyle w:val="LegAddedText"/>
        </w:rPr>
        <w:t xml:space="preserve">(b)  Where </w:t>
      </w:r>
      <w:r w:rsidR="00C62022" w:rsidRPr="00CF1B22">
        <w:rPr>
          <w:rStyle w:val="LegAddedText"/>
        </w:rPr>
        <w:t xml:space="preserve">more than one Office or </w:t>
      </w:r>
      <w:r w:rsidRPr="00CF1B22">
        <w:rPr>
          <w:rStyle w:val="LegAddedText"/>
        </w:rPr>
        <w:t xml:space="preserve">the International Bureau is competent </w:t>
      </w:r>
      <w:r w:rsidR="009C45B7">
        <w:rPr>
          <w:rStyle w:val="LegAddedText"/>
        </w:rPr>
        <w:t>to act</w:t>
      </w:r>
      <w:r w:rsidRPr="00CF1B22">
        <w:rPr>
          <w:rStyle w:val="LegAddedText"/>
        </w:rPr>
        <w:t>,</w:t>
      </w:r>
      <w:r w:rsidR="00C62022" w:rsidRPr="00CF1B22">
        <w:rPr>
          <w:rStyle w:val="LegAddedText"/>
        </w:rPr>
        <w:t xml:space="preserve"> the International Bureau shall decide to which Office the correspondence shall be </w:t>
      </w:r>
      <w:r w:rsidR="00060D23">
        <w:rPr>
          <w:rStyle w:val="LegAddedText"/>
        </w:rPr>
        <w:t xml:space="preserve">transmitted </w:t>
      </w:r>
      <w:r w:rsidR="00C62022" w:rsidRPr="00CF1B22">
        <w:rPr>
          <w:rStyle w:val="LegAddedText"/>
        </w:rPr>
        <w:t xml:space="preserve">or, where appropriate, </w:t>
      </w:r>
      <w:r w:rsidR="005608D6">
        <w:rPr>
          <w:rStyle w:val="LegAddedText"/>
        </w:rPr>
        <w:t>act</w:t>
      </w:r>
      <w:r w:rsidR="00C62022" w:rsidRPr="00CF1B22">
        <w:rPr>
          <w:rStyle w:val="LegAddedText"/>
        </w:rPr>
        <w:t xml:space="preserve"> itself</w:t>
      </w:r>
      <w:r w:rsidRPr="00CF1B22">
        <w:rPr>
          <w:rStyle w:val="LegAddedText"/>
        </w:rPr>
        <w:t>.</w:t>
      </w:r>
    </w:p>
    <w:p w14:paraId="7A88B4CC" w14:textId="63494D04" w:rsidR="00EB4CC5" w:rsidRPr="00CF1B22" w:rsidRDefault="00EB4CC5" w:rsidP="00EB4CC5">
      <w:pPr>
        <w:pStyle w:val="Lega"/>
        <w:rPr>
          <w:rStyle w:val="LegAddedText"/>
        </w:rPr>
      </w:pPr>
      <w:r w:rsidRPr="00CF1B22">
        <w:tab/>
      </w:r>
      <w:r w:rsidRPr="00CF1B22">
        <w:rPr>
          <w:rStyle w:val="LegAddedText"/>
        </w:rPr>
        <w:t>(</w:t>
      </w:r>
      <w:r w:rsidR="00C62022" w:rsidRPr="00CF1B22">
        <w:rPr>
          <w:rStyle w:val="LegAddedText"/>
        </w:rPr>
        <w:t>c</w:t>
      </w:r>
      <w:r w:rsidRPr="00CF1B22">
        <w:rPr>
          <w:rStyle w:val="LegAddedText"/>
        </w:rPr>
        <w:t xml:space="preserve">)  Where the </w:t>
      </w:r>
      <w:r w:rsidR="00C62022" w:rsidRPr="00CF1B22">
        <w:rPr>
          <w:rStyle w:val="LegAddedText"/>
        </w:rPr>
        <w:t xml:space="preserve">correspondence </w:t>
      </w:r>
      <w:r w:rsidRPr="00CF1B22">
        <w:rPr>
          <w:rStyle w:val="LegAddedText"/>
        </w:rPr>
        <w:t xml:space="preserve">is transmitted to a competent </w:t>
      </w:r>
      <w:r w:rsidR="00C62022" w:rsidRPr="00CF1B22">
        <w:rPr>
          <w:rStyle w:val="LegAddedText"/>
        </w:rPr>
        <w:t xml:space="preserve">authority </w:t>
      </w:r>
      <w:r w:rsidRPr="00CF1B22">
        <w:rPr>
          <w:rStyle w:val="LegAddedText"/>
        </w:rPr>
        <w:t>under paragraph (</w:t>
      </w:r>
      <w:r w:rsidR="00C62022" w:rsidRPr="00CF1B22">
        <w:rPr>
          <w:rStyle w:val="LegAddedText"/>
        </w:rPr>
        <w:t>a</w:t>
      </w:r>
      <w:r w:rsidRPr="00CF1B22">
        <w:rPr>
          <w:rStyle w:val="LegAddedText"/>
        </w:rPr>
        <w:t xml:space="preserve">), it shall be considered to have been received on behalf of that </w:t>
      </w:r>
      <w:r w:rsidR="00C62022" w:rsidRPr="00CF1B22">
        <w:rPr>
          <w:rStyle w:val="LegAddedText"/>
        </w:rPr>
        <w:t>a</w:t>
      </w:r>
      <w:r w:rsidRPr="00CF1B22">
        <w:rPr>
          <w:rStyle w:val="LegAddedText"/>
        </w:rPr>
        <w:t xml:space="preserve">uthority on the date marked on it under paragraph (a) </w:t>
      </w:r>
      <w:r w:rsidR="00454BFC">
        <w:rPr>
          <w:rStyle w:val="LegAddedText"/>
        </w:rPr>
        <w:t xml:space="preserve">and the </w:t>
      </w:r>
      <w:r w:rsidR="00C62022" w:rsidRPr="00CF1B22">
        <w:rPr>
          <w:rStyle w:val="LegAddedText"/>
        </w:rPr>
        <w:t xml:space="preserve">correspondence </w:t>
      </w:r>
      <w:r w:rsidRPr="00CF1B22">
        <w:rPr>
          <w:rStyle w:val="LegAddedText"/>
        </w:rPr>
        <w:t xml:space="preserve">so transmitted shall be considered to have been received by </w:t>
      </w:r>
      <w:r w:rsidR="006B0548">
        <w:rPr>
          <w:rStyle w:val="LegAddedText"/>
        </w:rPr>
        <w:t>that</w:t>
      </w:r>
      <w:r w:rsidR="00C62022" w:rsidRPr="00CF1B22">
        <w:rPr>
          <w:rStyle w:val="LegAddedText"/>
        </w:rPr>
        <w:t xml:space="preserve"> authority </w:t>
      </w:r>
      <w:r w:rsidRPr="00CF1B22">
        <w:rPr>
          <w:rStyle w:val="LegAddedText"/>
        </w:rPr>
        <w:t>on that date.</w:t>
      </w:r>
    </w:p>
    <w:bookmarkEnd w:id="12"/>
    <w:p w14:paraId="270435B1" w14:textId="77777777" w:rsidR="004B28C6" w:rsidRDefault="004B28C6" w:rsidP="00C62022"/>
    <w:p w14:paraId="12B0A705" w14:textId="77777777" w:rsidR="00C62022" w:rsidRDefault="00C62022" w:rsidP="00C62022"/>
    <w:p w14:paraId="7C118842" w14:textId="6893C050" w:rsidR="00C62022" w:rsidRPr="00A86FE8" w:rsidRDefault="00C62022" w:rsidP="00C62022">
      <w:pPr>
        <w:pStyle w:val="Endofdocument-Annex"/>
      </w:pPr>
      <w:r>
        <w:t>[End of Annex and of document]</w:t>
      </w:r>
    </w:p>
    <w:sectPr w:rsidR="00C62022" w:rsidRPr="00A86FE8" w:rsidSect="0058663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24F8" w14:textId="77777777" w:rsidR="0062707F" w:rsidRDefault="0062707F">
      <w:r>
        <w:separator/>
      </w:r>
    </w:p>
  </w:endnote>
  <w:endnote w:type="continuationSeparator" w:id="0">
    <w:p w14:paraId="3124174E" w14:textId="77777777" w:rsidR="0062707F" w:rsidRDefault="0062707F" w:rsidP="003B38C1">
      <w:r>
        <w:separator/>
      </w:r>
    </w:p>
    <w:p w14:paraId="509EE566" w14:textId="77777777" w:rsidR="0062707F" w:rsidRPr="003B38C1" w:rsidRDefault="0062707F" w:rsidP="003B38C1">
      <w:pPr>
        <w:spacing w:after="60"/>
        <w:rPr>
          <w:sz w:val="17"/>
        </w:rPr>
      </w:pPr>
      <w:r>
        <w:rPr>
          <w:sz w:val="17"/>
        </w:rPr>
        <w:t>[Endnote continued from previous page]</w:t>
      </w:r>
    </w:p>
  </w:endnote>
  <w:endnote w:type="continuationNotice" w:id="1">
    <w:p w14:paraId="1A2EF3E1" w14:textId="77777777" w:rsidR="0062707F" w:rsidRPr="003B38C1" w:rsidRDefault="0062707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2E46" w14:textId="77777777" w:rsidR="0062707F" w:rsidRDefault="0062707F">
      <w:r>
        <w:separator/>
      </w:r>
    </w:p>
  </w:footnote>
  <w:footnote w:type="continuationSeparator" w:id="0">
    <w:p w14:paraId="58A51681" w14:textId="77777777" w:rsidR="0062707F" w:rsidRDefault="0062707F" w:rsidP="008B60B2">
      <w:r>
        <w:separator/>
      </w:r>
    </w:p>
    <w:p w14:paraId="505D25A9" w14:textId="77777777" w:rsidR="0062707F" w:rsidRPr="00ED77FB" w:rsidRDefault="0062707F" w:rsidP="008B60B2">
      <w:pPr>
        <w:spacing w:after="60"/>
        <w:rPr>
          <w:sz w:val="17"/>
          <w:szCs w:val="17"/>
        </w:rPr>
      </w:pPr>
      <w:r w:rsidRPr="00ED77FB">
        <w:rPr>
          <w:sz w:val="17"/>
          <w:szCs w:val="17"/>
        </w:rPr>
        <w:t>[Footnote continued from previous page]</w:t>
      </w:r>
    </w:p>
  </w:footnote>
  <w:footnote w:type="continuationNotice" w:id="1">
    <w:p w14:paraId="196EA87B" w14:textId="77777777" w:rsidR="0062707F" w:rsidRPr="00ED77FB" w:rsidRDefault="0062707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4F2A62C" w14:textId="49ABFB6B" w:rsidR="00F86A87" w:rsidRDefault="00F86A87">
      <w:pPr>
        <w:pStyle w:val="FootnoteText"/>
      </w:pPr>
      <w:r>
        <w:rPr>
          <w:rStyle w:val="FootnoteReference"/>
        </w:rPr>
        <w:footnoteRef/>
      </w:r>
      <w:r>
        <w:t xml:space="preserve"> Proposed additions are indicated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B44B" w14:textId="42526392" w:rsidR="00EC4E49" w:rsidRDefault="00735743" w:rsidP="00477D6B">
    <w:pPr>
      <w:jc w:val="right"/>
    </w:pPr>
    <w:bookmarkStart w:id="5" w:name="Code2"/>
    <w:bookmarkEnd w:id="5"/>
    <w:r>
      <w:t>PCT/WG/19/</w:t>
    </w:r>
    <w:r w:rsidR="00673E88">
      <w:t>8</w:t>
    </w:r>
  </w:p>
  <w:p w14:paraId="27955E8A" w14:textId="13EF558E"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8589DF0" w14:textId="77777777" w:rsidR="00EC4E49" w:rsidRDefault="00EC4E49" w:rsidP="00477D6B">
    <w:pPr>
      <w:jc w:val="right"/>
    </w:pPr>
  </w:p>
  <w:p w14:paraId="6AAFD6CD"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EC08" w14:textId="77777777" w:rsidR="00586632" w:rsidRDefault="00586632" w:rsidP="00477D6B">
    <w:pPr>
      <w:jc w:val="right"/>
    </w:pPr>
    <w:r>
      <w:t>PCT/WG/19/8</w:t>
    </w:r>
  </w:p>
  <w:p w14:paraId="1B98A096" w14:textId="6F710D01" w:rsidR="00586632" w:rsidRDefault="00586632"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49555E61" w14:textId="77777777" w:rsidR="00586632" w:rsidRDefault="00586632" w:rsidP="00477D6B">
    <w:pPr>
      <w:jc w:val="right"/>
    </w:pPr>
  </w:p>
  <w:p w14:paraId="6B127871" w14:textId="77777777" w:rsidR="00586632" w:rsidRDefault="0058663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660D" w14:textId="5BFEE72C" w:rsidR="00586632" w:rsidRDefault="00586632" w:rsidP="00586632">
    <w:pPr>
      <w:pStyle w:val="Header"/>
      <w:jc w:val="right"/>
    </w:pPr>
    <w:r>
      <w:t>PCT/WG/19/8</w:t>
    </w:r>
    <w:r>
      <w:br/>
      <w:t>ANNEX</w:t>
    </w:r>
  </w:p>
  <w:p w14:paraId="1AD5E3A0" w14:textId="77777777" w:rsidR="00586632" w:rsidRDefault="0058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43"/>
    <w:rsid w:val="00006D85"/>
    <w:rsid w:val="0001647B"/>
    <w:rsid w:val="00043CAA"/>
    <w:rsid w:val="00060D23"/>
    <w:rsid w:val="00075432"/>
    <w:rsid w:val="000804AF"/>
    <w:rsid w:val="000968ED"/>
    <w:rsid w:val="000A2AD1"/>
    <w:rsid w:val="000B3A46"/>
    <w:rsid w:val="000C42D8"/>
    <w:rsid w:val="000E2FA3"/>
    <w:rsid w:val="000E4398"/>
    <w:rsid w:val="000F5E56"/>
    <w:rsid w:val="001024FE"/>
    <w:rsid w:val="001362EE"/>
    <w:rsid w:val="00142868"/>
    <w:rsid w:val="00151DA9"/>
    <w:rsid w:val="00180046"/>
    <w:rsid w:val="001832A6"/>
    <w:rsid w:val="001A4C60"/>
    <w:rsid w:val="001A58E2"/>
    <w:rsid w:val="001B5E1F"/>
    <w:rsid w:val="001C6808"/>
    <w:rsid w:val="001D2815"/>
    <w:rsid w:val="00203A42"/>
    <w:rsid w:val="002121FA"/>
    <w:rsid w:val="0022772B"/>
    <w:rsid w:val="00231742"/>
    <w:rsid w:val="00262EA3"/>
    <w:rsid w:val="002634C4"/>
    <w:rsid w:val="0026365E"/>
    <w:rsid w:val="002707DC"/>
    <w:rsid w:val="00274961"/>
    <w:rsid w:val="002867B5"/>
    <w:rsid w:val="002928D3"/>
    <w:rsid w:val="00292FA2"/>
    <w:rsid w:val="0029703C"/>
    <w:rsid w:val="00297829"/>
    <w:rsid w:val="002E1C79"/>
    <w:rsid w:val="002E2D28"/>
    <w:rsid w:val="002F1FE6"/>
    <w:rsid w:val="002F4E68"/>
    <w:rsid w:val="002F7C4B"/>
    <w:rsid w:val="00312F7F"/>
    <w:rsid w:val="003167D0"/>
    <w:rsid w:val="00316FEB"/>
    <w:rsid w:val="003228B7"/>
    <w:rsid w:val="003431C9"/>
    <w:rsid w:val="003508A3"/>
    <w:rsid w:val="00350AA4"/>
    <w:rsid w:val="00352BD8"/>
    <w:rsid w:val="00353748"/>
    <w:rsid w:val="003648E2"/>
    <w:rsid w:val="003673CF"/>
    <w:rsid w:val="003845C1"/>
    <w:rsid w:val="003A6F89"/>
    <w:rsid w:val="003B38C1"/>
    <w:rsid w:val="003B73BB"/>
    <w:rsid w:val="003C486F"/>
    <w:rsid w:val="003D352A"/>
    <w:rsid w:val="003F4C9E"/>
    <w:rsid w:val="00401B7D"/>
    <w:rsid w:val="00423E3E"/>
    <w:rsid w:val="00427AF4"/>
    <w:rsid w:val="00432C32"/>
    <w:rsid w:val="0043717A"/>
    <w:rsid w:val="004400E2"/>
    <w:rsid w:val="004549C0"/>
    <w:rsid w:val="00454BFC"/>
    <w:rsid w:val="00461632"/>
    <w:rsid w:val="004647DA"/>
    <w:rsid w:val="00466BCD"/>
    <w:rsid w:val="00473A45"/>
    <w:rsid w:val="00474062"/>
    <w:rsid w:val="00477D6B"/>
    <w:rsid w:val="00496131"/>
    <w:rsid w:val="00497C1B"/>
    <w:rsid w:val="004B28C6"/>
    <w:rsid w:val="004C3C86"/>
    <w:rsid w:val="004D39C4"/>
    <w:rsid w:val="0053057A"/>
    <w:rsid w:val="0053353E"/>
    <w:rsid w:val="0054307D"/>
    <w:rsid w:val="00543927"/>
    <w:rsid w:val="005524A8"/>
    <w:rsid w:val="00555AFA"/>
    <w:rsid w:val="0056063F"/>
    <w:rsid w:val="005608D6"/>
    <w:rsid w:val="00560A29"/>
    <w:rsid w:val="00586632"/>
    <w:rsid w:val="00594D27"/>
    <w:rsid w:val="005E2009"/>
    <w:rsid w:val="005F5B67"/>
    <w:rsid w:val="00601760"/>
    <w:rsid w:val="00605827"/>
    <w:rsid w:val="006063AD"/>
    <w:rsid w:val="00616467"/>
    <w:rsid w:val="0062707F"/>
    <w:rsid w:val="0063348F"/>
    <w:rsid w:val="00646050"/>
    <w:rsid w:val="00653E77"/>
    <w:rsid w:val="0066150A"/>
    <w:rsid w:val="006713CA"/>
    <w:rsid w:val="0067207F"/>
    <w:rsid w:val="00673E88"/>
    <w:rsid w:val="00676C5C"/>
    <w:rsid w:val="00693824"/>
    <w:rsid w:val="00695558"/>
    <w:rsid w:val="0069555E"/>
    <w:rsid w:val="006A68F2"/>
    <w:rsid w:val="006B0548"/>
    <w:rsid w:val="006B2BD7"/>
    <w:rsid w:val="006C067D"/>
    <w:rsid w:val="006D5E0F"/>
    <w:rsid w:val="006F7742"/>
    <w:rsid w:val="007058FB"/>
    <w:rsid w:val="00735743"/>
    <w:rsid w:val="00744C06"/>
    <w:rsid w:val="00791C11"/>
    <w:rsid w:val="007A5E3A"/>
    <w:rsid w:val="007B2D57"/>
    <w:rsid w:val="007B6A58"/>
    <w:rsid w:val="007D1613"/>
    <w:rsid w:val="007F322D"/>
    <w:rsid w:val="007F6703"/>
    <w:rsid w:val="00822D88"/>
    <w:rsid w:val="008279FE"/>
    <w:rsid w:val="00844217"/>
    <w:rsid w:val="0086020A"/>
    <w:rsid w:val="00871ECE"/>
    <w:rsid w:val="00873EE5"/>
    <w:rsid w:val="00884E2E"/>
    <w:rsid w:val="008B2CC1"/>
    <w:rsid w:val="008B4B5E"/>
    <w:rsid w:val="008B60B2"/>
    <w:rsid w:val="008C3841"/>
    <w:rsid w:val="008D24AB"/>
    <w:rsid w:val="008E1CC4"/>
    <w:rsid w:val="00901280"/>
    <w:rsid w:val="00906B62"/>
    <w:rsid w:val="0090731E"/>
    <w:rsid w:val="00910B1B"/>
    <w:rsid w:val="00916EE2"/>
    <w:rsid w:val="009261B7"/>
    <w:rsid w:val="00927228"/>
    <w:rsid w:val="0093018D"/>
    <w:rsid w:val="009361E9"/>
    <w:rsid w:val="00946221"/>
    <w:rsid w:val="0095026E"/>
    <w:rsid w:val="00966A22"/>
    <w:rsid w:val="0096722F"/>
    <w:rsid w:val="00977732"/>
    <w:rsid w:val="00980843"/>
    <w:rsid w:val="00991683"/>
    <w:rsid w:val="009B3B75"/>
    <w:rsid w:val="009B5152"/>
    <w:rsid w:val="009C45B7"/>
    <w:rsid w:val="009D4132"/>
    <w:rsid w:val="009E2791"/>
    <w:rsid w:val="009E3F6F"/>
    <w:rsid w:val="009F3BF9"/>
    <w:rsid w:val="009F499F"/>
    <w:rsid w:val="009F72BF"/>
    <w:rsid w:val="00A04488"/>
    <w:rsid w:val="00A172BD"/>
    <w:rsid w:val="00A2007E"/>
    <w:rsid w:val="00A26A28"/>
    <w:rsid w:val="00A42DAF"/>
    <w:rsid w:val="00A4469C"/>
    <w:rsid w:val="00A44B75"/>
    <w:rsid w:val="00A45BD8"/>
    <w:rsid w:val="00A72606"/>
    <w:rsid w:val="00A778BF"/>
    <w:rsid w:val="00A82C27"/>
    <w:rsid w:val="00A85B8E"/>
    <w:rsid w:val="00A86FE8"/>
    <w:rsid w:val="00A91356"/>
    <w:rsid w:val="00AA3BD3"/>
    <w:rsid w:val="00AB37CF"/>
    <w:rsid w:val="00AB677A"/>
    <w:rsid w:val="00AC205C"/>
    <w:rsid w:val="00AE145C"/>
    <w:rsid w:val="00AF5C73"/>
    <w:rsid w:val="00AF5E28"/>
    <w:rsid w:val="00B00D9B"/>
    <w:rsid w:val="00B05A69"/>
    <w:rsid w:val="00B1010B"/>
    <w:rsid w:val="00B24860"/>
    <w:rsid w:val="00B3097D"/>
    <w:rsid w:val="00B36CA2"/>
    <w:rsid w:val="00B40598"/>
    <w:rsid w:val="00B50B99"/>
    <w:rsid w:val="00B62CD9"/>
    <w:rsid w:val="00B83C7C"/>
    <w:rsid w:val="00B83F57"/>
    <w:rsid w:val="00B84511"/>
    <w:rsid w:val="00B87C65"/>
    <w:rsid w:val="00B9734B"/>
    <w:rsid w:val="00BA1F43"/>
    <w:rsid w:val="00BD7374"/>
    <w:rsid w:val="00BF2415"/>
    <w:rsid w:val="00BF48DE"/>
    <w:rsid w:val="00C00276"/>
    <w:rsid w:val="00C065D0"/>
    <w:rsid w:val="00C11BFE"/>
    <w:rsid w:val="00C1222B"/>
    <w:rsid w:val="00C56328"/>
    <w:rsid w:val="00C606D4"/>
    <w:rsid w:val="00C62022"/>
    <w:rsid w:val="00C728A8"/>
    <w:rsid w:val="00C91AB4"/>
    <w:rsid w:val="00C94629"/>
    <w:rsid w:val="00CE1A44"/>
    <w:rsid w:val="00CE2F7F"/>
    <w:rsid w:val="00CE65D4"/>
    <w:rsid w:val="00CF1B22"/>
    <w:rsid w:val="00CF6E82"/>
    <w:rsid w:val="00D01567"/>
    <w:rsid w:val="00D03889"/>
    <w:rsid w:val="00D1659D"/>
    <w:rsid w:val="00D209BC"/>
    <w:rsid w:val="00D30EAA"/>
    <w:rsid w:val="00D45252"/>
    <w:rsid w:val="00D57567"/>
    <w:rsid w:val="00D61B72"/>
    <w:rsid w:val="00D71B4D"/>
    <w:rsid w:val="00D9254F"/>
    <w:rsid w:val="00D93D55"/>
    <w:rsid w:val="00DB20DE"/>
    <w:rsid w:val="00DD2AE8"/>
    <w:rsid w:val="00E070BF"/>
    <w:rsid w:val="00E161A2"/>
    <w:rsid w:val="00E334FD"/>
    <w:rsid w:val="00E335FE"/>
    <w:rsid w:val="00E457BD"/>
    <w:rsid w:val="00E47B2F"/>
    <w:rsid w:val="00E5021F"/>
    <w:rsid w:val="00E671A6"/>
    <w:rsid w:val="00E828CD"/>
    <w:rsid w:val="00E90B8B"/>
    <w:rsid w:val="00E95E89"/>
    <w:rsid w:val="00EA5EB7"/>
    <w:rsid w:val="00EB4CC5"/>
    <w:rsid w:val="00EC4E49"/>
    <w:rsid w:val="00ED64EE"/>
    <w:rsid w:val="00ED77FB"/>
    <w:rsid w:val="00EE7067"/>
    <w:rsid w:val="00EF3293"/>
    <w:rsid w:val="00EF3637"/>
    <w:rsid w:val="00EF623B"/>
    <w:rsid w:val="00F021A6"/>
    <w:rsid w:val="00F11D94"/>
    <w:rsid w:val="00F66152"/>
    <w:rsid w:val="00F77212"/>
    <w:rsid w:val="00F866B9"/>
    <w:rsid w:val="00F86A87"/>
    <w:rsid w:val="00F9200A"/>
    <w:rsid w:val="00F97443"/>
    <w:rsid w:val="00FA6C32"/>
    <w:rsid w:val="00FB1720"/>
    <w:rsid w:val="00FB3E54"/>
    <w:rsid w:val="00FD0D8F"/>
    <w:rsid w:val="00FF26C4"/>
    <w:rsid w:val="00FF6CE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76AE9"/>
  <w15:docId w15:val="{3A0A713C-74B2-4667-8AC0-4DE367D4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7A5E3A"/>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274961"/>
    <w:pPr>
      <w:autoSpaceDE w:val="0"/>
      <w:autoSpaceDN w:val="0"/>
      <w:adjustRightInd w:val="0"/>
    </w:pPr>
    <w:rPr>
      <w:rFonts w:ascii="MS Mincho" w:eastAsia="MS Mincho" w:cs="MS Mincho"/>
      <w:color w:val="000000"/>
      <w:sz w:val="24"/>
      <w:szCs w:val="24"/>
      <w:lang w:val="en-GB"/>
    </w:rPr>
  </w:style>
  <w:style w:type="paragraph" w:customStyle="1" w:styleId="LegSubRule">
    <w:name w:val="Leg SubRule #"/>
    <w:basedOn w:val="LegBasic"/>
    <w:rsid w:val="00A72606"/>
    <w:pPr>
      <w:keepNext/>
      <w:keepLines/>
      <w:tabs>
        <w:tab w:val="left" w:pos="510"/>
      </w:tabs>
      <w:spacing w:before="119"/>
      <w:ind w:left="533" w:hanging="533"/>
      <w:jc w:val="both"/>
    </w:pPr>
  </w:style>
  <w:style w:type="paragraph" w:customStyle="1" w:styleId="Lega">
    <w:name w:val="Leg (a)"/>
    <w:basedOn w:val="LegBasic"/>
    <w:rsid w:val="00A72606"/>
    <w:pPr>
      <w:tabs>
        <w:tab w:val="left" w:pos="454"/>
      </w:tabs>
      <w:spacing w:before="119"/>
    </w:pPr>
    <w:rPr>
      <w:rFonts w:eastAsia="Times New Roman" w:cs="Times New Roman"/>
      <w:snapToGrid w:val="0"/>
      <w:lang w:eastAsia="en-US"/>
    </w:rPr>
  </w:style>
  <w:style w:type="paragraph" w:customStyle="1" w:styleId="Legi">
    <w:name w:val="Leg (i)"/>
    <w:basedOn w:val="LegBasic"/>
    <w:rsid w:val="00EB4CC5"/>
    <w:pPr>
      <w:tabs>
        <w:tab w:val="right" w:pos="1020"/>
        <w:tab w:val="left" w:pos="1191"/>
      </w:tabs>
      <w:spacing w:before="60"/>
    </w:pPr>
    <w:rPr>
      <w:rFonts w:eastAsia="Times New Roman" w:cs="Times New Roman"/>
      <w:snapToGrid w:val="0"/>
      <w:lang w:eastAsia="en-US"/>
    </w:rPr>
  </w:style>
  <w:style w:type="paragraph" w:customStyle="1" w:styleId="LegTitle">
    <w:name w:val="Leg # Title"/>
    <w:basedOn w:val="LegBasic"/>
    <w:next w:val="Normal"/>
    <w:rsid w:val="003C486F"/>
    <w:pPr>
      <w:keepNext/>
      <w:keepLines/>
      <w:pageBreakBefore/>
      <w:spacing w:before="240"/>
      <w:jc w:val="center"/>
    </w:pPr>
    <w:rPr>
      <w:b/>
    </w:rPr>
  </w:style>
  <w:style w:type="paragraph" w:customStyle="1" w:styleId="Legacont">
    <w:name w:val="Leg (a) [cont]"/>
    <w:basedOn w:val="Lega"/>
    <w:next w:val="Lega"/>
    <w:rsid w:val="004B28C6"/>
    <w:pPr>
      <w:spacing w:before="60"/>
    </w:pPr>
  </w:style>
  <w:style w:type="paragraph" w:customStyle="1" w:styleId="Legiindent">
    <w:name w:val="Leg (i) indent"/>
    <w:basedOn w:val="Legi"/>
    <w:rsid w:val="004B28C6"/>
    <w:pPr>
      <w:ind w:left="1191" w:hanging="1191"/>
    </w:pPr>
  </w:style>
  <w:style w:type="paragraph" w:customStyle="1" w:styleId="LegBasic">
    <w:name w:val="Leg Basic"/>
    <w:basedOn w:val="Normal"/>
    <w:qFormat/>
    <w:rsid w:val="00A72606"/>
    <w:pPr>
      <w:spacing w:line="480" w:lineRule="auto"/>
    </w:pPr>
  </w:style>
  <w:style w:type="character" w:customStyle="1" w:styleId="LegAddedText">
    <w:name w:val="Leg Added Text"/>
    <w:basedOn w:val="DefaultParagraphFont"/>
    <w:uiPriority w:val="1"/>
    <w:qFormat/>
    <w:rsid w:val="00CF1B22"/>
    <w:rPr>
      <w:color w:val="0000FF"/>
      <w:u w:val="single"/>
    </w:rPr>
  </w:style>
  <w:style w:type="paragraph" w:styleId="Revision">
    <w:name w:val="Revision"/>
    <w:hidden/>
    <w:uiPriority w:val="99"/>
    <w:semiHidden/>
    <w:rsid w:val="00977732"/>
    <w:rPr>
      <w:rFonts w:ascii="Arial" w:eastAsia="SimSun" w:hAnsi="Arial" w:cs="Arial"/>
      <w:sz w:val="22"/>
      <w:lang w:val="en-US" w:eastAsia="zh-CN"/>
    </w:rPr>
  </w:style>
  <w:style w:type="character" w:styleId="CommentReference">
    <w:name w:val="annotation reference"/>
    <w:basedOn w:val="DefaultParagraphFont"/>
    <w:semiHidden/>
    <w:unhideWhenUsed/>
    <w:rsid w:val="00FD0D8F"/>
    <w:rPr>
      <w:sz w:val="16"/>
      <w:szCs w:val="16"/>
    </w:rPr>
  </w:style>
  <w:style w:type="paragraph" w:styleId="CommentSubject">
    <w:name w:val="annotation subject"/>
    <w:basedOn w:val="CommentText"/>
    <w:next w:val="CommentText"/>
    <w:link w:val="CommentSubjectChar"/>
    <w:semiHidden/>
    <w:unhideWhenUsed/>
    <w:rsid w:val="00FD0D8F"/>
    <w:rPr>
      <w:b/>
      <w:bCs/>
      <w:sz w:val="20"/>
    </w:rPr>
  </w:style>
  <w:style w:type="character" w:customStyle="1" w:styleId="CommentTextChar">
    <w:name w:val="Comment Text Char"/>
    <w:basedOn w:val="DefaultParagraphFont"/>
    <w:link w:val="CommentText"/>
    <w:semiHidden/>
    <w:rsid w:val="00FD0D8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D0D8F"/>
    <w:rPr>
      <w:rFonts w:ascii="Arial" w:eastAsia="SimSun" w:hAnsi="Arial" w:cs="Arial"/>
      <w:b/>
      <w:bCs/>
      <w:sz w:val="18"/>
      <w:lang w:val="en-US" w:eastAsia="zh-CN"/>
    </w:rPr>
  </w:style>
  <w:style w:type="paragraph" w:styleId="TOC1">
    <w:name w:val="toc 1"/>
    <w:basedOn w:val="Normal"/>
    <w:next w:val="Normal"/>
    <w:autoRedefine/>
    <w:uiPriority w:val="39"/>
    <w:unhideWhenUsed/>
    <w:rsid w:val="000A2AD1"/>
    <w:pPr>
      <w:spacing w:after="100"/>
    </w:pPr>
  </w:style>
  <w:style w:type="paragraph" w:styleId="TOC2">
    <w:name w:val="toc 2"/>
    <w:basedOn w:val="Normal"/>
    <w:next w:val="Normal"/>
    <w:autoRedefine/>
    <w:uiPriority w:val="39"/>
    <w:unhideWhenUsed/>
    <w:rsid w:val="000A2AD1"/>
    <w:pPr>
      <w:spacing w:after="100"/>
      <w:ind w:left="220"/>
    </w:pPr>
  </w:style>
  <w:style w:type="character" w:styleId="Hyperlink">
    <w:name w:val="Hyperlink"/>
    <w:basedOn w:val="DefaultParagraphFont"/>
    <w:uiPriority w:val="99"/>
    <w:unhideWhenUsed/>
    <w:rsid w:val="000A2AD1"/>
    <w:rPr>
      <w:color w:val="0000FF" w:themeColor="hyperlink"/>
      <w:u w:val="single"/>
    </w:rPr>
  </w:style>
  <w:style w:type="character" w:styleId="FootnoteReference">
    <w:name w:val="footnote reference"/>
    <w:basedOn w:val="DefaultParagraphFont"/>
    <w:semiHidden/>
    <w:unhideWhenUsed/>
    <w:rsid w:val="00F86A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(E).dotm</Template>
  <TotalTime>40</TotalTime>
  <Pages>5</Pages>
  <Words>1138</Words>
  <Characters>6643</Characters>
  <Application>Microsoft Office Word</Application>
  <DocSecurity>0</DocSecurity>
  <Lines>130</Lines>
  <Paragraphs>50</Paragraphs>
  <ScaleCrop>false</ScaleCrop>
  <HeadingPairs>
    <vt:vector size="2" baseType="variant">
      <vt:variant>
        <vt:lpstr>Title</vt:lpstr>
      </vt:variant>
      <vt:variant>
        <vt:i4>1</vt:i4>
      </vt:variant>
    </vt:vector>
  </HeadingPairs>
  <TitlesOfParts>
    <vt:vector size="1" baseType="lpstr">
      <vt:lpstr>PCT/WG/19/8</vt:lpstr>
    </vt:vector>
  </TitlesOfParts>
  <Company>WIPO</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PCT/WG/19/8</dc:title>
  <dc:creator>BONNET Jérôme</dc:creator>
  <cp:keywords/>
  <cp:lastModifiedBy>RICHARDSON Michael</cp:lastModifiedBy>
  <cp:revision>8</cp:revision>
  <cp:lastPrinted>2025-12-19T15:13:00Z</cp:lastPrinted>
  <dcterms:created xsi:type="dcterms:W3CDTF">2025-12-19T14:14:00Z</dcterms:created>
  <dcterms:modified xsi:type="dcterms:W3CDTF">2025-12-19T16:37:00Z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