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7ED6" w14:textId="4F696B25" w:rsidR="001D28EA" w:rsidRDefault="001D28EA" w:rsidP="001D28EA">
      <w:pPr>
        <w:tabs>
          <w:tab w:val="num" w:pos="567"/>
        </w:tabs>
        <w:jc w:val="center"/>
      </w:pPr>
      <w:r>
        <w:t>ESTABLISHING EQUIVALENT AMOUNTS FOR PCT FEES</w:t>
      </w:r>
    </w:p>
    <w:p w14:paraId="5242BA4D" w14:textId="77777777" w:rsidR="001D28EA" w:rsidRDefault="001D28EA" w:rsidP="00923900">
      <w:pPr>
        <w:tabs>
          <w:tab w:val="num" w:pos="567"/>
        </w:tabs>
      </w:pPr>
    </w:p>
    <w:p w14:paraId="3B552FF0" w14:textId="5A0B98FF" w:rsidR="00923900" w:rsidRDefault="00923900" w:rsidP="00923900">
      <w:pPr>
        <w:pStyle w:val="ONUME"/>
        <w:tabs>
          <w:tab w:val="clear" w:pos="360"/>
          <w:tab w:val="num" w:pos="567"/>
        </w:tabs>
      </w:pPr>
      <w:r>
        <w:t>This non-paper contains revised draft directives of the PCT Assembly relating to the establishment of equivalent amounts of certain fees.</w:t>
      </w:r>
    </w:p>
    <w:p w14:paraId="3C66F09A" w14:textId="38EEA237" w:rsidR="00EC5F6E" w:rsidRDefault="00EC5F6E" w:rsidP="00923900">
      <w:pPr>
        <w:pStyle w:val="ONUME"/>
        <w:tabs>
          <w:tab w:val="clear" w:pos="360"/>
          <w:tab w:val="num" w:pos="567"/>
        </w:tabs>
      </w:pPr>
      <w:r>
        <w:t>It is proposed that these Directive</w:t>
      </w:r>
      <w:r w:rsidR="001D28EA">
        <w:t>s</w:t>
      </w:r>
      <w:r>
        <w:t xml:space="preserve"> be recommended to the PCT Union Assembly, together with a recommendation that they be reviewed following </w:t>
      </w:r>
      <w:r w:rsidR="001D28EA">
        <w:t xml:space="preserve">a year of </w:t>
      </w:r>
      <w:r>
        <w:t xml:space="preserve">experience of the setting of equivalent amounts and exchange of associated information, with a view to </w:t>
      </w:r>
      <w:r w:rsidR="001D28EA">
        <w:t xml:space="preserve">validating the systems provided to assist the setting of equivalent amounts and distributing information on them, as well as seeking </w:t>
      </w:r>
      <w:r>
        <w:t>further reductions in time between setting an equivalent amount and its entry into force.</w:t>
      </w:r>
    </w:p>
    <w:p w14:paraId="61580663" w14:textId="2AE711CA" w:rsidR="00FF222F" w:rsidRDefault="00FF222F" w:rsidP="00923900">
      <w:pPr>
        <w:pStyle w:val="ONUME"/>
        <w:tabs>
          <w:tab w:val="clear" w:pos="360"/>
          <w:tab w:val="num" w:pos="567"/>
        </w:tabs>
      </w:pPr>
      <w:r>
        <w:t>Paragraph (3) is shown in square brackets, as is a corresponding reference in paragraph (6).  These texts would be deleted and the paragraphs and references renumbered if it is agreed that equivalent amounts should not be established annually.</w:t>
      </w:r>
    </w:p>
    <w:p w14:paraId="0F603313" w14:textId="7C4C9D30" w:rsidR="00923900" w:rsidRDefault="00923900" w:rsidP="00EC5F6E">
      <w:pPr>
        <w:tabs>
          <w:tab w:val="center" w:pos="546"/>
        </w:tabs>
        <w:spacing w:after="220"/>
        <w:rPr>
          <w:caps/>
        </w:rPr>
      </w:pPr>
    </w:p>
    <w:p w14:paraId="32300A0D" w14:textId="77777777" w:rsidR="00923900" w:rsidRDefault="00923900" w:rsidP="00923900">
      <w:pPr>
        <w:tabs>
          <w:tab w:val="center" w:pos="546"/>
        </w:tabs>
        <w:spacing w:after="220"/>
        <w:rPr>
          <w:caps/>
        </w:rPr>
      </w:pPr>
    </w:p>
    <w:p w14:paraId="72DF9F1D" w14:textId="39446194" w:rsidR="00ED0C79" w:rsidRPr="003F3159" w:rsidRDefault="00ED0C79" w:rsidP="00ED0C79">
      <w:pPr>
        <w:tabs>
          <w:tab w:val="center" w:pos="546"/>
        </w:tabs>
        <w:spacing w:after="220"/>
        <w:jc w:val="center"/>
        <w:rPr>
          <w:caps/>
        </w:rPr>
      </w:pPr>
      <w:r>
        <w:rPr>
          <w:caps/>
        </w:rPr>
        <w:t xml:space="preserve">Draft </w:t>
      </w:r>
      <w:r w:rsidRPr="003F3159">
        <w:rPr>
          <w:caps/>
        </w:rPr>
        <w:t>Directives of the PCT Assembly Relating to the</w:t>
      </w:r>
      <w:r>
        <w:rPr>
          <w:caps/>
        </w:rPr>
        <w:t> </w:t>
      </w:r>
      <w:r w:rsidRPr="003F3159">
        <w:rPr>
          <w:caps/>
        </w:rPr>
        <w:t>Establishment</w:t>
      </w:r>
      <w:r>
        <w:rPr>
          <w:caps/>
        </w:rPr>
        <w:t> </w:t>
      </w:r>
      <w:r w:rsidRPr="003F3159">
        <w:rPr>
          <w:caps/>
        </w:rPr>
        <w:t>of</w:t>
      </w:r>
      <w:r>
        <w:rPr>
          <w:caps/>
        </w:rPr>
        <w:t> </w:t>
      </w:r>
      <w:r w:rsidRPr="003F3159">
        <w:rPr>
          <w:caps/>
        </w:rPr>
        <w:t>Equivalent Amounts of Certain Fees</w:t>
      </w:r>
      <w:r>
        <w:rPr>
          <w:rStyle w:val="FootnoteReference"/>
          <w:caps/>
        </w:rPr>
        <w:footnoteReference w:id="1"/>
      </w:r>
    </w:p>
    <w:p w14:paraId="07E800FE" w14:textId="2BB7EE0D" w:rsidR="00ED0C79" w:rsidRDefault="00ED0C79" w:rsidP="00ED0C79">
      <w:pPr>
        <w:spacing w:after="220"/>
        <w:ind w:firstLine="567"/>
        <w:rPr>
          <w:lang w:val="en-GB"/>
        </w:rPr>
      </w:pPr>
      <w:r w:rsidRPr="003F3159">
        <w:rPr>
          <w:lang w:val="en-GB"/>
        </w:rPr>
        <w:t>The Assembly establishes in the following terms the directives relating to the establishment of equivalent amounts of the international filing fee, the handling fee, the search fee and the supplementary search fee (see </w:t>
      </w:r>
      <w:hyperlink r:id="rId7" w:anchor="_15_2_d_i" w:tgtFrame="_self" w:history="1">
        <w:r w:rsidRPr="003F3159">
          <w:rPr>
            <w:rStyle w:val="Hyperlink"/>
            <w:lang w:val="en-GB"/>
          </w:rPr>
          <w:t>Rules</w:t>
        </w:r>
        <w:r>
          <w:rPr>
            <w:rStyle w:val="Hyperlink"/>
            <w:lang w:val="en-GB"/>
          </w:rPr>
          <w:t xml:space="preserve"> </w:t>
        </w:r>
        <w:r w:rsidRPr="003F3159">
          <w:rPr>
            <w:rStyle w:val="Hyperlink"/>
            <w:lang w:val="en-GB"/>
          </w:rPr>
          <w:t>15.2(d)(</w:t>
        </w:r>
        <w:proofErr w:type="spellStart"/>
        <w:r w:rsidRPr="003F3159">
          <w:rPr>
            <w:rStyle w:val="Hyperlink"/>
            <w:lang w:val="en-GB"/>
          </w:rPr>
          <w:t>i</w:t>
        </w:r>
        <w:proofErr w:type="spellEnd"/>
        <w:r w:rsidRPr="003F3159">
          <w:rPr>
            <w:rStyle w:val="Hyperlink"/>
            <w:lang w:val="en-GB"/>
          </w:rPr>
          <w:t>)</w:t>
        </w:r>
      </w:hyperlink>
      <w:r w:rsidRPr="003F3159">
        <w:rPr>
          <w:lang w:val="en-GB"/>
        </w:rPr>
        <w:t>,</w:t>
      </w:r>
      <w:r>
        <w:rPr>
          <w:lang w:val="en-GB"/>
        </w:rPr>
        <w:t xml:space="preserve"> </w:t>
      </w:r>
      <w:hyperlink r:id="rId8" w:anchor="_16_1_d_i" w:tgtFrame="_self" w:history="1">
        <w:r w:rsidRPr="003F3159">
          <w:rPr>
            <w:rStyle w:val="Hyperlink"/>
            <w:lang w:val="en-GB"/>
          </w:rPr>
          <w:t>16.1(d)(</w:t>
        </w:r>
        <w:proofErr w:type="spellStart"/>
        <w:r w:rsidRPr="003F3159">
          <w:rPr>
            <w:rStyle w:val="Hyperlink"/>
            <w:lang w:val="en-GB"/>
          </w:rPr>
          <w:t>i</w:t>
        </w:r>
        <w:proofErr w:type="spellEnd"/>
        <w:r w:rsidRPr="003F3159">
          <w:rPr>
            <w:rStyle w:val="Hyperlink"/>
            <w:lang w:val="en-GB"/>
          </w:rPr>
          <w:t>)</w:t>
        </w:r>
      </w:hyperlink>
      <w:r w:rsidRPr="003F3159">
        <w:rPr>
          <w:lang w:val="en-GB"/>
        </w:rPr>
        <w:t>, </w:t>
      </w:r>
      <w:hyperlink r:id="rId9" w:anchor="_45bis_3_b" w:tgtFrame="_self" w:history="1">
        <w:r w:rsidRPr="003F3159">
          <w:rPr>
            <w:rStyle w:val="Hyperlink"/>
            <w:lang w:val="en-GB"/>
          </w:rPr>
          <w:t>45bis.3(b)</w:t>
        </w:r>
      </w:hyperlink>
      <w:r>
        <w:rPr>
          <w:lang w:val="en-GB"/>
        </w:rPr>
        <w:t xml:space="preserve"> </w:t>
      </w:r>
      <w:r w:rsidRPr="003F3159">
        <w:rPr>
          <w:lang w:val="en-GB"/>
        </w:rPr>
        <w:t>and</w:t>
      </w:r>
      <w:r>
        <w:rPr>
          <w:lang w:val="en-GB"/>
        </w:rPr>
        <w:t xml:space="preserve"> </w:t>
      </w:r>
      <w:hyperlink r:id="rId10" w:anchor="_57_2_d_i" w:tgtFrame="_self" w:history="1">
        <w:r w:rsidRPr="003F3159">
          <w:rPr>
            <w:rStyle w:val="Hyperlink"/>
            <w:lang w:val="en-GB"/>
          </w:rPr>
          <w:t>57.2(d)(</w:t>
        </w:r>
        <w:proofErr w:type="spellStart"/>
        <w:r w:rsidRPr="003F3159">
          <w:rPr>
            <w:rStyle w:val="Hyperlink"/>
            <w:lang w:val="en-GB"/>
          </w:rPr>
          <w:t>i</w:t>
        </w:r>
        <w:proofErr w:type="spellEnd"/>
        <w:r w:rsidRPr="003F3159">
          <w:rPr>
            <w:rStyle w:val="Hyperlink"/>
            <w:lang w:val="en-GB"/>
          </w:rPr>
          <w:t>)</w:t>
        </w:r>
      </w:hyperlink>
      <w:r w:rsidRPr="003F3159">
        <w:rPr>
          <w:lang w:val="en-GB"/>
        </w:rPr>
        <w:t>), it being understood that, in the light of experience, the Assembly may at any time modify these directives:</w:t>
      </w:r>
    </w:p>
    <w:p w14:paraId="6A7AC1A6" w14:textId="77777777" w:rsidR="00ED0C79" w:rsidRPr="003F3159" w:rsidRDefault="00ED0C79" w:rsidP="00ED0C79">
      <w:pPr>
        <w:spacing w:after="220"/>
        <w:rPr>
          <w:lang w:val="en-GB"/>
        </w:rPr>
      </w:pPr>
      <w:r w:rsidRPr="003F3159">
        <w:rPr>
          <w:i/>
          <w:iCs/>
          <w:lang w:val="en-GB"/>
        </w:rPr>
        <w:t>Establishment of Equivalent Amounts</w:t>
      </w:r>
    </w:p>
    <w:p w14:paraId="0263F20C" w14:textId="07834056" w:rsidR="009B2974" w:rsidRPr="000C4BF6" w:rsidRDefault="00ED0C79" w:rsidP="009B2974">
      <w:pPr>
        <w:spacing w:after="220"/>
        <w:rPr>
          <w:color w:val="A20000"/>
        </w:rPr>
      </w:pPr>
      <w:bookmarkStart w:id="0" w:name="_p1"/>
      <w:bookmarkEnd w:id="0"/>
      <w:r w:rsidRPr="003F3159">
        <w:rPr>
          <w:lang w:val="en-GB"/>
        </w:rPr>
        <w:t>(</w:t>
      </w:r>
      <w:r w:rsidRPr="00514A32">
        <w:t>1</w:t>
      </w:r>
      <w:r w:rsidRPr="003F3159">
        <w:rPr>
          <w:lang w:val="en-GB"/>
        </w:rPr>
        <w:t>)</w:t>
      </w:r>
      <w:r>
        <w:rPr>
          <w:lang w:val="en-GB"/>
        </w:rPr>
        <w:tab/>
      </w:r>
      <w:r w:rsidRPr="003F3159">
        <w:rPr>
          <w:lang w:val="en-GB"/>
        </w:rPr>
        <w:t>The equivalent amounts</w:t>
      </w:r>
      <w:r>
        <w:rPr>
          <w:lang w:val="en-GB"/>
        </w:rPr>
        <w:t xml:space="preserve"> </w:t>
      </w:r>
      <w:r w:rsidRPr="008D44F5">
        <w:t>in prescribed currencies</w:t>
      </w:r>
      <w:r>
        <w:rPr>
          <w:lang w:val="en-GB"/>
        </w:rPr>
        <w:t xml:space="preserve"> </w:t>
      </w:r>
      <w:r w:rsidRPr="003F3159">
        <w:rPr>
          <w:lang w:val="en-GB"/>
        </w:rPr>
        <w:t>of the international filing fee and the handling fee in any currency other than Swiss franc, and of the search fee and the supplementary search fee in any currency other than the fixed currency, shall be established by the Director General</w:t>
      </w:r>
      <w:r>
        <w:rPr>
          <w:lang w:val="en-GB"/>
        </w:rPr>
        <w:t xml:space="preserve"> </w:t>
      </w:r>
      <w:r>
        <w:t>in accordance with these directives.</w:t>
      </w:r>
    </w:p>
    <w:p w14:paraId="4BC81E1B" w14:textId="77777777" w:rsidR="00ED0C79" w:rsidRPr="003F3159" w:rsidRDefault="00ED0C79" w:rsidP="00ED0C79">
      <w:pPr>
        <w:spacing w:after="220"/>
        <w:rPr>
          <w:lang w:val="en-GB"/>
        </w:rPr>
      </w:pPr>
      <w:bookmarkStart w:id="1" w:name="_p2"/>
      <w:bookmarkEnd w:id="1"/>
      <w:r w:rsidRPr="003F3159">
        <w:rPr>
          <w:lang w:val="en-GB"/>
        </w:rPr>
        <w:t>(</w:t>
      </w:r>
      <w:r w:rsidRPr="00514A32">
        <w:t>2</w:t>
      </w:r>
      <w:r w:rsidRPr="003F3159">
        <w:rPr>
          <w:lang w:val="en-GB"/>
        </w:rPr>
        <w:t>)</w:t>
      </w:r>
      <w:r>
        <w:rPr>
          <w:lang w:val="en-GB"/>
        </w:rPr>
        <w:tab/>
      </w:r>
      <w:r w:rsidRPr="003F3159">
        <w:rPr>
          <w:lang w:val="en-GB"/>
        </w:rPr>
        <w:t>The amounts so established shall be the equivalent, in round figures</w:t>
      </w:r>
      <w:r w:rsidRPr="007C2581">
        <w:t>,</w:t>
      </w:r>
    </w:p>
    <w:p w14:paraId="5737C08F" w14:textId="77777777" w:rsidR="00ED0C79" w:rsidRPr="00EC5F6E" w:rsidRDefault="00ED0C79" w:rsidP="00ED0C79">
      <w:pPr>
        <w:spacing w:after="220"/>
        <w:ind w:left="546"/>
      </w:pPr>
      <w:r w:rsidRPr="00EC5F6E">
        <w:t>(</w:t>
      </w:r>
      <w:proofErr w:type="spellStart"/>
      <w:r w:rsidRPr="00EC5F6E">
        <w:t>i</w:t>
      </w:r>
      <w:proofErr w:type="spellEnd"/>
      <w:r w:rsidRPr="00EC5F6E">
        <w:t>)</w:t>
      </w:r>
      <w:r w:rsidRPr="00EC5F6E">
        <w:tab/>
        <w:t xml:space="preserve">of the amount of the international filing fee and of the handling fee, respectively, in Swiss franc set out in the Schedule of </w:t>
      </w:r>
      <w:proofErr w:type="gramStart"/>
      <w:r w:rsidRPr="00EC5F6E">
        <w:t>Fees;</w:t>
      </w:r>
      <w:proofErr w:type="gramEnd"/>
    </w:p>
    <w:p w14:paraId="10E3041F" w14:textId="77777777" w:rsidR="00ED0C79" w:rsidRPr="00EC5F6E" w:rsidRDefault="00ED0C79" w:rsidP="00ED0C79">
      <w:pPr>
        <w:spacing w:after="220"/>
        <w:ind w:left="546"/>
      </w:pPr>
      <w:r w:rsidRPr="00EC5F6E">
        <w:t>(ii)</w:t>
      </w:r>
      <w:r w:rsidRPr="00EC5F6E">
        <w:tab/>
        <w:t>of the amount of the search fee and the supplementary search fee (if applicable) established by the International Searching Authority in the fixed currency.</w:t>
      </w:r>
    </w:p>
    <w:p w14:paraId="7021C864" w14:textId="77777777" w:rsidR="00ED0C79" w:rsidRPr="003F3159" w:rsidRDefault="00ED0C79" w:rsidP="00ED0C79">
      <w:pPr>
        <w:spacing w:after="220"/>
        <w:rPr>
          <w:lang w:val="en-GB"/>
        </w:rPr>
      </w:pPr>
      <w:r w:rsidRPr="00EC5F6E">
        <w:t xml:space="preserve">They </w:t>
      </w:r>
      <w:r w:rsidRPr="003F3159">
        <w:rPr>
          <w:lang w:val="en-GB"/>
        </w:rPr>
        <w:t>shall be notified by the International Bureau to each receiving Office, International Searching Authority and International Preliminary Examining Authority, as applicable, prescribing payment or establishing fees in the currency concerned and shall be published in the Gazette.</w:t>
      </w:r>
    </w:p>
    <w:p w14:paraId="3BB788B9" w14:textId="22ED053F" w:rsidR="00FF222F" w:rsidRPr="00FF222F" w:rsidRDefault="00FF222F" w:rsidP="00B27025">
      <w:pPr>
        <w:keepNext/>
        <w:spacing w:after="220"/>
        <w:rPr>
          <w:i/>
          <w:iCs/>
        </w:rPr>
      </w:pPr>
      <w:r>
        <w:rPr>
          <w:i/>
          <w:iCs/>
        </w:rPr>
        <w:lastRenderedPageBreak/>
        <w:t>[</w:t>
      </w:r>
      <w:r w:rsidRPr="00FF222F">
        <w:rPr>
          <w:i/>
          <w:iCs/>
        </w:rPr>
        <w:t>Annual Establishment of New Equivalent Amounts</w:t>
      </w:r>
    </w:p>
    <w:p w14:paraId="0B04E5C5" w14:textId="79EEFC7A" w:rsidR="00FF222F" w:rsidRPr="00FF222F" w:rsidRDefault="00FF222F" w:rsidP="00B27025">
      <w:pPr>
        <w:keepNext/>
        <w:spacing w:after="220"/>
      </w:pPr>
      <w:r w:rsidRPr="00FF222F">
        <w:t>(3)</w:t>
      </w:r>
      <w:r w:rsidRPr="00FF222F">
        <w:tab/>
        <w:t xml:space="preserve">On the final Monday of </w:t>
      </w:r>
      <w:r w:rsidRPr="00FF222F">
        <w:rPr>
          <w:highlight w:val="yellow"/>
        </w:rPr>
        <w:t>October</w:t>
      </w:r>
      <w:r w:rsidRPr="00FF222F">
        <w:t xml:space="preserve"> each year, the Director General shall establish new equivalent amounts of the international filing fee, the handling fee, the search fee and the supplementary search fee according to the exchange rates prevailing at midday Geneva time on that day.  Unless otherwise decided by the Director General, any adjustment under this paragraph shall enter into force on the first day of the subsequent calendar year.</w:t>
      </w:r>
      <w:r>
        <w:t>]</w:t>
      </w:r>
    </w:p>
    <w:p w14:paraId="2CF70DBF" w14:textId="77777777" w:rsidR="00ED0C79" w:rsidRPr="00494E41" w:rsidRDefault="00ED0C79" w:rsidP="009E5964">
      <w:pPr>
        <w:keepNext/>
        <w:spacing w:after="220"/>
        <w:rPr>
          <w:i/>
          <w:iCs/>
        </w:rPr>
      </w:pPr>
      <w:r w:rsidRPr="00494E41">
        <w:rPr>
          <w:i/>
          <w:iCs/>
        </w:rPr>
        <w:t xml:space="preserve">Establishment of New Equivalent Amounts Consequential on Changes in Exchange Rates </w:t>
      </w:r>
    </w:p>
    <w:p w14:paraId="1CD71E5F" w14:textId="4B1D2795" w:rsidR="00ED0C79" w:rsidRDefault="00ED0C79" w:rsidP="009E5964">
      <w:pPr>
        <w:keepLines/>
        <w:spacing w:after="220"/>
        <w:rPr>
          <w:lang w:val="en-GB"/>
        </w:rPr>
      </w:pPr>
      <w:r w:rsidRPr="003F3159">
        <w:rPr>
          <w:lang w:val="en-GB"/>
        </w:rPr>
        <w:t>(</w:t>
      </w:r>
      <w:r w:rsidR="00FF222F">
        <w:rPr>
          <w:lang w:val="en-GB"/>
        </w:rPr>
        <w:t>4</w:t>
      </w:r>
      <w:r w:rsidRPr="00ED0C79">
        <w:rPr>
          <w:lang w:val="en-GB"/>
        </w:rPr>
        <w:t>)</w:t>
      </w:r>
      <w:r>
        <w:rPr>
          <w:lang w:val="en-GB"/>
        </w:rPr>
        <w:tab/>
      </w:r>
      <w:r w:rsidRPr="003F3159">
        <w:rPr>
          <w:lang w:val="en-GB"/>
        </w:rPr>
        <w:t xml:space="preserve">Where, for four consecutive </w:t>
      </w:r>
      <w:r>
        <w:t>Mondays</w:t>
      </w:r>
      <w:r>
        <w:rPr>
          <w:lang w:val="en-GB"/>
        </w:rPr>
        <w:t xml:space="preserve"> </w:t>
      </w:r>
      <w:r w:rsidRPr="003F3159">
        <w:rPr>
          <w:lang w:val="en-GB"/>
        </w:rPr>
        <w:t xml:space="preserve">(midday, Geneva time), the exchange rate </w:t>
      </w:r>
      <w:r w:rsidRPr="00EC5F6E">
        <w:t xml:space="preserve">between Swiss franc (in the case of the international filing fee and the handling fee) or the fixed currency (in the case of the search fee and the supplementary search fee) and any applicable prescribed currency is by at least 5% higher, or by at least 5% lower, than the last exchange rate applied, the Director General shall establish new equivalent amounts of the international filing fee, the search fee, the supplementary search fee and/or the handling fee, as applicable, according to the exchange rate prevailing at midday on the final Monday.  The newly established amount shall become applicable </w:t>
      </w:r>
      <w:r w:rsidRPr="00EC5F6E">
        <w:rPr>
          <w:highlight w:val="yellow"/>
        </w:rPr>
        <w:t>eight</w:t>
      </w:r>
      <w:r w:rsidRPr="00EC5F6E">
        <w:t xml:space="preserve"> weeks after the date of its establishment.</w:t>
      </w:r>
    </w:p>
    <w:p w14:paraId="03B4EF04" w14:textId="77777777" w:rsidR="00ED0C79" w:rsidRPr="00494E41" w:rsidRDefault="00ED0C79" w:rsidP="00ED0C79">
      <w:pPr>
        <w:spacing w:after="220"/>
        <w:rPr>
          <w:i/>
          <w:iCs/>
          <w:lang w:val="en-GB"/>
        </w:rPr>
      </w:pPr>
      <w:r w:rsidRPr="00494E41">
        <w:rPr>
          <w:i/>
          <w:iCs/>
          <w:lang w:val="en-GB"/>
        </w:rPr>
        <w:t>Establishment of New Equivalent Amounts Consequential on Changes in the Amount of the Fee Concerned</w:t>
      </w:r>
    </w:p>
    <w:p w14:paraId="4F423163" w14:textId="0429B460" w:rsidR="00ED0C79" w:rsidRDefault="00ED0C79" w:rsidP="00ED0C79">
      <w:pPr>
        <w:spacing w:after="220"/>
        <w:rPr>
          <w:lang w:val="en-GB"/>
        </w:rPr>
      </w:pPr>
      <w:r w:rsidRPr="00494E41">
        <w:rPr>
          <w:lang w:val="en-GB"/>
        </w:rPr>
        <w:t>(</w:t>
      </w:r>
      <w:r w:rsidR="00FF222F">
        <w:rPr>
          <w:lang w:val="en-GB"/>
        </w:rPr>
        <w:t>5</w:t>
      </w:r>
      <w:r w:rsidRPr="00494E41">
        <w:rPr>
          <w:lang w:val="en-GB"/>
        </w:rPr>
        <w:t>)</w:t>
      </w:r>
      <w:r w:rsidRPr="00494E41">
        <w:rPr>
          <w:lang w:val="en-GB"/>
        </w:rPr>
        <w:tab/>
      </w:r>
      <w:r>
        <w:rPr>
          <w:lang w:val="en-GB"/>
        </w:rPr>
        <w:t>W</w:t>
      </w:r>
      <w:r w:rsidRPr="00494E41">
        <w:rPr>
          <w:lang w:val="en-GB"/>
        </w:rPr>
        <w:t>here the amount of the international filing fee</w:t>
      </w:r>
      <w:r>
        <w:rPr>
          <w:lang w:val="en-GB"/>
        </w:rPr>
        <w:t xml:space="preserve"> or</w:t>
      </w:r>
      <w:r w:rsidRPr="00494E41">
        <w:rPr>
          <w:lang w:val="en-GB"/>
        </w:rPr>
        <w:t xml:space="preserve"> the handling fee</w:t>
      </w:r>
      <w:r>
        <w:rPr>
          <w:lang w:val="en-GB"/>
        </w:rPr>
        <w:t xml:space="preserve"> in Swiss francs</w:t>
      </w:r>
      <w:r w:rsidRPr="00494E41">
        <w:rPr>
          <w:lang w:val="en-GB"/>
        </w:rPr>
        <w:t xml:space="preserve">, </w:t>
      </w:r>
      <w:r>
        <w:rPr>
          <w:lang w:val="en-GB"/>
        </w:rPr>
        <w:t xml:space="preserve">or the amount of </w:t>
      </w:r>
      <w:r w:rsidRPr="00494E41">
        <w:rPr>
          <w:lang w:val="en-GB"/>
        </w:rPr>
        <w:t xml:space="preserve">the search fee or the supplementary search fee </w:t>
      </w:r>
      <w:r>
        <w:rPr>
          <w:lang w:val="en-GB"/>
        </w:rPr>
        <w:t xml:space="preserve">in the fixed currency, </w:t>
      </w:r>
      <w:r w:rsidRPr="00494E41">
        <w:rPr>
          <w:lang w:val="en-GB"/>
        </w:rPr>
        <w:t>is changed</w:t>
      </w:r>
      <w:r>
        <w:rPr>
          <w:lang w:val="en-GB"/>
        </w:rPr>
        <w:t xml:space="preserve">, the Director General shall establish </w:t>
      </w:r>
      <w:r w:rsidRPr="00494E41">
        <w:rPr>
          <w:lang w:val="en-GB"/>
        </w:rPr>
        <w:t>equivalent amounts in the prescribed currencies</w:t>
      </w:r>
      <w:r>
        <w:rPr>
          <w:lang w:val="en-GB"/>
        </w:rPr>
        <w:t xml:space="preserve"> according to the exchange rates prevailing at midday Geneva time on the Monday on or immediately preceding the day </w:t>
      </w:r>
      <w:r w:rsidRPr="00ED0C79">
        <w:rPr>
          <w:highlight w:val="yellow"/>
          <w:lang w:val="en-GB"/>
        </w:rPr>
        <w:t>eight</w:t>
      </w:r>
      <w:r>
        <w:rPr>
          <w:lang w:val="en-GB"/>
        </w:rPr>
        <w:t xml:space="preserve"> weeks before the entry into force of the new amount, or the Monday immediately preceding receipt of the notification of the new fee amount, whichever is the later.  The newly established equivalent amount shall become applicable on the same date as the change in the amount in Swiss francs (in the case of the international filing fee or handling fee) or in the fixed currency (in the case of the search fee or the supplementary search fee) unless the Director General decides otherwise in the case where a notification is received less than </w:t>
      </w:r>
      <w:r w:rsidRPr="00ED0C79">
        <w:rPr>
          <w:highlight w:val="yellow"/>
          <w:lang w:val="en-GB"/>
        </w:rPr>
        <w:t>eight</w:t>
      </w:r>
      <w:r>
        <w:rPr>
          <w:lang w:val="en-GB"/>
        </w:rPr>
        <w:t xml:space="preserve"> weeks before entry into force of the new amount</w:t>
      </w:r>
      <w:r w:rsidRPr="00494E41">
        <w:rPr>
          <w:lang w:val="en-GB"/>
        </w:rPr>
        <w:t>.</w:t>
      </w:r>
    </w:p>
    <w:p w14:paraId="0A9F359D" w14:textId="77777777" w:rsidR="00FF222F" w:rsidRPr="00FF222F" w:rsidRDefault="00FF222F" w:rsidP="00FF222F">
      <w:pPr>
        <w:spacing w:after="220"/>
        <w:rPr>
          <w:i/>
          <w:iCs/>
        </w:rPr>
      </w:pPr>
      <w:bookmarkStart w:id="2" w:name="_Hlk190799506"/>
      <w:r w:rsidRPr="00FF222F">
        <w:rPr>
          <w:i/>
          <w:iCs/>
        </w:rPr>
        <w:t>Changes for Short Periods</w:t>
      </w:r>
    </w:p>
    <w:p w14:paraId="38FAB544" w14:textId="69C84254" w:rsidR="00ED0C79" w:rsidRPr="003D24B1" w:rsidRDefault="00ED0C79" w:rsidP="00ED0C79">
      <w:pPr>
        <w:spacing w:after="220"/>
      </w:pPr>
      <w:r>
        <w:rPr>
          <w:lang w:val="en-GB"/>
        </w:rPr>
        <w:t>(</w:t>
      </w:r>
      <w:r w:rsidR="00FF222F">
        <w:rPr>
          <w:lang w:val="en-GB"/>
        </w:rPr>
        <w:t>6</w:t>
      </w:r>
      <w:r>
        <w:rPr>
          <w:lang w:val="en-GB"/>
        </w:rPr>
        <w:t>)</w:t>
      </w:r>
      <w:r>
        <w:rPr>
          <w:lang w:val="en-GB"/>
        </w:rPr>
        <w:tab/>
        <w:t xml:space="preserve">The Director General may decide not to </w:t>
      </w:r>
      <w:r w:rsidR="00A26DE9" w:rsidRPr="005F7C2F">
        <w:rPr>
          <w:highlight w:val="yellow"/>
          <w:lang w:val="en-GB"/>
        </w:rPr>
        <w:t xml:space="preserve">establish </w:t>
      </w:r>
      <w:r w:rsidRPr="005F7C2F">
        <w:rPr>
          <w:highlight w:val="yellow"/>
          <w:lang w:val="en-GB"/>
        </w:rPr>
        <w:t xml:space="preserve">a </w:t>
      </w:r>
      <w:r w:rsidR="00A26DE9" w:rsidRPr="005F7C2F">
        <w:rPr>
          <w:highlight w:val="yellow"/>
          <w:lang w:val="en-GB"/>
        </w:rPr>
        <w:t xml:space="preserve">new </w:t>
      </w:r>
      <w:r w:rsidR="009B2974" w:rsidRPr="005F7C2F">
        <w:rPr>
          <w:highlight w:val="yellow"/>
          <w:lang w:val="en-GB"/>
        </w:rPr>
        <w:t xml:space="preserve">equivalent </w:t>
      </w:r>
      <w:r w:rsidRPr="005F7C2F">
        <w:rPr>
          <w:highlight w:val="yellow"/>
          <w:lang w:val="en-GB"/>
        </w:rPr>
        <w:t>amount in accordance with paragraph (</w:t>
      </w:r>
      <w:r w:rsidR="00FF222F">
        <w:rPr>
          <w:highlight w:val="yellow"/>
          <w:lang w:val="en-GB"/>
        </w:rPr>
        <w:t>4</w:t>
      </w:r>
      <w:r w:rsidRPr="005F7C2F">
        <w:rPr>
          <w:highlight w:val="yellow"/>
          <w:lang w:val="en-GB"/>
        </w:rPr>
        <w:t>), above if</w:t>
      </w:r>
      <w:r w:rsidR="009B2974" w:rsidRPr="005F7C2F">
        <w:rPr>
          <w:highlight w:val="yellow"/>
          <w:lang w:val="en-GB"/>
        </w:rPr>
        <w:t xml:space="preserve"> a new</w:t>
      </w:r>
      <w:r w:rsidR="00F93DE6" w:rsidRPr="005F7C2F">
        <w:rPr>
          <w:highlight w:val="yellow"/>
          <w:lang w:val="en-GB"/>
        </w:rPr>
        <w:t xml:space="preserve"> amount of the</w:t>
      </w:r>
      <w:r w:rsidR="009B2974" w:rsidRPr="005F7C2F">
        <w:rPr>
          <w:highlight w:val="yellow"/>
          <w:lang w:val="en-GB"/>
        </w:rPr>
        <w:t xml:space="preserve"> </w:t>
      </w:r>
      <w:r w:rsidR="00A26DE9" w:rsidRPr="005F7C2F">
        <w:rPr>
          <w:highlight w:val="yellow"/>
          <w:lang w:val="en-GB"/>
        </w:rPr>
        <w:t xml:space="preserve">international </w:t>
      </w:r>
      <w:r w:rsidR="009B2974" w:rsidRPr="005F7C2F">
        <w:rPr>
          <w:highlight w:val="yellow"/>
          <w:lang w:val="en-GB"/>
        </w:rPr>
        <w:t>filing fee</w:t>
      </w:r>
      <w:r w:rsidR="006E3D2A" w:rsidRPr="005F7C2F">
        <w:rPr>
          <w:highlight w:val="yellow"/>
          <w:lang w:val="en-GB"/>
        </w:rPr>
        <w:t xml:space="preserve"> or the</w:t>
      </w:r>
      <w:r w:rsidR="009B2974" w:rsidRPr="005F7C2F">
        <w:rPr>
          <w:highlight w:val="yellow"/>
          <w:lang w:val="en-GB"/>
        </w:rPr>
        <w:t xml:space="preserve"> handling fee</w:t>
      </w:r>
      <w:r w:rsidR="006E3D2A" w:rsidRPr="005F7C2F">
        <w:rPr>
          <w:highlight w:val="yellow"/>
          <w:lang w:val="en-GB"/>
        </w:rPr>
        <w:t xml:space="preserve"> in Swiss francs</w:t>
      </w:r>
      <w:r w:rsidR="00A26DE9" w:rsidRPr="005F7C2F">
        <w:rPr>
          <w:highlight w:val="yellow"/>
          <w:lang w:val="en-GB"/>
        </w:rPr>
        <w:t>,</w:t>
      </w:r>
      <w:r w:rsidR="006E3D2A" w:rsidRPr="005F7C2F">
        <w:rPr>
          <w:highlight w:val="yellow"/>
          <w:lang w:val="en-GB"/>
        </w:rPr>
        <w:t xml:space="preserve"> or of the</w:t>
      </w:r>
      <w:r w:rsidR="009B2974" w:rsidRPr="005F7C2F">
        <w:rPr>
          <w:highlight w:val="yellow"/>
          <w:lang w:val="en-GB"/>
        </w:rPr>
        <w:t xml:space="preserve"> search fee or supplementary search fee in the fixed currency has been set or notified to him, which would cause the new equivalent amount to be superseded less than four weeks after it</w:t>
      </w:r>
      <w:r w:rsidR="00923900" w:rsidRPr="005F7C2F">
        <w:rPr>
          <w:highlight w:val="yellow"/>
          <w:lang w:val="en-GB"/>
        </w:rPr>
        <w:t xml:space="preserve"> would otherwise</w:t>
      </w:r>
      <w:r w:rsidR="009B2974" w:rsidRPr="005F7C2F">
        <w:rPr>
          <w:highlight w:val="yellow"/>
          <w:lang w:val="en-GB"/>
        </w:rPr>
        <w:t xml:space="preserve"> </w:t>
      </w:r>
      <w:r w:rsidR="00A26DE9" w:rsidRPr="005F7C2F">
        <w:rPr>
          <w:highlight w:val="yellow"/>
          <w:lang w:val="en-GB"/>
        </w:rPr>
        <w:t xml:space="preserve">have </w:t>
      </w:r>
      <w:r w:rsidR="009B2974" w:rsidRPr="005F7C2F">
        <w:rPr>
          <w:highlight w:val="yellow"/>
          <w:lang w:val="en-GB"/>
        </w:rPr>
        <w:t>ent</w:t>
      </w:r>
      <w:r w:rsidR="00923900" w:rsidRPr="005F7C2F">
        <w:rPr>
          <w:highlight w:val="yellow"/>
          <w:lang w:val="en-GB"/>
        </w:rPr>
        <w:t>er</w:t>
      </w:r>
      <w:r w:rsidR="00A26DE9" w:rsidRPr="005F7C2F">
        <w:rPr>
          <w:highlight w:val="yellow"/>
          <w:lang w:val="en-GB"/>
        </w:rPr>
        <w:t>ed</w:t>
      </w:r>
      <w:r w:rsidR="009B2974" w:rsidRPr="005F7C2F">
        <w:rPr>
          <w:highlight w:val="yellow"/>
          <w:lang w:val="en-GB"/>
        </w:rPr>
        <w:t xml:space="preserve"> into force</w:t>
      </w:r>
      <w:r w:rsidR="009E5964" w:rsidRPr="005F7C2F">
        <w:rPr>
          <w:highlight w:val="yellow"/>
          <w:lang w:val="en-GB"/>
        </w:rPr>
        <w:t xml:space="preserve"> by </w:t>
      </w:r>
      <w:r w:rsidR="00A26DE9" w:rsidRPr="005F7C2F">
        <w:rPr>
          <w:highlight w:val="yellow"/>
          <w:lang w:val="en-GB"/>
        </w:rPr>
        <w:t>a</w:t>
      </w:r>
      <w:r w:rsidR="009E5964" w:rsidRPr="005F7C2F">
        <w:rPr>
          <w:highlight w:val="yellow"/>
          <w:lang w:val="en-GB"/>
        </w:rPr>
        <w:t xml:space="preserve"> </w:t>
      </w:r>
      <w:r w:rsidR="00A26DE9" w:rsidRPr="005F7C2F">
        <w:rPr>
          <w:highlight w:val="yellow"/>
          <w:lang w:val="en-GB"/>
        </w:rPr>
        <w:t xml:space="preserve">new </w:t>
      </w:r>
      <w:r w:rsidR="009E5964" w:rsidRPr="005F7C2F">
        <w:rPr>
          <w:highlight w:val="yellow"/>
          <w:lang w:val="en-GB"/>
        </w:rPr>
        <w:t xml:space="preserve">equivalent amount </w:t>
      </w:r>
      <w:r w:rsidR="00A26DE9" w:rsidRPr="005F7C2F">
        <w:rPr>
          <w:highlight w:val="yellow"/>
          <w:lang w:val="en-GB"/>
        </w:rPr>
        <w:t>established</w:t>
      </w:r>
      <w:r w:rsidR="009E5964" w:rsidRPr="005F7C2F">
        <w:rPr>
          <w:highlight w:val="yellow"/>
          <w:lang w:val="en-GB"/>
        </w:rPr>
        <w:t xml:space="preserve"> under paragraph </w:t>
      </w:r>
      <w:r w:rsidR="00FF222F">
        <w:rPr>
          <w:highlight w:val="yellow"/>
          <w:lang w:val="en-GB"/>
        </w:rPr>
        <w:t xml:space="preserve">[(3) or] </w:t>
      </w:r>
      <w:r w:rsidR="009E5964" w:rsidRPr="005F7C2F">
        <w:rPr>
          <w:highlight w:val="yellow"/>
          <w:lang w:val="en-GB"/>
        </w:rPr>
        <w:t>(</w:t>
      </w:r>
      <w:r w:rsidR="00FF222F">
        <w:rPr>
          <w:highlight w:val="yellow"/>
          <w:lang w:val="en-GB"/>
        </w:rPr>
        <w:t>5</w:t>
      </w:r>
      <w:r w:rsidR="009E5964" w:rsidRPr="005F7C2F">
        <w:rPr>
          <w:highlight w:val="yellow"/>
          <w:lang w:val="en-GB"/>
        </w:rPr>
        <w:t>)</w:t>
      </w:r>
      <w:r w:rsidRPr="005F7C2F">
        <w:rPr>
          <w:highlight w:val="yellow"/>
          <w:lang w:val="en-GB"/>
        </w:rPr>
        <w:t>.</w:t>
      </w:r>
    </w:p>
    <w:bookmarkEnd w:id="2"/>
    <w:p w14:paraId="0508CA7F" w14:textId="77777777" w:rsidR="00ED0C79" w:rsidRDefault="00ED0C79" w:rsidP="00ED0C79"/>
    <w:p w14:paraId="473F2279" w14:textId="77777777" w:rsidR="00262EDC" w:rsidRDefault="00262EDC"/>
    <w:p w14:paraId="4DD8DA99" w14:textId="37280E20" w:rsidR="001D28EA" w:rsidRDefault="001D28EA" w:rsidP="001D28EA">
      <w:pPr>
        <w:ind w:left="6096"/>
      </w:pPr>
      <w:r>
        <w:t>[End]</w:t>
      </w:r>
    </w:p>
    <w:sectPr w:rsidR="001D28EA" w:rsidSect="001D28EA">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4954" w14:textId="77777777" w:rsidR="00B57383" w:rsidRDefault="00B57383" w:rsidP="00ED0C79">
      <w:r>
        <w:separator/>
      </w:r>
    </w:p>
  </w:endnote>
  <w:endnote w:type="continuationSeparator" w:id="0">
    <w:p w14:paraId="22DA6425" w14:textId="77777777" w:rsidR="00B57383" w:rsidRDefault="00B57383" w:rsidP="00ED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BCAA" w14:textId="644A49C4" w:rsidR="00ED0C79" w:rsidRDefault="00ED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D14" w14:textId="7E7EDF52" w:rsidR="00ED0C79" w:rsidRDefault="00ED0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749E" w14:textId="31A76949" w:rsidR="00ED0C79" w:rsidRDefault="00ED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17AE7" w14:textId="77777777" w:rsidR="00B57383" w:rsidRDefault="00B57383" w:rsidP="00ED0C79">
      <w:r>
        <w:separator/>
      </w:r>
    </w:p>
  </w:footnote>
  <w:footnote w:type="continuationSeparator" w:id="0">
    <w:p w14:paraId="0B3EB54F" w14:textId="77777777" w:rsidR="00B57383" w:rsidRDefault="00B57383" w:rsidP="00ED0C79">
      <w:r>
        <w:continuationSeparator/>
      </w:r>
    </w:p>
  </w:footnote>
  <w:footnote w:id="1">
    <w:p w14:paraId="3D4D26FB" w14:textId="77777777" w:rsidR="00ED0C79" w:rsidRDefault="00ED0C79" w:rsidP="00ED0C79">
      <w:pPr>
        <w:pStyle w:val="FootnoteText"/>
      </w:pPr>
      <w:r>
        <w:rPr>
          <w:rStyle w:val="FootnoteReference"/>
        </w:rPr>
        <w:footnoteRef/>
      </w:r>
      <w:r>
        <w:t xml:space="preserve"> </w:t>
      </w:r>
      <w:r>
        <w:tab/>
        <w:t xml:space="preserve">Changes are shown using underline and strikeout compared to the directives </w:t>
      </w:r>
      <w:r w:rsidRPr="00467294">
        <w:t xml:space="preserve">in force </w:t>
      </w:r>
      <w:r>
        <w:t xml:space="preserve">since </w:t>
      </w:r>
      <w:r w:rsidRPr="00467294">
        <w:t>July 1, 2010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1D32" w14:textId="64B90AA6" w:rsidR="001D28EA" w:rsidRPr="00923900" w:rsidRDefault="001D28EA" w:rsidP="001D28EA">
    <w:pPr>
      <w:tabs>
        <w:tab w:val="center" w:pos="546"/>
      </w:tabs>
      <w:spacing w:after="220"/>
      <w:jc w:val="right"/>
    </w:pPr>
    <w:r w:rsidRPr="00923900">
      <w:t>PCT/WG/18</w:t>
    </w:r>
    <w:r w:rsidRPr="00923900">
      <w:br/>
    </w:r>
    <w:r>
      <w:t xml:space="preserve">Paper No. 3, page </w:t>
    </w:r>
    <w:r>
      <w:fldChar w:fldCharType="begin"/>
    </w:r>
    <w:r>
      <w:instrText xml:space="preserve"> PAGE   \* MERGEFORMAT </w:instrText>
    </w:r>
    <w:r>
      <w:fldChar w:fldCharType="separate"/>
    </w:r>
    <w:r>
      <w:rPr>
        <w:noProof/>
      </w:rPr>
      <w:t>1</w:t>
    </w:r>
    <w:r>
      <w:rPr>
        <w:noProof/>
      </w:rPr>
      <w:fldChar w:fldCharType="end"/>
    </w:r>
    <w:r>
      <w:t xml:space="preserve"> </w:t>
    </w:r>
  </w:p>
  <w:p w14:paraId="01F70D4A" w14:textId="77777777" w:rsidR="001D28EA" w:rsidRPr="00923900" w:rsidRDefault="001D28EA" w:rsidP="001D28EA">
    <w:pPr>
      <w:pStyle w:val="Header"/>
    </w:pPr>
  </w:p>
  <w:p w14:paraId="0B979B4B" w14:textId="77777777" w:rsidR="00923900" w:rsidRPr="001D28EA" w:rsidRDefault="00923900" w:rsidP="001D2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88C0" w14:textId="74308E61" w:rsidR="001D28EA" w:rsidRPr="00923900" w:rsidRDefault="001D28EA" w:rsidP="001D28EA">
    <w:pPr>
      <w:tabs>
        <w:tab w:val="center" w:pos="546"/>
      </w:tabs>
      <w:spacing w:after="220"/>
      <w:jc w:val="right"/>
    </w:pPr>
    <w:r w:rsidRPr="00923900">
      <w:t>PCT/WG/18</w:t>
    </w:r>
    <w:r w:rsidRPr="00923900">
      <w:br/>
    </w:r>
    <w:r>
      <w:t>Paper No. 3</w:t>
    </w:r>
    <w:r>
      <w:br/>
    </w:r>
    <w:r w:rsidR="00DC2E04">
      <w:t>February</w:t>
    </w:r>
    <w:r>
      <w:t xml:space="preserve"> 18, 2025</w:t>
    </w:r>
  </w:p>
  <w:p w14:paraId="1E1C28C9" w14:textId="77777777" w:rsidR="001D28EA" w:rsidRPr="00923900" w:rsidRDefault="001D28EA" w:rsidP="001D28EA">
    <w:pPr>
      <w:pStyle w:val="Header"/>
    </w:pPr>
  </w:p>
  <w:p w14:paraId="0D737734" w14:textId="77777777" w:rsidR="001D28EA" w:rsidRDefault="001D2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00186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C79"/>
    <w:rsid w:val="000548BB"/>
    <w:rsid w:val="001C6B1C"/>
    <w:rsid w:val="001D28EA"/>
    <w:rsid w:val="00262EDC"/>
    <w:rsid w:val="00273FFA"/>
    <w:rsid w:val="00473DE2"/>
    <w:rsid w:val="005E39F5"/>
    <w:rsid w:val="005F7C2F"/>
    <w:rsid w:val="00647600"/>
    <w:rsid w:val="00693BD1"/>
    <w:rsid w:val="006E3D2A"/>
    <w:rsid w:val="00701C90"/>
    <w:rsid w:val="00711509"/>
    <w:rsid w:val="0071519C"/>
    <w:rsid w:val="00742803"/>
    <w:rsid w:val="007A73D7"/>
    <w:rsid w:val="00923900"/>
    <w:rsid w:val="00976311"/>
    <w:rsid w:val="009B2974"/>
    <w:rsid w:val="009C0C4A"/>
    <w:rsid w:val="009E5964"/>
    <w:rsid w:val="00A26DE9"/>
    <w:rsid w:val="00A90FFD"/>
    <w:rsid w:val="00A93A60"/>
    <w:rsid w:val="00AA4881"/>
    <w:rsid w:val="00B27025"/>
    <w:rsid w:val="00B57383"/>
    <w:rsid w:val="00BB2E13"/>
    <w:rsid w:val="00CF5EA3"/>
    <w:rsid w:val="00DC2E04"/>
    <w:rsid w:val="00EC28B3"/>
    <w:rsid w:val="00EC5F6E"/>
    <w:rsid w:val="00ED0C79"/>
    <w:rsid w:val="00F93DE6"/>
    <w:rsid w:val="00FF22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D8B0"/>
  <w15:chartTrackingRefBased/>
  <w15:docId w15:val="{6E5CD086-B008-435F-AE77-32C25F9B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C79"/>
    <w:pPr>
      <w:spacing w:after="0" w:line="240" w:lineRule="auto"/>
    </w:pPr>
    <w:rPr>
      <w:rFonts w:ascii="Arial" w:eastAsia="SimSun" w:hAnsi="Arial" w:cs="Arial"/>
      <w:kern w:val="0"/>
      <w:sz w:val="22"/>
      <w:szCs w:val="20"/>
      <w:lang w:val="en-US" w:eastAsia="zh-CN"/>
      <w14:ligatures w14:val="none"/>
    </w:rPr>
  </w:style>
  <w:style w:type="paragraph" w:styleId="Heading1">
    <w:name w:val="heading 1"/>
    <w:basedOn w:val="Normal"/>
    <w:next w:val="Normal"/>
    <w:link w:val="Heading1Char"/>
    <w:uiPriority w:val="9"/>
    <w:qFormat/>
    <w:rsid w:val="00ED0C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CH" w:eastAsia="en-US"/>
      <w14:ligatures w14:val="standardContextual"/>
    </w:rPr>
  </w:style>
  <w:style w:type="paragraph" w:styleId="Heading2">
    <w:name w:val="heading 2"/>
    <w:basedOn w:val="Normal"/>
    <w:next w:val="Normal"/>
    <w:link w:val="Heading2Char"/>
    <w:uiPriority w:val="9"/>
    <w:semiHidden/>
    <w:unhideWhenUsed/>
    <w:qFormat/>
    <w:rsid w:val="00ED0C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CH" w:eastAsia="en-US"/>
      <w14:ligatures w14:val="standardContextual"/>
    </w:rPr>
  </w:style>
  <w:style w:type="paragraph" w:styleId="Heading3">
    <w:name w:val="heading 3"/>
    <w:basedOn w:val="Normal"/>
    <w:next w:val="Normal"/>
    <w:link w:val="Heading3Char"/>
    <w:uiPriority w:val="9"/>
    <w:semiHidden/>
    <w:unhideWhenUsed/>
    <w:qFormat/>
    <w:rsid w:val="00ED0C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CH" w:eastAsia="en-US"/>
      <w14:ligatures w14:val="standardContextual"/>
    </w:rPr>
  </w:style>
  <w:style w:type="paragraph" w:styleId="Heading4">
    <w:name w:val="heading 4"/>
    <w:basedOn w:val="Normal"/>
    <w:next w:val="Normal"/>
    <w:link w:val="Heading4Char"/>
    <w:uiPriority w:val="9"/>
    <w:semiHidden/>
    <w:unhideWhenUsed/>
    <w:qFormat/>
    <w:rsid w:val="00ED0C7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fr-CH" w:eastAsia="en-US"/>
      <w14:ligatures w14:val="standardContextual"/>
    </w:rPr>
  </w:style>
  <w:style w:type="paragraph" w:styleId="Heading5">
    <w:name w:val="heading 5"/>
    <w:basedOn w:val="Normal"/>
    <w:next w:val="Normal"/>
    <w:link w:val="Heading5Char"/>
    <w:uiPriority w:val="9"/>
    <w:semiHidden/>
    <w:unhideWhenUsed/>
    <w:qFormat/>
    <w:rsid w:val="00ED0C7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fr-CH" w:eastAsia="en-US"/>
      <w14:ligatures w14:val="standardContextual"/>
    </w:rPr>
  </w:style>
  <w:style w:type="paragraph" w:styleId="Heading6">
    <w:name w:val="heading 6"/>
    <w:basedOn w:val="Normal"/>
    <w:next w:val="Normal"/>
    <w:link w:val="Heading6Char"/>
    <w:uiPriority w:val="9"/>
    <w:semiHidden/>
    <w:unhideWhenUsed/>
    <w:qFormat/>
    <w:rsid w:val="00ED0C7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fr-CH" w:eastAsia="en-US"/>
      <w14:ligatures w14:val="standardContextual"/>
    </w:rPr>
  </w:style>
  <w:style w:type="paragraph" w:styleId="Heading7">
    <w:name w:val="heading 7"/>
    <w:basedOn w:val="Normal"/>
    <w:next w:val="Normal"/>
    <w:link w:val="Heading7Char"/>
    <w:uiPriority w:val="9"/>
    <w:semiHidden/>
    <w:unhideWhenUsed/>
    <w:qFormat/>
    <w:rsid w:val="00ED0C7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fr-CH" w:eastAsia="en-US"/>
      <w14:ligatures w14:val="standardContextual"/>
    </w:rPr>
  </w:style>
  <w:style w:type="paragraph" w:styleId="Heading8">
    <w:name w:val="heading 8"/>
    <w:basedOn w:val="Normal"/>
    <w:next w:val="Normal"/>
    <w:link w:val="Heading8Char"/>
    <w:uiPriority w:val="9"/>
    <w:semiHidden/>
    <w:unhideWhenUsed/>
    <w:qFormat/>
    <w:rsid w:val="00ED0C7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fr-CH" w:eastAsia="en-US"/>
      <w14:ligatures w14:val="standardContextual"/>
    </w:rPr>
  </w:style>
  <w:style w:type="paragraph" w:styleId="Heading9">
    <w:name w:val="heading 9"/>
    <w:basedOn w:val="Normal"/>
    <w:next w:val="Normal"/>
    <w:link w:val="Heading9Char"/>
    <w:uiPriority w:val="9"/>
    <w:semiHidden/>
    <w:unhideWhenUsed/>
    <w:qFormat/>
    <w:rsid w:val="00ED0C79"/>
    <w:pPr>
      <w:keepNext/>
      <w:keepLines/>
      <w:spacing w:line="278" w:lineRule="auto"/>
      <w:outlineLvl w:val="8"/>
    </w:pPr>
    <w:rPr>
      <w:rFonts w:asciiTheme="minorHAnsi" w:eastAsiaTheme="majorEastAsia" w:hAnsiTheme="minorHAnsi" w:cstheme="majorBidi"/>
      <w:color w:val="272727" w:themeColor="text1" w:themeTint="D8"/>
      <w:kern w:val="2"/>
      <w:sz w:val="24"/>
      <w:szCs w:val="24"/>
      <w:lang w:val="fr-C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C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C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C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C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C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C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C79"/>
    <w:rPr>
      <w:rFonts w:eastAsiaTheme="majorEastAsia" w:cstheme="majorBidi"/>
      <w:color w:val="272727" w:themeColor="text1" w:themeTint="D8"/>
    </w:rPr>
  </w:style>
  <w:style w:type="paragraph" w:styleId="Title">
    <w:name w:val="Title"/>
    <w:basedOn w:val="Normal"/>
    <w:next w:val="Normal"/>
    <w:link w:val="TitleChar"/>
    <w:uiPriority w:val="10"/>
    <w:qFormat/>
    <w:rsid w:val="00ED0C79"/>
    <w:pPr>
      <w:spacing w:after="80"/>
      <w:contextualSpacing/>
    </w:pPr>
    <w:rPr>
      <w:rFonts w:asciiTheme="majorHAnsi" w:eastAsiaTheme="majorEastAsia" w:hAnsiTheme="majorHAnsi" w:cstheme="majorBidi"/>
      <w:spacing w:val="-10"/>
      <w:kern w:val="28"/>
      <w:sz w:val="56"/>
      <w:szCs w:val="56"/>
      <w:lang w:val="fr-CH" w:eastAsia="en-US"/>
      <w14:ligatures w14:val="standardContextual"/>
    </w:rPr>
  </w:style>
  <w:style w:type="character" w:customStyle="1" w:styleId="TitleChar">
    <w:name w:val="Title Char"/>
    <w:basedOn w:val="DefaultParagraphFont"/>
    <w:link w:val="Title"/>
    <w:uiPriority w:val="10"/>
    <w:rsid w:val="00ED0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C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CH" w:eastAsia="en-US"/>
      <w14:ligatures w14:val="standardContextual"/>
    </w:rPr>
  </w:style>
  <w:style w:type="character" w:customStyle="1" w:styleId="SubtitleChar">
    <w:name w:val="Subtitle Char"/>
    <w:basedOn w:val="DefaultParagraphFont"/>
    <w:link w:val="Subtitle"/>
    <w:uiPriority w:val="11"/>
    <w:rsid w:val="00ED0C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C7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fr-CH" w:eastAsia="en-US"/>
      <w14:ligatures w14:val="standardContextual"/>
    </w:rPr>
  </w:style>
  <w:style w:type="character" w:customStyle="1" w:styleId="QuoteChar">
    <w:name w:val="Quote Char"/>
    <w:basedOn w:val="DefaultParagraphFont"/>
    <w:link w:val="Quote"/>
    <w:uiPriority w:val="29"/>
    <w:rsid w:val="00ED0C79"/>
    <w:rPr>
      <w:i/>
      <w:iCs/>
      <w:color w:val="404040" w:themeColor="text1" w:themeTint="BF"/>
    </w:rPr>
  </w:style>
  <w:style w:type="paragraph" w:styleId="ListParagraph">
    <w:name w:val="List Paragraph"/>
    <w:basedOn w:val="Normal"/>
    <w:uiPriority w:val="34"/>
    <w:qFormat/>
    <w:rsid w:val="00ED0C79"/>
    <w:pPr>
      <w:spacing w:after="160" w:line="278" w:lineRule="auto"/>
      <w:ind w:left="720"/>
      <w:contextualSpacing/>
    </w:pPr>
    <w:rPr>
      <w:rFonts w:asciiTheme="minorHAnsi" w:eastAsiaTheme="minorHAnsi" w:hAnsiTheme="minorHAnsi" w:cstheme="minorBidi"/>
      <w:kern w:val="2"/>
      <w:sz w:val="24"/>
      <w:szCs w:val="24"/>
      <w:lang w:val="fr-CH" w:eastAsia="en-US"/>
      <w14:ligatures w14:val="standardContextual"/>
    </w:rPr>
  </w:style>
  <w:style w:type="character" w:styleId="IntenseEmphasis">
    <w:name w:val="Intense Emphasis"/>
    <w:basedOn w:val="DefaultParagraphFont"/>
    <w:uiPriority w:val="21"/>
    <w:qFormat/>
    <w:rsid w:val="00ED0C79"/>
    <w:rPr>
      <w:i/>
      <w:iCs/>
      <w:color w:val="0F4761" w:themeColor="accent1" w:themeShade="BF"/>
    </w:rPr>
  </w:style>
  <w:style w:type="paragraph" w:styleId="IntenseQuote">
    <w:name w:val="Intense Quote"/>
    <w:basedOn w:val="Normal"/>
    <w:next w:val="Normal"/>
    <w:link w:val="IntenseQuoteChar"/>
    <w:uiPriority w:val="30"/>
    <w:qFormat/>
    <w:rsid w:val="00ED0C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CH" w:eastAsia="en-US"/>
      <w14:ligatures w14:val="standardContextual"/>
    </w:rPr>
  </w:style>
  <w:style w:type="character" w:customStyle="1" w:styleId="IntenseQuoteChar">
    <w:name w:val="Intense Quote Char"/>
    <w:basedOn w:val="DefaultParagraphFont"/>
    <w:link w:val="IntenseQuote"/>
    <w:uiPriority w:val="30"/>
    <w:rsid w:val="00ED0C79"/>
    <w:rPr>
      <w:i/>
      <w:iCs/>
      <w:color w:val="0F4761" w:themeColor="accent1" w:themeShade="BF"/>
    </w:rPr>
  </w:style>
  <w:style w:type="character" w:styleId="IntenseReference">
    <w:name w:val="Intense Reference"/>
    <w:basedOn w:val="DefaultParagraphFont"/>
    <w:uiPriority w:val="32"/>
    <w:qFormat/>
    <w:rsid w:val="00ED0C79"/>
    <w:rPr>
      <w:b/>
      <w:bCs/>
      <w:smallCaps/>
      <w:color w:val="0F4761" w:themeColor="accent1" w:themeShade="BF"/>
      <w:spacing w:val="5"/>
    </w:rPr>
  </w:style>
  <w:style w:type="paragraph" w:styleId="FootnoteText">
    <w:name w:val="footnote text"/>
    <w:basedOn w:val="Normal"/>
    <w:link w:val="FootnoteTextChar"/>
    <w:semiHidden/>
    <w:rsid w:val="00ED0C79"/>
    <w:rPr>
      <w:sz w:val="20"/>
    </w:rPr>
  </w:style>
  <w:style w:type="character" w:customStyle="1" w:styleId="FootnoteTextChar">
    <w:name w:val="Footnote Text Char"/>
    <w:basedOn w:val="DefaultParagraphFont"/>
    <w:link w:val="FootnoteText"/>
    <w:semiHidden/>
    <w:rsid w:val="00ED0C79"/>
    <w:rPr>
      <w:rFonts w:ascii="Arial" w:eastAsia="SimSun" w:hAnsi="Arial" w:cs="Arial"/>
      <w:kern w:val="0"/>
      <w:sz w:val="20"/>
      <w:szCs w:val="20"/>
      <w:lang w:val="en-US" w:eastAsia="zh-CN"/>
      <w14:ligatures w14:val="none"/>
    </w:rPr>
  </w:style>
  <w:style w:type="character" w:styleId="FootnoteReference">
    <w:name w:val="footnote reference"/>
    <w:basedOn w:val="DefaultParagraphFont"/>
    <w:semiHidden/>
    <w:unhideWhenUsed/>
    <w:rsid w:val="00ED0C79"/>
    <w:rPr>
      <w:vertAlign w:val="superscript"/>
    </w:rPr>
  </w:style>
  <w:style w:type="character" w:styleId="Hyperlink">
    <w:name w:val="Hyperlink"/>
    <w:basedOn w:val="DefaultParagraphFont"/>
    <w:unhideWhenUsed/>
    <w:rsid w:val="00ED0C79"/>
    <w:rPr>
      <w:color w:val="auto"/>
      <w:u w:val="none"/>
    </w:rPr>
  </w:style>
  <w:style w:type="character" w:customStyle="1" w:styleId="LegDeletedText">
    <w:name w:val="Leg Deleted Text"/>
    <w:basedOn w:val="DefaultParagraphFont"/>
    <w:uiPriority w:val="1"/>
    <w:qFormat/>
    <w:rsid w:val="00ED0C79"/>
    <w:rPr>
      <w:strike/>
      <w:color w:val="FF0000"/>
    </w:rPr>
  </w:style>
  <w:style w:type="character" w:customStyle="1" w:styleId="LegInsertedText">
    <w:name w:val="LegInsertedText"/>
    <w:rsid w:val="00ED0C79"/>
    <w:rPr>
      <w:color w:val="0000FF"/>
      <w:u w:val="single"/>
    </w:rPr>
  </w:style>
  <w:style w:type="paragraph" w:styleId="Footer">
    <w:name w:val="footer"/>
    <w:basedOn w:val="Normal"/>
    <w:link w:val="FooterChar"/>
    <w:uiPriority w:val="99"/>
    <w:unhideWhenUsed/>
    <w:rsid w:val="00ED0C79"/>
    <w:pPr>
      <w:tabs>
        <w:tab w:val="center" w:pos="4680"/>
        <w:tab w:val="right" w:pos="9360"/>
      </w:tabs>
    </w:pPr>
  </w:style>
  <w:style w:type="character" w:customStyle="1" w:styleId="FooterChar">
    <w:name w:val="Footer Char"/>
    <w:basedOn w:val="DefaultParagraphFont"/>
    <w:link w:val="Footer"/>
    <w:uiPriority w:val="99"/>
    <w:rsid w:val="00ED0C79"/>
    <w:rPr>
      <w:rFonts w:ascii="Arial" w:eastAsia="SimSun" w:hAnsi="Arial" w:cs="Arial"/>
      <w:kern w:val="0"/>
      <w:sz w:val="22"/>
      <w:szCs w:val="20"/>
      <w:lang w:val="en-US" w:eastAsia="zh-CN"/>
      <w14:ligatures w14:val="none"/>
    </w:rPr>
  </w:style>
  <w:style w:type="paragraph" w:styleId="Header">
    <w:name w:val="header"/>
    <w:basedOn w:val="Normal"/>
    <w:link w:val="HeaderChar"/>
    <w:uiPriority w:val="99"/>
    <w:unhideWhenUsed/>
    <w:rsid w:val="00923900"/>
    <w:pPr>
      <w:tabs>
        <w:tab w:val="center" w:pos="4513"/>
        <w:tab w:val="right" w:pos="9026"/>
      </w:tabs>
    </w:pPr>
  </w:style>
  <w:style w:type="character" w:customStyle="1" w:styleId="HeaderChar">
    <w:name w:val="Header Char"/>
    <w:basedOn w:val="DefaultParagraphFont"/>
    <w:link w:val="Header"/>
    <w:uiPriority w:val="99"/>
    <w:rsid w:val="00923900"/>
    <w:rPr>
      <w:rFonts w:ascii="Arial" w:eastAsia="SimSun" w:hAnsi="Arial" w:cs="Arial"/>
      <w:kern w:val="0"/>
      <w:sz w:val="22"/>
      <w:szCs w:val="20"/>
      <w:lang w:val="en-US" w:eastAsia="zh-CN"/>
      <w14:ligatures w14:val="none"/>
    </w:rPr>
  </w:style>
  <w:style w:type="paragraph" w:customStyle="1" w:styleId="ONUME">
    <w:name w:val="ONUM E"/>
    <w:basedOn w:val="BodyText"/>
    <w:rsid w:val="00923900"/>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923900"/>
    <w:pPr>
      <w:spacing w:after="120"/>
    </w:pPr>
  </w:style>
  <w:style w:type="character" w:customStyle="1" w:styleId="BodyTextChar">
    <w:name w:val="Body Text Char"/>
    <w:basedOn w:val="DefaultParagraphFont"/>
    <w:link w:val="BodyText"/>
    <w:uiPriority w:val="99"/>
    <w:semiHidden/>
    <w:rsid w:val="00923900"/>
    <w:rPr>
      <w:rFonts w:ascii="Arial" w:eastAsia="SimSun" w:hAnsi="Arial" w:cs="Arial"/>
      <w:kern w:val="0"/>
      <w:sz w:val="22"/>
      <w:szCs w:val="20"/>
      <w:lang w:val="en-US" w:eastAsia="zh-CN"/>
      <w14:ligatures w14:val="none"/>
    </w:rPr>
  </w:style>
  <w:style w:type="paragraph" w:styleId="Revision">
    <w:name w:val="Revision"/>
    <w:hidden/>
    <w:uiPriority w:val="99"/>
    <w:semiHidden/>
    <w:rsid w:val="006E3D2A"/>
    <w:pPr>
      <w:spacing w:after="0" w:line="240" w:lineRule="auto"/>
    </w:pPr>
    <w:rPr>
      <w:rFonts w:ascii="Arial" w:eastAsia="SimSun" w:hAnsi="Arial" w:cs="Arial"/>
      <w:kern w:val="0"/>
      <w:sz w:val="22"/>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rules/r16.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ipo.int/pct/en/texts/rules/r15.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wipo.int/pct/en/texts/rules/r57.html" TargetMode="External"/><Relationship Id="rId4" Type="http://schemas.openxmlformats.org/officeDocument/2006/relationships/webSettings" Target="webSettings.xml"/><Relationship Id="rId9" Type="http://schemas.openxmlformats.org/officeDocument/2006/relationships/hyperlink" Target="https://www.wipo.int/pct/en/texts/rules/r45bi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 Paper No. 3</dc:title>
  <dc:subject/>
  <dc:creator>MARLOW Thomas</dc:creator>
  <cp:keywords/>
  <dc:description/>
  <cp:lastModifiedBy>MARLOW Thomas</cp:lastModifiedBy>
  <cp:revision>6</cp:revision>
  <cp:lastPrinted>2025-02-18T23:17:00Z</cp:lastPrinted>
  <dcterms:created xsi:type="dcterms:W3CDTF">2025-02-18T23:15:00Z</dcterms:created>
  <dcterms:modified xsi:type="dcterms:W3CDTF">2025-02-18T23:17:00Z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2025-02-18T23:16:28Z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108ccfc4-9a51-4e41-96c6-927295f9466a</vt:lpwstr>
  </property>
  <property fmtid="{D5CDD505-2E9C-101B-9397-08002B2CF9AE}" pid="8" name="MSIP_Label_20773ee6-353b-4fb9-a59d-0b94c8c67bea_ContentBits">
    <vt:lpwstr>0</vt:lpwstr>
  </property>
</Properties>
</file>