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0CF8" w14:textId="77777777" w:rsidR="00136E40" w:rsidRPr="00546401" w:rsidRDefault="00136E40" w:rsidP="00136E40">
      <w:pPr>
        <w:spacing w:after="120"/>
      </w:pPr>
    </w:p>
    <w:p w14:paraId="2A714FAD" w14:textId="77777777" w:rsidR="00136E40" w:rsidRPr="00546401" w:rsidRDefault="00136E40" w:rsidP="00136E40">
      <w:pPr>
        <w:jc w:val="right"/>
        <w:rPr>
          <w:rFonts w:ascii="Arial Black" w:hAnsi="Arial Black"/>
          <w:caps/>
          <w:sz w:val="15"/>
          <w:szCs w:val="15"/>
        </w:rPr>
      </w:pPr>
      <w:r w:rsidRPr="00546401">
        <w:rPr>
          <w:rFonts w:ascii="Arial Black" w:hAnsi="Arial Black"/>
          <w:caps/>
          <w:sz w:val="15"/>
          <w:szCs w:val="15"/>
        </w:rPr>
        <w:t>PCT/WG/17</w:t>
      </w:r>
      <w:r>
        <w:rPr>
          <w:rFonts w:ascii="Arial Black" w:hAnsi="Arial Black"/>
          <w:caps/>
          <w:sz w:val="15"/>
          <w:szCs w:val="15"/>
        </w:rPr>
        <w:t xml:space="preserve"> Paper No. 2</w:t>
      </w:r>
    </w:p>
    <w:p w14:paraId="580A618F" w14:textId="77777777" w:rsidR="00136E40" w:rsidRPr="00546401" w:rsidRDefault="00136E40" w:rsidP="00136E40">
      <w:pPr>
        <w:jc w:val="right"/>
        <w:rPr>
          <w:rFonts w:ascii="Arial Black" w:hAnsi="Arial Black"/>
          <w:caps/>
          <w:sz w:val="15"/>
          <w:szCs w:val="15"/>
        </w:rPr>
      </w:pPr>
      <w:r w:rsidRPr="00546401">
        <w:rPr>
          <w:rFonts w:ascii="Arial Black" w:hAnsi="Arial Black"/>
          <w:caps/>
          <w:sz w:val="15"/>
          <w:szCs w:val="15"/>
        </w:rPr>
        <w:t xml:space="preserve">ORIGINAL: </w:t>
      </w:r>
      <w:bookmarkStart w:id="0" w:name="Original"/>
      <w:r w:rsidRPr="00546401">
        <w:rPr>
          <w:rFonts w:ascii="Arial Black" w:hAnsi="Arial Black"/>
          <w:caps/>
          <w:sz w:val="15"/>
          <w:szCs w:val="15"/>
        </w:rPr>
        <w:t>English</w:t>
      </w:r>
      <w:r>
        <w:rPr>
          <w:rFonts w:ascii="Arial Black" w:hAnsi="Arial Black"/>
          <w:caps/>
          <w:sz w:val="15"/>
          <w:szCs w:val="15"/>
        </w:rPr>
        <w:t xml:space="preserve"> Only</w:t>
      </w:r>
    </w:p>
    <w:bookmarkEnd w:id="0"/>
    <w:p w14:paraId="214D9041" w14:textId="77777777" w:rsidR="00136E40" w:rsidRPr="00546401" w:rsidRDefault="00136E40" w:rsidP="00136E40">
      <w:pPr>
        <w:spacing w:after="1200"/>
        <w:jc w:val="right"/>
        <w:rPr>
          <w:rFonts w:ascii="Arial Black" w:hAnsi="Arial Black"/>
          <w:caps/>
          <w:sz w:val="15"/>
          <w:szCs w:val="15"/>
        </w:rPr>
      </w:pPr>
      <w:r w:rsidRPr="00546401">
        <w:rPr>
          <w:rFonts w:ascii="Arial Black" w:hAnsi="Arial Black"/>
          <w:caps/>
          <w:sz w:val="15"/>
          <w:szCs w:val="15"/>
        </w:rPr>
        <w:t xml:space="preserve">DATE: </w:t>
      </w:r>
      <w:bookmarkStart w:id="1" w:name="Date"/>
      <w:r w:rsidRPr="00546401">
        <w:rPr>
          <w:rFonts w:ascii="Arial Black" w:hAnsi="Arial Black"/>
          <w:caps/>
          <w:sz w:val="15"/>
          <w:szCs w:val="15"/>
        </w:rPr>
        <w:t xml:space="preserve">February </w:t>
      </w:r>
      <w:r>
        <w:rPr>
          <w:rFonts w:ascii="Arial Black" w:hAnsi="Arial Black"/>
          <w:caps/>
          <w:sz w:val="15"/>
          <w:szCs w:val="15"/>
        </w:rPr>
        <w:t>1</w:t>
      </w:r>
      <w:r w:rsidRPr="00546401">
        <w:rPr>
          <w:rFonts w:ascii="Arial Black" w:hAnsi="Arial Black"/>
          <w:caps/>
          <w:sz w:val="15"/>
          <w:szCs w:val="15"/>
        </w:rPr>
        <w:t>9, 2024</w:t>
      </w:r>
    </w:p>
    <w:bookmarkEnd w:id="1"/>
    <w:p w14:paraId="37A3D745" w14:textId="77777777" w:rsidR="00136E40" w:rsidRPr="00546401" w:rsidRDefault="00136E40" w:rsidP="00136E40">
      <w:pPr>
        <w:spacing w:after="720"/>
        <w:rPr>
          <w:b/>
          <w:sz w:val="28"/>
          <w:szCs w:val="28"/>
        </w:rPr>
      </w:pPr>
      <w:r w:rsidRPr="00546401">
        <w:rPr>
          <w:b/>
          <w:sz w:val="28"/>
          <w:szCs w:val="28"/>
        </w:rPr>
        <w:t>Patent Cooperation Treaty (PCT) Working Group</w:t>
      </w:r>
    </w:p>
    <w:p w14:paraId="23863AC0" w14:textId="77777777" w:rsidR="00136E40" w:rsidRPr="00546401" w:rsidRDefault="00136E40" w:rsidP="00136E40">
      <w:pPr>
        <w:rPr>
          <w:b/>
          <w:sz w:val="24"/>
          <w:szCs w:val="24"/>
        </w:rPr>
      </w:pPr>
      <w:r w:rsidRPr="00546401">
        <w:rPr>
          <w:b/>
          <w:sz w:val="24"/>
          <w:szCs w:val="24"/>
        </w:rPr>
        <w:t>Seventeenth Session</w:t>
      </w:r>
    </w:p>
    <w:p w14:paraId="6F889291" w14:textId="77777777" w:rsidR="00136E40" w:rsidRPr="00546401" w:rsidRDefault="00136E40" w:rsidP="00136E40">
      <w:pPr>
        <w:spacing w:after="720"/>
      </w:pPr>
      <w:r w:rsidRPr="00546401">
        <w:rPr>
          <w:b/>
          <w:sz w:val="24"/>
          <w:szCs w:val="24"/>
        </w:rPr>
        <w:t>Geneva, February 19 to 21, 2024</w:t>
      </w:r>
    </w:p>
    <w:p w14:paraId="56D5E3A1" w14:textId="762625CD" w:rsidR="009D7FB3" w:rsidRPr="00136E40" w:rsidRDefault="00136E40" w:rsidP="00136E40">
      <w:pPr>
        <w:spacing w:after="360"/>
        <w:rPr>
          <w:caps/>
          <w:sz w:val="24"/>
        </w:rPr>
      </w:pPr>
      <w:bookmarkStart w:id="2" w:name="Prepared"/>
      <w:r>
        <w:rPr>
          <w:caps/>
          <w:sz w:val="24"/>
        </w:rPr>
        <w:t>Citation of Non-Written Disclosures</w:t>
      </w:r>
      <w:bookmarkEnd w:id="2"/>
    </w:p>
    <w:p w14:paraId="668A6D5B" w14:textId="66505E2E" w:rsidR="00E64548" w:rsidRDefault="003917A1" w:rsidP="00D068A6">
      <w:pPr>
        <w:rPr>
          <w:noProof/>
        </w:rPr>
      </w:pPr>
      <w:bookmarkStart w:id="3" w:name="_Hlk158999136"/>
      <w:r>
        <w:rPr>
          <w:noProof/>
        </w:rPr>
        <w:t xml:space="preserve">Following comments </w:t>
      </w:r>
      <w:r w:rsidR="00752DD9">
        <w:rPr>
          <w:noProof/>
        </w:rPr>
        <w:t xml:space="preserve">informally </w:t>
      </w:r>
      <w:r>
        <w:rPr>
          <w:noProof/>
        </w:rPr>
        <w:t>received</w:t>
      </w:r>
      <w:r w:rsidR="00493568">
        <w:rPr>
          <w:noProof/>
        </w:rPr>
        <w:t xml:space="preserve"> in advance of the session, </w:t>
      </w:r>
      <w:r w:rsidR="00AA73A7">
        <w:rPr>
          <w:noProof/>
        </w:rPr>
        <w:t xml:space="preserve">this paper </w:t>
      </w:r>
      <w:r w:rsidR="009F178D">
        <w:rPr>
          <w:noProof/>
        </w:rPr>
        <w:t>sets out a revised set of</w:t>
      </w:r>
      <w:r w:rsidR="00493568">
        <w:rPr>
          <w:noProof/>
        </w:rPr>
        <w:t xml:space="preserve"> proposed amend</w:t>
      </w:r>
      <w:r w:rsidR="00AA73A7">
        <w:rPr>
          <w:noProof/>
        </w:rPr>
        <w:t>ments to</w:t>
      </w:r>
      <w:r w:rsidR="009F178D">
        <w:rPr>
          <w:noProof/>
        </w:rPr>
        <w:t xml:space="preserve"> the PCT Regulations </w:t>
      </w:r>
      <w:r w:rsidR="0045208D">
        <w:rPr>
          <w:noProof/>
        </w:rPr>
        <w:t xml:space="preserve">to those </w:t>
      </w:r>
      <w:r w:rsidR="009F178D">
        <w:rPr>
          <w:noProof/>
        </w:rPr>
        <w:t>presented in the Annex to document PCT/WG/1</w:t>
      </w:r>
      <w:r w:rsidR="00136E40">
        <w:rPr>
          <w:noProof/>
        </w:rPr>
        <w:t>7</w:t>
      </w:r>
      <w:r w:rsidR="009F178D">
        <w:rPr>
          <w:noProof/>
        </w:rPr>
        <w:t>/</w:t>
      </w:r>
      <w:r w:rsidR="00136E40">
        <w:rPr>
          <w:noProof/>
        </w:rPr>
        <w:t>10</w:t>
      </w:r>
      <w:r w:rsidR="009F178D">
        <w:rPr>
          <w:noProof/>
        </w:rPr>
        <w:t xml:space="preserve">.  </w:t>
      </w:r>
      <w:r w:rsidR="00136E40">
        <w:rPr>
          <w:noProof/>
        </w:rPr>
        <w:t xml:space="preserve">The changes from the proposed amendments in that document are highlighted and relate to Rule 64.2, where a deletion is necessary.  </w:t>
      </w:r>
      <w:r w:rsidR="009F178D">
        <w:rPr>
          <w:noProof/>
        </w:rPr>
        <w:t>Proposed amendments and deletions from the present PCT Regulations are indicated, respectively, by underlining and striking through the text concerned.</w:t>
      </w:r>
    </w:p>
    <w:bookmarkEnd w:id="3"/>
    <w:p w14:paraId="67921C0A" w14:textId="77777777" w:rsidR="00DB22C1" w:rsidRDefault="00DB22C1" w:rsidP="00D068A6">
      <w:pPr>
        <w:rPr>
          <w:noProof/>
        </w:rPr>
      </w:pPr>
    </w:p>
    <w:p w14:paraId="6B4A9F9F" w14:textId="77777777" w:rsidR="0045208D" w:rsidRDefault="00DB22C1" w:rsidP="0045208D">
      <w:pPr>
        <w:pStyle w:val="ONUME"/>
        <w:numPr>
          <w:ilvl w:val="0"/>
          <w:numId w:val="0"/>
        </w:numPr>
        <w:jc w:val="center"/>
      </w:pPr>
      <w:r w:rsidRPr="00351683">
        <w:rPr>
          <w:caps/>
        </w:rPr>
        <w:br/>
      </w:r>
      <w:r w:rsidRPr="00351683">
        <w:rPr>
          <w:caps/>
        </w:rPr>
        <w:br/>
      </w:r>
    </w:p>
    <w:p w14:paraId="28DA777F" w14:textId="77777777" w:rsidR="00DB22C1" w:rsidRDefault="00DB22C1" w:rsidP="00DB22C1"/>
    <w:p w14:paraId="602709CB" w14:textId="77777777" w:rsidR="00DB22C1" w:rsidRDefault="00DB22C1" w:rsidP="00DB22C1"/>
    <w:p w14:paraId="54AF9599" w14:textId="77777777" w:rsidR="00DB22C1" w:rsidRDefault="00DB22C1" w:rsidP="00DB22C1">
      <w:pPr>
        <w:pStyle w:val="ONUME"/>
        <w:numPr>
          <w:ilvl w:val="0"/>
          <w:numId w:val="0"/>
        </w:numPr>
        <w:jc w:val="center"/>
        <w:rPr>
          <w:caps/>
        </w:rPr>
      </w:pPr>
    </w:p>
    <w:p w14:paraId="48EC885F" w14:textId="77777777" w:rsidR="00EE7452" w:rsidRPr="006E324D" w:rsidRDefault="00EE7452" w:rsidP="00EE7452">
      <w:pPr>
        <w:pStyle w:val="LegTitle"/>
      </w:pPr>
      <w:bookmarkStart w:id="4" w:name="_Toc50028896"/>
      <w:bookmarkStart w:id="5" w:name="_Toc71915892"/>
      <w:bookmarkStart w:id="6" w:name="_Toc97741903"/>
      <w:bookmarkStart w:id="7" w:name="_Toc110263845"/>
      <w:bookmarkStart w:id="8" w:name="_Toc126080745"/>
      <w:bookmarkStart w:id="9" w:name="_Hlk158999639"/>
      <w:bookmarkStart w:id="10" w:name="_Hlk158999606"/>
      <w:r>
        <w:lastRenderedPageBreak/>
        <w:t>Rule 33</w:t>
      </w:r>
      <w:r w:rsidRPr="006E324D">
        <w:br/>
      </w:r>
      <w:bookmarkEnd w:id="4"/>
      <w:bookmarkEnd w:id="5"/>
      <w:r>
        <w:t>Relevant Prior Art for the International Search</w:t>
      </w:r>
      <w:bookmarkEnd w:id="6"/>
      <w:bookmarkEnd w:id="7"/>
    </w:p>
    <w:p w14:paraId="35388A44" w14:textId="77777777" w:rsidR="00EE7452" w:rsidRPr="006E324D" w:rsidRDefault="00EE7452" w:rsidP="00EE7452">
      <w:pPr>
        <w:pStyle w:val="LegSubRule"/>
        <w:keepLines w:val="0"/>
        <w:outlineLvl w:val="0"/>
      </w:pPr>
      <w:bookmarkStart w:id="11" w:name="_Toc50028897"/>
      <w:bookmarkStart w:id="12" w:name="_Toc71915893"/>
      <w:bookmarkStart w:id="13" w:name="_Toc97741904"/>
      <w:bookmarkStart w:id="14" w:name="_Toc110263846"/>
      <w:r>
        <w:t>33</w:t>
      </w:r>
      <w:r w:rsidRPr="006E324D">
        <w:t>.1   </w:t>
      </w:r>
      <w:bookmarkEnd w:id="11"/>
      <w:bookmarkEnd w:id="12"/>
      <w:r>
        <w:rPr>
          <w:i/>
        </w:rPr>
        <w:t>Relevant Prior Art for the International Search</w:t>
      </w:r>
      <w:bookmarkEnd w:id="13"/>
      <w:bookmarkEnd w:id="14"/>
    </w:p>
    <w:p w14:paraId="551D1FCE" w14:textId="77777777" w:rsidR="00EE7452" w:rsidRDefault="00EE7452" w:rsidP="00EE7452">
      <w:pPr>
        <w:pStyle w:val="Lega"/>
      </w:pPr>
      <w:r>
        <w:tab/>
        <w:t>(a)  </w:t>
      </w:r>
      <w:r w:rsidRPr="00BC3FC0">
        <w:t xml:space="preserve">For the purposes of Article 15(2), relevant prior art shall consist of everything which has been made available to the public anywhere in the world by </w:t>
      </w:r>
      <w:r>
        <w:rPr>
          <w:color w:val="0000FF"/>
          <w:u w:val="single"/>
        </w:rPr>
        <w:t>any</w:t>
      </w:r>
      <w:r>
        <w:t xml:space="preserve"> </w:t>
      </w:r>
      <w:r w:rsidRPr="00BC3FC0">
        <w:t xml:space="preserve">means </w:t>
      </w:r>
      <w:r w:rsidRPr="00C3181B">
        <w:rPr>
          <w:strike/>
          <w:color w:val="C00000"/>
        </w:rPr>
        <w:t>of written disclosure (including drawings and other illustrations) and</w:t>
      </w:r>
      <w:r w:rsidRPr="00C3181B">
        <w:rPr>
          <w:color w:val="C00000"/>
        </w:rPr>
        <w:t xml:space="preserve"> </w:t>
      </w:r>
      <w:r w:rsidRPr="00BC3FC0">
        <w:t>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t xml:space="preserve">.  </w:t>
      </w:r>
    </w:p>
    <w:p w14:paraId="5959F827" w14:textId="77777777" w:rsidR="00EE7452" w:rsidRPr="00A64345" w:rsidRDefault="00EE7452" w:rsidP="00EE7452">
      <w:pPr>
        <w:pStyle w:val="Lega"/>
        <w:rPr>
          <w:strike/>
        </w:rPr>
      </w:pPr>
      <w:r>
        <w:tab/>
      </w:r>
      <w:r w:rsidRPr="002C6378">
        <w:t xml:space="preserve">(b)  </w:t>
      </w:r>
      <w:r w:rsidRPr="00842F72">
        <w:rPr>
          <w:i/>
        </w:rPr>
        <w:t>[No change]</w:t>
      </w:r>
      <w:r>
        <w:t xml:space="preserve"> </w:t>
      </w:r>
      <w:r w:rsidRPr="00842F72">
        <w:rPr>
          <w:color w:val="000000" w:themeColor="text1"/>
        </w:rPr>
        <w:t>When any written disclosure refers to an oral disclosure, use, exhibition, or other means whereby the contents of the written disclosure were made available to the public, and such making available to the public occurred on a date prior to the international filing date, the international search report shall separately mention that fact and the date on which it occurred if the making available to the public of the written disclosure occurred on a date which is the same as, or later than, the international filing date.</w:t>
      </w:r>
    </w:p>
    <w:p w14:paraId="6B91D398" w14:textId="77777777" w:rsidR="00EE7452" w:rsidRDefault="00EE7452" w:rsidP="00EE7452">
      <w:pPr>
        <w:pStyle w:val="Lega"/>
      </w:pPr>
      <w:r>
        <w:tab/>
        <w:t>(c</w:t>
      </w:r>
      <w:r w:rsidRPr="002C6378">
        <w:t xml:space="preserve">)  </w:t>
      </w:r>
      <w:r w:rsidRPr="00805178">
        <w:rPr>
          <w:i/>
        </w:rPr>
        <w:t>[No change]</w:t>
      </w:r>
      <w:r>
        <w:t xml:space="preserve"> </w:t>
      </w:r>
      <w:r w:rsidRPr="00A96479">
        <w:t>Any published application or any patent whose publication date is the same as, or later than, but whose filing date, or, where applicable, claimed priority date, is earlier than the international filing date of the international application searched, and which would constitute relevant prior art for the purposes of Article 15(2) had it been published prior to the international filing date, shall be specially mentioned in the international search report</w:t>
      </w:r>
      <w:r w:rsidRPr="002C6378">
        <w:t>.</w:t>
      </w:r>
    </w:p>
    <w:p w14:paraId="546F6FD8" w14:textId="77777777" w:rsidR="00EE7452" w:rsidRDefault="00EE7452" w:rsidP="00EE7452">
      <w:pPr>
        <w:pStyle w:val="LegSubRule"/>
        <w:keepLines w:val="0"/>
        <w:outlineLvl w:val="0"/>
      </w:pPr>
      <w:bookmarkStart w:id="15" w:name="_Toc97741905"/>
      <w:bookmarkStart w:id="16" w:name="_Toc110263847"/>
      <w:r>
        <w:t>33.2 and 33.3</w:t>
      </w:r>
      <w:r w:rsidRPr="006E324D">
        <w:t>   </w:t>
      </w:r>
      <w:r w:rsidRPr="00805178">
        <w:t>[No change]</w:t>
      </w:r>
      <w:bookmarkEnd w:id="15"/>
      <w:bookmarkEnd w:id="16"/>
    </w:p>
    <w:p w14:paraId="52229499" w14:textId="77777777" w:rsidR="00EE7452" w:rsidRPr="006E324D" w:rsidRDefault="00EE7452" w:rsidP="00EE7452">
      <w:pPr>
        <w:pStyle w:val="LegTitle"/>
      </w:pPr>
      <w:bookmarkStart w:id="17" w:name="_Toc97741910"/>
      <w:bookmarkStart w:id="18" w:name="_Toc110263848"/>
      <w:r>
        <w:lastRenderedPageBreak/>
        <w:t>Rule 64</w:t>
      </w:r>
      <w:r w:rsidRPr="006E324D">
        <w:br/>
      </w:r>
      <w:r>
        <w:t>Relevant Prior Art for the International Preliminary Examination</w:t>
      </w:r>
      <w:bookmarkEnd w:id="17"/>
      <w:bookmarkEnd w:id="18"/>
    </w:p>
    <w:p w14:paraId="13AB9756" w14:textId="77777777" w:rsidR="00EE7452" w:rsidRPr="006E324D" w:rsidRDefault="00EE7452" w:rsidP="00EE7452">
      <w:pPr>
        <w:pStyle w:val="LegSubRule"/>
        <w:keepLines w:val="0"/>
        <w:outlineLvl w:val="0"/>
      </w:pPr>
      <w:bookmarkStart w:id="19" w:name="_Toc97741911"/>
      <w:bookmarkStart w:id="20" w:name="_Toc110263849"/>
      <w:r>
        <w:t>64</w:t>
      </w:r>
      <w:r w:rsidRPr="006E324D">
        <w:t>.1   </w:t>
      </w:r>
      <w:r>
        <w:rPr>
          <w:i/>
        </w:rPr>
        <w:t>Prior Art</w:t>
      </w:r>
      <w:bookmarkEnd w:id="19"/>
      <w:bookmarkEnd w:id="20"/>
    </w:p>
    <w:p w14:paraId="38D98B58" w14:textId="77777777" w:rsidR="00EE7452" w:rsidRDefault="00EE7452" w:rsidP="00EE7452">
      <w:pPr>
        <w:pStyle w:val="Lega"/>
      </w:pPr>
      <w:r>
        <w:tab/>
        <w:t>(a)  </w:t>
      </w:r>
      <w:r w:rsidRPr="001A1C85">
        <w:t xml:space="preserve">For the </w:t>
      </w:r>
      <w:r w:rsidRPr="00EE7452">
        <w:t>purposes</w:t>
      </w:r>
      <w:r w:rsidRPr="001A1C85">
        <w:t xml:space="preserve"> of Article 33(2) and (3), everything made available to the public anywhere in the world by </w:t>
      </w:r>
      <w:r>
        <w:rPr>
          <w:color w:val="0000FF"/>
          <w:u w:val="single"/>
        </w:rPr>
        <w:t>any</w:t>
      </w:r>
      <w:r>
        <w:t xml:space="preserve"> </w:t>
      </w:r>
      <w:r w:rsidRPr="001A1C85">
        <w:t xml:space="preserve">means </w:t>
      </w:r>
      <w:r w:rsidRPr="00C3181B">
        <w:rPr>
          <w:strike/>
          <w:color w:val="C00000"/>
        </w:rPr>
        <w:t>of written disclosure (including drawings and other illustrations)</w:t>
      </w:r>
      <w:r w:rsidRPr="001A1C85">
        <w:t xml:space="preserve"> shall be considered prior art provided that such making available occurred prior to the relevant date</w:t>
      </w:r>
      <w:r>
        <w:t xml:space="preserve">.  </w:t>
      </w:r>
    </w:p>
    <w:p w14:paraId="0CC3854A" w14:textId="77777777" w:rsidR="00EE7452" w:rsidRDefault="00EE7452" w:rsidP="00EE7452">
      <w:pPr>
        <w:pStyle w:val="Lega"/>
      </w:pPr>
      <w:r>
        <w:tab/>
      </w:r>
      <w:r w:rsidRPr="002C6378">
        <w:t xml:space="preserve">(b)  </w:t>
      </w:r>
      <w:r>
        <w:t xml:space="preserve">[No change] </w:t>
      </w:r>
    </w:p>
    <w:p w14:paraId="38662288" w14:textId="1D32BE5F" w:rsidR="00EE7452" w:rsidRDefault="00EE7452" w:rsidP="00EE7452">
      <w:pPr>
        <w:pStyle w:val="LegSubRule"/>
        <w:keepLines w:val="0"/>
        <w:outlineLvl w:val="0"/>
        <w:rPr>
          <w:i/>
        </w:rPr>
      </w:pPr>
      <w:bookmarkStart w:id="21" w:name="_Toc97741912"/>
      <w:bookmarkStart w:id="22" w:name="_Toc110263850"/>
      <w:r>
        <w:t>64.2</w:t>
      </w:r>
      <w:bookmarkEnd w:id="21"/>
      <w:r>
        <w:t xml:space="preserve"> </w:t>
      </w:r>
      <w:r w:rsidRPr="006E324D">
        <w:t>  </w:t>
      </w:r>
      <w:r>
        <w:rPr>
          <w:i/>
        </w:rPr>
        <w:t>Non-Written Disclosures</w:t>
      </w:r>
    </w:p>
    <w:p w14:paraId="1AE5C1D0" w14:textId="5F432CC6" w:rsidR="00EE7452" w:rsidRDefault="00EE7452" w:rsidP="00EE7452">
      <w:pPr>
        <w:pStyle w:val="Lega"/>
      </w:pPr>
      <w:r>
        <w:tab/>
      </w:r>
      <w:r w:rsidRPr="00EE7452">
        <w:t>In cases where the making available to the public occurred by means of an oral disclosure, use, exhibition or other non-written means ("non-written disclosure") before the relevant date as defined in Rule 64.1(b) and the date of such non-written disclosure is indicated in a written disclosure which has been made available to the public on a date which is the same as, or later than, the relevant date</w:t>
      </w:r>
      <w:r w:rsidRPr="00EE7452">
        <w:rPr>
          <w:highlight w:val="yellow"/>
        </w:rPr>
        <w:t xml:space="preserve">, </w:t>
      </w:r>
      <w:r w:rsidRPr="00EE7452">
        <w:rPr>
          <w:strike/>
          <w:color w:val="C00000"/>
          <w:highlight w:val="yellow"/>
        </w:rPr>
        <w:t>the non-written disclosure shall not be considered part of the prior art for the purposes of Article 33(2) and (3). Nevertheless,</w:t>
      </w:r>
      <w:r w:rsidRPr="00EE7452">
        <w:rPr>
          <w:strike/>
          <w:color w:val="C00000"/>
        </w:rPr>
        <w:t xml:space="preserve"> </w:t>
      </w:r>
      <w:r w:rsidRPr="00EE7452">
        <w:t>the international preliminary examination report shall call attention to such non-written disclosure in the manner provided for in Rule 70.9.</w:t>
      </w:r>
    </w:p>
    <w:p w14:paraId="43DD24F3" w14:textId="64766C77" w:rsidR="00EE7452" w:rsidRDefault="00EE7452" w:rsidP="00EE7452">
      <w:pPr>
        <w:pStyle w:val="LegSubRule"/>
        <w:keepLines w:val="0"/>
        <w:outlineLvl w:val="0"/>
      </w:pPr>
      <w:r>
        <w:t>64.3   [No change]</w:t>
      </w:r>
      <w:bookmarkEnd w:id="22"/>
    </w:p>
    <w:p w14:paraId="15DF598B" w14:textId="77777777" w:rsidR="00EE7452" w:rsidRDefault="00EE7452" w:rsidP="00EE7452">
      <w:pPr>
        <w:pStyle w:val="Lega"/>
      </w:pPr>
    </w:p>
    <w:bookmarkEnd w:id="8"/>
    <w:bookmarkEnd w:id="9"/>
    <w:bookmarkEnd w:id="10"/>
    <w:p w14:paraId="2E095EDD" w14:textId="77777777" w:rsidR="00DB22C1" w:rsidRDefault="00DB22C1" w:rsidP="00D068A6">
      <w:pPr>
        <w:rPr>
          <w:noProof/>
        </w:rPr>
      </w:pPr>
    </w:p>
    <w:p w14:paraId="3889186E" w14:textId="77777777" w:rsidR="00E64548" w:rsidRPr="00D068A6" w:rsidRDefault="00E64548" w:rsidP="00D068A6">
      <w:pPr>
        <w:rPr>
          <w:noProof/>
        </w:rPr>
      </w:pPr>
    </w:p>
    <w:p w14:paraId="7E7B0D1F" w14:textId="77777777" w:rsidR="00CA02DE" w:rsidRPr="00D068A6" w:rsidRDefault="00CA02DE" w:rsidP="00CA02DE">
      <w:pPr>
        <w:pStyle w:val="Endofdocument-Annex"/>
        <w:rPr>
          <w:noProof/>
        </w:rPr>
      </w:pPr>
      <w:r w:rsidRPr="00D068A6">
        <w:rPr>
          <w:noProof/>
        </w:rPr>
        <w:t>[</w:t>
      </w:r>
      <w:r w:rsidR="00D068A6" w:rsidRPr="00D068A6">
        <w:rPr>
          <w:noProof/>
        </w:rPr>
        <w:t>End of</w:t>
      </w:r>
      <w:r w:rsidRPr="00D068A6">
        <w:rPr>
          <w:noProof/>
        </w:rPr>
        <w:t xml:space="preserve"> paper</w:t>
      </w:r>
      <w:r>
        <w:rPr>
          <w:rFonts w:ascii="Microsoft Sans Serif" w:hAnsi="Microsoft Sans Serif" w:cs="Microsoft Sans Serif"/>
          <w:noProof/>
        </w:rPr>
        <w:t>]</w:t>
      </w:r>
    </w:p>
    <w:sectPr w:rsidR="00CA02DE" w:rsidRPr="00D068A6" w:rsidSect="0045208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964"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3DD6" w14:textId="77777777" w:rsidR="00B968DE" w:rsidRDefault="00B968DE" w:rsidP="00CA02DE">
      <w:r>
        <w:separator/>
      </w:r>
    </w:p>
  </w:endnote>
  <w:endnote w:type="continuationSeparator" w:id="0">
    <w:p w14:paraId="13A98091" w14:textId="77777777" w:rsidR="00B968DE" w:rsidRDefault="00B968DE" w:rsidP="00CA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6C7F" w14:textId="0E0A7ED3" w:rsidR="00136E40" w:rsidRDefault="00136E40">
    <w:pPr>
      <w:pStyle w:val="Footer"/>
    </w:pPr>
    <w:r>
      <w:rPr>
        <w:noProof/>
      </w:rPr>
      <mc:AlternateContent>
        <mc:Choice Requires="wps">
          <w:drawing>
            <wp:anchor distT="0" distB="0" distL="114300" distR="114300" simplePos="0" relativeHeight="251661312" behindDoc="0" locked="0" layoutInCell="0" allowOverlap="1" wp14:anchorId="43B0289D" wp14:editId="4DEAA916">
              <wp:simplePos x="0" y="0"/>
              <wp:positionH relativeFrom="page">
                <wp:posOffset>0</wp:posOffset>
              </wp:positionH>
              <wp:positionV relativeFrom="page">
                <wp:posOffset>10229215</wp:posOffset>
              </wp:positionV>
              <wp:extent cx="7560945" cy="273050"/>
              <wp:effectExtent l="0" t="0" r="0" b="12700"/>
              <wp:wrapNone/>
              <wp:docPr id="6" name="MSIPCM50fc412fb9e36271cb7f2732"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09DBBA" w14:textId="0EB89450" w:rsidR="00136E40" w:rsidRPr="00136E40" w:rsidRDefault="00136E40" w:rsidP="00136E40">
                          <w:pPr>
                            <w:jc w:val="center"/>
                            <w:rPr>
                              <w:rFonts w:ascii="Calibri" w:hAnsi="Calibri" w:cs="Calibri"/>
                              <w:color w:val="000000"/>
                              <w:sz w:val="20"/>
                            </w:rPr>
                          </w:pPr>
                          <w:r w:rsidRPr="00136E4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B0289D" id="_x0000_t202" coordsize="21600,21600" o:spt="202" path="m,l,21600r21600,l21600,xe">
              <v:stroke joinstyle="miter"/>
              <v:path gradientshapeok="t" o:connecttype="rect"/>
            </v:shapetype>
            <v:shape id="MSIPCM50fc412fb9e36271cb7f2732"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fill o:detectmouseclick="t"/>
              <v:textbox inset=",0,,0">
                <w:txbxContent>
                  <w:p w14:paraId="6709DBBA" w14:textId="0EB89450" w:rsidR="00136E40" w:rsidRPr="00136E40" w:rsidRDefault="00136E40" w:rsidP="00136E40">
                    <w:pPr>
                      <w:jc w:val="center"/>
                      <w:rPr>
                        <w:rFonts w:ascii="Calibri" w:hAnsi="Calibri" w:cs="Calibri"/>
                        <w:color w:val="000000"/>
                        <w:sz w:val="20"/>
                      </w:rPr>
                    </w:pPr>
                    <w:r w:rsidRPr="00136E40">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4260" w14:textId="72753BC8" w:rsidR="00136E40" w:rsidRDefault="00136E40">
    <w:pPr>
      <w:pStyle w:val="Footer"/>
    </w:pPr>
    <w:r>
      <w:rPr>
        <w:noProof/>
      </w:rPr>
      <mc:AlternateContent>
        <mc:Choice Requires="wps">
          <w:drawing>
            <wp:anchor distT="0" distB="0" distL="114300" distR="114300" simplePos="0" relativeHeight="251659264" behindDoc="0" locked="0" layoutInCell="0" allowOverlap="1" wp14:anchorId="16834BD7" wp14:editId="6AEC8A51">
              <wp:simplePos x="0" y="0"/>
              <wp:positionH relativeFrom="page">
                <wp:posOffset>0</wp:posOffset>
              </wp:positionH>
              <wp:positionV relativeFrom="page">
                <wp:posOffset>10229215</wp:posOffset>
              </wp:positionV>
              <wp:extent cx="7560945" cy="273050"/>
              <wp:effectExtent l="0" t="0" r="0" b="12700"/>
              <wp:wrapNone/>
              <wp:docPr id="4" name="MSIPCMc81f43efbcad833345890d41"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F6B15F" w14:textId="4BE885D4" w:rsidR="00136E40" w:rsidRPr="00136E40" w:rsidRDefault="00136E40" w:rsidP="00136E40">
                          <w:pPr>
                            <w:jc w:val="center"/>
                            <w:rPr>
                              <w:rFonts w:ascii="Calibri" w:hAnsi="Calibri" w:cs="Calibri"/>
                              <w:color w:val="000000"/>
                              <w:sz w:val="20"/>
                            </w:rPr>
                          </w:pPr>
                          <w:r w:rsidRPr="00136E4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834BD7" id="_x0000_t202" coordsize="21600,21600" o:spt="202" path="m,l,21600r21600,l21600,xe">
              <v:stroke joinstyle="miter"/>
              <v:path gradientshapeok="t" o:connecttype="rect"/>
            </v:shapetype>
            <v:shape id="MSIPCMc81f43efbcad833345890d41"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fill o:detectmouseclick="t"/>
              <v:textbox inset=",0,,0">
                <w:txbxContent>
                  <w:p w14:paraId="34F6B15F" w14:textId="4BE885D4" w:rsidR="00136E40" w:rsidRPr="00136E40" w:rsidRDefault="00136E40" w:rsidP="00136E40">
                    <w:pPr>
                      <w:jc w:val="center"/>
                      <w:rPr>
                        <w:rFonts w:ascii="Calibri" w:hAnsi="Calibri" w:cs="Calibri"/>
                        <w:color w:val="000000"/>
                        <w:sz w:val="20"/>
                      </w:rPr>
                    </w:pPr>
                    <w:r w:rsidRPr="00136E40">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C82D1" w14:textId="39526BD3" w:rsidR="00136E40" w:rsidRDefault="00136E40">
    <w:pPr>
      <w:pStyle w:val="Footer"/>
    </w:pPr>
    <w:r>
      <w:rPr>
        <w:noProof/>
      </w:rPr>
      <mc:AlternateContent>
        <mc:Choice Requires="wps">
          <w:drawing>
            <wp:anchor distT="0" distB="0" distL="114300" distR="114300" simplePos="0" relativeHeight="251660288" behindDoc="0" locked="0" layoutInCell="0" allowOverlap="1" wp14:anchorId="29FF5E9C" wp14:editId="1E8F1E1F">
              <wp:simplePos x="0" y="0"/>
              <wp:positionH relativeFrom="page">
                <wp:posOffset>0</wp:posOffset>
              </wp:positionH>
              <wp:positionV relativeFrom="page">
                <wp:posOffset>10229215</wp:posOffset>
              </wp:positionV>
              <wp:extent cx="7560945" cy="273050"/>
              <wp:effectExtent l="0" t="0" r="0" b="12700"/>
              <wp:wrapNone/>
              <wp:docPr id="5" name="MSIPCM7cf844528c0be7105226d478"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0B906A" w14:textId="51A00145" w:rsidR="00136E40" w:rsidRPr="00136E40" w:rsidRDefault="00136E40" w:rsidP="00136E40">
                          <w:pPr>
                            <w:jc w:val="center"/>
                            <w:rPr>
                              <w:rFonts w:ascii="Calibri" w:hAnsi="Calibri" w:cs="Calibri"/>
                              <w:color w:val="000000"/>
                              <w:sz w:val="20"/>
                            </w:rPr>
                          </w:pPr>
                          <w:r w:rsidRPr="00136E40">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F5E9C" id="_x0000_t202" coordsize="21600,21600" o:spt="202" path="m,l,21600r21600,l21600,xe">
              <v:stroke joinstyle="miter"/>
              <v:path gradientshapeok="t" o:connecttype="rect"/>
            </v:shapetype>
            <v:shape id="MSIPCM7cf844528c0be7105226d478"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fill o:detectmouseclick="t"/>
              <v:textbox inset=",0,,0">
                <w:txbxContent>
                  <w:p w14:paraId="7C0B906A" w14:textId="51A00145" w:rsidR="00136E40" w:rsidRPr="00136E40" w:rsidRDefault="00136E40" w:rsidP="00136E40">
                    <w:pPr>
                      <w:jc w:val="center"/>
                      <w:rPr>
                        <w:rFonts w:ascii="Calibri" w:hAnsi="Calibri" w:cs="Calibri"/>
                        <w:color w:val="000000"/>
                        <w:sz w:val="20"/>
                      </w:rPr>
                    </w:pPr>
                    <w:r w:rsidRPr="00136E40">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644F" w14:textId="77777777" w:rsidR="00B968DE" w:rsidRDefault="00B968DE" w:rsidP="00CA02DE">
      <w:r>
        <w:separator/>
      </w:r>
    </w:p>
  </w:footnote>
  <w:footnote w:type="continuationSeparator" w:id="0">
    <w:p w14:paraId="4FA7B6A6" w14:textId="77777777" w:rsidR="00B968DE" w:rsidRDefault="00B968DE" w:rsidP="00CA0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E6D3" w14:textId="37E5EA2A" w:rsidR="0045208D" w:rsidRDefault="0045208D" w:rsidP="0045208D">
    <w:pPr>
      <w:pStyle w:val="Header"/>
      <w:jc w:val="right"/>
    </w:pPr>
    <w:r>
      <w:t>PCT/WG/1</w:t>
    </w:r>
    <w:r w:rsidR="00606E0D">
      <w:t>7</w:t>
    </w:r>
  </w:p>
  <w:p w14:paraId="0CBDFE67" w14:textId="7E1D6F05" w:rsidR="0045208D" w:rsidRDefault="0045208D" w:rsidP="0045208D">
    <w:pPr>
      <w:pStyle w:val="Header"/>
      <w:jc w:val="right"/>
      <w:rPr>
        <w:noProof/>
      </w:rPr>
    </w:pPr>
    <w:r>
      <w:t xml:space="preserve">Paper No. </w:t>
    </w:r>
    <w:r w:rsidR="00606E0D">
      <w:t>2</w:t>
    </w:r>
    <w:r>
      <w:t xml:space="preserve">, page </w:t>
    </w:r>
    <w:r>
      <w:fldChar w:fldCharType="begin"/>
    </w:r>
    <w:r>
      <w:instrText xml:space="preserve"> PAGE   \* MERGEFORMAT </w:instrText>
    </w:r>
    <w:r>
      <w:fldChar w:fldCharType="separate"/>
    </w:r>
    <w:r w:rsidR="00BC241D">
      <w:rPr>
        <w:noProof/>
      </w:rPr>
      <w:t>6</w:t>
    </w:r>
    <w:r>
      <w:rPr>
        <w:noProof/>
      </w:rPr>
      <w:fldChar w:fldCharType="end"/>
    </w:r>
  </w:p>
  <w:p w14:paraId="6FD56F69" w14:textId="77777777" w:rsidR="0045208D" w:rsidRDefault="0045208D" w:rsidP="0045208D">
    <w:pPr>
      <w:pStyle w:val="Header"/>
      <w:jc w:val="right"/>
    </w:pPr>
  </w:p>
  <w:p w14:paraId="6A1FFF9C" w14:textId="77777777" w:rsidR="0045208D" w:rsidRDefault="0045208D" w:rsidP="0045208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5196" w14:textId="430EC708" w:rsidR="00D068A6" w:rsidRDefault="00D068A6" w:rsidP="00D068A6">
    <w:pPr>
      <w:pStyle w:val="Header"/>
      <w:jc w:val="right"/>
    </w:pPr>
    <w:r>
      <w:t>P</w:t>
    </w:r>
    <w:r w:rsidR="0001313D">
      <w:t>CT/WG/1</w:t>
    </w:r>
    <w:r w:rsidR="00EE7452">
      <w:t>7</w:t>
    </w:r>
  </w:p>
  <w:p w14:paraId="00D2AFA7" w14:textId="0C0CFD85" w:rsidR="00D068A6" w:rsidRDefault="00D068A6" w:rsidP="00D068A6">
    <w:pPr>
      <w:pStyle w:val="Header"/>
      <w:jc w:val="right"/>
      <w:rPr>
        <w:noProof/>
      </w:rPr>
    </w:pPr>
    <w:r>
      <w:t>Paper No.</w:t>
    </w:r>
    <w:r w:rsidR="0001313D">
      <w:t xml:space="preserve"> </w:t>
    </w:r>
    <w:r w:rsidR="00EE7452">
      <w:t>2</w:t>
    </w:r>
    <w:r w:rsidR="00A639D5">
      <w:t>,</w:t>
    </w:r>
    <w:r>
      <w:t xml:space="preserve"> page </w:t>
    </w:r>
    <w:r>
      <w:fldChar w:fldCharType="begin"/>
    </w:r>
    <w:r>
      <w:instrText xml:space="preserve"> PAGE   \* MERGEFORMAT </w:instrText>
    </w:r>
    <w:r>
      <w:fldChar w:fldCharType="separate"/>
    </w:r>
    <w:r w:rsidR="00BC241D">
      <w:rPr>
        <w:noProof/>
      </w:rPr>
      <w:t>5</w:t>
    </w:r>
    <w:r>
      <w:rPr>
        <w:noProof/>
      </w:rPr>
      <w:fldChar w:fldCharType="end"/>
    </w:r>
  </w:p>
  <w:p w14:paraId="2DA94A13" w14:textId="77777777" w:rsidR="0001313D" w:rsidRDefault="0001313D" w:rsidP="00D068A6">
    <w:pPr>
      <w:pStyle w:val="Header"/>
      <w:jc w:val="right"/>
    </w:pPr>
  </w:p>
  <w:p w14:paraId="528B7B6A" w14:textId="77777777" w:rsidR="00DB22C1" w:rsidRDefault="00DB22C1" w:rsidP="00D068A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89C3" w14:textId="77777777" w:rsidR="00094230" w:rsidRDefault="00094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F4EC78"/>
    <w:lvl w:ilvl="0">
      <w:start w:val="1"/>
      <w:numFmt w:val="decimal"/>
      <w:pStyle w:val="ListNumber5"/>
      <w:lvlText w:val="%1."/>
      <w:lvlJc w:val="left"/>
      <w:pPr>
        <w:tabs>
          <w:tab w:val="num" w:pos="1492"/>
        </w:tabs>
        <w:ind w:left="1492" w:hanging="360"/>
      </w:pPr>
    </w:lvl>
  </w:abstractNum>
  <w:abstractNum w:abstractNumId="1"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179809023">
    <w:abstractNumId w:val="3"/>
  </w:num>
  <w:num w:numId="2" w16cid:durableId="1828861521">
    <w:abstractNumId w:val="5"/>
  </w:num>
  <w:num w:numId="3" w16cid:durableId="1074470082">
    <w:abstractNumId w:val="9"/>
  </w:num>
  <w:num w:numId="4" w16cid:durableId="318388298">
    <w:abstractNumId w:val="8"/>
  </w:num>
  <w:num w:numId="5" w16cid:durableId="840893367">
    <w:abstractNumId w:val="1"/>
  </w:num>
  <w:num w:numId="6" w16cid:durableId="1576739297">
    <w:abstractNumId w:val="7"/>
  </w:num>
  <w:num w:numId="7" w16cid:durableId="183860569">
    <w:abstractNumId w:val="6"/>
  </w:num>
  <w:num w:numId="8" w16cid:durableId="1440368292">
    <w:abstractNumId w:val="2"/>
  </w:num>
  <w:num w:numId="9" w16cid:durableId="1325432059">
    <w:abstractNumId w:val="4"/>
  </w:num>
  <w:num w:numId="10" w16cid:durableId="1571966504">
    <w:abstractNumId w:val="6"/>
  </w:num>
  <w:num w:numId="11" w16cid:durableId="1444301092">
    <w:abstractNumId w:val="2"/>
  </w:num>
  <w:num w:numId="12" w16cid:durableId="41367549">
    <w:abstractNumId w:val="4"/>
  </w:num>
  <w:num w:numId="13" w16cid:durableId="691685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2DE"/>
    <w:rsid w:val="00001117"/>
    <w:rsid w:val="00006435"/>
    <w:rsid w:val="00011E5A"/>
    <w:rsid w:val="0001313D"/>
    <w:rsid w:val="00041F66"/>
    <w:rsid w:val="000713CA"/>
    <w:rsid w:val="0008739E"/>
    <w:rsid w:val="00094230"/>
    <w:rsid w:val="00095446"/>
    <w:rsid w:val="000F5E56"/>
    <w:rsid w:val="00136E40"/>
    <w:rsid w:val="00157AFD"/>
    <w:rsid w:val="001710C0"/>
    <w:rsid w:val="00171D55"/>
    <w:rsid w:val="0017710D"/>
    <w:rsid w:val="00193462"/>
    <w:rsid w:val="00194BEC"/>
    <w:rsid w:val="001B6A05"/>
    <w:rsid w:val="001D2500"/>
    <w:rsid w:val="00201120"/>
    <w:rsid w:val="00247AF9"/>
    <w:rsid w:val="00254AB9"/>
    <w:rsid w:val="002E40B9"/>
    <w:rsid w:val="002F18DC"/>
    <w:rsid w:val="0031322E"/>
    <w:rsid w:val="00360DDB"/>
    <w:rsid w:val="00374761"/>
    <w:rsid w:val="0037711F"/>
    <w:rsid w:val="003917A1"/>
    <w:rsid w:val="003976ED"/>
    <w:rsid w:val="003A33FE"/>
    <w:rsid w:val="004200C0"/>
    <w:rsid w:val="004229E9"/>
    <w:rsid w:val="00431118"/>
    <w:rsid w:val="004319C4"/>
    <w:rsid w:val="004355A0"/>
    <w:rsid w:val="00435F6A"/>
    <w:rsid w:val="0045208D"/>
    <w:rsid w:val="00471B62"/>
    <w:rsid w:val="00486124"/>
    <w:rsid w:val="00493568"/>
    <w:rsid w:val="004D67DB"/>
    <w:rsid w:val="004E6132"/>
    <w:rsid w:val="00501D92"/>
    <w:rsid w:val="00505E3F"/>
    <w:rsid w:val="00513C96"/>
    <w:rsid w:val="005845D6"/>
    <w:rsid w:val="00594CFA"/>
    <w:rsid w:val="005D59C0"/>
    <w:rsid w:val="005E07DA"/>
    <w:rsid w:val="00606E0D"/>
    <w:rsid w:val="00696F30"/>
    <w:rsid w:val="006B639F"/>
    <w:rsid w:val="006C0027"/>
    <w:rsid w:val="006C048C"/>
    <w:rsid w:val="0070054A"/>
    <w:rsid w:val="00705AA9"/>
    <w:rsid w:val="00752DD9"/>
    <w:rsid w:val="00757A46"/>
    <w:rsid w:val="00766759"/>
    <w:rsid w:val="007767C5"/>
    <w:rsid w:val="0079178E"/>
    <w:rsid w:val="00794417"/>
    <w:rsid w:val="007954DE"/>
    <w:rsid w:val="00795F9B"/>
    <w:rsid w:val="007B240C"/>
    <w:rsid w:val="007D53C7"/>
    <w:rsid w:val="00802418"/>
    <w:rsid w:val="00803496"/>
    <w:rsid w:val="00804DB7"/>
    <w:rsid w:val="0082771A"/>
    <w:rsid w:val="00857DD3"/>
    <w:rsid w:val="00866D30"/>
    <w:rsid w:val="00882F3B"/>
    <w:rsid w:val="008D0AFB"/>
    <w:rsid w:val="008E5D12"/>
    <w:rsid w:val="008F3C66"/>
    <w:rsid w:val="00915026"/>
    <w:rsid w:val="00943C91"/>
    <w:rsid w:val="00943E9B"/>
    <w:rsid w:val="00975DCD"/>
    <w:rsid w:val="00982E3A"/>
    <w:rsid w:val="00986D07"/>
    <w:rsid w:val="009D1372"/>
    <w:rsid w:val="009D7FB3"/>
    <w:rsid w:val="009E1DF8"/>
    <w:rsid w:val="009F178D"/>
    <w:rsid w:val="00A2072F"/>
    <w:rsid w:val="00A255C7"/>
    <w:rsid w:val="00A50057"/>
    <w:rsid w:val="00A639D5"/>
    <w:rsid w:val="00A72BAA"/>
    <w:rsid w:val="00A74258"/>
    <w:rsid w:val="00A840F5"/>
    <w:rsid w:val="00AA73A7"/>
    <w:rsid w:val="00AA7D02"/>
    <w:rsid w:val="00AB14AD"/>
    <w:rsid w:val="00AC097A"/>
    <w:rsid w:val="00AC38CC"/>
    <w:rsid w:val="00B2243D"/>
    <w:rsid w:val="00B968DE"/>
    <w:rsid w:val="00BC241D"/>
    <w:rsid w:val="00BC24F5"/>
    <w:rsid w:val="00BC585E"/>
    <w:rsid w:val="00BE6FD2"/>
    <w:rsid w:val="00C1152B"/>
    <w:rsid w:val="00C2692C"/>
    <w:rsid w:val="00C554EC"/>
    <w:rsid w:val="00C736F8"/>
    <w:rsid w:val="00C84C96"/>
    <w:rsid w:val="00C97357"/>
    <w:rsid w:val="00CA02DE"/>
    <w:rsid w:val="00CB02CF"/>
    <w:rsid w:val="00CE1FC7"/>
    <w:rsid w:val="00D068A6"/>
    <w:rsid w:val="00D41C39"/>
    <w:rsid w:val="00D82950"/>
    <w:rsid w:val="00DA7A08"/>
    <w:rsid w:val="00DB22C1"/>
    <w:rsid w:val="00DB30F6"/>
    <w:rsid w:val="00DB4062"/>
    <w:rsid w:val="00DD5325"/>
    <w:rsid w:val="00DF4178"/>
    <w:rsid w:val="00E37821"/>
    <w:rsid w:val="00E40954"/>
    <w:rsid w:val="00E52B21"/>
    <w:rsid w:val="00E64548"/>
    <w:rsid w:val="00E73A00"/>
    <w:rsid w:val="00E93DE7"/>
    <w:rsid w:val="00EA257B"/>
    <w:rsid w:val="00ED64B3"/>
    <w:rsid w:val="00EE7452"/>
    <w:rsid w:val="00EF3840"/>
    <w:rsid w:val="00EF50E9"/>
    <w:rsid w:val="00F22A55"/>
    <w:rsid w:val="00F47344"/>
    <w:rsid w:val="00F8471F"/>
    <w:rsid w:val="00FA4537"/>
    <w:rsid w:val="00FA7ACE"/>
    <w:rsid w:val="00FB2CCA"/>
    <w:rsid w:val="00FE5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BC339CB"/>
  <w15:docId w15:val="{5A99680E-DC9F-4D97-A2FB-29409BB2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2DE"/>
    <w:rPr>
      <w:rFonts w:ascii="Arial" w:eastAsia="SimSun" w:hAnsi="Arial" w:cs="Arial"/>
      <w:sz w:val="22"/>
      <w:lang w:eastAsia="zh-CN"/>
    </w:rPr>
  </w:style>
  <w:style w:type="paragraph" w:styleId="Heading1">
    <w:name w:val="heading 1"/>
    <w:basedOn w:val="Normal"/>
    <w:next w:val="Normal"/>
    <w:qFormat/>
    <w:rsid w:val="00C2692C"/>
    <w:pPr>
      <w:keepNext/>
      <w:spacing w:before="240" w:after="60"/>
      <w:outlineLvl w:val="0"/>
    </w:pPr>
    <w:rPr>
      <w:b/>
      <w:bCs/>
      <w:caps/>
      <w:kern w:val="32"/>
      <w:szCs w:val="32"/>
    </w:rPr>
  </w:style>
  <w:style w:type="paragraph" w:styleId="Heading2">
    <w:name w:val="heading 2"/>
    <w:basedOn w:val="Normal"/>
    <w:next w:val="Normal"/>
    <w:qFormat/>
    <w:rsid w:val="00C2692C"/>
    <w:pPr>
      <w:keepNext/>
      <w:spacing w:before="240" w:after="60"/>
      <w:outlineLvl w:val="1"/>
    </w:pPr>
    <w:rPr>
      <w:bCs/>
      <w:iCs/>
      <w:caps/>
      <w:szCs w:val="28"/>
    </w:rPr>
  </w:style>
  <w:style w:type="paragraph" w:styleId="Heading3">
    <w:name w:val="heading 3"/>
    <w:basedOn w:val="Normal"/>
    <w:next w:val="Normal"/>
    <w:qFormat/>
    <w:rsid w:val="00374761"/>
    <w:pPr>
      <w:keepNext/>
      <w:spacing w:before="480" w:after="180"/>
      <w:outlineLvl w:val="2"/>
    </w:pPr>
    <w:rPr>
      <w:bCs/>
      <w:szCs w:val="26"/>
      <w:u w:val="single"/>
    </w:rPr>
  </w:style>
  <w:style w:type="paragraph" w:styleId="Heading4">
    <w:name w:val="heading 4"/>
    <w:basedOn w:val="Normal"/>
    <w:next w:val="Normal"/>
    <w:qFormat/>
    <w:rsid w:val="00C2692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692C"/>
    <w:pPr>
      <w:tabs>
        <w:tab w:val="center" w:pos="4536"/>
        <w:tab w:val="right" w:pos="9072"/>
      </w:tabs>
    </w:pPr>
  </w:style>
  <w:style w:type="paragraph" w:styleId="Footer">
    <w:name w:val="footer"/>
    <w:basedOn w:val="Normal"/>
    <w:semiHidden/>
    <w:rsid w:val="00C2692C"/>
    <w:pPr>
      <w:tabs>
        <w:tab w:val="center" w:pos="4320"/>
        <w:tab w:val="right" w:pos="8640"/>
      </w:tabs>
    </w:pPr>
  </w:style>
  <w:style w:type="paragraph" w:styleId="Salutation">
    <w:name w:val="Salutation"/>
    <w:basedOn w:val="Normal"/>
    <w:next w:val="Normal"/>
    <w:semiHidden/>
    <w:rsid w:val="00C2692C"/>
  </w:style>
  <w:style w:type="paragraph" w:styleId="Signature">
    <w:name w:val="Signature"/>
    <w:basedOn w:val="Normal"/>
    <w:semiHidden/>
    <w:rsid w:val="00C2692C"/>
    <w:pPr>
      <w:ind w:left="5250"/>
    </w:pPr>
  </w:style>
  <w:style w:type="paragraph" w:styleId="FootnoteText">
    <w:name w:val="footnote text"/>
    <w:basedOn w:val="Normal"/>
    <w:link w:val="FootnoteTextChar"/>
    <w:rsid w:val="00C2692C"/>
    <w:rPr>
      <w:sz w:val="18"/>
    </w:rPr>
  </w:style>
  <w:style w:type="paragraph" w:styleId="EndnoteText">
    <w:name w:val="endnote text"/>
    <w:basedOn w:val="Normal"/>
    <w:semiHidden/>
    <w:rsid w:val="00C2692C"/>
    <w:rPr>
      <w:sz w:val="18"/>
    </w:rPr>
  </w:style>
  <w:style w:type="paragraph" w:styleId="Caption">
    <w:name w:val="caption"/>
    <w:basedOn w:val="Normal"/>
    <w:next w:val="Normal"/>
    <w:qFormat/>
    <w:rsid w:val="00C2692C"/>
    <w:rPr>
      <w:b/>
      <w:bCs/>
      <w:sz w:val="18"/>
    </w:rPr>
  </w:style>
  <w:style w:type="paragraph" w:styleId="CommentText">
    <w:name w:val="annotation text"/>
    <w:basedOn w:val="Normal"/>
    <w:link w:val="CommentTextChar"/>
    <w:semiHidden/>
    <w:rsid w:val="00C2692C"/>
    <w:rPr>
      <w:sz w:val="18"/>
    </w:rPr>
  </w:style>
  <w:style w:type="paragraph" w:styleId="BodyText">
    <w:name w:val="Body Text"/>
    <w:basedOn w:val="Normal"/>
    <w:rsid w:val="00C2692C"/>
    <w:pPr>
      <w:spacing w:after="220"/>
    </w:pPr>
  </w:style>
  <w:style w:type="paragraph" w:customStyle="1" w:styleId="ONUMFS">
    <w:name w:val="ONUM FS"/>
    <w:basedOn w:val="BodyText"/>
    <w:rsid w:val="00C2692C"/>
    <w:pPr>
      <w:numPr>
        <w:numId w:val="12"/>
      </w:numPr>
    </w:pPr>
  </w:style>
  <w:style w:type="paragraph" w:customStyle="1" w:styleId="ONUME">
    <w:name w:val="ONUM E"/>
    <w:basedOn w:val="BodyText"/>
    <w:rsid w:val="00C2692C"/>
    <w:pPr>
      <w:numPr>
        <w:numId w:val="11"/>
      </w:numPr>
    </w:pPr>
  </w:style>
  <w:style w:type="paragraph" w:styleId="ListNumber">
    <w:name w:val="List Number"/>
    <w:basedOn w:val="Normal"/>
    <w:semiHidden/>
    <w:rsid w:val="00C2692C"/>
    <w:pPr>
      <w:numPr>
        <w:numId w:val="10"/>
      </w:numPr>
    </w:pPr>
  </w:style>
  <w:style w:type="paragraph" w:customStyle="1" w:styleId="Endofdocument-Annex">
    <w:name w:val="[End of document - Annex]"/>
    <w:basedOn w:val="Normal"/>
    <w:rsid w:val="00C2692C"/>
    <w:pPr>
      <w:ind w:left="5534"/>
    </w:pPr>
  </w:style>
  <w:style w:type="paragraph" w:styleId="BalloonText">
    <w:name w:val="Balloon Text"/>
    <w:basedOn w:val="Normal"/>
    <w:link w:val="BalloonTextChar"/>
    <w:rsid w:val="00C2692C"/>
    <w:rPr>
      <w:rFonts w:ascii="Tahoma" w:hAnsi="Tahoma" w:cs="Tahoma"/>
      <w:sz w:val="16"/>
      <w:szCs w:val="16"/>
    </w:rPr>
  </w:style>
  <w:style w:type="character" w:customStyle="1" w:styleId="BalloonTextChar">
    <w:name w:val="Balloon Text Char"/>
    <w:basedOn w:val="DefaultParagraphFont"/>
    <w:link w:val="BalloonText"/>
    <w:rsid w:val="00C2692C"/>
    <w:rPr>
      <w:rFonts w:ascii="Tahoma" w:eastAsia="SimSun" w:hAnsi="Tahoma" w:cs="Tahoma"/>
      <w:sz w:val="16"/>
      <w:szCs w:val="16"/>
      <w:lang w:eastAsia="zh-CN"/>
    </w:rPr>
  </w:style>
  <w:style w:type="character" w:customStyle="1" w:styleId="DeletedText">
    <w:name w:val="Deleted Text"/>
    <w:basedOn w:val="DefaultParagraphFont"/>
    <w:uiPriority w:val="1"/>
    <w:qFormat/>
    <w:rsid w:val="00C2692C"/>
    <w:rPr>
      <w:strike/>
      <w:color w:val="FF0000"/>
    </w:rPr>
  </w:style>
  <w:style w:type="character" w:styleId="FootnoteReference">
    <w:name w:val="footnote reference"/>
    <w:basedOn w:val="DefaultParagraphFont"/>
    <w:unhideWhenUsed/>
    <w:rsid w:val="00C2692C"/>
    <w:rPr>
      <w:vertAlign w:val="superscript"/>
    </w:rPr>
  </w:style>
  <w:style w:type="character" w:customStyle="1" w:styleId="FootnoteTextChar">
    <w:name w:val="Footnote Text Char"/>
    <w:basedOn w:val="DefaultParagraphFont"/>
    <w:link w:val="FootnoteText"/>
    <w:rsid w:val="00C2692C"/>
    <w:rPr>
      <w:rFonts w:ascii="Arial" w:eastAsia="SimSun" w:hAnsi="Arial" w:cs="Arial"/>
      <w:sz w:val="18"/>
      <w:lang w:eastAsia="zh-CN"/>
    </w:rPr>
  </w:style>
  <w:style w:type="character" w:styleId="Hyperlink">
    <w:name w:val="Hyperlink"/>
    <w:basedOn w:val="DefaultParagraphFont"/>
    <w:uiPriority w:val="99"/>
    <w:unhideWhenUsed/>
    <w:rsid w:val="00C2692C"/>
    <w:rPr>
      <w:color w:val="0000FF" w:themeColor="hyperlink"/>
      <w:u w:val="single"/>
    </w:rPr>
  </w:style>
  <w:style w:type="character" w:customStyle="1" w:styleId="InsertedText">
    <w:name w:val="Inserted Text"/>
    <w:basedOn w:val="DefaultParagraphFont"/>
    <w:uiPriority w:val="1"/>
    <w:qFormat/>
    <w:rsid w:val="00C2692C"/>
    <w:rPr>
      <w:color w:val="1F497D" w:themeColor="text2"/>
      <w:u w:val="single"/>
    </w:rPr>
  </w:style>
  <w:style w:type="paragraph" w:customStyle="1" w:styleId="LegTitle">
    <w:name w:val="Leg # Title"/>
    <w:basedOn w:val="Normal"/>
    <w:next w:val="Normal"/>
    <w:rsid w:val="00C2692C"/>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E64548"/>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C2692C"/>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C2692C"/>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C2692C"/>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C2692C"/>
    <w:rPr>
      <w:i/>
    </w:rPr>
  </w:style>
  <w:style w:type="paragraph" w:styleId="TOC1">
    <w:name w:val="toc 1"/>
    <w:basedOn w:val="Normal"/>
    <w:next w:val="Normal"/>
    <w:autoRedefine/>
    <w:uiPriority w:val="39"/>
    <w:rsid w:val="00C2692C"/>
    <w:pPr>
      <w:tabs>
        <w:tab w:val="right" w:leader="dot" w:pos="9345"/>
      </w:tabs>
      <w:spacing w:before="240" w:after="100"/>
    </w:pPr>
  </w:style>
  <w:style w:type="paragraph" w:styleId="TOC2">
    <w:name w:val="toc 2"/>
    <w:basedOn w:val="Normal"/>
    <w:next w:val="Normal"/>
    <w:autoRedefine/>
    <w:uiPriority w:val="39"/>
    <w:rsid w:val="00C2692C"/>
    <w:pPr>
      <w:spacing w:after="100"/>
      <w:ind w:left="220"/>
    </w:pPr>
  </w:style>
  <w:style w:type="character" w:styleId="CommentReference">
    <w:name w:val="annotation reference"/>
    <w:basedOn w:val="DefaultParagraphFont"/>
    <w:rsid w:val="00C2692C"/>
    <w:rPr>
      <w:sz w:val="16"/>
      <w:szCs w:val="16"/>
    </w:rPr>
  </w:style>
  <w:style w:type="character" w:customStyle="1" w:styleId="CommentTextChar">
    <w:name w:val="Comment Text Char"/>
    <w:link w:val="CommentText"/>
    <w:semiHidden/>
    <w:rsid w:val="00C2692C"/>
    <w:rPr>
      <w:rFonts w:ascii="Arial" w:eastAsia="SimSun" w:hAnsi="Arial" w:cs="Arial"/>
      <w:sz w:val="18"/>
      <w:lang w:eastAsia="zh-CN"/>
    </w:rPr>
  </w:style>
  <w:style w:type="paragraph" w:styleId="CommentSubject">
    <w:name w:val="annotation subject"/>
    <w:basedOn w:val="CommentText"/>
    <w:next w:val="CommentText"/>
    <w:link w:val="CommentSubjectChar"/>
    <w:rsid w:val="00C2692C"/>
    <w:rPr>
      <w:b/>
      <w:bCs/>
    </w:rPr>
  </w:style>
  <w:style w:type="character" w:customStyle="1" w:styleId="CommentSubjectChar">
    <w:name w:val="Comment Subject Char"/>
    <w:basedOn w:val="CommentTextChar"/>
    <w:link w:val="CommentSubject"/>
    <w:rsid w:val="00C2692C"/>
    <w:rPr>
      <w:rFonts w:ascii="Arial" w:eastAsia="SimSun" w:hAnsi="Arial" w:cs="Arial"/>
      <w:b/>
      <w:bCs/>
      <w:sz w:val="18"/>
      <w:lang w:eastAsia="zh-CN"/>
    </w:rPr>
  </w:style>
  <w:style w:type="paragraph" w:customStyle="1" w:styleId="DecisionInvitingPara">
    <w:name w:val="Decision Inviting Para."/>
    <w:basedOn w:val="Normal"/>
    <w:rsid w:val="00C2692C"/>
    <w:pPr>
      <w:tabs>
        <w:tab w:val="left" w:pos="1588"/>
        <w:tab w:val="left" w:pos="2155"/>
        <w:tab w:val="left" w:pos="2722"/>
      </w:tabs>
      <w:spacing w:after="120" w:line="260" w:lineRule="atLeast"/>
      <w:ind w:left="5534" w:hanging="567"/>
    </w:pPr>
    <w:rPr>
      <w:rFonts w:eastAsia="MS Mincho" w:cs="Times New Roman"/>
      <w:i/>
      <w:sz w:val="20"/>
      <w:lang w:eastAsia="ja-JP"/>
    </w:rPr>
  </w:style>
  <w:style w:type="paragraph" w:customStyle="1" w:styleId="Endofdocument">
    <w:name w:val="End of document"/>
    <w:basedOn w:val="Normal"/>
    <w:rsid w:val="00C2692C"/>
    <w:pPr>
      <w:tabs>
        <w:tab w:val="left" w:pos="1588"/>
        <w:tab w:val="left" w:pos="2155"/>
        <w:tab w:val="left" w:pos="2722"/>
      </w:tabs>
      <w:spacing w:after="120" w:line="260" w:lineRule="atLeast"/>
      <w:ind w:left="5534" w:hanging="567"/>
    </w:pPr>
    <w:rPr>
      <w:rFonts w:eastAsia="MS Mincho" w:cs="Times New Roman"/>
      <w:sz w:val="20"/>
      <w:lang w:eastAsia="ja-JP"/>
    </w:rPr>
  </w:style>
  <w:style w:type="character" w:customStyle="1" w:styleId="LegaChar">
    <w:name w:val="Leg (a) Char"/>
    <w:basedOn w:val="DefaultParagraphFont"/>
    <w:link w:val="Lega"/>
    <w:rsid w:val="00E64548"/>
    <w:rPr>
      <w:rFonts w:ascii="Arial" w:eastAsia="Times New Roman" w:hAnsi="Arial"/>
      <w:noProof/>
      <w:snapToGrid w:val="0"/>
      <w:sz w:val="22"/>
    </w:rPr>
  </w:style>
  <w:style w:type="character" w:customStyle="1" w:styleId="LegiChar">
    <w:name w:val="Leg (i) Char"/>
    <w:basedOn w:val="DefaultParagraphFont"/>
    <w:rsid w:val="00C2692C"/>
    <w:rPr>
      <w:noProof w:val="0"/>
      <w:snapToGrid w:val="0"/>
      <w:sz w:val="20"/>
      <w:lang w:val="en-US" w:eastAsia="en-US" w:bidi="ar-SA"/>
    </w:rPr>
  </w:style>
  <w:style w:type="paragraph" w:customStyle="1" w:styleId="Legiindent">
    <w:name w:val="Leg (i) indent"/>
    <w:basedOn w:val="Legi"/>
    <w:rsid w:val="00C2692C"/>
    <w:pPr>
      <w:spacing w:after="0" w:line="240" w:lineRule="auto"/>
      <w:ind w:left="1191" w:hanging="1191"/>
    </w:pPr>
    <w:rPr>
      <w:rFonts w:ascii="Times New Roman" w:hAnsi="Times New Roman"/>
      <w:sz w:val="28"/>
    </w:rPr>
  </w:style>
  <w:style w:type="character" w:customStyle="1" w:styleId="LegDeleted">
    <w:name w:val="Leg [Deleted]"/>
    <w:rsid w:val="00C2692C"/>
    <w:rPr>
      <w:i/>
    </w:rPr>
  </w:style>
  <w:style w:type="character" w:customStyle="1" w:styleId="Legbister">
    <w:name w:val="Leg bis/ter"/>
    <w:rsid w:val="00C2692C"/>
    <w:rPr>
      <w:i/>
    </w:rPr>
  </w:style>
  <w:style w:type="paragraph" w:customStyle="1" w:styleId="LegFootnote">
    <w:name w:val="Leg Footnote"/>
    <w:basedOn w:val="Normal"/>
    <w:rsid w:val="00C2692C"/>
    <w:pPr>
      <w:tabs>
        <w:tab w:val="left" w:pos="425"/>
      </w:tabs>
      <w:spacing w:before="20" w:line="480" w:lineRule="auto"/>
    </w:pPr>
    <w:rPr>
      <w:rFonts w:eastAsia="Arial Unicode MS" w:cs="Times New Roman"/>
      <w:snapToGrid w:val="0"/>
      <w:sz w:val="18"/>
      <w:lang w:eastAsia="en-US"/>
    </w:rPr>
  </w:style>
  <w:style w:type="character" w:customStyle="1" w:styleId="Legitalmutatis">
    <w:name w:val="Leg ital (mutatis)"/>
    <w:rsid w:val="00C2692C"/>
    <w:rPr>
      <w:i/>
    </w:rPr>
  </w:style>
  <w:style w:type="character" w:customStyle="1" w:styleId="LegDeletedText">
    <w:name w:val="LegDeletedText"/>
    <w:basedOn w:val="DefaultParagraphFont"/>
    <w:rsid w:val="00C2692C"/>
    <w:rPr>
      <w:strike/>
      <w:color w:val="FF0000"/>
    </w:rPr>
  </w:style>
  <w:style w:type="character" w:customStyle="1" w:styleId="LegInsertedText">
    <w:name w:val="LegInsertedText"/>
    <w:basedOn w:val="DefaultParagraphFont"/>
    <w:rsid w:val="00C2692C"/>
    <w:rPr>
      <w:color w:val="0000FF"/>
      <w:u w:val="single"/>
    </w:rPr>
  </w:style>
  <w:style w:type="paragraph" w:customStyle="1" w:styleId="Normala">
    <w:name w:val="Normal (a)"/>
    <w:basedOn w:val="Normal"/>
    <w:link w:val="NormalaChar"/>
    <w:rsid w:val="00C2692C"/>
    <w:pPr>
      <w:tabs>
        <w:tab w:val="left" w:pos="1588"/>
        <w:tab w:val="left" w:pos="2155"/>
        <w:tab w:val="left" w:pos="2722"/>
      </w:tabs>
      <w:spacing w:after="120" w:line="260" w:lineRule="atLeast"/>
      <w:ind w:left="2155" w:hanging="567"/>
    </w:pPr>
    <w:rPr>
      <w:rFonts w:eastAsia="MS Mincho" w:cs="Times New Roman"/>
      <w:sz w:val="20"/>
      <w:lang w:eastAsia="ja-JP"/>
    </w:rPr>
  </w:style>
  <w:style w:type="character" w:customStyle="1" w:styleId="NormalaChar">
    <w:name w:val="Normal (a) Char"/>
    <w:basedOn w:val="DefaultParagraphFont"/>
    <w:link w:val="Normala"/>
    <w:rsid w:val="00C2692C"/>
    <w:rPr>
      <w:rFonts w:ascii="Arial" w:eastAsia="MS Mincho" w:hAnsi="Arial"/>
      <w:lang w:eastAsia="ja-JP"/>
    </w:rPr>
  </w:style>
  <w:style w:type="paragraph" w:customStyle="1" w:styleId="Normalai">
    <w:name w:val="Normal (a)(i)"/>
    <w:basedOn w:val="Normal"/>
    <w:rsid w:val="00C2692C"/>
    <w:pPr>
      <w:tabs>
        <w:tab w:val="left" w:pos="1588"/>
        <w:tab w:val="left" w:pos="2155"/>
        <w:tab w:val="left" w:pos="2722"/>
      </w:tabs>
      <w:spacing w:after="120" w:line="260" w:lineRule="atLeast"/>
      <w:ind w:left="2722" w:hanging="567"/>
    </w:pPr>
    <w:rPr>
      <w:rFonts w:eastAsia="MS Mincho" w:cs="Times New Roman"/>
      <w:sz w:val="20"/>
      <w:lang w:eastAsia="ja-JP"/>
    </w:rPr>
  </w:style>
  <w:style w:type="character" w:customStyle="1" w:styleId="RDeletedText">
    <w:name w:val="RDeletedText"/>
    <w:basedOn w:val="DefaultParagraphFont"/>
    <w:rsid w:val="00C2692C"/>
    <w:rPr>
      <w:strike/>
      <w:color w:val="FF0000"/>
    </w:rPr>
  </w:style>
  <w:style w:type="character" w:customStyle="1" w:styleId="RInsertedText">
    <w:name w:val="RInsertedText"/>
    <w:basedOn w:val="DefaultParagraphFont"/>
    <w:rsid w:val="00C2692C"/>
    <w:rPr>
      <w:color w:val="0000FF"/>
      <w:u w:val="single"/>
    </w:rPr>
  </w:style>
  <w:style w:type="paragraph" w:customStyle="1" w:styleId="RNoMain">
    <w:name w:val="RNo.(Main)"/>
    <w:basedOn w:val="Normal"/>
    <w:next w:val="Normal"/>
    <w:link w:val="RNoMainChar"/>
    <w:rsid w:val="00C2692C"/>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C2692C"/>
    <w:rPr>
      <w:rFonts w:ascii="Arial" w:eastAsia="MS Mincho" w:hAnsi="Arial"/>
      <w:b/>
      <w:lang w:val="fr-FR" w:eastAsia="ja-JP"/>
    </w:rPr>
  </w:style>
  <w:style w:type="paragraph" w:customStyle="1" w:styleId="RContinued">
    <w:name w:val="RContinued"/>
    <w:basedOn w:val="Normal"/>
    <w:next w:val="Normal"/>
    <w:link w:val="RContinuedChar"/>
    <w:rsid w:val="00CA02DE"/>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Item">
    <w:name w:val="Item"/>
    <w:basedOn w:val="Normal"/>
    <w:qFormat/>
    <w:rsid w:val="009D1372"/>
    <w:pPr>
      <w:tabs>
        <w:tab w:val="left" w:pos="993"/>
        <w:tab w:val="left" w:pos="1418"/>
      </w:tabs>
      <w:spacing w:after="180"/>
      <w:ind w:left="992" w:hanging="992"/>
    </w:pPr>
    <w:rPr>
      <w:noProof/>
    </w:rPr>
  </w:style>
  <w:style w:type="paragraph" w:customStyle="1" w:styleId="Lunch">
    <w:name w:val="Lunch"/>
    <w:basedOn w:val="Item"/>
    <w:qFormat/>
    <w:rsid w:val="00193462"/>
    <w:pPr>
      <w:spacing w:before="360" w:after="360"/>
    </w:pPr>
    <w:rPr>
      <w:i/>
    </w:rPr>
  </w:style>
  <w:style w:type="paragraph" w:customStyle="1" w:styleId="RComment">
    <w:name w:val="RComment"/>
    <w:basedOn w:val="Normal"/>
    <w:next w:val="Normal"/>
    <w:autoRedefine/>
    <w:rsid w:val="004229E9"/>
    <w:pPr>
      <w:keepLines/>
      <w:tabs>
        <w:tab w:val="left" w:pos="567"/>
      </w:tabs>
      <w:spacing w:after="240"/>
    </w:pPr>
    <w:rPr>
      <w:rFonts w:eastAsia="Times New Roman" w:cs="Times New Roman"/>
      <w:i/>
      <w:lang w:eastAsia="en-US"/>
    </w:rPr>
  </w:style>
  <w:style w:type="paragraph" w:customStyle="1" w:styleId="RPara">
    <w:name w:val="RPar(a)"/>
    <w:basedOn w:val="Normal"/>
    <w:link w:val="RParaChar"/>
    <w:rsid w:val="00493568"/>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493568"/>
    <w:rPr>
      <w:rFonts w:ascii="Arial" w:eastAsia="Times New Roman" w:hAnsi="Arial" w:cs="Arial"/>
      <w:sz w:val="22"/>
    </w:rPr>
  </w:style>
  <w:style w:type="paragraph" w:styleId="ListNumber5">
    <w:name w:val="List Number 5"/>
    <w:basedOn w:val="Normal"/>
    <w:rsid w:val="00CE1FC7"/>
    <w:pPr>
      <w:numPr>
        <w:numId w:val="13"/>
      </w:numPr>
    </w:pPr>
    <w:rPr>
      <w:rFonts w:ascii="Times New Roman" w:eastAsia="Times New Roman" w:hAnsi="Times New Roman" w:cs="Times New Roman"/>
      <w:sz w:val="28"/>
      <w:lang w:eastAsia="en-US"/>
    </w:rPr>
  </w:style>
  <w:style w:type="paragraph" w:customStyle="1" w:styleId="TitleofDoc">
    <w:name w:val="Title of Doc"/>
    <w:basedOn w:val="Normal"/>
    <w:rsid w:val="002E40B9"/>
    <w:pPr>
      <w:spacing w:before="1200"/>
      <w:jc w:val="center"/>
    </w:pPr>
    <w:rPr>
      <w:rFonts w:ascii="Times New Roman" w:eastAsia="Times New Roman" w:hAnsi="Times New Roman" w:cs="Times New Roman"/>
      <w:caps/>
      <w:sz w:val="28"/>
      <w:lang w:eastAsia="en-US"/>
    </w:rPr>
  </w:style>
  <w:style w:type="character" w:customStyle="1" w:styleId="RContinuedChar">
    <w:name w:val="RContinued Char"/>
    <w:basedOn w:val="DefaultParagraphFont"/>
    <w:link w:val="RContinued"/>
    <w:rsid w:val="007954DE"/>
    <w:rPr>
      <w:rFonts w:eastAsia="Times New Roman"/>
      <w:i/>
      <w:sz w:val="24"/>
    </w:rPr>
  </w:style>
  <w:style w:type="paragraph" w:customStyle="1" w:styleId="RTitleSub">
    <w:name w:val="RTitle(Sub)"/>
    <w:basedOn w:val="Normal"/>
    <w:next w:val="RPara"/>
    <w:rsid w:val="005E07DA"/>
    <w:pPr>
      <w:keepNext/>
      <w:tabs>
        <w:tab w:val="left" w:pos="567"/>
      </w:tabs>
      <w:spacing w:after="360" w:line="480" w:lineRule="auto"/>
    </w:pPr>
    <w:rPr>
      <w:rFonts w:eastAsia="Times New Roman" w:cs="Times New Roman"/>
      <w:lang w:eastAsia="en-US"/>
    </w:rPr>
  </w:style>
  <w:style w:type="character" w:customStyle="1" w:styleId="Insertedtext0">
    <w:name w:val="Inserted text"/>
    <w:basedOn w:val="DefaultParagraphFont"/>
    <w:uiPriority w:val="1"/>
    <w:qFormat/>
    <w:rsid w:val="00DB22C1"/>
    <w:rPr>
      <w:color w:val="1F497D" w:themeColor="text2"/>
      <w:u w:val="single"/>
    </w:rPr>
  </w:style>
  <w:style w:type="character" w:customStyle="1" w:styleId="Deletedtext0">
    <w:name w:val="Deleted text"/>
    <w:basedOn w:val="DefaultParagraphFont"/>
    <w:uiPriority w:val="1"/>
    <w:qFormat/>
    <w:rsid w:val="00DB22C1"/>
    <w:rPr>
      <w:strike/>
      <w:dstrike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8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74DC0-77B8-4325-A05F-1F8D4857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2978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MATTHES Claus</dc:creator>
  <cp:keywords>FOR OFFICIAL USE ONLY</cp:keywords>
  <cp:lastModifiedBy>MARLOW Thomas</cp:lastModifiedBy>
  <cp:revision>2</cp:revision>
  <cp:lastPrinted>2023-01-31T17:35:00Z</cp:lastPrinted>
  <dcterms:created xsi:type="dcterms:W3CDTF">2024-02-17T16:35:00Z</dcterms:created>
  <dcterms:modified xsi:type="dcterms:W3CDTF">2024-02-17T16:35:00Z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615e3fe5-a9da-4121-930b-17ce79170de7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2024-02-17T16:35:09Z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26d9a368-0a2a-42f8-b248-6e0def2dd59f</vt:lpwstr>
  </property>
  <property fmtid="{D5CDD505-2E9C-101B-9397-08002B2CF9AE}" pid="14" name="MSIP_Label_bfc084f7-b690-4c43-8ee6-d475b6d3461d_ContentBits">
    <vt:lpwstr>2</vt:lpwstr>
  </property>
</Properties>
</file>