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62F9" w14:textId="455DEF31" w:rsidR="008B2CC1" w:rsidRPr="00546401" w:rsidRDefault="008B2CC1" w:rsidP="00F11D94">
      <w:pPr>
        <w:spacing w:after="120"/>
        <w:jc w:val="right"/>
      </w:pPr>
    </w:p>
    <w:p w14:paraId="1BE0B3F7" w14:textId="41DE7ECF" w:rsidR="008B2CC1" w:rsidRPr="00546401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546401">
        <w:rPr>
          <w:rFonts w:ascii="Arial Black" w:hAnsi="Arial Black"/>
          <w:caps/>
          <w:sz w:val="15"/>
          <w:szCs w:val="15"/>
        </w:rPr>
        <w:t>PCT/WG/1</w:t>
      </w:r>
      <w:r w:rsidR="003F4C9E" w:rsidRPr="00546401">
        <w:rPr>
          <w:rFonts w:ascii="Arial Black" w:hAnsi="Arial Black"/>
          <w:caps/>
          <w:sz w:val="15"/>
          <w:szCs w:val="15"/>
        </w:rPr>
        <w:t>7</w:t>
      </w:r>
      <w:r w:rsidR="00FC310A">
        <w:rPr>
          <w:rFonts w:ascii="Arial Black" w:hAnsi="Arial Black"/>
          <w:caps/>
          <w:sz w:val="15"/>
          <w:szCs w:val="15"/>
        </w:rPr>
        <w:t xml:space="preserve"> Paper No. 1</w:t>
      </w:r>
    </w:p>
    <w:p w14:paraId="1664C57A" w14:textId="3C124202" w:rsidR="00CE65D4" w:rsidRPr="00546401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546401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546401" w:rsidRPr="00546401">
        <w:rPr>
          <w:rFonts w:ascii="Arial Black" w:hAnsi="Arial Black"/>
          <w:caps/>
          <w:sz w:val="15"/>
          <w:szCs w:val="15"/>
        </w:rPr>
        <w:t>English</w:t>
      </w:r>
      <w:r w:rsidR="00FC310A">
        <w:rPr>
          <w:rFonts w:ascii="Arial Black" w:hAnsi="Arial Black"/>
          <w:caps/>
          <w:sz w:val="15"/>
          <w:szCs w:val="15"/>
        </w:rPr>
        <w:t xml:space="preserve"> Only</w:t>
      </w:r>
    </w:p>
    <w:bookmarkEnd w:id="0"/>
    <w:p w14:paraId="32F89C62" w14:textId="77777777" w:rsidR="008B2CC1" w:rsidRPr="00546401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546401">
        <w:rPr>
          <w:rFonts w:ascii="Arial Black" w:hAnsi="Arial Black"/>
          <w:caps/>
          <w:sz w:val="15"/>
          <w:szCs w:val="15"/>
        </w:rPr>
        <w:t xml:space="preserve">DATE: </w:t>
      </w:r>
      <w:bookmarkStart w:id="1" w:name="Date"/>
      <w:r w:rsidR="00546401" w:rsidRPr="00546401">
        <w:rPr>
          <w:rFonts w:ascii="Arial Black" w:hAnsi="Arial Black"/>
          <w:caps/>
          <w:sz w:val="15"/>
          <w:szCs w:val="15"/>
        </w:rPr>
        <w:t>February 9, 2024</w:t>
      </w:r>
    </w:p>
    <w:bookmarkEnd w:id="1"/>
    <w:p w14:paraId="069424E3" w14:textId="77777777" w:rsidR="008B2CC1" w:rsidRPr="00546401" w:rsidRDefault="00E90B8B" w:rsidP="00A26A28">
      <w:pPr>
        <w:spacing w:after="720"/>
        <w:rPr>
          <w:b/>
          <w:sz w:val="28"/>
          <w:szCs w:val="28"/>
        </w:rPr>
      </w:pPr>
      <w:r w:rsidRPr="00546401">
        <w:rPr>
          <w:b/>
          <w:sz w:val="28"/>
          <w:szCs w:val="28"/>
        </w:rPr>
        <w:t>Patent Cooperation Treaty (PCT) Working Group</w:t>
      </w:r>
    </w:p>
    <w:p w14:paraId="7C57BE4D" w14:textId="77777777" w:rsidR="008B2CC1" w:rsidRPr="00546401" w:rsidRDefault="003F4C9E" w:rsidP="008B2CC1">
      <w:pPr>
        <w:rPr>
          <w:b/>
          <w:sz w:val="24"/>
          <w:szCs w:val="24"/>
        </w:rPr>
      </w:pPr>
      <w:r w:rsidRPr="00546401">
        <w:rPr>
          <w:b/>
          <w:sz w:val="24"/>
          <w:szCs w:val="24"/>
        </w:rPr>
        <w:t xml:space="preserve">Seventeenth </w:t>
      </w:r>
      <w:r w:rsidR="00E90B8B" w:rsidRPr="00546401">
        <w:rPr>
          <w:b/>
          <w:sz w:val="24"/>
          <w:szCs w:val="24"/>
        </w:rPr>
        <w:t>Session</w:t>
      </w:r>
    </w:p>
    <w:p w14:paraId="4D2C85C2" w14:textId="77777777" w:rsidR="008B2CC1" w:rsidRPr="00546401" w:rsidRDefault="00E90B8B" w:rsidP="00CE65D4">
      <w:pPr>
        <w:spacing w:after="720"/>
      </w:pPr>
      <w:r w:rsidRPr="00546401">
        <w:rPr>
          <w:b/>
          <w:sz w:val="24"/>
          <w:szCs w:val="24"/>
        </w:rPr>
        <w:t xml:space="preserve">Geneva, February </w:t>
      </w:r>
      <w:r w:rsidR="003F4C9E" w:rsidRPr="00546401">
        <w:rPr>
          <w:b/>
          <w:sz w:val="24"/>
          <w:szCs w:val="24"/>
        </w:rPr>
        <w:t>19 to 21, 2024</w:t>
      </w:r>
    </w:p>
    <w:p w14:paraId="669A7A67" w14:textId="1D188A79" w:rsidR="008B2CC1" w:rsidRPr="005C7E39" w:rsidRDefault="00546401" w:rsidP="005C7E39">
      <w:pPr>
        <w:spacing w:after="360"/>
        <w:rPr>
          <w:caps/>
          <w:sz w:val="24"/>
        </w:rPr>
      </w:pPr>
      <w:bookmarkStart w:id="2" w:name="TitleOfDoc"/>
      <w:r w:rsidRPr="00546401">
        <w:rPr>
          <w:caps/>
          <w:sz w:val="24"/>
        </w:rPr>
        <w:t>Criteria for Fee Reductions:  Calculation Methodology</w:t>
      </w:r>
      <w:bookmarkStart w:id="3" w:name="Prepared"/>
      <w:bookmarkEnd w:id="2"/>
    </w:p>
    <w:bookmarkEnd w:id="3"/>
    <w:p w14:paraId="595303B8" w14:textId="78B9C2D1" w:rsidR="00546401" w:rsidRDefault="00546401" w:rsidP="00546401">
      <w:pPr>
        <w:pStyle w:val="ONUME"/>
      </w:pPr>
      <w:r w:rsidRPr="00546401">
        <w:t xml:space="preserve">Item 5(a) of the Schedule of </w:t>
      </w:r>
      <w:r w:rsidR="003B2CC3">
        <w:t>F</w:t>
      </w:r>
      <w:r w:rsidRPr="00546401">
        <w:t xml:space="preserve">ees provides for fee reductions for international applications filed by a natural person who is a national of and resides in a State listed as meeting certain criteria based on per capita gross domestic product </w:t>
      </w:r>
      <w:r w:rsidR="00914439">
        <w:t xml:space="preserve">(GDP) </w:t>
      </w:r>
      <w:r w:rsidRPr="00546401">
        <w:t xml:space="preserve">and numbers of patent filings by nationals and residents of those countries.  </w:t>
      </w:r>
      <w:r w:rsidR="003B2CC3">
        <w:t>Directives</w:t>
      </w:r>
      <w:r w:rsidRPr="00546401">
        <w:t xml:space="preserve"> require the list to be updated at least every five years</w:t>
      </w:r>
      <w:r w:rsidR="00914439">
        <w:t xml:space="preserve"> and for the criteria to be reviewed</w:t>
      </w:r>
      <w:r w:rsidR="003B2CC3">
        <w:t xml:space="preserve"> (see Annex II to document PCT/A/46/6)</w:t>
      </w:r>
      <w:r w:rsidRPr="00546401">
        <w:t>.</w:t>
      </w:r>
    </w:p>
    <w:p w14:paraId="53C27165" w14:textId="0F994CB7" w:rsidR="005C7E39" w:rsidRDefault="005C7E39" w:rsidP="00546401">
      <w:pPr>
        <w:pStyle w:val="ONUME"/>
      </w:pPr>
      <w:r>
        <w:t>Contracting States have informally asked for details of the source and methodology for the calculated figures.</w:t>
      </w:r>
    </w:p>
    <w:p w14:paraId="32DE69DB" w14:textId="56B921E3" w:rsidR="00914439" w:rsidRDefault="00914439" w:rsidP="00546401">
      <w:pPr>
        <w:pStyle w:val="ONUME"/>
      </w:pPr>
      <w:r>
        <w:t xml:space="preserve">The GDP-related </w:t>
      </w:r>
      <w:r w:rsidR="005C7E39">
        <w:t xml:space="preserve">part of the </w:t>
      </w:r>
      <w:r>
        <w:t>criteria is:</w:t>
      </w:r>
    </w:p>
    <w:p w14:paraId="5C5D43F1" w14:textId="6D02F6A2" w:rsidR="00914439" w:rsidRDefault="00914439" w:rsidP="00914439">
      <w:pPr>
        <w:pStyle w:val="ONUME"/>
        <w:numPr>
          <w:ilvl w:val="0"/>
          <w:numId w:val="0"/>
        </w:numPr>
        <w:ind w:left="567"/>
      </w:pPr>
      <w:r>
        <w:t xml:space="preserve">“… a State </w:t>
      </w:r>
      <w:r w:rsidRPr="00914439">
        <w:t>whose per capita gross domestic product is below US$ 25,000 (according to the most recent 10-year average per capita gross domestic product figures at constant 2005 US$ values published by the United Nations)</w:t>
      </w:r>
      <w:r>
        <w:t>.</w:t>
      </w:r>
    </w:p>
    <w:p w14:paraId="66D0A9AF" w14:textId="29F1A475" w:rsidR="00914439" w:rsidRDefault="00914439" w:rsidP="00914439">
      <w:pPr>
        <w:pStyle w:val="ONUME"/>
      </w:pPr>
      <w:r>
        <w:t>The calculated 10-year averages are listed in the Annex to document PCT/WG/17/5 Rev.  The methodology for the calculation is as follows.</w:t>
      </w:r>
    </w:p>
    <w:p w14:paraId="26DC9265" w14:textId="7CF03837" w:rsidR="00914439" w:rsidRDefault="00914439" w:rsidP="00914439">
      <w:pPr>
        <w:pStyle w:val="ONUME"/>
      </w:pPr>
      <w:r>
        <w:t>The source of the data is the United Nations Statistics Division</w:t>
      </w:r>
      <w:r>
        <w:rPr>
          <w:rStyle w:val="FootnoteReference"/>
        </w:rPr>
        <w:footnoteReference w:id="2"/>
      </w:r>
      <w:r w:rsidR="005C7E39">
        <w:t xml:space="preserve">, </w:t>
      </w:r>
      <w:r w:rsidR="00835977">
        <w:t>using</w:t>
      </w:r>
      <w:r w:rsidR="005C7E39">
        <w:t xml:space="preserve"> the figures </w:t>
      </w:r>
      <w:r w:rsidR="00835977">
        <w:t xml:space="preserve">for 2013 to 2022, </w:t>
      </w:r>
      <w:r w:rsidR="005C7E39">
        <w:t>as updated in January 2024</w:t>
      </w:r>
      <w:r>
        <w:t xml:space="preserve">.  The constant 2005 US$ values </w:t>
      </w:r>
      <w:r w:rsidR="005C7E39">
        <w:t xml:space="preserve">referred to in the Schedule of </w:t>
      </w:r>
      <w:r w:rsidR="003B2CC3">
        <w:t>F</w:t>
      </w:r>
      <w:r w:rsidR="005C7E39">
        <w:t xml:space="preserve">ees </w:t>
      </w:r>
      <w:r>
        <w:t xml:space="preserve">are no longer </w:t>
      </w:r>
      <w:r w:rsidR="005C7E39">
        <w:t xml:space="preserve">directly </w:t>
      </w:r>
      <w:r>
        <w:t>published and so are calculated from the following sources:</w:t>
      </w:r>
    </w:p>
    <w:p w14:paraId="194E86A6" w14:textId="2497A314" w:rsidR="00914439" w:rsidRDefault="00914439" w:rsidP="00914439">
      <w:pPr>
        <w:pStyle w:val="ONUME"/>
        <w:numPr>
          <w:ilvl w:val="1"/>
          <w:numId w:val="5"/>
        </w:numPr>
      </w:pPr>
      <w:r>
        <w:t>GDP, Per Capita GDP at constant YYYY prices – US Dollars (where YYYY is the year for which constant prices are directly provided, at present 2015);</w:t>
      </w:r>
    </w:p>
    <w:p w14:paraId="107DE663" w14:textId="5F1C85C6" w:rsidR="00914439" w:rsidRDefault="00914439" w:rsidP="00914439">
      <w:pPr>
        <w:pStyle w:val="ONUME"/>
        <w:numPr>
          <w:ilvl w:val="1"/>
          <w:numId w:val="5"/>
        </w:numPr>
      </w:pPr>
      <w:r>
        <w:t>GDP, Implicit Price Deflators – US Dollars.</w:t>
      </w:r>
    </w:p>
    <w:p w14:paraId="3C2EFB8C" w14:textId="7CD3A8F3" w:rsidR="00914439" w:rsidRDefault="00914439" w:rsidP="005C7E39">
      <w:pPr>
        <w:pStyle w:val="ONUME"/>
        <w:keepNext/>
        <w:keepLines/>
      </w:pPr>
      <w:r>
        <w:lastRenderedPageBreak/>
        <w:t xml:space="preserve">The implicit price deflators provide a correction factor, allowing the </w:t>
      </w:r>
      <w:r w:rsidR="00F56149">
        <w:t>values that would have been shown for constant dollar prices according to any other year for which the data is available.  The correction factor is 100% for the year at which the current constant dollar values are provided (2015)</w:t>
      </w:r>
      <w:r w:rsidR="00E15A72">
        <w:t>.</w:t>
      </w:r>
      <w:r w:rsidR="00F56149">
        <w:t xml:space="preserve">  </w:t>
      </w:r>
      <w:r w:rsidR="00E15A72">
        <w:t>P</w:t>
      </w:r>
      <w:r w:rsidR="00F56149">
        <w:t xml:space="preserve">ercentages </w:t>
      </w:r>
      <w:r w:rsidR="00E15A72">
        <w:t xml:space="preserve">will differ </w:t>
      </w:r>
      <w:r w:rsidR="00F56149">
        <w:t>for each country and year.  For example, the values for Switzerland and selected years are as follows</w:t>
      </w:r>
      <w:r w:rsidR="00C728AA">
        <w:rPr>
          <w:rStyle w:val="FootnoteReference"/>
        </w:rPr>
        <w:footnoteReference w:id="3"/>
      </w:r>
      <w:r w:rsidR="00F56149">
        <w:t>:</w:t>
      </w:r>
    </w:p>
    <w:tbl>
      <w:tblPr>
        <w:tblW w:w="504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02"/>
        <w:gridCol w:w="578"/>
        <w:gridCol w:w="1841"/>
        <w:gridCol w:w="2421"/>
        <w:gridCol w:w="1909"/>
      </w:tblGrid>
      <w:tr w:rsidR="00F56149" w:rsidRPr="00C728AA" w14:paraId="34E8944F" w14:textId="77777777" w:rsidTr="005C7E39">
        <w:trPr>
          <w:tblHeader/>
        </w:trPr>
        <w:tc>
          <w:tcPr>
            <w:tcW w:w="883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A061C09" w14:textId="77777777" w:rsidR="00F56149" w:rsidRPr="00F56149" w:rsidRDefault="00F5614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Country/Area</w:t>
            </w:r>
          </w:p>
        </w:tc>
        <w:tc>
          <w:tcPr>
            <w:tcW w:w="532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6E6E04" w14:textId="77777777" w:rsidR="00F56149" w:rsidRPr="00F56149" w:rsidRDefault="00F5614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Year</w:t>
            </w:r>
          </w:p>
        </w:tc>
        <w:tc>
          <w:tcPr>
            <w:tcW w:w="307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7F8D1C" w14:textId="77777777" w:rsidR="00F56149" w:rsidRPr="00F56149" w:rsidRDefault="00F5614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Unit</w:t>
            </w:r>
          </w:p>
        </w:tc>
        <w:tc>
          <w:tcPr>
            <w:tcW w:w="978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55361A" w14:textId="77777777" w:rsidR="00F56149" w:rsidRPr="00F56149" w:rsidRDefault="00F5614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GDP Index at current prices</w:t>
            </w:r>
          </w:p>
        </w:tc>
        <w:tc>
          <w:tcPr>
            <w:tcW w:w="1286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094F7F" w14:textId="77777777" w:rsidR="00F56149" w:rsidRPr="00F56149" w:rsidRDefault="00F5614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GDP Index at constant 2015 prices</w:t>
            </w:r>
          </w:p>
        </w:tc>
        <w:tc>
          <w:tcPr>
            <w:tcW w:w="1014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3BA2FD" w14:textId="77777777" w:rsidR="00F56149" w:rsidRPr="00F56149" w:rsidRDefault="00F5614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Implicit Price Deflator</w:t>
            </w:r>
          </w:p>
        </w:tc>
      </w:tr>
      <w:tr w:rsidR="00C728AA" w:rsidRPr="00C728AA" w14:paraId="1642ABBE" w14:textId="77777777" w:rsidTr="005C7E39">
        <w:tc>
          <w:tcPr>
            <w:tcW w:w="8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E70B7" w14:textId="77777777" w:rsidR="00C728AA" w:rsidRPr="00F56149" w:rsidRDefault="00C728AA" w:rsidP="00C728AA">
            <w:pPr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Switzerland</w:t>
            </w:r>
          </w:p>
        </w:tc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70A66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2005</w:t>
            </w:r>
          </w:p>
        </w:tc>
        <w:tc>
          <w:tcPr>
            <w:tcW w:w="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6D6CC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US$</w:t>
            </w:r>
          </w:p>
        </w:tc>
        <w:tc>
          <w:tcPr>
            <w:tcW w:w="9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B57F4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60.3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A119F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81.7</w:t>
            </w:r>
          </w:p>
        </w:tc>
        <w:tc>
          <w:tcPr>
            <w:tcW w:w="10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2BC68" w14:textId="20CAFD89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C728AA">
              <w:rPr>
                <w:szCs w:val="22"/>
              </w:rPr>
              <w:t>73.7</w:t>
            </w:r>
          </w:p>
        </w:tc>
      </w:tr>
      <w:tr w:rsidR="00C728AA" w:rsidRPr="00C728AA" w14:paraId="411EC5A6" w14:textId="77777777" w:rsidTr="005C7E39">
        <w:tc>
          <w:tcPr>
            <w:tcW w:w="8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5FDAD" w14:textId="77777777" w:rsidR="00C728AA" w:rsidRPr="00F56149" w:rsidRDefault="00C728AA" w:rsidP="00C728AA">
            <w:pPr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Switzerland</w:t>
            </w:r>
          </w:p>
        </w:tc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1989B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2015</w:t>
            </w:r>
          </w:p>
        </w:tc>
        <w:tc>
          <w:tcPr>
            <w:tcW w:w="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86C70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US$</w:t>
            </w:r>
          </w:p>
        </w:tc>
        <w:tc>
          <w:tcPr>
            <w:tcW w:w="9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507BD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100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6ABAA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100</w:t>
            </w:r>
          </w:p>
        </w:tc>
        <w:tc>
          <w:tcPr>
            <w:tcW w:w="10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44F9C" w14:textId="412ABF3E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C728AA">
              <w:rPr>
                <w:szCs w:val="22"/>
              </w:rPr>
              <w:t>100</w:t>
            </w:r>
          </w:p>
        </w:tc>
      </w:tr>
      <w:tr w:rsidR="00C728AA" w:rsidRPr="00C728AA" w14:paraId="7CB1BB0F" w14:textId="77777777" w:rsidTr="005C7E39">
        <w:tc>
          <w:tcPr>
            <w:tcW w:w="8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15110" w14:textId="77777777" w:rsidR="00C728AA" w:rsidRPr="00F56149" w:rsidRDefault="00C728AA" w:rsidP="00C728AA">
            <w:pPr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Switzerland</w:t>
            </w:r>
          </w:p>
        </w:tc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FB1E5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2022</w:t>
            </w:r>
          </w:p>
        </w:tc>
        <w:tc>
          <w:tcPr>
            <w:tcW w:w="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88B49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US$</w:t>
            </w:r>
          </w:p>
        </w:tc>
        <w:tc>
          <w:tcPr>
            <w:tcW w:w="9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45B58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117.9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1010F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113.9</w:t>
            </w:r>
          </w:p>
        </w:tc>
        <w:tc>
          <w:tcPr>
            <w:tcW w:w="10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257DE" w14:textId="266D2CA4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C728AA">
              <w:rPr>
                <w:szCs w:val="22"/>
              </w:rPr>
              <w:t>103.5</w:t>
            </w:r>
          </w:p>
        </w:tc>
      </w:tr>
    </w:tbl>
    <w:p w14:paraId="746DD522" w14:textId="77777777" w:rsidR="00F56149" w:rsidRDefault="00F56149" w:rsidP="00F56149">
      <w:pPr>
        <w:pStyle w:val="ONUME"/>
        <w:numPr>
          <w:ilvl w:val="0"/>
          <w:numId w:val="0"/>
        </w:numPr>
      </w:pPr>
    </w:p>
    <w:p w14:paraId="65F0E2E8" w14:textId="56A23A28" w:rsidR="00F56149" w:rsidRDefault="00F56149" w:rsidP="00914439">
      <w:pPr>
        <w:pStyle w:val="ONUME"/>
      </w:pPr>
      <w:r>
        <w:t>The 2005</w:t>
      </w:r>
      <w:r w:rsidR="005C7E39">
        <w:t xml:space="preserve"> and 2022</w:t>
      </w:r>
      <w:r>
        <w:t xml:space="preserve"> constant dollar value</w:t>
      </w:r>
      <w:r w:rsidR="005C7E39">
        <w:t>s</w:t>
      </w:r>
      <w:r>
        <w:t xml:space="preserve"> can be determined by taking the GDP data at constant 2015 values for the relevant year and multiplying by the implicit price deflator</w:t>
      </w:r>
      <w:r w:rsidR="00835977">
        <w:t xml:space="preserve"> for the year whose constant price values are required</w:t>
      </w:r>
      <w:r>
        <w:t>.</w:t>
      </w:r>
      <w:r w:rsidR="00835977">
        <w:t xml:space="preserve">  This calculation is shown for 2005, 2015 and 2022 GDP at 2015 (taken from the database) and calculated 2005 and 2022 prices.</w:t>
      </w:r>
    </w:p>
    <w:tbl>
      <w:tblPr>
        <w:tblW w:w="5000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640"/>
        <w:gridCol w:w="578"/>
        <w:gridCol w:w="2272"/>
        <w:gridCol w:w="2152"/>
        <w:gridCol w:w="2152"/>
      </w:tblGrid>
      <w:tr w:rsidR="001934BD" w:rsidRPr="005C7E39" w14:paraId="6165AF7E" w14:textId="3F58B938" w:rsidTr="001934BD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0A13A1" w14:textId="77777777" w:rsidR="001934BD" w:rsidRPr="005C7E39" w:rsidRDefault="001934BD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Country/Area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9FBCD7" w14:textId="77777777" w:rsidR="001934BD" w:rsidRPr="005C7E39" w:rsidRDefault="001934BD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Year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91C442B" w14:textId="77777777" w:rsidR="001934BD" w:rsidRPr="005C7E39" w:rsidRDefault="001934BD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Unit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700B13" w14:textId="7767A31C" w:rsidR="001934BD" w:rsidRPr="005C7E39" w:rsidRDefault="001934BD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GDP, Per Capita constant 2015 prices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D1A328D" w14:textId="44518027" w:rsidR="001934BD" w:rsidRPr="005C7E39" w:rsidRDefault="001934BD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GDP, Per Capita constant 2005 prices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9C67A27" w14:textId="20C572F3" w:rsidR="001934BD" w:rsidRPr="005C7E39" w:rsidRDefault="001934BD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GDP, Per Capita constant 2022 prices</w:t>
            </w:r>
          </w:p>
        </w:tc>
      </w:tr>
      <w:tr w:rsidR="00EB4B39" w:rsidRPr="005C7E39" w14:paraId="483132B6" w14:textId="5E48F7B8" w:rsidTr="00A86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A5B94" w14:textId="77777777" w:rsidR="00EB4B39" w:rsidRPr="005C7E39" w:rsidRDefault="00EB4B39" w:rsidP="00EB4B39">
            <w:pPr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7F855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EBE3B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C49FBF" w14:textId="455FBC17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76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2EDCF73B" w14:textId="7A6B0A01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56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3</w:t>
            </w:r>
            <w:r w:rsidR="005C7E39" w:rsidRPr="005C7E39">
              <w:rPr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3054279C" w14:textId="276C34B1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79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088</w:t>
            </w:r>
          </w:p>
        </w:tc>
      </w:tr>
      <w:tr w:rsidR="00EB4B39" w:rsidRPr="005C7E39" w14:paraId="7AF6E4D8" w14:textId="6CC369D0" w:rsidTr="00A86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7B64C" w14:textId="77777777" w:rsidR="00EB4B39" w:rsidRPr="005C7E39" w:rsidRDefault="00EB4B39" w:rsidP="00EB4B39">
            <w:pPr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93AEF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69494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DEBC9F" w14:textId="04BF859E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83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50F027A2" w14:textId="341A924B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61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1FBF4634" w14:textId="7D2E22A5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86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79</w:t>
            </w:r>
            <w:r w:rsidR="005C7E39" w:rsidRPr="005C7E39">
              <w:rPr>
                <w:color w:val="000000"/>
                <w:szCs w:val="22"/>
              </w:rPr>
              <w:t>4</w:t>
            </w:r>
          </w:p>
        </w:tc>
      </w:tr>
      <w:tr w:rsidR="00EB4B39" w:rsidRPr="005C7E39" w14:paraId="6EE67595" w14:textId="07F4FEA7" w:rsidTr="00A86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61E70" w14:textId="77777777" w:rsidR="00EB4B39" w:rsidRPr="005C7E39" w:rsidRDefault="00EB4B39" w:rsidP="00EB4B39">
            <w:pPr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AA527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E8364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E34BFA" w14:textId="4275A7E9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90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14:paraId="6FF971B9" w14:textId="36B76140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66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668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14:paraId="5CDA0443" w14:textId="6DF4048E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93</w:t>
            </w:r>
            <w:r w:rsidR="005C7E39" w:rsidRPr="005C7E39">
              <w:rPr>
                <w:color w:val="000000"/>
                <w:szCs w:val="22"/>
              </w:rPr>
              <w:t>,</w:t>
            </w:r>
            <w:r w:rsidRPr="005C7E39">
              <w:rPr>
                <w:color w:val="000000"/>
                <w:szCs w:val="22"/>
              </w:rPr>
              <w:t>636</w:t>
            </w:r>
          </w:p>
        </w:tc>
      </w:tr>
    </w:tbl>
    <w:p w14:paraId="438C15A4" w14:textId="77777777" w:rsidR="00F56149" w:rsidRDefault="00F56149" w:rsidP="00F56149">
      <w:pPr>
        <w:pStyle w:val="ONUME"/>
        <w:numPr>
          <w:ilvl w:val="0"/>
          <w:numId w:val="0"/>
        </w:numPr>
      </w:pPr>
    </w:p>
    <w:p w14:paraId="70649CC7" w14:textId="06DEF111" w:rsidR="005C7E39" w:rsidRDefault="005C7E39" w:rsidP="00914439">
      <w:pPr>
        <w:pStyle w:val="ONUME"/>
      </w:pPr>
      <w:r>
        <w:t xml:space="preserve">The calculated 2005 value at 2005 </w:t>
      </w:r>
      <w:r w:rsidR="00835977">
        <w:t xml:space="preserve">prices and </w:t>
      </w:r>
      <w:r>
        <w:t xml:space="preserve">2022 </w:t>
      </w:r>
      <w:r w:rsidR="00835977">
        <w:t xml:space="preserve">value at 2022 </w:t>
      </w:r>
      <w:r>
        <w:t>prices can be seen to correspond correctly to the values shown in the actual GDP per capita for those years, as extracted from the “GDP Per Capita GDP – US Dollars” dataset.</w:t>
      </w:r>
    </w:p>
    <w:tbl>
      <w:tblPr>
        <w:tblW w:w="5009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929"/>
        <w:gridCol w:w="839"/>
        <w:gridCol w:w="5347"/>
      </w:tblGrid>
      <w:tr w:rsidR="005C7E39" w:rsidRPr="005C7E39" w14:paraId="367149B6" w14:textId="77777777" w:rsidTr="005C7E39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6B3742" w14:textId="77777777" w:rsidR="005C7E39" w:rsidRPr="005C7E39" w:rsidRDefault="005C7E39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Country/Area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933990C" w14:textId="77777777" w:rsidR="005C7E39" w:rsidRPr="005C7E39" w:rsidRDefault="005C7E39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Year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83326F" w14:textId="77777777" w:rsidR="005C7E39" w:rsidRPr="005C7E39" w:rsidRDefault="005C7E39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Unit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329455" w14:textId="77777777" w:rsidR="005C7E39" w:rsidRPr="005C7E39" w:rsidRDefault="005C7E39">
            <w:pPr>
              <w:rPr>
                <w:b/>
                <w:bCs/>
                <w:color w:val="333333"/>
                <w:szCs w:val="22"/>
              </w:rPr>
            </w:pPr>
            <w:r w:rsidRPr="005C7E39">
              <w:rPr>
                <w:b/>
                <w:bCs/>
                <w:color w:val="333333"/>
                <w:szCs w:val="22"/>
              </w:rPr>
              <w:t>GDP, Per Capita GDP - US Dollars</w:t>
            </w:r>
          </w:p>
        </w:tc>
      </w:tr>
      <w:tr w:rsidR="005C7E39" w:rsidRPr="005C7E39" w14:paraId="314EBD96" w14:textId="77777777" w:rsidTr="005C7E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593E0" w14:textId="77777777" w:rsidR="005C7E39" w:rsidRPr="005C7E39" w:rsidRDefault="005C7E39">
            <w:pPr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6BA2A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0A32A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06E28" w14:textId="77777777" w:rsidR="005C7E39" w:rsidRPr="005C7E39" w:rsidRDefault="005C7E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56,310</w:t>
            </w:r>
          </w:p>
        </w:tc>
      </w:tr>
      <w:tr w:rsidR="005C7E39" w:rsidRPr="005C7E39" w14:paraId="6CF63BE9" w14:textId="77777777" w:rsidTr="005C7E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C0127" w14:textId="77777777" w:rsidR="005C7E39" w:rsidRPr="005C7E39" w:rsidRDefault="005C7E39">
            <w:pPr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510F5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84E0A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6909A" w14:textId="77777777" w:rsidR="005C7E39" w:rsidRPr="005C7E39" w:rsidRDefault="005C7E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83,813</w:t>
            </w:r>
          </w:p>
        </w:tc>
      </w:tr>
      <w:tr w:rsidR="005C7E39" w:rsidRPr="005C7E39" w14:paraId="0BA08BA2" w14:textId="77777777" w:rsidTr="005C7E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53CED" w14:textId="77777777" w:rsidR="005C7E39" w:rsidRPr="005C7E39" w:rsidRDefault="005C7E39">
            <w:pPr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Switzerland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F1D7F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B8353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A0076" w14:textId="77777777" w:rsidR="005C7E39" w:rsidRPr="005C7E39" w:rsidRDefault="005C7E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93,636</w:t>
            </w:r>
          </w:p>
        </w:tc>
      </w:tr>
    </w:tbl>
    <w:p w14:paraId="3E18EA7D" w14:textId="77777777" w:rsidR="005C7E39" w:rsidRDefault="005C7E39" w:rsidP="005C7E39">
      <w:pPr>
        <w:pStyle w:val="ONUME"/>
        <w:numPr>
          <w:ilvl w:val="0"/>
          <w:numId w:val="0"/>
        </w:numPr>
      </w:pPr>
    </w:p>
    <w:p w14:paraId="68A93F2F" w14:textId="4D46841B" w:rsidR="005C7E39" w:rsidRDefault="001934BD" w:rsidP="00C74C2A">
      <w:pPr>
        <w:pStyle w:val="ONUME"/>
        <w:keepNext/>
        <w:keepLines/>
      </w:pPr>
      <w:r>
        <w:lastRenderedPageBreak/>
        <w:t>T</w:t>
      </w:r>
      <w:r w:rsidR="00C74C2A">
        <w:t>o calculate the figure required by the Schedule of Fees, t</w:t>
      </w:r>
      <w:r>
        <w:t xml:space="preserve">he 2005 deflator is applied to each of the </w:t>
      </w:r>
      <w:r w:rsidR="004C5F53">
        <w:t>constant 2015 values for the 10 year period concerned and a mean taken.</w:t>
      </w:r>
    </w:p>
    <w:tbl>
      <w:tblPr>
        <w:tblW w:w="5000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1638"/>
        <w:gridCol w:w="578"/>
        <w:gridCol w:w="2770"/>
        <w:gridCol w:w="2650"/>
      </w:tblGrid>
      <w:tr w:rsidR="004C5F53" w:rsidRPr="00EB4B39" w14:paraId="2200EBB1" w14:textId="628CCD05" w:rsidTr="004C5F53">
        <w:trPr>
          <w:tblHeader/>
        </w:trPr>
        <w:tc>
          <w:tcPr>
            <w:tcW w:w="1702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EB0764" w14:textId="77777777" w:rsidR="004C5F53" w:rsidRPr="00EB4B39" w:rsidRDefault="004C5F53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 w:rsidRPr="00EB4B39">
              <w:rPr>
                <w:b/>
                <w:bCs/>
                <w:color w:val="333333"/>
                <w:szCs w:val="22"/>
              </w:rPr>
              <w:t>Country/Area</w:t>
            </w:r>
          </w:p>
        </w:tc>
        <w:tc>
          <w:tcPr>
            <w:tcW w:w="163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8767E9" w14:textId="77777777" w:rsidR="004C5F53" w:rsidRPr="00EB4B39" w:rsidRDefault="004C5F53" w:rsidP="005C7E39">
            <w:pPr>
              <w:keepNext/>
              <w:keepLines/>
              <w:jc w:val="center"/>
              <w:rPr>
                <w:b/>
                <w:bCs/>
                <w:color w:val="333333"/>
                <w:szCs w:val="22"/>
              </w:rPr>
            </w:pPr>
            <w:r w:rsidRPr="00EB4B39">
              <w:rPr>
                <w:b/>
                <w:bCs/>
                <w:color w:val="333333"/>
                <w:szCs w:val="22"/>
              </w:rPr>
              <w:t>Year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7AA34A8" w14:textId="77777777" w:rsidR="004C5F53" w:rsidRPr="00EB4B39" w:rsidRDefault="004C5F53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 w:rsidRPr="00EB4B39">
              <w:rPr>
                <w:b/>
                <w:bCs/>
                <w:color w:val="333333"/>
                <w:szCs w:val="22"/>
              </w:rPr>
              <w:t>Unit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B2D0CB" w14:textId="5751565F" w:rsidR="004C5F53" w:rsidRPr="00EB4B39" w:rsidRDefault="004C5F53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 w:rsidRPr="00EB4B39">
              <w:rPr>
                <w:b/>
                <w:bCs/>
                <w:color w:val="333333"/>
                <w:szCs w:val="22"/>
              </w:rPr>
              <w:t>GDP, Per Capita GDP at constant 2015 prices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EA230C7" w14:textId="7B4991C0" w:rsidR="004C5F53" w:rsidRPr="00EB4B39" w:rsidRDefault="004C5F53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 w:rsidRPr="00EB4B39">
              <w:rPr>
                <w:b/>
                <w:bCs/>
                <w:color w:val="333333"/>
                <w:szCs w:val="22"/>
              </w:rPr>
              <w:t>GDP, Per Capita GDP at constant 20</w:t>
            </w:r>
            <w:r w:rsidR="005C7E39">
              <w:rPr>
                <w:b/>
                <w:bCs/>
                <w:color w:val="333333"/>
                <w:szCs w:val="22"/>
              </w:rPr>
              <w:t>0</w:t>
            </w:r>
            <w:r w:rsidRPr="00EB4B39">
              <w:rPr>
                <w:b/>
                <w:bCs/>
                <w:color w:val="333333"/>
                <w:szCs w:val="22"/>
              </w:rPr>
              <w:t>5 prices</w:t>
            </w:r>
          </w:p>
        </w:tc>
      </w:tr>
      <w:tr w:rsidR="00EB4B39" w:rsidRPr="00EB4B39" w14:paraId="3208B804" w14:textId="3F3614B7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EA72A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FC323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DD720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2D66B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82,490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8C582D4" w14:textId="666B4A9A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60,820</w:t>
            </w:r>
          </w:p>
        </w:tc>
      </w:tr>
      <w:tr w:rsidR="00EB4B39" w:rsidRPr="00EB4B39" w14:paraId="788F5C22" w14:textId="6C38CA64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82FB9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B7D82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AD1FF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70173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83,403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9B95430" w14:textId="256FBF39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61,494</w:t>
            </w:r>
          </w:p>
        </w:tc>
      </w:tr>
      <w:tr w:rsidR="00EB4B39" w:rsidRPr="00EB4B39" w14:paraId="067B51C1" w14:textId="35DFAB00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E8FDF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219E1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7AB99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EE4C6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83,813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0AFF89D" w14:textId="4B07BBDB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61,796</w:t>
            </w:r>
          </w:p>
        </w:tc>
      </w:tr>
      <w:tr w:rsidR="00EB4B39" w:rsidRPr="00EB4B39" w14:paraId="39A2C565" w14:textId="59E1822A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C1A14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13740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15EC1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CD70C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84,616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B4B6B03" w14:textId="1D62F1F8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62,388</w:t>
            </w:r>
          </w:p>
        </w:tc>
      </w:tr>
      <w:tr w:rsidR="00EB4B39" w:rsidRPr="00EB4B39" w14:paraId="58F2FEFB" w14:textId="57551F31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B8BF5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50ECC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564F3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EAB01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84,969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79A711D" w14:textId="6DD4F25E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62,648</w:t>
            </w:r>
          </w:p>
        </w:tc>
      </w:tr>
      <w:tr w:rsidR="00EB4B39" w:rsidRPr="00EB4B39" w14:paraId="7D341043" w14:textId="7AF26F53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CD72B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793B8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AC081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7D35A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86,756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1A5C4DA" w14:textId="7147E2CE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63,965</w:t>
            </w:r>
          </w:p>
        </w:tc>
      </w:tr>
      <w:tr w:rsidR="00EB4B39" w:rsidRPr="00EB4B39" w14:paraId="44A99F73" w14:textId="0F7DC939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0E21C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F2B1C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589F9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ABCCC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87,121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79D4401" w14:textId="067C8005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64,235</w:t>
            </w:r>
          </w:p>
        </w:tc>
      </w:tr>
      <w:tr w:rsidR="00EB4B39" w:rsidRPr="00EB4B39" w14:paraId="71EDCBD8" w14:textId="1746D254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6D83C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23BB5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9544A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363F0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84,633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2FF8C94" w14:textId="76827983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62,400</w:t>
            </w:r>
          </w:p>
        </w:tc>
      </w:tr>
      <w:tr w:rsidR="00EB4B39" w:rsidRPr="00EB4B39" w14:paraId="20D0EBEB" w14:textId="70C0B5BF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21F9E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3DDDF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375F3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0BF1F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88,654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C095221" w14:textId="7130C1AA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65,365</w:t>
            </w:r>
          </w:p>
        </w:tc>
      </w:tr>
      <w:tr w:rsidR="00EB4B39" w:rsidRPr="00EB4B39" w14:paraId="78CB7BC3" w14:textId="7CA08BA2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7602E" w14:textId="77777777" w:rsidR="00EB4B39" w:rsidRPr="00EB4B39" w:rsidRDefault="00EB4B39" w:rsidP="005C7E39">
            <w:pPr>
              <w:keepNext/>
              <w:keepLines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Switzerland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174F6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100AB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US$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39157" w14:textId="7777777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90,421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619C947" w14:textId="6A4B98C6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66,668</w:t>
            </w:r>
          </w:p>
        </w:tc>
      </w:tr>
      <w:tr w:rsidR="00EB4B39" w:rsidRPr="00EB4B39" w14:paraId="3271B9C4" w14:textId="77777777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5E76A" w14:textId="77777777" w:rsidR="00EB4B39" w:rsidRPr="00EB4B39" w:rsidRDefault="00EB4B39" w:rsidP="00EB4B39">
            <w:pPr>
              <w:rPr>
                <w:color w:val="333333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BAD7E" w14:textId="2DA6658F" w:rsidR="00EB4B39" w:rsidRPr="00EB4B39" w:rsidRDefault="00EB4B39" w:rsidP="00EB4B39">
            <w:pPr>
              <w:jc w:val="center"/>
              <w:rPr>
                <w:i/>
                <w:iCs/>
                <w:color w:val="333333"/>
                <w:szCs w:val="22"/>
              </w:rPr>
            </w:pPr>
            <w:r w:rsidRPr="00EB4B39">
              <w:rPr>
                <w:i/>
                <w:iCs/>
                <w:color w:val="333333"/>
                <w:szCs w:val="22"/>
              </w:rPr>
              <w:t>Mean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B8866" w14:textId="77777777" w:rsidR="00EB4B39" w:rsidRPr="00EB4B39" w:rsidRDefault="00EB4B39" w:rsidP="00EB4B39">
            <w:pPr>
              <w:jc w:val="center"/>
              <w:rPr>
                <w:color w:val="333333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C91C9" w14:textId="77777777" w:rsidR="00EB4B39" w:rsidRPr="00EB4B39" w:rsidRDefault="00EB4B39" w:rsidP="00EB4B39">
            <w:pPr>
              <w:jc w:val="right"/>
              <w:rPr>
                <w:color w:val="333333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591B8F7" w14:textId="6C509406" w:rsidR="00EB4B39" w:rsidRPr="00EB4B39" w:rsidRDefault="00EB4B39" w:rsidP="00EB4B39">
            <w:pPr>
              <w:jc w:val="right"/>
              <w:rPr>
                <w:szCs w:val="22"/>
              </w:rPr>
            </w:pPr>
            <w:r w:rsidRPr="00EB4B39">
              <w:rPr>
                <w:szCs w:val="22"/>
              </w:rPr>
              <w:t>63,178</w:t>
            </w:r>
          </w:p>
        </w:tc>
      </w:tr>
    </w:tbl>
    <w:p w14:paraId="5055E071" w14:textId="77777777" w:rsidR="00914439" w:rsidRDefault="00914439" w:rsidP="00914439">
      <w:pPr>
        <w:pStyle w:val="ONUME"/>
        <w:numPr>
          <w:ilvl w:val="0"/>
          <w:numId w:val="0"/>
        </w:numPr>
      </w:pPr>
    </w:p>
    <w:p w14:paraId="03084DD8" w14:textId="057FE7D8" w:rsidR="00914439" w:rsidRPr="00546401" w:rsidRDefault="00914439" w:rsidP="00914439">
      <w:pPr>
        <w:pStyle w:val="Endofdocument-Annex"/>
      </w:pPr>
      <w:r>
        <w:t>[End]</w:t>
      </w:r>
    </w:p>
    <w:sectPr w:rsidR="00914439" w:rsidRPr="00546401" w:rsidSect="0054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8166" w14:textId="77777777" w:rsidR="00546401" w:rsidRDefault="00546401">
      <w:r>
        <w:separator/>
      </w:r>
    </w:p>
  </w:endnote>
  <w:endnote w:type="continuationSeparator" w:id="0">
    <w:p w14:paraId="1213CB0A" w14:textId="77777777" w:rsidR="00546401" w:rsidRDefault="00546401" w:rsidP="003B38C1">
      <w:r>
        <w:separator/>
      </w:r>
    </w:p>
    <w:p w14:paraId="1C60FD0D" w14:textId="77777777" w:rsidR="00546401" w:rsidRPr="003B38C1" w:rsidRDefault="005464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3BDB4E5" w14:textId="77777777" w:rsidR="00546401" w:rsidRPr="003B38C1" w:rsidRDefault="005464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6F2F" w14:textId="77777777" w:rsidR="004E3FDC" w:rsidRDefault="004E3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6052" w14:textId="77777777" w:rsidR="004E3FDC" w:rsidRDefault="004E3F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E467" w14:textId="77777777" w:rsidR="004E3FDC" w:rsidRDefault="004E3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C3F9" w14:textId="77777777" w:rsidR="00546401" w:rsidRDefault="00546401">
      <w:r>
        <w:separator/>
      </w:r>
    </w:p>
  </w:footnote>
  <w:footnote w:type="continuationSeparator" w:id="0">
    <w:p w14:paraId="7F3DAE36" w14:textId="77777777" w:rsidR="00546401" w:rsidRDefault="00546401" w:rsidP="008B60B2">
      <w:r>
        <w:separator/>
      </w:r>
    </w:p>
    <w:p w14:paraId="7C515529" w14:textId="77777777" w:rsidR="00546401" w:rsidRPr="00ED77FB" w:rsidRDefault="005464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C419FC" w14:textId="77777777" w:rsidR="00546401" w:rsidRPr="00ED77FB" w:rsidRDefault="005464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BD325CF" w14:textId="14CDE49C" w:rsidR="00914439" w:rsidRPr="00C728AA" w:rsidRDefault="00914439">
      <w:pPr>
        <w:pStyle w:val="FootnoteText"/>
        <w:rPr>
          <w:sz w:val="20"/>
        </w:rPr>
      </w:pPr>
      <w:r w:rsidRPr="00C728AA">
        <w:rPr>
          <w:rStyle w:val="FootnoteReference"/>
          <w:sz w:val="20"/>
        </w:rPr>
        <w:footnoteRef/>
      </w:r>
      <w:r w:rsidRPr="00C728AA">
        <w:rPr>
          <w:sz w:val="20"/>
        </w:rPr>
        <w:t xml:space="preserve"> </w:t>
      </w:r>
      <w:r w:rsidRPr="00C728AA">
        <w:rPr>
          <w:sz w:val="20"/>
        </w:rPr>
        <w:tab/>
      </w:r>
      <w:hyperlink r:id="rId1" w:history="1">
        <w:r w:rsidRPr="00C728AA">
          <w:rPr>
            <w:rStyle w:val="Hyperlink"/>
            <w:sz w:val="20"/>
          </w:rPr>
          <w:t>https://unstats.un.org/unsd/snaama/Basic</w:t>
        </w:r>
      </w:hyperlink>
    </w:p>
  </w:footnote>
  <w:footnote w:id="3">
    <w:p w14:paraId="5EC27875" w14:textId="1D13D67F" w:rsidR="00C728AA" w:rsidRPr="00C728AA" w:rsidRDefault="00C728AA">
      <w:pPr>
        <w:pStyle w:val="FootnoteText"/>
        <w:rPr>
          <w:sz w:val="20"/>
        </w:rPr>
      </w:pPr>
      <w:r w:rsidRPr="00C728AA">
        <w:rPr>
          <w:rStyle w:val="FootnoteReference"/>
          <w:sz w:val="20"/>
        </w:rPr>
        <w:footnoteRef/>
      </w:r>
      <w:r w:rsidRPr="00C728AA">
        <w:rPr>
          <w:sz w:val="20"/>
        </w:rPr>
        <w:t xml:space="preserve"> </w:t>
      </w:r>
      <w:r w:rsidRPr="00C728AA">
        <w:rPr>
          <w:sz w:val="20"/>
        </w:rPr>
        <w:tab/>
        <w:t>The deflator</w:t>
      </w:r>
      <w:r>
        <w:rPr>
          <w:sz w:val="20"/>
        </w:rPr>
        <w:t xml:space="preserve"> figures</w:t>
      </w:r>
      <w:r w:rsidRPr="00C728AA">
        <w:rPr>
          <w:sz w:val="20"/>
        </w:rPr>
        <w:t xml:space="preserve"> shown </w:t>
      </w:r>
      <w:r>
        <w:rPr>
          <w:sz w:val="20"/>
        </w:rPr>
        <w:t xml:space="preserve">in the table </w:t>
      </w:r>
      <w:r w:rsidR="005C7E39">
        <w:rPr>
          <w:sz w:val="20"/>
        </w:rPr>
        <w:t xml:space="preserve">below </w:t>
      </w:r>
      <w:r w:rsidRPr="00C728AA">
        <w:rPr>
          <w:sz w:val="20"/>
        </w:rPr>
        <w:t>are rounded</w:t>
      </w:r>
      <w:r>
        <w:rPr>
          <w:sz w:val="20"/>
        </w:rPr>
        <w:t xml:space="preserve"> as shown in the HTML view on the website;  the calculated figures in the following tables are based on multiplication using the higher precision deflator figures included if the database </w:t>
      </w:r>
      <w:r w:rsidR="00EB4B39">
        <w:rPr>
          <w:sz w:val="20"/>
        </w:rPr>
        <w:t>figures are extracted</w:t>
      </w:r>
      <w:r>
        <w:rPr>
          <w:sz w:val="20"/>
        </w:rPr>
        <w:t>, accounting for apparent differences in the least significant figures shown</w:t>
      </w:r>
      <w:r w:rsidR="00EB4B39">
        <w:rPr>
          <w:sz w:val="20"/>
        </w:rPr>
        <w:t xml:space="preserve"> from </w:t>
      </w:r>
      <w:r w:rsidR="005C7E39">
        <w:rPr>
          <w:sz w:val="20"/>
        </w:rPr>
        <w:t>multiplying the 2015 value figures shown</w:t>
      </w:r>
      <w:r w:rsidR="00EB4B39">
        <w:rPr>
          <w:sz w:val="20"/>
        </w:rPr>
        <w:t xml:space="preserve"> by 0.737 or 1.035</w:t>
      </w:r>
      <w:r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FFE6" w14:textId="77777777" w:rsidR="004E3FDC" w:rsidRDefault="004E3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0F6F" w14:textId="0FAAB467" w:rsidR="00EC4E49" w:rsidRDefault="00546401" w:rsidP="00477D6B">
    <w:pPr>
      <w:jc w:val="right"/>
    </w:pPr>
    <w:bookmarkStart w:id="4" w:name="Code2"/>
    <w:bookmarkEnd w:id="4"/>
    <w:r>
      <w:t>PCT/WG/17</w:t>
    </w:r>
    <w:r w:rsidR="00FC310A">
      <w:t xml:space="preserve"> Paper No. 1</w:t>
    </w:r>
  </w:p>
  <w:p w14:paraId="4A42D14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00630389" w14:textId="77777777" w:rsidR="00EC4E49" w:rsidRDefault="00EC4E49" w:rsidP="00477D6B">
    <w:pPr>
      <w:jc w:val="right"/>
    </w:pPr>
  </w:p>
  <w:p w14:paraId="718B4C79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4133" w14:textId="77777777" w:rsidR="004E3FDC" w:rsidRDefault="004E3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01"/>
    <w:rsid w:val="0001647B"/>
    <w:rsid w:val="00043CAA"/>
    <w:rsid w:val="00075432"/>
    <w:rsid w:val="000968ED"/>
    <w:rsid w:val="000F5E56"/>
    <w:rsid w:val="001024FE"/>
    <w:rsid w:val="001362EE"/>
    <w:rsid w:val="00142868"/>
    <w:rsid w:val="001832A6"/>
    <w:rsid w:val="001934BD"/>
    <w:rsid w:val="001C6808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2CC3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C5F53"/>
    <w:rsid w:val="004D39C4"/>
    <w:rsid w:val="004E3FDC"/>
    <w:rsid w:val="0053057A"/>
    <w:rsid w:val="00543927"/>
    <w:rsid w:val="00546401"/>
    <w:rsid w:val="00560A29"/>
    <w:rsid w:val="00594D27"/>
    <w:rsid w:val="005C7E39"/>
    <w:rsid w:val="00601760"/>
    <w:rsid w:val="00605827"/>
    <w:rsid w:val="00646050"/>
    <w:rsid w:val="006713CA"/>
    <w:rsid w:val="00676C5C"/>
    <w:rsid w:val="00695558"/>
    <w:rsid w:val="006D5E0F"/>
    <w:rsid w:val="007058FB"/>
    <w:rsid w:val="00744C06"/>
    <w:rsid w:val="00776713"/>
    <w:rsid w:val="007B6A58"/>
    <w:rsid w:val="007D1613"/>
    <w:rsid w:val="00835977"/>
    <w:rsid w:val="00873EE5"/>
    <w:rsid w:val="00882DF9"/>
    <w:rsid w:val="008B2CC1"/>
    <w:rsid w:val="008B4B5E"/>
    <w:rsid w:val="008B60B2"/>
    <w:rsid w:val="0090731E"/>
    <w:rsid w:val="00914439"/>
    <w:rsid w:val="00916EE2"/>
    <w:rsid w:val="00966A22"/>
    <w:rsid w:val="0096722F"/>
    <w:rsid w:val="00980843"/>
    <w:rsid w:val="009E2791"/>
    <w:rsid w:val="009E3F6F"/>
    <w:rsid w:val="009F3BF9"/>
    <w:rsid w:val="009F499F"/>
    <w:rsid w:val="00A26A28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F2415"/>
    <w:rsid w:val="00C11BFE"/>
    <w:rsid w:val="00C22045"/>
    <w:rsid w:val="00C728AA"/>
    <w:rsid w:val="00C74C2A"/>
    <w:rsid w:val="00C91AB4"/>
    <w:rsid w:val="00C94629"/>
    <w:rsid w:val="00CE65D4"/>
    <w:rsid w:val="00D45252"/>
    <w:rsid w:val="00D71B4D"/>
    <w:rsid w:val="00D93D55"/>
    <w:rsid w:val="00E070BF"/>
    <w:rsid w:val="00E15A72"/>
    <w:rsid w:val="00E161A2"/>
    <w:rsid w:val="00E335FE"/>
    <w:rsid w:val="00E5021F"/>
    <w:rsid w:val="00E671A6"/>
    <w:rsid w:val="00E90B8B"/>
    <w:rsid w:val="00EB4B39"/>
    <w:rsid w:val="00EC4E49"/>
    <w:rsid w:val="00ED77FB"/>
    <w:rsid w:val="00F021A6"/>
    <w:rsid w:val="00F11D94"/>
    <w:rsid w:val="00F56149"/>
    <w:rsid w:val="00F66152"/>
    <w:rsid w:val="00FC2CBC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F21BB"/>
  <w15:docId w15:val="{7DC764EA-E0EE-49CC-A3B6-FA730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">
    <w:name w:val="on"/>
    <w:basedOn w:val="Normal"/>
    <w:qFormat/>
    <w:rsid w:val="00546401"/>
    <w:pPr>
      <w:spacing w:after="220"/>
    </w:pPr>
  </w:style>
  <w:style w:type="character" w:styleId="FootnoteReference">
    <w:name w:val="footnote reference"/>
    <w:basedOn w:val="DefaultParagraphFont"/>
    <w:semiHidden/>
    <w:unhideWhenUsed/>
    <w:rsid w:val="00914439"/>
    <w:rPr>
      <w:vertAlign w:val="superscript"/>
    </w:rPr>
  </w:style>
  <w:style w:type="character" w:styleId="Hyperlink">
    <w:name w:val="Hyperlink"/>
    <w:basedOn w:val="DefaultParagraphFont"/>
    <w:unhideWhenUsed/>
    <w:rsid w:val="009144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CC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stats.un.org/unsd/snaama/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655</Words>
  <Characters>3342</Characters>
  <Application>Microsoft Office Word</Application>
  <DocSecurity>0</DocSecurity>
  <Lines>334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</vt:lpstr>
    </vt:vector>
  </TitlesOfParts>
  <Company>WIPO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</dc:title>
  <dc:creator>RICHARDSON Michael</dc:creator>
  <cp:keywords>FOR OFFICIAL USE ONLY</cp:keywords>
  <cp:lastModifiedBy>RICHARDSON Michael</cp:lastModifiedBy>
  <cp:revision>4</cp:revision>
  <cp:lastPrinted>2011-02-15T11:56:00Z</cp:lastPrinted>
  <dcterms:created xsi:type="dcterms:W3CDTF">2024-02-08T19:23:00Z</dcterms:created>
  <dcterms:modified xsi:type="dcterms:W3CDTF">2024-02-09T07:04:00Z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