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84C19" w14:textId="77777777" w:rsidR="008B2CC1" w:rsidRPr="00F043DE" w:rsidRDefault="00B92F1F" w:rsidP="00FD2CCA">
      <w:pPr>
        <w:pBdr>
          <w:bottom w:val="single" w:sz="4" w:space="11" w:color="auto"/>
        </w:pBdr>
        <w:spacing w:after="120"/>
        <w:jc w:val="right"/>
        <w:rPr>
          <w:b/>
          <w:sz w:val="32"/>
          <w:szCs w:val="40"/>
        </w:rPr>
      </w:pPr>
      <w:bookmarkStart w:id="0" w:name="_GoBack"/>
      <w:bookmarkEnd w:id="0"/>
      <w:r>
        <w:rPr>
          <w:noProof/>
          <w:sz w:val="28"/>
          <w:szCs w:val="28"/>
          <w:lang w:eastAsia="en-US"/>
        </w:rPr>
        <w:drawing>
          <wp:inline distT="0" distB="0" distL="0" distR="0" wp14:anchorId="6473C691" wp14:editId="48958D3B">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E7C2DF4" w14:textId="6C027D39"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1" w:name="Code"/>
      <w:bookmarkEnd w:id="1"/>
      <w:r w:rsidR="00D90C41">
        <w:rPr>
          <w:rFonts w:ascii="Arial Black" w:hAnsi="Arial Black"/>
          <w:caps/>
          <w:sz w:val="15"/>
          <w:szCs w:val="15"/>
        </w:rPr>
        <w:t>5</w:t>
      </w:r>
    </w:p>
    <w:p w14:paraId="0CFBBF70"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B1491C">
        <w:rPr>
          <w:rFonts w:ascii="Arial Black" w:hAnsi="Arial Black"/>
          <w:caps/>
          <w:sz w:val="15"/>
          <w:szCs w:val="15"/>
        </w:rPr>
        <w:t>English</w:t>
      </w:r>
    </w:p>
    <w:bookmarkEnd w:id="2"/>
    <w:p w14:paraId="30EBDE57" w14:textId="15EB46AA"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D90C41">
        <w:rPr>
          <w:rFonts w:ascii="Arial Black" w:hAnsi="Arial Black"/>
          <w:caps/>
          <w:sz w:val="15"/>
          <w:szCs w:val="15"/>
        </w:rPr>
        <w:t>August 12</w:t>
      </w:r>
      <w:r w:rsidR="00B1491C">
        <w:rPr>
          <w:rFonts w:ascii="Arial Black" w:hAnsi="Arial Black"/>
          <w:caps/>
          <w:sz w:val="15"/>
          <w:szCs w:val="15"/>
        </w:rPr>
        <w:t>, 2022</w:t>
      </w:r>
    </w:p>
    <w:bookmarkEnd w:id="3"/>
    <w:p w14:paraId="63BD815A"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14:paraId="78183A0D" w14:textId="77777777" w:rsidR="00A90F0A" w:rsidRDefault="00FD2CCA" w:rsidP="00A90F0A">
      <w:pPr>
        <w:outlineLvl w:val="1"/>
        <w:rPr>
          <w:b/>
          <w:sz w:val="24"/>
          <w:szCs w:val="24"/>
        </w:rPr>
      </w:pPr>
      <w:r>
        <w:rPr>
          <w:b/>
          <w:sz w:val="24"/>
          <w:szCs w:val="24"/>
        </w:rPr>
        <w:t>Fift</w:t>
      </w:r>
      <w:r w:rsidRPr="008D0E8D">
        <w:rPr>
          <w:b/>
          <w:sz w:val="24"/>
          <w:szCs w:val="24"/>
        </w:rPr>
        <w:t>eenth Session</w:t>
      </w:r>
    </w:p>
    <w:p w14:paraId="5477F530" w14:textId="77777777"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14:paraId="19062501" w14:textId="77777777" w:rsidR="008B2CC1" w:rsidRPr="003845C1" w:rsidRDefault="00B1491C" w:rsidP="00DD7B7F">
      <w:pPr>
        <w:spacing w:after="360"/>
        <w:outlineLvl w:val="0"/>
        <w:rPr>
          <w:caps/>
          <w:sz w:val="24"/>
        </w:rPr>
      </w:pPr>
      <w:bookmarkStart w:id="4" w:name="TitleOfDoc"/>
      <w:r>
        <w:rPr>
          <w:caps/>
          <w:sz w:val="24"/>
        </w:rPr>
        <w:t>Citation of Non-Written Disclosures</w:t>
      </w:r>
    </w:p>
    <w:p w14:paraId="1BC666CA" w14:textId="77777777" w:rsidR="002928D3" w:rsidRPr="00F9165B" w:rsidRDefault="00B1491C" w:rsidP="001D4107">
      <w:pPr>
        <w:spacing w:after="1040"/>
        <w:rPr>
          <w:i/>
        </w:rPr>
      </w:pPr>
      <w:bookmarkStart w:id="5" w:name="Prepared"/>
      <w:bookmarkEnd w:id="4"/>
      <w:bookmarkEnd w:id="5"/>
      <w:r>
        <w:rPr>
          <w:i/>
        </w:rPr>
        <w:t>Document prepared by the International Bureau</w:t>
      </w:r>
    </w:p>
    <w:p w14:paraId="25621B8A" w14:textId="77777777" w:rsidR="002326AB" w:rsidRDefault="00B1491C" w:rsidP="00B1491C">
      <w:pPr>
        <w:pStyle w:val="Heading1"/>
      </w:pPr>
      <w:r>
        <w:t>Summary</w:t>
      </w:r>
    </w:p>
    <w:p w14:paraId="3FC753E6" w14:textId="77777777" w:rsidR="00B1491C" w:rsidRDefault="00DA143F" w:rsidP="0080675B">
      <w:pPr>
        <w:pStyle w:val="ONUME"/>
      </w:pPr>
      <w:r>
        <w:t>The Working Group is invited to endorse the principle of extending the definition of prior art under the PCT to include non</w:t>
      </w:r>
      <w:r>
        <w:noBreakHyphen/>
        <w:t xml:space="preserve">written disclosures and to invite the International Authorities to study the details necessary for implementation and to make proposals to future sessions of this Working Group and any other affected bodies. </w:t>
      </w:r>
    </w:p>
    <w:p w14:paraId="5CEA856E" w14:textId="77777777" w:rsidR="00B1491C" w:rsidRDefault="00B1491C" w:rsidP="00B1491C">
      <w:pPr>
        <w:pStyle w:val="Heading1"/>
      </w:pPr>
      <w:r>
        <w:t>Background</w:t>
      </w:r>
    </w:p>
    <w:p w14:paraId="2C0DB5DD" w14:textId="43A7B0B2" w:rsidR="00B1491C" w:rsidRDefault="00406DA6" w:rsidP="0080675B">
      <w:pPr>
        <w:pStyle w:val="ONUME"/>
      </w:pPr>
      <w:r>
        <w:t xml:space="preserve">In </w:t>
      </w:r>
      <w:r w:rsidR="00AA4EB5">
        <w:t>document PCT/MIA/29/2</w:t>
      </w:r>
      <w:r>
        <w:t>,</w:t>
      </w:r>
      <w:r w:rsidR="00AA4EB5">
        <w:t xml:space="preserve"> the International Bureau</w:t>
      </w:r>
      <w:r>
        <w:t xml:space="preserve"> invited International Authorities to comment on the idea of extending the definition of prior art for international search and preliminary examination under the PCT to include non</w:t>
      </w:r>
      <w:r>
        <w:noBreakHyphen/>
        <w:t xml:space="preserve">written disclosures.  This would bring the definition more closely into line with the definitions used by </w:t>
      </w:r>
      <w:r w:rsidR="00C237C9">
        <w:t xml:space="preserve">many </w:t>
      </w:r>
      <w:r>
        <w:t>Contracting States</w:t>
      </w:r>
      <w:r w:rsidR="00AA4EB5">
        <w:t>.  T</w:t>
      </w:r>
      <w:r w:rsidR="00AA4EB5" w:rsidRPr="00AA4EB5">
        <w:t>he proposal</w:t>
      </w:r>
      <w:r w:rsidR="002A717A">
        <w:t xml:space="preserve"> </w:t>
      </w:r>
      <w:r w:rsidR="00AA4EB5">
        <w:t xml:space="preserve">received broad support from Authorities, and it </w:t>
      </w:r>
      <w:proofErr w:type="gramStart"/>
      <w:r w:rsidR="00AA4EB5">
        <w:t>was observed</w:t>
      </w:r>
      <w:proofErr w:type="gramEnd"/>
      <w:r w:rsidR="00AA4EB5">
        <w:t xml:space="preserve"> that the proposal</w:t>
      </w:r>
      <w:r w:rsidR="00AA4EB5" w:rsidRPr="00AA4EB5">
        <w:t xml:space="preserve"> would improve the quality of international work products by allowing examiners to consider non-written disclosures when preparing reasoned statements</w:t>
      </w:r>
      <w:r w:rsidR="00AA4EB5">
        <w:t xml:space="preserve"> on novelty and inventive step</w:t>
      </w:r>
      <w:r w:rsidR="00495115">
        <w:t xml:space="preserve">.  </w:t>
      </w:r>
      <w:r w:rsidR="002A717A">
        <w:t xml:space="preserve">On the other hand, </w:t>
      </w:r>
      <w:proofErr w:type="gramStart"/>
      <w:r w:rsidR="002A717A">
        <w:t>a</w:t>
      </w:r>
      <w:r w:rsidR="00AA4EB5">
        <w:t xml:space="preserve"> number of </w:t>
      </w:r>
      <w:r w:rsidR="007A574B">
        <w:t xml:space="preserve">detailed </w:t>
      </w:r>
      <w:r w:rsidR="00AA4EB5">
        <w:t>issues were raised by Authorities</w:t>
      </w:r>
      <w:proofErr w:type="gramEnd"/>
      <w:r w:rsidR="007A574B">
        <w:t xml:space="preserve">.  These included the changes that would be required </w:t>
      </w:r>
      <w:r w:rsidR="00495115">
        <w:t>to</w:t>
      </w:r>
      <w:r w:rsidR="00AA4EB5" w:rsidRPr="00AA4EB5">
        <w:t xml:space="preserve"> IT systems and </w:t>
      </w:r>
      <w:r w:rsidR="00A46B0D">
        <w:t xml:space="preserve">the </w:t>
      </w:r>
      <w:r w:rsidR="00AA4EB5" w:rsidRPr="00AA4EB5">
        <w:t xml:space="preserve">further guidance to examiners and patent </w:t>
      </w:r>
      <w:r w:rsidR="00212AE7" w:rsidRPr="00AA4EB5">
        <w:t xml:space="preserve">Offices </w:t>
      </w:r>
      <w:r w:rsidR="00212AE7">
        <w:t>that</w:t>
      </w:r>
      <w:r w:rsidR="00DF18A6">
        <w:t xml:space="preserve"> would be </w:t>
      </w:r>
      <w:r w:rsidR="00A46B0D">
        <w:t xml:space="preserve">required </w:t>
      </w:r>
      <w:r w:rsidR="007A574B">
        <w:t xml:space="preserve">concerning the </w:t>
      </w:r>
      <w:r w:rsidR="00AA4EB5" w:rsidRPr="00AA4EB5">
        <w:t xml:space="preserve">citation </w:t>
      </w:r>
      <w:r w:rsidR="00B72263">
        <w:t xml:space="preserve">of </w:t>
      </w:r>
      <w:r w:rsidR="007A574B">
        <w:t>non</w:t>
      </w:r>
      <w:r w:rsidR="007A574B">
        <w:noBreakHyphen/>
        <w:t xml:space="preserve">written disclosures and for storage </w:t>
      </w:r>
      <w:r w:rsidR="00AA4EB5" w:rsidRPr="00AA4EB5">
        <w:t xml:space="preserve">of </w:t>
      </w:r>
      <w:r w:rsidR="007A574B">
        <w:t>disclosures in non</w:t>
      </w:r>
      <w:r w:rsidR="007A574B">
        <w:noBreakHyphen/>
        <w:t xml:space="preserve">traditional media such as </w:t>
      </w:r>
      <w:r w:rsidR="00AA4EB5" w:rsidRPr="00AA4EB5">
        <w:t>video and audio disclosures and their storage</w:t>
      </w:r>
      <w:r w:rsidR="007A574B">
        <w:t xml:space="preserve">.  This would become particularly important </w:t>
      </w:r>
      <w:r w:rsidR="00AA4EB5" w:rsidRPr="00AA4EB5">
        <w:t>if an earlier disclosure was no longer available on the Inte</w:t>
      </w:r>
      <w:r w:rsidR="00AA4EB5">
        <w:t>rnet</w:t>
      </w:r>
      <w:r w:rsidR="007A574B">
        <w:t xml:space="preserve"> by the time of national phase examination</w:t>
      </w:r>
      <w:r w:rsidR="00AA4EB5">
        <w:t>.</w:t>
      </w:r>
    </w:p>
    <w:p w14:paraId="25069E27" w14:textId="77777777" w:rsidR="00BA1D12" w:rsidRDefault="007A574B" w:rsidP="0080675B">
      <w:pPr>
        <w:pStyle w:val="ONUME"/>
      </w:pPr>
      <w:r>
        <w:t>Following that session of the Meeting of International Authorities</w:t>
      </w:r>
      <w:r w:rsidR="00495115">
        <w:t xml:space="preserve">, the International Bureau initiated informal consultations via the Quality Subgroup </w:t>
      </w:r>
      <w:r w:rsidR="00A020A2">
        <w:t>wiki</w:t>
      </w:r>
      <w:r w:rsidR="00495115">
        <w:t xml:space="preserve"> on </w:t>
      </w:r>
      <w:r>
        <w:t xml:space="preserve">a number of </w:t>
      </w:r>
      <w:r w:rsidR="00495115">
        <w:t>issues raised during the Meeting.</w:t>
      </w:r>
    </w:p>
    <w:p w14:paraId="09EE00DC" w14:textId="77777777" w:rsidR="00BA1D12" w:rsidRDefault="007A574B" w:rsidP="0080675B">
      <w:pPr>
        <w:pStyle w:val="ONUME"/>
      </w:pPr>
      <w:r>
        <w:lastRenderedPageBreak/>
        <w:t>Concerning the drafting of amendments to the PCT Regulations</w:t>
      </w:r>
      <w:r w:rsidR="00EE4414">
        <w:t xml:space="preserve">, </w:t>
      </w:r>
      <w:r>
        <w:t>consideration was needed of whether to retain</w:t>
      </w:r>
      <w:r w:rsidR="00ED61B4">
        <w:t xml:space="preserve"> Rules 33.1(b) and 64.2</w:t>
      </w:r>
      <w:r w:rsidR="00EE4414" w:rsidRPr="00EE4414">
        <w:t xml:space="preserve"> (and by consequence Rule 70.9), which </w:t>
      </w:r>
      <w:r>
        <w:t xml:space="preserve">were shown as </w:t>
      </w:r>
      <w:r w:rsidR="00EE4414">
        <w:t xml:space="preserve">deleted in </w:t>
      </w:r>
      <w:r>
        <w:t xml:space="preserve">the International Bureau’s original </w:t>
      </w:r>
      <w:r w:rsidR="00EE4414">
        <w:t>proposal</w:t>
      </w:r>
      <w:r w:rsidR="000232B1">
        <w:t xml:space="preserve">. </w:t>
      </w:r>
      <w:r w:rsidR="00EE4414" w:rsidRPr="00EE4414">
        <w:t xml:space="preserve"> These paragraphs require an international search report to list written disclosures that took place on or after the international filing date (for international search) or relevant date (for international preliminary examination) if they refer to a non</w:t>
      </w:r>
      <w:r w:rsidR="00EE4414" w:rsidRPr="00EE4414">
        <w:noBreakHyphen/>
        <w:t>written disclos</w:t>
      </w:r>
      <w:r w:rsidR="00EE4414">
        <w:t>ure before the respective date.</w:t>
      </w:r>
    </w:p>
    <w:p w14:paraId="0AA39E5D" w14:textId="5489AEBC" w:rsidR="00BA1D12" w:rsidRDefault="00BA1D12" w:rsidP="0080675B">
      <w:pPr>
        <w:pStyle w:val="ONUME"/>
      </w:pPr>
      <w:r>
        <w:t xml:space="preserve">The provisional results of that consultation </w:t>
      </w:r>
      <w:r w:rsidR="00C11169">
        <w:t xml:space="preserve">are </w:t>
      </w:r>
      <w:r>
        <w:t>that these rules remain useful.  It may be desirable to change their emphasis slightly to reflect the fact that they are providing evidence to support the non</w:t>
      </w:r>
      <w:r>
        <w:noBreakHyphen/>
        <w:t xml:space="preserve">written disclosure that is the actual prior art.  </w:t>
      </w:r>
      <w:r w:rsidR="00212AE7">
        <w:t>However,</w:t>
      </w:r>
      <w:r>
        <w:t xml:space="preserve"> for the purpose of the discussion in this meeting, they </w:t>
      </w:r>
      <w:proofErr w:type="gramStart"/>
      <w:r>
        <w:t>have been left</w:t>
      </w:r>
      <w:proofErr w:type="gramEnd"/>
      <w:r>
        <w:t xml:space="preserve"> unchanged.</w:t>
      </w:r>
    </w:p>
    <w:p w14:paraId="41FF103B" w14:textId="77777777" w:rsidR="00EE4414" w:rsidRDefault="00BA1D12" w:rsidP="0080675B">
      <w:pPr>
        <w:pStyle w:val="ONUME"/>
      </w:pPr>
      <w:r>
        <w:t xml:space="preserve">A </w:t>
      </w:r>
      <w:r w:rsidR="00EE4414">
        <w:t xml:space="preserve">second category </w:t>
      </w:r>
      <w:r>
        <w:t xml:space="preserve">of consultations </w:t>
      </w:r>
      <w:r w:rsidR="00EE4414">
        <w:t xml:space="preserve">addressed the more practical </w:t>
      </w:r>
      <w:r w:rsidR="00EE4414" w:rsidRPr="00EE4414">
        <w:t>issues with regard to the citation of non-written disclosures</w:t>
      </w:r>
      <w:r w:rsidR="00EE4414">
        <w:t>, including</w:t>
      </w:r>
      <w:r w:rsidR="00A46B0D">
        <w:t>:</w:t>
      </w:r>
      <w:r w:rsidR="00EE4414">
        <w:t xml:space="preserve"> </w:t>
      </w:r>
      <w:r w:rsidR="00A46B0D">
        <w:t xml:space="preserve"> </w:t>
      </w:r>
    </w:p>
    <w:p w14:paraId="711E74FB" w14:textId="77777777" w:rsidR="00EE4414" w:rsidRPr="00EE4414" w:rsidRDefault="002C0BB9" w:rsidP="00B40601">
      <w:pPr>
        <w:pStyle w:val="ONUME"/>
        <w:numPr>
          <w:ilvl w:val="0"/>
          <w:numId w:val="8"/>
        </w:numPr>
        <w:rPr>
          <w:lang w:val="en-GB"/>
        </w:rPr>
      </w:pPr>
      <w:r>
        <w:rPr>
          <w:lang w:val="en-GB"/>
        </w:rPr>
        <w:t>t</w:t>
      </w:r>
      <w:r w:rsidR="00EE4414" w:rsidRPr="00EE4414">
        <w:rPr>
          <w:lang w:val="en-GB"/>
        </w:rPr>
        <w:t>he citation of video and audio disclosures and their storage, means for providing evidence of such non-written disclosures, especially if an earlier disclosure</w:t>
      </w:r>
      <w:r w:rsidR="008400C8">
        <w:rPr>
          <w:lang w:val="en-GB"/>
        </w:rPr>
        <w:t xml:space="preserve"> was no longer available online</w:t>
      </w:r>
      <w:r w:rsidR="00A46B0D">
        <w:rPr>
          <w:lang w:val="en-GB"/>
        </w:rPr>
        <w:t xml:space="preserve">;  </w:t>
      </w:r>
    </w:p>
    <w:p w14:paraId="387AC150" w14:textId="0E2074AD" w:rsidR="00EE4414" w:rsidRPr="00EE4414" w:rsidRDefault="002C0BB9" w:rsidP="00B40601">
      <w:pPr>
        <w:pStyle w:val="ONUME"/>
        <w:numPr>
          <w:ilvl w:val="0"/>
          <w:numId w:val="8"/>
        </w:numPr>
        <w:rPr>
          <w:lang w:val="en-GB"/>
        </w:rPr>
      </w:pPr>
      <w:r>
        <w:rPr>
          <w:lang w:val="en-GB"/>
        </w:rPr>
        <w:t>t</w:t>
      </w:r>
      <w:r w:rsidR="00EE4414" w:rsidRPr="00EE4414">
        <w:rPr>
          <w:lang w:val="en-GB"/>
        </w:rPr>
        <w:t>he documentation of videos in written form, incl</w:t>
      </w:r>
      <w:r w:rsidR="00B1322F">
        <w:rPr>
          <w:lang w:val="en-GB"/>
        </w:rPr>
        <w:t>uding</w:t>
      </w:r>
      <w:r w:rsidR="00EE4414" w:rsidRPr="00EE4414">
        <w:rPr>
          <w:lang w:val="en-GB"/>
        </w:rPr>
        <w:t xml:space="preserve"> how to depict non-audible disclo</w:t>
      </w:r>
      <w:r w:rsidR="008400C8">
        <w:rPr>
          <w:lang w:val="en-GB"/>
        </w:rPr>
        <w:t>sures in videos in a transcript</w:t>
      </w:r>
      <w:r w:rsidR="00A46B0D">
        <w:rPr>
          <w:lang w:val="en-GB"/>
        </w:rPr>
        <w:t xml:space="preserve">;  </w:t>
      </w:r>
    </w:p>
    <w:p w14:paraId="5856E4EA" w14:textId="4BDE22E3" w:rsidR="00EE4414" w:rsidRPr="00EE4414" w:rsidRDefault="002C0BB9" w:rsidP="00B40601">
      <w:pPr>
        <w:pStyle w:val="ONUME"/>
        <w:numPr>
          <w:ilvl w:val="0"/>
          <w:numId w:val="8"/>
        </w:numPr>
        <w:rPr>
          <w:lang w:val="en-GB"/>
        </w:rPr>
      </w:pPr>
      <w:r>
        <w:rPr>
          <w:lang w:val="en-GB"/>
        </w:rPr>
        <w:t>i</w:t>
      </w:r>
      <w:r w:rsidR="00EE4414" w:rsidRPr="00EE4414">
        <w:rPr>
          <w:lang w:val="en-GB"/>
        </w:rPr>
        <w:t xml:space="preserve">ssues with copyright and file size when saving, </w:t>
      </w:r>
      <w:r w:rsidR="00A46B0D">
        <w:rPr>
          <w:lang w:val="en-GB"/>
        </w:rPr>
        <w:t xml:space="preserve">and </w:t>
      </w:r>
      <w:r w:rsidR="00A46B0D" w:rsidRPr="00EE4414">
        <w:rPr>
          <w:lang w:val="en-GB"/>
        </w:rPr>
        <w:t>distribut</w:t>
      </w:r>
      <w:r w:rsidR="00A46B0D">
        <w:rPr>
          <w:lang w:val="en-GB"/>
        </w:rPr>
        <w:t>ing</w:t>
      </w:r>
      <w:r w:rsidR="00EE4414" w:rsidRPr="00EE4414">
        <w:rPr>
          <w:lang w:val="en-GB"/>
        </w:rPr>
        <w:t xml:space="preserve"> audio/video recordings</w:t>
      </w:r>
      <w:r w:rsidR="00A46B0D">
        <w:rPr>
          <w:lang w:val="en-GB"/>
        </w:rPr>
        <w:t xml:space="preserve">;  </w:t>
      </w:r>
    </w:p>
    <w:p w14:paraId="1898D075" w14:textId="3A83DA7A" w:rsidR="00EE4414" w:rsidRPr="00EE4414" w:rsidRDefault="00EE4414" w:rsidP="00B40601">
      <w:pPr>
        <w:pStyle w:val="ONUME"/>
        <w:numPr>
          <w:ilvl w:val="0"/>
          <w:numId w:val="8"/>
        </w:numPr>
        <w:rPr>
          <w:lang w:val="en-GB"/>
        </w:rPr>
      </w:pPr>
      <w:r w:rsidRPr="00EE4414">
        <w:rPr>
          <w:lang w:val="en-GB"/>
        </w:rPr>
        <w:t>the reliable identification of dates of disclosure,</w:t>
      </w:r>
      <w:r w:rsidR="00F92FE4">
        <w:rPr>
          <w:lang w:val="en-GB"/>
        </w:rPr>
        <w:t xml:space="preserve"> and the</w:t>
      </w:r>
      <w:r w:rsidRPr="00EE4414">
        <w:rPr>
          <w:lang w:val="en-GB"/>
        </w:rPr>
        <w:t xml:space="preserve"> distinction between the date of an original disclosure and the date when a particular record of that disclosure was made available on an online system</w:t>
      </w:r>
      <w:r w:rsidR="00A46B0D">
        <w:rPr>
          <w:lang w:val="en-GB"/>
        </w:rPr>
        <w:t>;  and,</w:t>
      </w:r>
    </w:p>
    <w:p w14:paraId="3981DE1D" w14:textId="5997CB42" w:rsidR="00EE4414" w:rsidRPr="00EE4414" w:rsidRDefault="00EE4414" w:rsidP="008E1CC6">
      <w:pPr>
        <w:pStyle w:val="ONUME"/>
        <w:numPr>
          <w:ilvl w:val="0"/>
          <w:numId w:val="8"/>
        </w:numPr>
        <w:rPr>
          <w:lang w:val="en-GB"/>
        </w:rPr>
      </w:pPr>
      <w:proofErr w:type="gramStart"/>
      <w:r w:rsidRPr="00EE4414">
        <w:rPr>
          <w:lang w:val="en-GB"/>
        </w:rPr>
        <w:t>how</w:t>
      </w:r>
      <w:proofErr w:type="gramEnd"/>
      <w:r w:rsidRPr="00EE4414">
        <w:rPr>
          <w:lang w:val="en-GB"/>
        </w:rPr>
        <w:t xml:space="preserve"> Internet disclosures are made – for example one International Searching Authority prints the screenshot of the URL and treats it as a written disclosure rather than cit</w:t>
      </w:r>
      <w:r w:rsidR="00B72263">
        <w:rPr>
          <w:lang w:val="en-GB"/>
        </w:rPr>
        <w:t>ing</w:t>
      </w:r>
      <w:r w:rsidRPr="00EE4414">
        <w:rPr>
          <w:lang w:val="en-GB"/>
        </w:rPr>
        <w:t xml:space="preserve"> it as an “O” reference.</w:t>
      </w:r>
    </w:p>
    <w:p w14:paraId="4632CE8F" w14:textId="77777777" w:rsidR="00EE4414" w:rsidRDefault="00EE4414" w:rsidP="0080675B">
      <w:pPr>
        <w:pStyle w:val="ONUME"/>
      </w:pPr>
      <w:r w:rsidRPr="00BA1D12">
        <w:t>Authorities</w:t>
      </w:r>
      <w:r w:rsidRPr="00EE4414">
        <w:t xml:space="preserve"> </w:t>
      </w:r>
      <w:r w:rsidR="00BA1D12">
        <w:t xml:space="preserve">have been </w:t>
      </w:r>
      <w:r w:rsidRPr="00EE4414">
        <w:t>invited to comment and share practices on these and any other points that could be relevant to how any changes to the PCT Regulations could be implemented in modifications to the PCT Administrative Instructions and PCT International Search and Preliminary Examination Guidelines, or to the development of WIPO Standard ST.14</w:t>
      </w:r>
      <w:r>
        <w:t>.</w:t>
      </w:r>
      <w:r w:rsidR="00BA1D12">
        <w:t xml:space="preserve">  These consultations are ongoing.</w:t>
      </w:r>
    </w:p>
    <w:p w14:paraId="262B1D7E" w14:textId="75050330" w:rsidR="002C0BB9" w:rsidRDefault="00136210" w:rsidP="002C0BB9">
      <w:pPr>
        <w:pStyle w:val="Heading1"/>
      </w:pPr>
      <w:r>
        <w:t>P</w:t>
      </w:r>
      <w:r w:rsidR="00E549B2">
        <w:t xml:space="preserve">roposed updates on the </w:t>
      </w:r>
      <w:r>
        <w:t xml:space="preserve">citation </w:t>
      </w:r>
      <w:r w:rsidR="002C0BB9">
        <w:t xml:space="preserve">of Non-Written </w:t>
      </w:r>
      <w:r>
        <w:t>material</w:t>
      </w:r>
    </w:p>
    <w:p w14:paraId="5F172092" w14:textId="77777777" w:rsidR="00E549B2" w:rsidRDefault="00E549B2" w:rsidP="00E549B2">
      <w:pPr>
        <w:pStyle w:val="Heading2"/>
      </w:pPr>
      <w:r>
        <w:t xml:space="preserve">Definition of Prior Art </w:t>
      </w:r>
    </w:p>
    <w:p w14:paraId="15496AEA" w14:textId="4140D4D3" w:rsidR="00BF6CCB" w:rsidRDefault="00E549B2" w:rsidP="0080675B">
      <w:pPr>
        <w:pStyle w:val="ONUME"/>
      </w:pPr>
      <w:r w:rsidRPr="007A574B">
        <w:t>The</w:t>
      </w:r>
      <w:r w:rsidRPr="00E549B2">
        <w:t xml:space="preserve"> Annex to this document sets out draft amendments to the PCT Regulations that would extend the definition of relevant prior art to cover all types of disclosure</w:t>
      </w:r>
      <w:r w:rsidR="00441BD4">
        <w:t>s</w:t>
      </w:r>
      <w:r w:rsidRPr="00E549B2">
        <w:t>, both written and non-written</w:t>
      </w:r>
      <w:r w:rsidR="00B40601">
        <w:t xml:space="preserve">.  </w:t>
      </w:r>
      <w:r w:rsidR="008E1CC6">
        <w:t>The</w:t>
      </w:r>
      <w:r w:rsidRPr="00E549B2">
        <w:t xml:space="preserve"> </w:t>
      </w:r>
      <w:r w:rsidR="008E1CC6">
        <w:t>definition of prior art contained in these amendments</w:t>
      </w:r>
      <w:r w:rsidRPr="00E549B2">
        <w:t xml:space="preserve"> is </w:t>
      </w:r>
      <w:r w:rsidR="008E1CC6">
        <w:t xml:space="preserve">intended to be </w:t>
      </w:r>
      <w:r w:rsidRPr="00E549B2">
        <w:t>consistent with national and</w:t>
      </w:r>
      <w:r w:rsidR="00BF6CCB">
        <w:t xml:space="preserve"> regional patent jurisdictions.</w:t>
      </w:r>
      <w:r w:rsidR="00B920AB">
        <w:t xml:space="preserve">  As discussed in paragraph 4 above, the proposed draft amendments </w:t>
      </w:r>
      <w:r w:rsidR="008B6D71">
        <w:t xml:space="preserve">differ from the amendments set out in the document PCT/MIA/29/2 in that Rules 33.1(b) and 64.2 </w:t>
      </w:r>
      <w:proofErr w:type="gramStart"/>
      <w:r w:rsidR="008B6D71">
        <w:t>are maintained</w:t>
      </w:r>
      <w:proofErr w:type="gramEnd"/>
      <w:r w:rsidR="001A1E38">
        <w:t xml:space="preserve"> in the draft amendments</w:t>
      </w:r>
      <w:r w:rsidR="008B6D71">
        <w:t>.</w:t>
      </w:r>
    </w:p>
    <w:p w14:paraId="3C975FBC" w14:textId="77777777" w:rsidR="00BF6CCB" w:rsidRDefault="001A1E38" w:rsidP="00B40601">
      <w:pPr>
        <w:pStyle w:val="Heading2"/>
      </w:pPr>
      <w:r>
        <w:t xml:space="preserve">Practices on the citation of </w:t>
      </w:r>
      <w:r w:rsidR="00E549B2" w:rsidRPr="00E549B2">
        <w:t xml:space="preserve">Non-Written Disclosures </w:t>
      </w:r>
    </w:p>
    <w:p w14:paraId="16408924" w14:textId="32B9EFA9" w:rsidR="00F032D5" w:rsidRDefault="001D100A" w:rsidP="0080675B">
      <w:pPr>
        <w:pStyle w:val="ONUME"/>
      </w:pPr>
      <w:r w:rsidRPr="007A574B">
        <w:t>With</w:t>
      </w:r>
      <w:r>
        <w:t xml:space="preserve"> the proposed amendments to the PCT Regulations, the specific processing of non-written disclosures </w:t>
      </w:r>
      <w:proofErr w:type="gramStart"/>
      <w:r>
        <w:t>would be discontinued</w:t>
      </w:r>
      <w:proofErr w:type="gramEnd"/>
      <w:r>
        <w:t>, and various forms in PCT Chapter</w:t>
      </w:r>
      <w:r w:rsidR="00B72263">
        <w:t>s</w:t>
      </w:r>
      <w:r>
        <w:t xml:space="preserve"> I </w:t>
      </w:r>
      <w:r w:rsidR="004F756E">
        <w:t xml:space="preserve">and </w:t>
      </w:r>
      <w:r>
        <w:t>II would need to be significantly simplified</w:t>
      </w:r>
      <w:r w:rsidR="001A1E38">
        <w:t>.  The main changes would affect</w:t>
      </w:r>
      <w:r>
        <w:t xml:space="preserve"> forms ISA/237 and IPEA/</w:t>
      </w:r>
      <w:r w:rsidR="001A1E38">
        <w:t>408 or 409</w:t>
      </w:r>
      <w:r w:rsidR="00F032D5">
        <w:t>, including</w:t>
      </w:r>
      <w:r>
        <w:t xml:space="preserve"> Box No. V</w:t>
      </w:r>
      <w:r w:rsidR="001A1E38">
        <w:t xml:space="preserve"> and </w:t>
      </w:r>
      <w:r w:rsidR="00A46B0D">
        <w:t>VI that</w:t>
      </w:r>
      <w:r w:rsidR="00F032D5">
        <w:t xml:space="preserve"> </w:t>
      </w:r>
      <w:proofErr w:type="gramStart"/>
      <w:r w:rsidR="00F032D5">
        <w:t>were primarily designed</w:t>
      </w:r>
      <w:proofErr w:type="gramEnd"/>
      <w:r w:rsidR="00F032D5">
        <w:t xml:space="preserve"> to accommodate citations for written material</w:t>
      </w:r>
      <w:r>
        <w:t>.</w:t>
      </w:r>
      <w:r w:rsidR="001A1E38">
        <w:t xml:space="preserve">  While simplifications are good </w:t>
      </w:r>
      <w:r w:rsidR="001A1E38" w:rsidRPr="001A1E38">
        <w:rPr>
          <w:i/>
        </w:rPr>
        <w:t>per se</w:t>
      </w:r>
      <w:r w:rsidR="001A1E38">
        <w:t>, c</w:t>
      </w:r>
      <w:r w:rsidR="00ED61B4">
        <w:t xml:space="preserve">onsiderable work would </w:t>
      </w:r>
      <w:r w:rsidR="001A1E38">
        <w:t xml:space="preserve">still </w:t>
      </w:r>
      <w:r w:rsidR="00ED61B4">
        <w:t xml:space="preserve">be necessary to </w:t>
      </w:r>
      <w:r w:rsidR="00F032D5">
        <w:t xml:space="preserve">adapt </w:t>
      </w:r>
      <w:r w:rsidR="00F032D5" w:rsidRPr="00F032D5">
        <w:t xml:space="preserve">the PCT Administrative Instructions and PCT International Search and </w:t>
      </w:r>
      <w:r w:rsidR="00F032D5" w:rsidRPr="00F032D5">
        <w:lastRenderedPageBreak/>
        <w:t>Prelimina</w:t>
      </w:r>
      <w:r w:rsidR="00F032D5">
        <w:t>ry Examination Guidelines, and to review the content of</w:t>
      </w:r>
      <w:r w:rsidR="00F032D5" w:rsidRPr="00F032D5">
        <w:t xml:space="preserve"> WIPO Standard ST.14.</w:t>
      </w:r>
      <w:r w:rsidR="00F032D5">
        <w:t xml:space="preserve">  Some of the practical issues to </w:t>
      </w:r>
      <w:proofErr w:type="gramStart"/>
      <w:r w:rsidR="00F032D5">
        <w:t>be addressed</w:t>
      </w:r>
      <w:proofErr w:type="gramEnd"/>
      <w:r w:rsidR="00F032D5">
        <w:t xml:space="preserve"> have been listed in paragraph </w:t>
      </w:r>
      <w:r w:rsidR="00BA1D12">
        <w:t>6</w:t>
      </w:r>
      <w:r w:rsidR="00F032D5">
        <w:t xml:space="preserve"> of this document.  The difficulty of this work is partly due to the variety of </w:t>
      </w:r>
      <w:r w:rsidR="00281BFB">
        <w:t xml:space="preserve">formats for citations related to non-written material.  </w:t>
      </w:r>
      <w:r w:rsidR="00C21607">
        <w:t>Various kinds of non-written material such as v</w:t>
      </w:r>
      <w:r w:rsidR="00281BFB">
        <w:t>ideos, audio recordings</w:t>
      </w:r>
      <w:r w:rsidR="00C21607">
        <w:t xml:space="preserve"> or </w:t>
      </w:r>
      <w:r w:rsidR="00281BFB">
        <w:t xml:space="preserve">multimedia files have features </w:t>
      </w:r>
      <w:r w:rsidR="00212AE7">
        <w:t xml:space="preserve">that </w:t>
      </w:r>
      <w:proofErr w:type="gramStart"/>
      <w:r w:rsidR="00281BFB">
        <w:t>are not shared</w:t>
      </w:r>
      <w:proofErr w:type="gramEnd"/>
      <w:r w:rsidR="00281BFB">
        <w:t xml:space="preserve"> </w:t>
      </w:r>
      <w:r w:rsidR="001A1E38">
        <w:t xml:space="preserve">with standard </w:t>
      </w:r>
      <w:r w:rsidR="00281BFB">
        <w:t>citations</w:t>
      </w:r>
      <w:r w:rsidR="001A1E38">
        <w:t xml:space="preserve"> of written material</w:t>
      </w:r>
      <w:r w:rsidR="00281BFB">
        <w:t xml:space="preserve">.  </w:t>
      </w:r>
      <w:proofErr w:type="gramStart"/>
      <w:r w:rsidR="00C21607">
        <w:t>Also</w:t>
      </w:r>
      <w:proofErr w:type="gramEnd"/>
      <w:r w:rsidR="00C21607">
        <w:t xml:space="preserve">, </w:t>
      </w:r>
      <w:r w:rsidR="00683F0C">
        <w:t>adjustments of</w:t>
      </w:r>
      <w:r w:rsidR="00281BFB">
        <w:t xml:space="preserve"> IT systems used by </w:t>
      </w:r>
      <w:r w:rsidR="00CC0B8F">
        <w:t>Authorities</w:t>
      </w:r>
      <w:r w:rsidR="00281BFB">
        <w:t xml:space="preserve"> to issue PCT forms </w:t>
      </w:r>
      <w:r w:rsidR="00936E6C">
        <w:t xml:space="preserve">will be required after a decision on implementation details </w:t>
      </w:r>
      <w:r w:rsidR="00C21607">
        <w:t>and new practices related to</w:t>
      </w:r>
      <w:r w:rsidR="00936E6C">
        <w:t xml:space="preserve"> the change.  </w:t>
      </w:r>
      <w:r w:rsidR="00C21607">
        <w:t xml:space="preserve">In particular, </w:t>
      </w:r>
      <w:r w:rsidR="00BA1D12">
        <w:t xml:space="preserve">significant </w:t>
      </w:r>
      <w:r w:rsidR="00C21607">
        <w:t>d</w:t>
      </w:r>
      <w:r w:rsidR="00936E6C">
        <w:t>evelopment work on the software environment used by patent examiners to enter citation data</w:t>
      </w:r>
      <w:r w:rsidR="00BA1D12">
        <w:t xml:space="preserve"> </w:t>
      </w:r>
      <w:proofErr w:type="gramStart"/>
      <w:r w:rsidR="00BA1D12">
        <w:t>would be needed</w:t>
      </w:r>
      <w:proofErr w:type="gramEnd"/>
      <w:r w:rsidR="00BA1D12">
        <w:t xml:space="preserve"> and would strongly affect the implementation timetable</w:t>
      </w:r>
      <w:r w:rsidR="00C21607">
        <w:t>.</w:t>
      </w:r>
      <w:r w:rsidR="00683F0C">
        <w:t xml:space="preserve"> </w:t>
      </w:r>
      <w:r w:rsidR="00BA1D12">
        <w:t xml:space="preserve"> </w:t>
      </w:r>
      <w:r w:rsidR="00683F0C">
        <w:t xml:space="preserve">A careful resource allocation </w:t>
      </w:r>
      <w:r w:rsidR="001A1E38">
        <w:t xml:space="preserve">plan </w:t>
      </w:r>
      <w:r w:rsidR="00683F0C">
        <w:t xml:space="preserve">for upgrades of IT systems would need to </w:t>
      </w:r>
      <w:proofErr w:type="gramStart"/>
      <w:r w:rsidR="00683F0C">
        <w:t xml:space="preserve">be </w:t>
      </w:r>
      <w:r w:rsidR="001A1E38">
        <w:t>devised</w:t>
      </w:r>
      <w:proofErr w:type="gramEnd"/>
      <w:r w:rsidR="00850848">
        <w:t xml:space="preserve"> accordingly.  T</w:t>
      </w:r>
      <w:r w:rsidR="001A1E38">
        <w:t>he</w:t>
      </w:r>
      <w:r w:rsidR="00850848">
        <w:t xml:space="preserve"> International</w:t>
      </w:r>
      <w:r w:rsidR="001A1E38">
        <w:t xml:space="preserve"> B</w:t>
      </w:r>
      <w:r w:rsidR="00850848">
        <w:t xml:space="preserve">ureau </w:t>
      </w:r>
      <w:r w:rsidR="001A1E38">
        <w:t xml:space="preserve">would </w:t>
      </w:r>
      <w:r w:rsidR="00850848">
        <w:t>update its</w:t>
      </w:r>
      <w:r w:rsidR="001A1E38">
        <w:t xml:space="preserve"> </w:t>
      </w:r>
      <w:proofErr w:type="spellStart"/>
      <w:r w:rsidR="001A1E38">
        <w:t>ePCT</w:t>
      </w:r>
      <w:proofErr w:type="spellEnd"/>
      <w:r w:rsidR="001A1E38">
        <w:t xml:space="preserve"> services</w:t>
      </w:r>
      <w:r w:rsidR="00850848">
        <w:t xml:space="preserve"> for International Authorities to accommodate the changes.</w:t>
      </w:r>
    </w:p>
    <w:p w14:paraId="44D9D563" w14:textId="3E6CA1AD" w:rsidR="002475C5" w:rsidRDefault="002475C5" w:rsidP="002475C5">
      <w:pPr>
        <w:pStyle w:val="Heading1"/>
      </w:pPr>
      <w:r>
        <w:t xml:space="preserve">Storage of </w:t>
      </w:r>
      <w:r w:rsidR="00136210">
        <w:t>Non</w:t>
      </w:r>
      <w:r>
        <w:t>-</w:t>
      </w:r>
      <w:r w:rsidR="00136210">
        <w:t xml:space="preserve">Written </w:t>
      </w:r>
      <w:r>
        <w:t>material</w:t>
      </w:r>
    </w:p>
    <w:p w14:paraId="73DC105A" w14:textId="2FA33EDC" w:rsidR="002475C5" w:rsidRDefault="00BA1D12" w:rsidP="0080675B">
      <w:pPr>
        <w:pStyle w:val="ONUME"/>
      </w:pPr>
      <w:r>
        <w:t>T</w:t>
      </w:r>
      <w:r w:rsidR="002475C5">
        <w:t xml:space="preserve">he level of certainty of the publication date for a particular piece of prior-art depends heavily on the </w:t>
      </w:r>
      <w:r w:rsidR="005A1C3D">
        <w:t>level of trust associated with the source of the prior</w:t>
      </w:r>
      <w:r>
        <w:t xml:space="preserve"> </w:t>
      </w:r>
      <w:r w:rsidR="005A1C3D">
        <w:t>art.  An untrusted online source may</w:t>
      </w:r>
      <w:r w:rsidR="00885C8E">
        <w:t xml:space="preserve"> at best provide a</w:t>
      </w:r>
      <w:r w:rsidR="005A1C3D">
        <w:t xml:space="preserve"> merely indicative date of publication, which would need to </w:t>
      </w:r>
      <w:proofErr w:type="gramStart"/>
      <w:r w:rsidR="005A1C3D">
        <w:t>be confirmed</w:t>
      </w:r>
      <w:proofErr w:type="gramEnd"/>
      <w:r w:rsidR="005A1C3D">
        <w:t xml:space="preserve"> by other means, </w:t>
      </w:r>
      <w:r>
        <w:t xml:space="preserve">for </w:t>
      </w:r>
      <w:r w:rsidR="00212AE7">
        <w:t>example,</w:t>
      </w:r>
      <w:r w:rsidR="005A1C3D">
        <w:t xml:space="preserve"> the Internet Archive </w:t>
      </w:r>
      <w:proofErr w:type="spellStart"/>
      <w:r w:rsidR="005A1C3D">
        <w:t>Wayback</w:t>
      </w:r>
      <w:proofErr w:type="spellEnd"/>
      <w:r w:rsidR="005A1C3D">
        <w:t xml:space="preserve"> Machine or other similar </w:t>
      </w:r>
      <w:r w:rsidR="00AF6495">
        <w:t xml:space="preserve">trusted </w:t>
      </w:r>
      <w:r w:rsidR="005A1C3D">
        <w:t xml:space="preserve">digital archives of the </w:t>
      </w:r>
      <w:r w:rsidR="00B950E5">
        <w:t>Internet</w:t>
      </w:r>
      <w:r w:rsidR="00885C8E">
        <w:t xml:space="preserve">. </w:t>
      </w:r>
    </w:p>
    <w:p w14:paraId="5C6C4148" w14:textId="4CD7FE43" w:rsidR="00885C8E" w:rsidRDefault="00885C8E" w:rsidP="0080675B">
      <w:pPr>
        <w:pStyle w:val="ONUME"/>
      </w:pPr>
      <w:r w:rsidRPr="007A574B">
        <w:t>Storing</w:t>
      </w:r>
      <w:r>
        <w:t xml:space="preserve"> copies of</w:t>
      </w:r>
      <w:r w:rsidR="00CE48D1">
        <w:t xml:space="preserve"> cited prior art</w:t>
      </w:r>
      <w:r>
        <w:t xml:space="preserve"> found in searches </w:t>
      </w:r>
      <w:r w:rsidR="004F6642">
        <w:t xml:space="preserve">is a service provided </w:t>
      </w:r>
      <w:r>
        <w:t xml:space="preserve">by certain Offices to alleviate the problem of citations being changed </w:t>
      </w:r>
      <w:r w:rsidR="008978D4">
        <w:t xml:space="preserve">or made unavailable </w:t>
      </w:r>
      <w:r w:rsidR="00AF6495">
        <w:t>after their</w:t>
      </w:r>
      <w:r>
        <w:t xml:space="preserve"> initial retrieval</w:t>
      </w:r>
      <w:r w:rsidR="004F6642">
        <w:t xml:space="preserve"> on the Internet</w:t>
      </w:r>
      <w:r w:rsidR="00AF6495">
        <w:t xml:space="preserve">, especially if sources do not guarantee availability of unmodified versions of the </w:t>
      </w:r>
      <w:r w:rsidR="00CE48D1">
        <w:t>cited prior art</w:t>
      </w:r>
      <w:r w:rsidR="00AF6495">
        <w:t xml:space="preserve"> over time.  WIPO Standard ST.14 </w:t>
      </w:r>
      <w:r w:rsidR="004F6642">
        <w:t xml:space="preserve">also </w:t>
      </w:r>
      <w:r w:rsidR="00BA1D12">
        <w:t xml:space="preserve">recommends </w:t>
      </w:r>
      <w:r w:rsidR="00AF6495">
        <w:t xml:space="preserve">that </w:t>
      </w:r>
      <w:r w:rsidR="00AF6495" w:rsidRPr="00AF6495">
        <w:t xml:space="preserve">copies of an electronic document </w:t>
      </w:r>
      <w:proofErr w:type="gramStart"/>
      <w:r w:rsidR="00AF6495" w:rsidRPr="00AF6495">
        <w:t>should be retained</w:t>
      </w:r>
      <w:proofErr w:type="gramEnd"/>
      <w:r w:rsidR="00AF6495" w:rsidRPr="00AF6495">
        <w:t xml:space="preserve"> if the same document may not be available for retrieval in </w:t>
      </w:r>
      <w:r w:rsidR="004F6642">
        <w:t xml:space="preserve">the future, </w:t>
      </w:r>
      <w:r w:rsidR="00A275AF">
        <w:t>for example</w:t>
      </w:r>
      <w:r w:rsidR="00212AE7">
        <w:t>,</w:t>
      </w:r>
      <w:r w:rsidR="004F6642">
        <w:t xml:space="preserve"> when the source is the</w:t>
      </w:r>
      <w:r w:rsidR="00AF6495" w:rsidRPr="00AF6495">
        <w:t xml:space="preserve"> Internet and online </w:t>
      </w:r>
      <w:r w:rsidR="004F6642">
        <w:t>databases.</w:t>
      </w:r>
      <w:r w:rsidR="009A527D">
        <w:t xml:space="preserve">  International </w:t>
      </w:r>
      <w:r w:rsidR="00A275AF">
        <w:t>S</w:t>
      </w:r>
      <w:r w:rsidR="009A527D">
        <w:t>earching Authorities offering to store copies of cited prior</w:t>
      </w:r>
      <w:r w:rsidR="00A275AF">
        <w:t xml:space="preserve"> </w:t>
      </w:r>
      <w:r w:rsidR="009A527D">
        <w:t xml:space="preserve">art provide a valuable service also to designated and elected Offices, because access to the correct version of </w:t>
      </w:r>
      <w:r w:rsidR="00CE48D1">
        <w:t>the</w:t>
      </w:r>
      <w:r w:rsidR="009A527D">
        <w:t xml:space="preserve"> </w:t>
      </w:r>
      <w:r w:rsidR="00CE48D1">
        <w:t>cited prior art</w:t>
      </w:r>
      <w:r w:rsidR="009A527D">
        <w:t xml:space="preserve"> would be guaranteed after entry into the national or regional phase</w:t>
      </w:r>
      <w:r w:rsidR="00A275AF">
        <w:t xml:space="preserve">, though as with other types of </w:t>
      </w:r>
      <w:r w:rsidR="00CE48D1">
        <w:t>prior art</w:t>
      </w:r>
      <w:r w:rsidR="00A275AF">
        <w:t>, copyright issues need to be considered</w:t>
      </w:r>
      <w:r w:rsidR="009A527D">
        <w:t>.</w:t>
      </w:r>
    </w:p>
    <w:p w14:paraId="40115946" w14:textId="11293981" w:rsidR="009A527D" w:rsidRDefault="009A527D" w:rsidP="0080675B">
      <w:pPr>
        <w:pStyle w:val="ONUME"/>
      </w:pPr>
      <w:r w:rsidRPr="007A574B">
        <w:t>A</w:t>
      </w:r>
      <w:r>
        <w:t xml:space="preserve"> recommendation for International </w:t>
      </w:r>
      <w:r w:rsidR="00A275AF">
        <w:t>S</w:t>
      </w:r>
      <w:r>
        <w:t xml:space="preserve">earching Authorities to </w:t>
      </w:r>
      <w:r w:rsidR="00946790">
        <w:t>store systematically cited prior</w:t>
      </w:r>
      <w:r w:rsidR="00A275AF">
        <w:t xml:space="preserve"> </w:t>
      </w:r>
      <w:r w:rsidR="00946790">
        <w:t>art in a dedicated da</w:t>
      </w:r>
      <w:r w:rsidR="00161B1E">
        <w:t xml:space="preserve">tabase </w:t>
      </w:r>
      <w:proofErr w:type="gramStart"/>
      <w:r w:rsidR="00A275AF">
        <w:t>should be considered</w:t>
      </w:r>
      <w:proofErr w:type="gramEnd"/>
      <w:r w:rsidR="00A275AF">
        <w:t xml:space="preserve">.  It is noted that the European Patent Office already sends copies of cited documents to </w:t>
      </w:r>
      <w:proofErr w:type="spellStart"/>
      <w:r w:rsidR="00A275AF">
        <w:t>ePCT</w:t>
      </w:r>
      <w:proofErr w:type="spellEnd"/>
      <w:r w:rsidR="00A275AF">
        <w:t xml:space="preserve"> for the benefit of the applicant (but not made available on PATENTSCOPE for copyright reasons), except for a small number for which it does not have the appropriate rights</w:t>
      </w:r>
      <w:r w:rsidR="00B950E5">
        <w:t xml:space="preserve">.  </w:t>
      </w:r>
      <w:r w:rsidR="00A275AF">
        <w:t>A</w:t>
      </w:r>
      <w:r w:rsidR="00B950E5">
        <w:t xml:space="preserve"> central repository accessible by designated or elected Offices would strengthen the legal certainty of non-written material cited by a variety of International A</w:t>
      </w:r>
      <w:r w:rsidR="004D413B">
        <w:t>uthorities.</w:t>
      </w:r>
      <w:r w:rsidR="000232B1">
        <w:t xml:space="preserve"> </w:t>
      </w:r>
      <w:r w:rsidR="004D413B">
        <w:t xml:space="preserve"> N</w:t>
      </w:r>
      <w:r w:rsidR="00683F0C">
        <w:t xml:space="preserve">on-written material </w:t>
      </w:r>
      <w:r w:rsidR="004D413B">
        <w:t>cited by a particular Authority</w:t>
      </w:r>
      <w:r w:rsidR="00683F0C">
        <w:t xml:space="preserve"> in an </w:t>
      </w:r>
      <w:r w:rsidR="00A275AF">
        <w:t>i</w:t>
      </w:r>
      <w:r w:rsidR="00683F0C">
        <w:t xml:space="preserve">nternational search report </w:t>
      </w:r>
      <w:r w:rsidR="004D413B">
        <w:t>would then readily be available to other</w:t>
      </w:r>
      <w:r w:rsidR="00683F0C">
        <w:t xml:space="preserve"> A</w:t>
      </w:r>
      <w:r w:rsidR="004D413B">
        <w:t>uthorities</w:t>
      </w:r>
      <w:r w:rsidR="00683F0C">
        <w:t xml:space="preserve"> </w:t>
      </w:r>
      <w:r w:rsidR="004D413B">
        <w:t>in Chapter II and to</w:t>
      </w:r>
      <w:r w:rsidR="00683F0C">
        <w:t xml:space="preserve"> designated</w:t>
      </w:r>
      <w:r w:rsidR="004D413B">
        <w:t>/elected</w:t>
      </w:r>
      <w:r w:rsidR="00683F0C">
        <w:t xml:space="preserve"> Offices after entry into the national or regional phase.</w:t>
      </w:r>
    </w:p>
    <w:p w14:paraId="749A9E67" w14:textId="724AAC76" w:rsidR="002C0BB9" w:rsidRDefault="002C0BB9" w:rsidP="002C0BB9">
      <w:pPr>
        <w:pStyle w:val="Heading1"/>
      </w:pPr>
      <w:r>
        <w:t xml:space="preserve">Next </w:t>
      </w:r>
      <w:r w:rsidR="00136210">
        <w:t>steps</w:t>
      </w:r>
    </w:p>
    <w:p w14:paraId="6ABBDCA9" w14:textId="77777777" w:rsidR="002C0BB9" w:rsidRDefault="00A275AF" w:rsidP="0080675B">
      <w:pPr>
        <w:pStyle w:val="ONUME"/>
      </w:pPr>
      <w:r>
        <w:t xml:space="preserve">It </w:t>
      </w:r>
      <w:proofErr w:type="gramStart"/>
      <w:r>
        <w:t>is proposed</w:t>
      </w:r>
      <w:proofErr w:type="gramEnd"/>
      <w:r>
        <w:t xml:space="preserve"> that the International Authorities should continue to study the issues involved in the citation of non</w:t>
      </w:r>
      <w:r>
        <w:noBreakHyphen/>
        <w:t>written disclosures as prior art under the PCT and make recommendations to this Working Group and any other affected bodies for further steps</w:t>
      </w:r>
      <w:r w:rsidR="00DA143F">
        <w:t xml:space="preserve"> within the PCT and any related issues, such as WIPO Standards</w:t>
      </w:r>
      <w:r w:rsidR="00930949">
        <w:t>.</w:t>
      </w:r>
    </w:p>
    <w:p w14:paraId="440D3A5A" w14:textId="77777777" w:rsidR="00EA78A6" w:rsidRPr="0080675B" w:rsidRDefault="00EA78A6" w:rsidP="0080675B">
      <w:pPr>
        <w:pStyle w:val="ONUME"/>
        <w:tabs>
          <w:tab w:val="left" w:pos="6096"/>
        </w:tabs>
        <w:ind w:left="5533"/>
        <w:rPr>
          <w:i/>
        </w:rPr>
      </w:pPr>
      <w:r w:rsidRPr="00BA1D12">
        <w:rPr>
          <w:i/>
        </w:rPr>
        <w:t>The</w:t>
      </w:r>
      <w:r w:rsidRPr="0080675B">
        <w:rPr>
          <w:i/>
        </w:rPr>
        <w:t xml:space="preserve"> Working Group is invited to approve the principle </w:t>
      </w:r>
      <w:r w:rsidR="00C71CCF" w:rsidRPr="0080675B">
        <w:rPr>
          <w:i/>
        </w:rPr>
        <w:t>of</w:t>
      </w:r>
      <w:r w:rsidR="00A275AF">
        <w:rPr>
          <w:i/>
        </w:rPr>
        <w:t xml:space="preserve"> including non</w:t>
      </w:r>
      <w:r w:rsidR="00A275AF">
        <w:rPr>
          <w:i/>
        </w:rPr>
        <w:noBreakHyphen/>
        <w:t>written disclosures in the definition of prior art under the PCT and to invite the International Authorities to study the requirements for effective implementation of any such change and to make recommendations on further work</w:t>
      </w:r>
      <w:r w:rsidRPr="0080675B">
        <w:rPr>
          <w:i/>
        </w:rPr>
        <w:t>.</w:t>
      </w:r>
    </w:p>
    <w:p w14:paraId="4A846B4E" w14:textId="77777777" w:rsidR="00C71CCF" w:rsidRDefault="00946790" w:rsidP="00E611F2">
      <w:pPr>
        <w:pStyle w:val="Endofdocument-Annex"/>
      </w:pPr>
      <w:r>
        <w:t>[</w:t>
      </w:r>
      <w:r w:rsidR="00C71CCF">
        <w:t>A</w:t>
      </w:r>
      <w:r w:rsidR="00E611F2">
        <w:t>nnex</w:t>
      </w:r>
      <w:r w:rsidR="00C71CCF">
        <w:t xml:space="preserve"> follow</w:t>
      </w:r>
      <w:r w:rsidR="00E611F2">
        <w:t>s</w:t>
      </w:r>
      <w:r>
        <w:t>]</w:t>
      </w:r>
    </w:p>
    <w:p w14:paraId="55157CA8" w14:textId="77777777" w:rsidR="00033956" w:rsidRDefault="00033956" w:rsidP="00495115">
      <w:pPr>
        <w:pStyle w:val="ONUME"/>
        <w:numPr>
          <w:ilvl w:val="0"/>
          <w:numId w:val="0"/>
        </w:numPr>
      </w:pPr>
    </w:p>
    <w:p w14:paraId="345C1365" w14:textId="77777777" w:rsidR="0080675B" w:rsidRDefault="0080675B" w:rsidP="00495115">
      <w:pPr>
        <w:pStyle w:val="ONUME"/>
        <w:numPr>
          <w:ilvl w:val="0"/>
          <w:numId w:val="0"/>
        </w:numPr>
        <w:sectPr w:rsidR="0080675B" w:rsidSect="00B149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4B60E5C7" w14:textId="77777777" w:rsidR="0080675B" w:rsidRDefault="0080675B" w:rsidP="0080675B">
      <w:pPr>
        <w:pStyle w:val="Endofdocument-Annex"/>
      </w:pPr>
    </w:p>
    <w:p w14:paraId="5F5BE632" w14:textId="77777777" w:rsidR="0080675B" w:rsidRDefault="0080675B" w:rsidP="0080675B">
      <w:pPr>
        <w:pStyle w:val="Endofdocument-Annex"/>
        <w:ind w:left="0"/>
        <w:jc w:val="center"/>
      </w:pPr>
    </w:p>
    <w:p w14:paraId="639B0360" w14:textId="77777777" w:rsidR="0080675B" w:rsidRDefault="0080675B" w:rsidP="0080675B">
      <w:pPr>
        <w:pStyle w:val="Endofdocument-Annex"/>
        <w:ind w:left="0"/>
        <w:jc w:val="center"/>
      </w:pPr>
      <w:r>
        <w:t>DRAFT PROVISIONAL AMENDMENTS</w:t>
      </w:r>
    </w:p>
    <w:p w14:paraId="4CDD5357" w14:textId="77777777" w:rsidR="0080675B" w:rsidRDefault="0080675B" w:rsidP="0080675B">
      <w:pPr>
        <w:pStyle w:val="Endofdocument-Annex"/>
        <w:ind w:left="0"/>
        <w:jc w:val="center"/>
      </w:pPr>
      <w:r>
        <w:t>TO THE PCT REGULATIONS</w:t>
      </w:r>
      <w:r>
        <w:rPr>
          <w:rStyle w:val="FootnoteReference"/>
        </w:rPr>
        <w:footnoteReference w:id="2"/>
      </w:r>
    </w:p>
    <w:p w14:paraId="61D305CC" w14:textId="77777777" w:rsidR="0080675B" w:rsidRDefault="0080675B" w:rsidP="0080675B">
      <w:pPr>
        <w:pStyle w:val="Endofdocument-Annex"/>
        <w:ind w:left="0"/>
      </w:pPr>
    </w:p>
    <w:p w14:paraId="7792511A" w14:textId="77777777" w:rsidR="0080675B" w:rsidRDefault="0080675B" w:rsidP="0080675B">
      <w:pPr>
        <w:pStyle w:val="Endofdocument-Annex"/>
        <w:ind w:left="0"/>
      </w:pPr>
    </w:p>
    <w:p w14:paraId="433E4529" w14:textId="77777777" w:rsidR="0080675B" w:rsidRDefault="0080675B" w:rsidP="0080675B">
      <w:pPr>
        <w:pStyle w:val="Endofdocument-Annex"/>
        <w:ind w:left="0"/>
        <w:jc w:val="center"/>
      </w:pPr>
      <w:r>
        <w:t>TABLE OF CONTENTS</w:t>
      </w:r>
    </w:p>
    <w:p w14:paraId="46F01354" w14:textId="77777777" w:rsidR="0080675B" w:rsidRDefault="0080675B" w:rsidP="0080675B">
      <w:pPr>
        <w:pStyle w:val="Endofdocument-Annex"/>
        <w:ind w:left="0"/>
      </w:pPr>
    </w:p>
    <w:p w14:paraId="03226AC4" w14:textId="77777777" w:rsidR="0080675B" w:rsidRDefault="0080675B" w:rsidP="0080675B">
      <w:pPr>
        <w:pStyle w:val="Endofdocument-Annex"/>
        <w:ind w:left="0"/>
      </w:pPr>
    </w:p>
    <w:p w14:paraId="5A668E3C" w14:textId="3C45755D" w:rsidR="0071592A" w:rsidRDefault="0080675B">
      <w:pPr>
        <w:pStyle w:val="TOC1"/>
        <w:tabs>
          <w:tab w:val="right" w:leader="dot" w:pos="9345"/>
        </w:tabs>
        <w:rPr>
          <w:rFonts w:asciiTheme="minorHAnsi" w:eastAsiaTheme="minorEastAsia" w:hAnsiTheme="minorHAnsi" w:cstheme="minorBidi"/>
          <w:noProof/>
          <w:szCs w:val="22"/>
          <w:lang w:val="en-GB" w:eastAsia="en-GB"/>
        </w:rPr>
      </w:pPr>
      <w:r>
        <w:fldChar w:fldCharType="begin"/>
      </w:r>
      <w:r>
        <w:instrText xml:space="preserve"> TOC \h \z \t "Leg # Title,1,Leg SubRule #,2" </w:instrText>
      </w:r>
      <w:r>
        <w:fldChar w:fldCharType="separate"/>
      </w:r>
      <w:hyperlink w:anchor="_Toc110263845" w:history="1">
        <w:r w:rsidR="0071592A" w:rsidRPr="0077528A">
          <w:rPr>
            <w:rStyle w:val="Hyperlink"/>
            <w:noProof/>
          </w:rPr>
          <w:t>Rule 33 Relevant Prior Art for the International Search</w:t>
        </w:r>
        <w:r w:rsidR="0071592A">
          <w:rPr>
            <w:noProof/>
            <w:webHidden/>
          </w:rPr>
          <w:tab/>
        </w:r>
        <w:r w:rsidR="0071592A">
          <w:rPr>
            <w:noProof/>
            <w:webHidden/>
          </w:rPr>
          <w:fldChar w:fldCharType="begin"/>
        </w:r>
        <w:r w:rsidR="0071592A">
          <w:rPr>
            <w:noProof/>
            <w:webHidden/>
          </w:rPr>
          <w:instrText xml:space="preserve"> PAGEREF _Toc110263845 \h </w:instrText>
        </w:r>
        <w:r w:rsidR="0071592A">
          <w:rPr>
            <w:noProof/>
            <w:webHidden/>
          </w:rPr>
        </w:r>
        <w:r w:rsidR="0071592A">
          <w:rPr>
            <w:noProof/>
            <w:webHidden/>
          </w:rPr>
          <w:fldChar w:fldCharType="separate"/>
        </w:r>
        <w:r w:rsidR="003D3010">
          <w:rPr>
            <w:noProof/>
            <w:webHidden/>
          </w:rPr>
          <w:t>2</w:t>
        </w:r>
        <w:r w:rsidR="0071592A">
          <w:rPr>
            <w:noProof/>
            <w:webHidden/>
          </w:rPr>
          <w:fldChar w:fldCharType="end"/>
        </w:r>
      </w:hyperlink>
    </w:p>
    <w:p w14:paraId="2B6B7402" w14:textId="52691041" w:rsidR="0071592A" w:rsidRDefault="00AE4FD7">
      <w:pPr>
        <w:pStyle w:val="TOC2"/>
        <w:tabs>
          <w:tab w:val="right" w:leader="dot" w:pos="9345"/>
        </w:tabs>
        <w:rPr>
          <w:rFonts w:asciiTheme="minorHAnsi" w:eastAsiaTheme="minorEastAsia" w:hAnsiTheme="minorHAnsi" w:cstheme="minorBidi"/>
          <w:noProof/>
          <w:szCs w:val="22"/>
          <w:lang w:val="en-GB" w:eastAsia="en-GB"/>
        </w:rPr>
      </w:pPr>
      <w:hyperlink w:anchor="_Toc110263846" w:history="1">
        <w:r w:rsidR="0071592A" w:rsidRPr="0077528A">
          <w:rPr>
            <w:rStyle w:val="Hyperlink"/>
            <w:noProof/>
          </w:rPr>
          <w:t>33.1   </w:t>
        </w:r>
        <w:r w:rsidR="0071592A" w:rsidRPr="0077528A">
          <w:rPr>
            <w:rStyle w:val="Hyperlink"/>
            <w:i/>
            <w:noProof/>
          </w:rPr>
          <w:t>Relevant Prior Art for the International Search</w:t>
        </w:r>
        <w:r w:rsidR="0071592A">
          <w:rPr>
            <w:noProof/>
            <w:webHidden/>
          </w:rPr>
          <w:tab/>
        </w:r>
        <w:r w:rsidR="0071592A">
          <w:rPr>
            <w:noProof/>
            <w:webHidden/>
          </w:rPr>
          <w:fldChar w:fldCharType="begin"/>
        </w:r>
        <w:r w:rsidR="0071592A">
          <w:rPr>
            <w:noProof/>
            <w:webHidden/>
          </w:rPr>
          <w:instrText xml:space="preserve"> PAGEREF _Toc110263846 \h </w:instrText>
        </w:r>
        <w:r w:rsidR="0071592A">
          <w:rPr>
            <w:noProof/>
            <w:webHidden/>
          </w:rPr>
        </w:r>
        <w:r w:rsidR="0071592A">
          <w:rPr>
            <w:noProof/>
            <w:webHidden/>
          </w:rPr>
          <w:fldChar w:fldCharType="separate"/>
        </w:r>
        <w:r w:rsidR="003D3010">
          <w:rPr>
            <w:noProof/>
            <w:webHidden/>
          </w:rPr>
          <w:t>2</w:t>
        </w:r>
        <w:r w:rsidR="0071592A">
          <w:rPr>
            <w:noProof/>
            <w:webHidden/>
          </w:rPr>
          <w:fldChar w:fldCharType="end"/>
        </w:r>
      </w:hyperlink>
    </w:p>
    <w:p w14:paraId="544E43E5" w14:textId="0235BCE0" w:rsidR="0071592A" w:rsidRDefault="00AE4FD7">
      <w:pPr>
        <w:pStyle w:val="TOC2"/>
        <w:tabs>
          <w:tab w:val="right" w:leader="dot" w:pos="9345"/>
        </w:tabs>
        <w:rPr>
          <w:rFonts w:asciiTheme="minorHAnsi" w:eastAsiaTheme="minorEastAsia" w:hAnsiTheme="minorHAnsi" w:cstheme="minorBidi"/>
          <w:noProof/>
          <w:szCs w:val="22"/>
          <w:lang w:val="en-GB" w:eastAsia="en-GB"/>
        </w:rPr>
      </w:pPr>
      <w:hyperlink w:anchor="_Toc110263847" w:history="1">
        <w:r w:rsidR="0071592A" w:rsidRPr="0077528A">
          <w:rPr>
            <w:rStyle w:val="Hyperlink"/>
            <w:noProof/>
          </w:rPr>
          <w:t>33.2 and 33.3   [No change]</w:t>
        </w:r>
        <w:r w:rsidR="0071592A">
          <w:rPr>
            <w:noProof/>
            <w:webHidden/>
          </w:rPr>
          <w:tab/>
        </w:r>
        <w:r w:rsidR="0071592A">
          <w:rPr>
            <w:noProof/>
            <w:webHidden/>
          </w:rPr>
          <w:fldChar w:fldCharType="begin"/>
        </w:r>
        <w:r w:rsidR="0071592A">
          <w:rPr>
            <w:noProof/>
            <w:webHidden/>
          </w:rPr>
          <w:instrText xml:space="preserve"> PAGEREF _Toc110263847 \h </w:instrText>
        </w:r>
        <w:r w:rsidR="0071592A">
          <w:rPr>
            <w:noProof/>
            <w:webHidden/>
          </w:rPr>
        </w:r>
        <w:r w:rsidR="0071592A">
          <w:rPr>
            <w:noProof/>
            <w:webHidden/>
          </w:rPr>
          <w:fldChar w:fldCharType="separate"/>
        </w:r>
        <w:r w:rsidR="003D3010">
          <w:rPr>
            <w:noProof/>
            <w:webHidden/>
          </w:rPr>
          <w:t>2</w:t>
        </w:r>
        <w:r w:rsidR="0071592A">
          <w:rPr>
            <w:noProof/>
            <w:webHidden/>
          </w:rPr>
          <w:fldChar w:fldCharType="end"/>
        </w:r>
      </w:hyperlink>
    </w:p>
    <w:p w14:paraId="598F99DB" w14:textId="073B93EA" w:rsidR="0071592A" w:rsidRDefault="00AE4FD7">
      <w:pPr>
        <w:pStyle w:val="TOC1"/>
        <w:tabs>
          <w:tab w:val="right" w:leader="dot" w:pos="9345"/>
        </w:tabs>
        <w:rPr>
          <w:rFonts w:asciiTheme="minorHAnsi" w:eastAsiaTheme="minorEastAsia" w:hAnsiTheme="minorHAnsi" w:cstheme="minorBidi"/>
          <w:noProof/>
          <w:szCs w:val="22"/>
          <w:lang w:val="en-GB" w:eastAsia="en-GB"/>
        </w:rPr>
      </w:pPr>
      <w:hyperlink w:anchor="_Toc110263848" w:history="1">
        <w:r w:rsidR="0071592A" w:rsidRPr="0077528A">
          <w:rPr>
            <w:rStyle w:val="Hyperlink"/>
            <w:noProof/>
          </w:rPr>
          <w:t>Rule 64 Relevant Prior Art for the International Preliminary Examination</w:t>
        </w:r>
        <w:r w:rsidR="0071592A">
          <w:rPr>
            <w:noProof/>
            <w:webHidden/>
          </w:rPr>
          <w:tab/>
        </w:r>
        <w:r w:rsidR="0071592A">
          <w:rPr>
            <w:noProof/>
            <w:webHidden/>
          </w:rPr>
          <w:fldChar w:fldCharType="begin"/>
        </w:r>
        <w:r w:rsidR="0071592A">
          <w:rPr>
            <w:noProof/>
            <w:webHidden/>
          </w:rPr>
          <w:instrText xml:space="preserve"> PAGEREF _Toc110263848 \h </w:instrText>
        </w:r>
        <w:r w:rsidR="0071592A">
          <w:rPr>
            <w:noProof/>
            <w:webHidden/>
          </w:rPr>
        </w:r>
        <w:r w:rsidR="0071592A">
          <w:rPr>
            <w:noProof/>
            <w:webHidden/>
          </w:rPr>
          <w:fldChar w:fldCharType="separate"/>
        </w:r>
        <w:r w:rsidR="003D3010">
          <w:rPr>
            <w:noProof/>
            <w:webHidden/>
          </w:rPr>
          <w:t>3</w:t>
        </w:r>
        <w:r w:rsidR="0071592A">
          <w:rPr>
            <w:noProof/>
            <w:webHidden/>
          </w:rPr>
          <w:fldChar w:fldCharType="end"/>
        </w:r>
      </w:hyperlink>
    </w:p>
    <w:p w14:paraId="750E5573" w14:textId="680A4F49" w:rsidR="0071592A" w:rsidRDefault="00AE4FD7">
      <w:pPr>
        <w:pStyle w:val="TOC2"/>
        <w:tabs>
          <w:tab w:val="right" w:leader="dot" w:pos="9345"/>
        </w:tabs>
        <w:rPr>
          <w:rFonts w:asciiTheme="minorHAnsi" w:eastAsiaTheme="minorEastAsia" w:hAnsiTheme="minorHAnsi" w:cstheme="minorBidi"/>
          <w:noProof/>
          <w:szCs w:val="22"/>
          <w:lang w:val="en-GB" w:eastAsia="en-GB"/>
        </w:rPr>
      </w:pPr>
      <w:hyperlink w:anchor="_Toc110263849" w:history="1">
        <w:r w:rsidR="0071592A" w:rsidRPr="0077528A">
          <w:rPr>
            <w:rStyle w:val="Hyperlink"/>
            <w:noProof/>
          </w:rPr>
          <w:t>64.1   </w:t>
        </w:r>
        <w:r w:rsidR="0071592A" w:rsidRPr="0077528A">
          <w:rPr>
            <w:rStyle w:val="Hyperlink"/>
            <w:i/>
            <w:noProof/>
          </w:rPr>
          <w:t>Prior Art</w:t>
        </w:r>
        <w:r w:rsidR="0071592A">
          <w:rPr>
            <w:noProof/>
            <w:webHidden/>
          </w:rPr>
          <w:tab/>
        </w:r>
        <w:r w:rsidR="0071592A">
          <w:rPr>
            <w:noProof/>
            <w:webHidden/>
          </w:rPr>
          <w:fldChar w:fldCharType="begin"/>
        </w:r>
        <w:r w:rsidR="0071592A">
          <w:rPr>
            <w:noProof/>
            <w:webHidden/>
          </w:rPr>
          <w:instrText xml:space="preserve"> PAGEREF _Toc110263849 \h </w:instrText>
        </w:r>
        <w:r w:rsidR="0071592A">
          <w:rPr>
            <w:noProof/>
            <w:webHidden/>
          </w:rPr>
        </w:r>
        <w:r w:rsidR="0071592A">
          <w:rPr>
            <w:noProof/>
            <w:webHidden/>
          </w:rPr>
          <w:fldChar w:fldCharType="separate"/>
        </w:r>
        <w:r w:rsidR="003D3010">
          <w:rPr>
            <w:noProof/>
            <w:webHidden/>
          </w:rPr>
          <w:t>3</w:t>
        </w:r>
        <w:r w:rsidR="0071592A">
          <w:rPr>
            <w:noProof/>
            <w:webHidden/>
          </w:rPr>
          <w:fldChar w:fldCharType="end"/>
        </w:r>
      </w:hyperlink>
    </w:p>
    <w:p w14:paraId="41F11663" w14:textId="3D89C605" w:rsidR="0071592A" w:rsidRDefault="00AE4FD7">
      <w:pPr>
        <w:pStyle w:val="TOC2"/>
        <w:tabs>
          <w:tab w:val="right" w:leader="dot" w:pos="9345"/>
        </w:tabs>
        <w:rPr>
          <w:rFonts w:asciiTheme="minorHAnsi" w:eastAsiaTheme="minorEastAsia" w:hAnsiTheme="minorHAnsi" w:cstheme="minorBidi"/>
          <w:noProof/>
          <w:szCs w:val="22"/>
          <w:lang w:val="en-GB" w:eastAsia="en-GB"/>
        </w:rPr>
      </w:pPr>
      <w:hyperlink w:anchor="_Toc110263850" w:history="1">
        <w:r w:rsidR="0071592A" w:rsidRPr="0077528A">
          <w:rPr>
            <w:rStyle w:val="Hyperlink"/>
            <w:noProof/>
          </w:rPr>
          <w:t>64.2 and 64.3   [No change]</w:t>
        </w:r>
        <w:r w:rsidR="0071592A">
          <w:rPr>
            <w:noProof/>
            <w:webHidden/>
          </w:rPr>
          <w:tab/>
        </w:r>
        <w:r w:rsidR="0071592A">
          <w:rPr>
            <w:noProof/>
            <w:webHidden/>
          </w:rPr>
          <w:fldChar w:fldCharType="begin"/>
        </w:r>
        <w:r w:rsidR="0071592A">
          <w:rPr>
            <w:noProof/>
            <w:webHidden/>
          </w:rPr>
          <w:instrText xml:space="preserve"> PAGEREF _Toc110263850 \h </w:instrText>
        </w:r>
        <w:r w:rsidR="0071592A">
          <w:rPr>
            <w:noProof/>
            <w:webHidden/>
          </w:rPr>
        </w:r>
        <w:r w:rsidR="0071592A">
          <w:rPr>
            <w:noProof/>
            <w:webHidden/>
          </w:rPr>
          <w:fldChar w:fldCharType="separate"/>
        </w:r>
        <w:r w:rsidR="003D3010">
          <w:rPr>
            <w:noProof/>
            <w:webHidden/>
          </w:rPr>
          <w:t>3</w:t>
        </w:r>
        <w:r w:rsidR="0071592A">
          <w:rPr>
            <w:noProof/>
            <w:webHidden/>
          </w:rPr>
          <w:fldChar w:fldCharType="end"/>
        </w:r>
      </w:hyperlink>
    </w:p>
    <w:p w14:paraId="58F4A64F" w14:textId="77777777" w:rsidR="0080675B" w:rsidRDefault="0080675B" w:rsidP="0080675B">
      <w:pPr>
        <w:pStyle w:val="Endofdocument-Annex"/>
        <w:ind w:left="0"/>
      </w:pPr>
      <w:r>
        <w:fldChar w:fldCharType="end"/>
      </w:r>
    </w:p>
    <w:p w14:paraId="3C9D1671" w14:textId="1A14916D" w:rsidR="0080675B" w:rsidRPr="006E324D" w:rsidRDefault="0080675B" w:rsidP="0080675B">
      <w:pPr>
        <w:pStyle w:val="LegTitle"/>
      </w:pPr>
      <w:bookmarkStart w:id="7" w:name="_Toc50028896"/>
      <w:bookmarkStart w:id="8" w:name="_Toc71915892"/>
      <w:bookmarkStart w:id="9" w:name="_Toc97741903"/>
      <w:bookmarkStart w:id="10" w:name="_Toc110263845"/>
      <w:r>
        <w:t>Rule 33</w:t>
      </w:r>
      <w:r w:rsidRPr="006E324D">
        <w:br/>
      </w:r>
      <w:bookmarkEnd w:id="7"/>
      <w:bookmarkEnd w:id="8"/>
      <w:r>
        <w:t>Relevant Prior Art for the International Search</w:t>
      </w:r>
      <w:bookmarkEnd w:id="9"/>
      <w:bookmarkEnd w:id="10"/>
    </w:p>
    <w:p w14:paraId="7172BC8C" w14:textId="77777777" w:rsidR="0080675B" w:rsidRPr="006E324D" w:rsidRDefault="0080675B" w:rsidP="0080675B">
      <w:pPr>
        <w:pStyle w:val="LegSubRule"/>
        <w:keepLines w:val="0"/>
        <w:outlineLvl w:val="0"/>
      </w:pPr>
      <w:bookmarkStart w:id="11" w:name="_Toc50028897"/>
      <w:bookmarkStart w:id="12" w:name="_Toc71915893"/>
      <w:bookmarkStart w:id="13" w:name="_Toc97741904"/>
      <w:bookmarkStart w:id="14" w:name="_Toc110263846"/>
      <w:r>
        <w:t>33</w:t>
      </w:r>
      <w:r w:rsidRPr="006E324D">
        <w:t>.1   </w:t>
      </w:r>
      <w:bookmarkEnd w:id="11"/>
      <w:bookmarkEnd w:id="12"/>
      <w:r>
        <w:rPr>
          <w:i/>
        </w:rPr>
        <w:t>Relevant Prior Art for the International Search</w:t>
      </w:r>
      <w:bookmarkEnd w:id="13"/>
      <w:bookmarkEnd w:id="14"/>
    </w:p>
    <w:p w14:paraId="59B83C58" w14:textId="77777777" w:rsidR="0080675B" w:rsidRDefault="0080675B" w:rsidP="0080675B">
      <w:pPr>
        <w:pStyle w:val="Lega"/>
      </w:pPr>
      <w:r>
        <w:tab/>
        <w:t>(a)  </w:t>
      </w:r>
      <w:r w:rsidRPr="00BC3FC0">
        <w:t xml:space="preserve">For the purposes of Article 15(2), relevant prior art shall consist of everything which has been made available to the public anywhere in the world by means of written </w:t>
      </w:r>
      <w:r w:rsidRPr="00805178">
        <w:rPr>
          <w:strike/>
          <w:color w:val="FF0000"/>
        </w:rPr>
        <w:t>disclosure</w:t>
      </w:r>
      <w:r w:rsidRPr="00BC3FC0">
        <w:t xml:space="preserve"> (including drawings and other illustrations) </w:t>
      </w:r>
      <w:r>
        <w:rPr>
          <w:color w:val="0000FF"/>
          <w:u w:val="single"/>
        </w:rPr>
        <w:t>or oral disclosure, use, exhibition or other means</w:t>
      </w:r>
      <w:r w:rsidRPr="00805178">
        <w:rPr>
          <w:color w:val="0000FF"/>
        </w:rPr>
        <w:t xml:space="preserve"> </w:t>
      </w:r>
      <w:r w:rsidRPr="00BC3FC0">
        <w:t>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t xml:space="preserve">.  </w:t>
      </w:r>
    </w:p>
    <w:p w14:paraId="0BEFF4FB" w14:textId="77777777" w:rsidR="0080675B" w:rsidRPr="00A64345" w:rsidRDefault="0080675B" w:rsidP="0080675B">
      <w:pPr>
        <w:pStyle w:val="Lega"/>
        <w:rPr>
          <w:strike/>
        </w:rPr>
      </w:pPr>
      <w:r>
        <w:tab/>
      </w:r>
      <w:r w:rsidRPr="002C6378">
        <w:t xml:space="preserve">(b)  </w:t>
      </w:r>
      <w:r w:rsidRPr="00842F72">
        <w:rPr>
          <w:i/>
        </w:rPr>
        <w:t>[No change]</w:t>
      </w:r>
      <w:r>
        <w:t xml:space="preserve"> </w:t>
      </w:r>
      <w:r w:rsidRPr="00842F72">
        <w:rPr>
          <w:color w:val="000000" w:themeColor="text1"/>
        </w:rPr>
        <w:t>When any written disclosure refers to an oral disclosure, use, exhibition, or other means whereby the contents of the written disclosure were made available to the public, and such making available to the public occurred on a date prior to the international filing date, the international search report shall separately mention that fact and the date on which it occurred if the making available to the public of the written disclosure occurred on a date which is the same as, or later than, the international filing date.</w:t>
      </w:r>
    </w:p>
    <w:p w14:paraId="0F960213" w14:textId="77777777" w:rsidR="0080675B" w:rsidRDefault="0080675B" w:rsidP="0080675B">
      <w:pPr>
        <w:pStyle w:val="Lega"/>
      </w:pPr>
      <w:r>
        <w:tab/>
        <w:t>(c</w:t>
      </w:r>
      <w:r w:rsidRPr="002C6378">
        <w:t xml:space="preserve">)  </w:t>
      </w:r>
      <w:r w:rsidRPr="00805178">
        <w:rPr>
          <w:i/>
        </w:rPr>
        <w:t>[No change]</w:t>
      </w:r>
      <w:r>
        <w:t xml:space="preserve"> </w:t>
      </w:r>
      <w:r w:rsidRPr="00A96479">
        <w:t>Any published application or any patent whose publication date is the same as, or later than, but whose filing date, or, where applicable, claimed priority date, is earlier than the international filing date of the international application searched, and which would constitute relevant prior art for the purposes of Article 15(2) had it been published prior to the international filing date, shall be specially mentioned in the international search report</w:t>
      </w:r>
      <w:r w:rsidRPr="002C6378">
        <w:t>.</w:t>
      </w:r>
    </w:p>
    <w:p w14:paraId="08DA51EC" w14:textId="77777777" w:rsidR="0080675B" w:rsidRDefault="0080675B" w:rsidP="0080675B">
      <w:pPr>
        <w:pStyle w:val="LegSubRule"/>
        <w:keepLines w:val="0"/>
        <w:outlineLvl w:val="0"/>
      </w:pPr>
      <w:bookmarkStart w:id="15" w:name="_Toc97741905"/>
      <w:bookmarkStart w:id="16" w:name="_Toc110263847"/>
      <w:r>
        <w:t>33.2 and 33.3</w:t>
      </w:r>
      <w:r w:rsidRPr="006E324D">
        <w:t>   </w:t>
      </w:r>
      <w:r w:rsidRPr="00805178">
        <w:t>[No change]</w:t>
      </w:r>
      <w:bookmarkEnd w:id="15"/>
      <w:bookmarkEnd w:id="16"/>
    </w:p>
    <w:p w14:paraId="3A8574FF" w14:textId="2B8651D8" w:rsidR="0080675B" w:rsidRPr="006E324D" w:rsidRDefault="0080675B" w:rsidP="0080675B">
      <w:pPr>
        <w:pStyle w:val="LegTitle"/>
      </w:pPr>
      <w:bookmarkStart w:id="17" w:name="_Toc97741910"/>
      <w:bookmarkStart w:id="18" w:name="_Toc110263848"/>
      <w:r>
        <w:t>Rule 64</w:t>
      </w:r>
      <w:r w:rsidRPr="006E324D">
        <w:br/>
      </w:r>
      <w:r>
        <w:t>Relevant Prior Art for the International Preliminary Examination</w:t>
      </w:r>
      <w:bookmarkEnd w:id="17"/>
      <w:bookmarkEnd w:id="18"/>
    </w:p>
    <w:p w14:paraId="2CE61F33" w14:textId="77777777" w:rsidR="0080675B" w:rsidRPr="006E324D" w:rsidRDefault="0080675B" w:rsidP="0080675B">
      <w:pPr>
        <w:pStyle w:val="LegSubRule"/>
        <w:keepLines w:val="0"/>
        <w:outlineLvl w:val="0"/>
      </w:pPr>
      <w:bookmarkStart w:id="19" w:name="_Toc97741911"/>
      <w:bookmarkStart w:id="20" w:name="_Toc110263849"/>
      <w:r>
        <w:t>64</w:t>
      </w:r>
      <w:r w:rsidRPr="006E324D">
        <w:t>.1   </w:t>
      </w:r>
      <w:r>
        <w:rPr>
          <w:i/>
        </w:rPr>
        <w:t>Prior Art</w:t>
      </w:r>
      <w:bookmarkEnd w:id="19"/>
      <w:bookmarkEnd w:id="20"/>
    </w:p>
    <w:p w14:paraId="1347A2B9" w14:textId="77777777" w:rsidR="0080675B" w:rsidRDefault="0080675B" w:rsidP="0080675B">
      <w:pPr>
        <w:pStyle w:val="Lega"/>
      </w:pPr>
      <w:r>
        <w:tab/>
        <w:t>(a)  </w:t>
      </w:r>
      <w:r w:rsidRPr="001A1C85">
        <w:t xml:space="preserve">For the purposes of Article 33(2) and (3), everything made available to the public anywhere in the world by means of written </w:t>
      </w:r>
      <w:r w:rsidRPr="00462F44">
        <w:rPr>
          <w:strike/>
          <w:color w:val="FF0000"/>
        </w:rPr>
        <w:t>disclosure</w:t>
      </w:r>
      <w:r w:rsidRPr="001A1C85">
        <w:t xml:space="preserve"> (including drawings and other illustrations) </w:t>
      </w:r>
      <w:r>
        <w:rPr>
          <w:color w:val="0000FF"/>
          <w:u w:val="single"/>
        </w:rPr>
        <w:t>or oral disclosure, use, exhibition or other means</w:t>
      </w:r>
      <w:r w:rsidRPr="001A1C85">
        <w:t xml:space="preserve"> shall be considered prior art provided that such making available occurred prior to the relevant date</w:t>
      </w:r>
      <w:r>
        <w:t xml:space="preserve">.  </w:t>
      </w:r>
    </w:p>
    <w:p w14:paraId="3E3A59B7" w14:textId="77777777" w:rsidR="0080675B" w:rsidRDefault="0080675B" w:rsidP="0080675B">
      <w:pPr>
        <w:pStyle w:val="Lega"/>
      </w:pPr>
      <w:r>
        <w:tab/>
      </w:r>
      <w:r w:rsidRPr="002C6378">
        <w:t xml:space="preserve">(b)  </w:t>
      </w:r>
      <w:r>
        <w:t xml:space="preserve">[No change] </w:t>
      </w:r>
    </w:p>
    <w:p w14:paraId="5F909865" w14:textId="77777777" w:rsidR="0071592A" w:rsidRDefault="0080675B" w:rsidP="0071592A">
      <w:pPr>
        <w:pStyle w:val="LegSubRule"/>
        <w:keepLines w:val="0"/>
        <w:outlineLvl w:val="0"/>
      </w:pPr>
      <w:bookmarkStart w:id="21" w:name="_Toc97741912"/>
      <w:bookmarkStart w:id="22" w:name="_Toc110263850"/>
      <w:r>
        <w:t>64.2</w:t>
      </w:r>
      <w:bookmarkEnd w:id="21"/>
      <w:r w:rsidR="0071592A">
        <w:t xml:space="preserve"> and 64.3   [No change]</w:t>
      </w:r>
      <w:bookmarkEnd w:id="22"/>
    </w:p>
    <w:p w14:paraId="49334F81" w14:textId="77777777" w:rsidR="0080675B" w:rsidRDefault="0080675B" w:rsidP="0080675B">
      <w:pPr>
        <w:pStyle w:val="Lega"/>
      </w:pPr>
    </w:p>
    <w:p w14:paraId="507DE885" w14:textId="77777777" w:rsidR="0080675B" w:rsidRDefault="0080675B" w:rsidP="0080675B">
      <w:pPr>
        <w:pStyle w:val="Lega"/>
      </w:pPr>
    </w:p>
    <w:p w14:paraId="094E1C4C" w14:textId="77777777" w:rsidR="0080675B" w:rsidRDefault="0080675B" w:rsidP="0080675B">
      <w:pPr>
        <w:pStyle w:val="Endofdocument-Annex"/>
      </w:pPr>
      <w:r w:rsidRPr="00805178">
        <w:t>[End of Annex and of document]</w:t>
      </w:r>
    </w:p>
    <w:p w14:paraId="14A04B41" w14:textId="77777777" w:rsidR="00033956" w:rsidRDefault="00033956" w:rsidP="00495115">
      <w:pPr>
        <w:pStyle w:val="ONUME"/>
        <w:numPr>
          <w:ilvl w:val="0"/>
          <w:numId w:val="0"/>
        </w:numPr>
      </w:pPr>
    </w:p>
    <w:sectPr w:rsidR="00033956" w:rsidSect="00CA50E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FAC9D" w16cex:dateUtc="2022-08-11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62669B" w16cid:durableId="269FAC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60576" w14:textId="77777777" w:rsidR="00CE45AA" w:rsidRDefault="00CE45AA">
      <w:r>
        <w:separator/>
      </w:r>
    </w:p>
  </w:endnote>
  <w:endnote w:type="continuationSeparator" w:id="0">
    <w:p w14:paraId="73D62754" w14:textId="77777777" w:rsidR="00CE45AA" w:rsidRDefault="00CE45AA" w:rsidP="003B38C1">
      <w:r>
        <w:separator/>
      </w:r>
    </w:p>
    <w:p w14:paraId="79AFB7C0" w14:textId="77777777" w:rsidR="00CE45AA" w:rsidRPr="003B38C1" w:rsidRDefault="00CE45AA" w:rsidP="003B38C1">
      <w:pPr>
        <w:spacing w:after="60"/>
        <w:rPr>
          <w:sz w:val="17"/>
        </w:rPr>
      </w:pPr>
      <w:r>
        <w:rPr>
          <w:sz w:val="17"/>
        </w:rPr>
        <w:t>[Endnote continued from previous page]</w:t>
      </w:r>
    </w:p>
  </w:endnote>
  <w:endnote w:type="continuationNotice" w:id="1">
    <w:p w14:paraId="78913AB3" w14:textId="77777777" w:rsidR="00CE45AA" w:rsidRPr="003B38C1" w:rsidRDefault="00CE45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C2F9" w14:textId="77777777" w:rsidR="0071592A" w:rsidRDefault="0071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310A" w14:textId="77777777" w:rsidR="0071592A" w:rsidRDefault="00715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6933C" w14:textId="77777777" w:rsidR="0071592A" w:rsidRDefault="007159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7DB63" w14:textId="77777777" w:rsidR="008A4B97" w:rsidRDefault="00AE4FD7" w:rsidP="008A4B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0192" w14:textId="77777777" w:rsidR="008A4B97" w:rsidRDefault="00AE4F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74730" w14:textId="77777777" w:rsidR="008A4B97" w:rsidRDefault="00AE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EC60F" w14:textId="77777777" w:rsidR="00CE45AA" w:rsidRDefault="00CE45AA">
      <w:r>
        <w:separator/>
      </w:r>
    </w:p>
  </w:footnote>
  <w:footnote w:type="continuationSeparator" w:id="0">
    <w:p w14:paraId="327FD90F" w14:textId="77777777" w:rsidR="00CE45AA" w:rsidRDefault="00CE45AA" w:rsidP="008B60B2">
      <w:r>
        <w:separator/>
      </w:r>
    </w:p>
    <w:p w14:paraId="6DB6F3AE" w14:textId="77777777" w:rsidR="00CE45AA" w:rsidRPr="00ED77FB" w:rsidRDefault="00CE45AA" w:rsidP="008B60B2">
      <w:pPr>
        <w:spacing w:after="60"/>
        <w:rPr>
          <w:sz w:val="17"/>
          <w:szCs w:val="17"/>
        </w:rPr>
      </w:pPr>
      <w:r w:rsidRPr="00ED77FB">
        <w:rPr>
          <w:sz w:val="17"/>
          <w:szCs w:val="17"/>
        </w:rPr>
        <w:t>[Footnote continued from previous page]</w:t>
      </w:r>
    </w:p>
  </w:footnote>
  <w:footnote w:type="continuationNotice" w:id="1">
    <w:p w14:paraId="47660F41" w14:textId="77777777" w:rsidR="00CE45AA" w:rsidRPr="00ED77FB" w:rsidRDefault="00CE45AA" w:rsidP="008B60B2">
      <w:pPr>
        <w:spacing w:before="60"/>
        <w:jc w:val="right"/>
        <w:rPr>
          <w:sz w:val="17"/>
          <w:szCs w:val="17"/>
        </w:rPr>
      </w:pPr>
      <w:r w:rsidRPr="00ED77FB">
        <w:rPr>
          <w:sz w:val="17"/>
          <w:szCs w:val="17"/>
        </w:rPr>
        <w:t>[Footnote continued on next page]</w:t>
      </w:r>
    </w:p>
  </w:footnote>
  <w:footnote w:id="2">
    <w:p w14:paraId="1A38E0A5" w14:textId="77777777" w:rsidR="0080675B" w:rsidRPr="0085293C" w:rsidRDefault="0080675B" w:rsidP="0080675B">
      <w:pPr>
        <w:pStyle w:val="FootnoteText"/>
      </w:pPr>
      <w:r>
        <w:rPr>
          <w:rStyle w:val="FootnoteReference"/>
        </w:rPr>
        <w:footnoteRef/>
      </w:r>
      <w:r>
        <w:t xml:space="preserve"> </w:t>
      </w:r>
      <w:r>
        <w:tab/>
      </w:r>
      <w:r w:rsidRPr="0085293C">
        <w:t xml:space="preserve">Proposed additions and deletions </w:t>
      </w:r>
      <w:proofErr w:type="gramStart"/>
      <w:r w:rsidRPr="0085293C">
        <w:t>are indicated</w:t>
      </w:r>
      <w:proofErr w:type="gramEnd"/>
      <w:r w:rsidRPr="0085293C">
        <w:t>,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1A44A" w14:textId="77777777" w:rsidR="0071592A" w:rsidRDefault="0071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AF82" w14:textId="11DBC8C4" w:rsidR="00D07C78" w:rsidRPr="002326AB" w:rsidRDefault="00B1491C" w:rsidP="00477D6B">
    <w:pPr>
      <w:jc w:val="right"/>
      <w:rPr>
        <w:caps/>
      </w:rPr>
    </w:pPr>
    <w:bookmarkStart w:id="6" w:name="Code2"/>
    <w:bookmarkEnd w:id="6"/>
    <w:r>
      <w:rPr>
        <w:caps/>
      </w:rPr>
      <w:t>PCT/WG/15/</w:t>
    </w:r>
    <w:r w:rsidR="002F737E">
      <w:rPr>
        <w:caps/>
      </w:rPr>
      <w:t>5</w:t>
    </w:r>
  </w:p>
  <w:p w14:paraId="1A6CD064" w14:textId="137AC5C2"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AE4FD7">
      <w:rPr>
        <w:noProof/>
      </w:rPr>
      <w:t>4</w:t>
    </w:r>
    <w:r>
      <w:fldChar w:fldCharType="end"/>
    </w:r>
  </w:p>
  <w:p w14:paraId="5B834EB7" w14:textId="77777777" w:rsidR="00D07C78" w:rsidRDefault="00D07C78" w:rsidP="00477D6B">
    <w:pPr>
      <w:jc w:val="right"/>
    </w:pPr>
  </w:p>
  <w:p w14:paraId="576F99C5"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010B" w14:textId="77777777" w:rsidR="0071592A" w:rsidRDefault="00715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5F39C" w14:textId="77777777" w:rsidR="008A4B97" w:rsidRPr="002326AB" w:rsidRDefault="009208E5" w:rsidP="008A4B97">
    <w:pPr>
      <w:jc w:val="right"/>
      <w:rPr>
        <w:caps/>
      </w:rPr>
    </w:pPr>
    <w:r>
      <w:rPr>
        <w:caps/>
      </w:rPr>
      <w:t>PCT/MIA/29/2</w:t>
    </w:r>
  </w:p>
  <w:p w14:paraId="1FEFAA33" w14:textId="1FB643DD" w:rsidR="008A4B97" w:rsidRDefault="009208E5" w:rsidP="008A4B97">
    <w:pPr>
      <w:jc w:val="right"/>
    </w:pPr>
    <w:r>
      <w:t xml:space="preserve">Annex, page </w:t>
    </w:r>
    <w:r>
      <w:fldChar w:fldCharType="begin"/>
    </w:r>
    <w:r>
      <w:instrText xml:space="preserve"> PAGE  \* MERGEFORMAT </w:instrText>
    </w:r>
    <w:r>
      <w:fldChar w:fldCharType="separate"/>
    </w:r>
    <w:r w:rsidR="003D3010">
      <w:rPr>
        <w:noProof/>
      </w:rPr>
      <w:t>3</w:t>
    </w:r>
    <w:r>
      <w:fldChar w:fldCharType="end"/>
    </w:r>
  </w:p>
  <w:p w14:paraId="48612A30" w14:textId="77777777" w:rsidR="008A4B97" w:rsidRDefault="00AE4FD7" w:rsidP="008A4B97">
    <w:pPr>
      <w:jc w:val="right"/>
    </w:pPr>
  </w:p>
  <w:p w14:paraId="529C4E1A" w14:textId="77777777" w:rsidR="008A4B97" w:rsidRDefault="00AE4FD7" w:rsidP="008A4B97">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316A" w14:textId="37B1CA91" w:rsidR="00CA50E1" w:rsidRPr="00A46B0D" w:rsidRDefault="0080675B" w:rsidP="00477D6B">
    <w:pPr>
      <w:jc w:val="right"/>
      <w:rPr>
        <w:caps/>
        <w:lang w:val="fr-FR"/>
      </w:rPr>
    </w:pPr>
    <w:r w:rsidRPr="00A46B0D">
      <w:rPr>
        <w:caps/>
        <w:lang w:val="fr-FR"/>
      </w:rPr>
      <w:t>PCT/WG/15/</w:t>
    </w:r>
    <w:r w:rsidR="002F737E">
      <w:rPr>
        <w:caps/>
        <w:lang w:val="fr-FR"/>
      </w:rPr>
      <w:t>5</w:t>
    </w:r>
  </w:p>
  <w:p w14:paraId="3966A838" w14:textId="4BAC1028" w:rsidR="00CA50E1" w:rsidRPr="00A46B0D" w:rsidRDefault="009208E5" w:rsidP="00477D6B">
    <w:pPr>
      <w:jc w:val="right"/>
      <w:rPr>
        <w:lang w:val="fr-FR"/>
      </w:rPr>
    </w:pPr>
    <w:proofErr w:type="spellStart"/>
    <w:r w:rsidRPr="00A46B0D">
      <w:rPr>
        <w:lang w:val="fr-FR"/>
      </w:rPr>
      <w:t>Annex</w:t>
    </w:r>
    <w:proofErr w:type="spellEnd"/>
    <w:r w:rsidRPr="00A46B0D">
      <w:rPr>
        <w:lang w:val="fr-FR"/>
      </w:rPr>
      <w:t xml:space="preserve">, page </w:t>
    </w:r>
    <w:r>
      <w:fldChar w:fldCharType="begin"/>
    </w:r>
    <w:r w:rsidRPr="00A46B0D">
      <w:rPr>
        <w:lang w:val="fr-FR"/>
      </w:rPr>
      <w:instrText xml:space="preserve"> PAGE  \* MERGEFORMAT </w:instrText>
    </w:r>
    <w:r>
      <w:fldChar w:fldCharType="separate"/>
    </w:r>
    <w:r w:rsidR="00AE4FD7">
      <w:rPr>
        <w:noProof/>
        <w:lang w:val="fr-FR"/>
      </w:rPr>
      <w:t>3</w:t>
    </w:r>
    <w:r>
      <w:fldChar w:fldCharType="end"/>
    </w:r>
  </w:p>
  <w:p w14:paraId="325037B9" w14:textId="77777777" w:rsidR="00CA50E1" w:rsidRPr="00A46B0D" w:rsidRDefault="00AE4FD7" w:rsidP="00477D6B">
    <w:pPr>
      <w:jc w:val="right"/>
      <w:rPr>
        <w:lang w:val="fr-FR"/>
      </w:rPr>
    </w:pPr>
  </w:p>
  <w:p w14:paraId="4A7683B5" w14:textId="77777777" w:rsidR="00CA50E1" w:rsidRPr="00A46B0D" w:rsidRDefault="00AE4FD7" w:rsidP="00477D6B">
    <w:pPr>
      <w:jc w:val="right"/>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121A" w14:textId="3AB4DB77" w:rsidR="00CA50E1" w:rsidRDefault="0080675B" w:rsidP="00CA50E1">
    <w:pPr>
      <w:pStyle w:val="Header"/>
      <w:jc w:val="right"/>
      <w:rPr>
        <w:lang w:val="fr-CH"/>
      </w:rPr>
    </w:pPr>
    <w:r>
      <w:rPr>
        <w:lang w:val="fr-CH"/>
      </w:rPr>
      <w:t>PCT/WG/15/</w:t>
    </w:r>
    <w:r w:rsidR="002F737E">
      <w:rPr>
        <w:lang w:val="fr-CH"/>
      </w:rPr>
      <w:t>5</w:t>
    </w:r>
    <w:r w:rsidR="009208E5">
      <w:rPr>
        <w:lang w:val="fr-CH"/>
      </w:rPr>
      <w:br/>
      <w:t>ANNEX</w:t>
    </w:r>
  </w:p>
  <w:p w14:paraId="070C5115" w14:textId="77777777" w:rsidR="00CA50E1" w:rsidRDefault="00AE4FD7">
    <w:pPr>
      <w:pStyle w:val="Header"/>
      <w:rPr>
        <w:lang w:val="fr-CH"/>
      </w:rPr>
    </w:pPr>
  </w:p>
  <w:p w14:paraId="7E8F39BD" w14:textId="77777777" w:rsidR="00CA50E1" w:rsidRPr="00CA50E1" w:rsidRDefault="00AE4FD7">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A67032"/>
    <w:multiLevelType w:val="hybridMultilevel"/>
    <w:tmpl w:val="A436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B55500"/>
    <w:multiLevelType w:val="multilevel"/>
    <w:tmpl w:val="3C98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1C"/>
    <w:rsid w:val="000232B1"/>
    <w:rsid w:val="00033956"/>
    <w:rsid w:val="00040C5E"/>
    <w:rsid w:val="00043CAA"/>
    <w:rsid w:val="00056816"/>
    <w:rsid w:val="00075432"/>
    <w:rsid w:val="000968ED"/>
    <w:rsid w:val="000A3D97"/>
    <w:rsid w:val="000F5E56"/>
    <w:rsid w:val="00136210"/>
    <w:rsid w:val="001362EE"/>
    <w:rsid w:val="00141791"/>
    <w:rsid w:val="00161B1E"/>
    <w:rsid w:val="001647D5"/>
    <w:rsid w:val="001832A6"/>
    <w:rsid w:val="001A1E38"/>
    <w:rsid w:val="001D100A"/>
    <w:rsid w:val="001D4107"/>
    <w:rsid w:val="00203D24"/>
    <w:rsid w:val="0021217E"/>
    <w:rsid w:val="00212AE7"/>
    <w:rsid w:val="002326AB"/>
    <w:rsid w:val="00243430"/>
    <w:rsid w:val="002475C5"/>
    <w:rsid w:val="002634C4"/>
    <w:rsid w:val="00281BFB"/>
    <w:rsid w:val="002928D3"/>
    <w:rsid w:val="002A6C31"/>
    <w:rsid w:val="002A717A"/>
    <w:rsid w:val="002C0BB9"/>
    <w:rsid w:val="002F1FE6"/>
    <w:rsid w:val="002F4E68"/>
    <w:rsid w:val="002F737E"/>
    <w:rsid w:val="00312F7F"/>
    <w:rsid w:val="00361450"/>
    <w:rsid w:val="003673CF"/>
    <w:rsid w:val="003845C1"/>
    <w:rsid w:val="003A6F89"/>
    <w:rsid w:val="003B38C1"/>
    <w:rsid w:val="003C34E9"/>
    <w:rsid w:val="003D3010"/>
    <w:rsid w:val="00406DA6"/>
    <w:rsid w:val="00423E3E"/>
    <w:rsid w:val="00427AF4"/>
    <w:rsid w:val="00441BD4"/>
    <w:rsid w:val="004647DA"/>
    <w:rsid w:val="0047001F"/>
    <w:rsid w:val="00474062"/>
    <w:rsid w:val="00477D6B"/>
    <w:rsid w:val="00495115"/>
    <w:rsid w:val="004D413B"/>
    <w:rsid w:val="004F6642"/>
    <w:rsid w:val="004F756E"/>
    <w:rsid w:val="005019FF"/>
    <w:rsid w:val="0053057A"/>
    <w:rsid w:val="00551651"/>
    <w:rsid w:val="00556076"/>
    <w:rsid w:val="00560A29"/>
    <w:rsid w:val="00567B84"/>
    <w:rsid w:val="005A1C3D"/>
    <w:rsid w:val="005C6649"/>
    <w:rsid w:val="00605827"/>
    <w:rsid w:val="00646050"/>
    <w:rsid w:val="006713CA"/>
    <w:rsid w:val="00676C5C"/>
    <w:rsid w:val="00683F0C"/>
    <w:rsid w:val="0071592A"/>
    <w:rsid w:val="00720EFD"/>
    <w:rsid w:val="007854AF"/>
    <w:rsid w:val="00793A7C"/>
    <w:rsid w:val="007A398A"/>
    <w:rsid w:val="007A574B"/>
    <w:rsid w:val="007B11CC"/>
    <w:rsid w:val="007D1613"/>
    <w:rsid w:val="007E4C0E"/>
    <w:rsid w:val="0080675B"/>
    <w:rsid w:val="008400C8"/>
    <w:rsid w:val="00850848"/>
    <w:rsid w:val="00885C8E"/>
    <w:rsid w:val="008978D4"/>
    <w:rsid w:val="008A134B"/>
    <w:rsid w:val="008B2CC1"/>
    <w:rsid w:val="008B60B2"/>
    <w:rsid w:val="008B6D71"/>
    <w:rsid w:val="008E1CC6"/>
    <w:rsid w:val="0090731E"/>
    <w:rsid w:val="00916EE2"/>
    <w:rsid w:val="009208E5"/>
    <w:rsid w:val="00926BB4"/>
    <w:rsid w:val="00930949"/>
    <w:rsid w:val="00936E6C"/>
    <w:rsid w:val="00946790"/>
    <w:rsid w:val="00966A22"/>
    <w:rsid w:val="0096722F"/>
    <w:rsid w:val="009733BC"/>
    <w:rsid w:val="00980843"/>
    <w:rsid w:val="009A527D"/>
    <w:rsid w:val="009C5374"/>
    <w:rsid w:val="009D5DCF"/>
    <w:rsid w:val="009E2791"/>
    <w:rsid w:val="009E3F6F"/>
    <w:rsid w:val="009F499F"/>
    <w:rsid w:val="00A020A2"/>
    <w:rsid w:val="00A275AF"/>
    <w:rsid w:val="00A37342"/>
    <w:rsid w:val="00A42DAF"/>
    <w:rsid w:val="00A45BD8"/>
    <w:rsid w:val="00A46B0D"/>
    <w:rsid w:val="00A47583"/>
    <w:rsid w:val="00A64345"/>
    <w:rsid w:val="00A869B7"/>
    <w:rsid w:val="00A90F0A"/>
    <w:rsid w:val="00AA2D1F"/>
    <w:rsid w:val="00AA4EB5"/>
    <w:rsid w:val="00AC205C"/>
    <w:rsid w:val="00AE4FD7"/>
    <w:rsid w:val="00AF0A6B"/>
    <w:rsid w:val="00AF6495"/>
    <w:rsid w:val="00AF7DFE"/>
    <w:rsid w:val="00B05A69"/>
    <w:rsid w:val="00B1322F"/>
    <w:rsid w:val="00B1491C"/>
    <w:rsid w:val="00B40601"/>
    <w:rsid w:val="00B51EE7"/>
    <w:rsid w:val="00B72263"/>
    <w:rsid w:val="00B75281"/>
    <w:rsid w:val="00B920AB"/>
    <w:rsid w:val="00B92F1F"/>
    <w:rsid w:val="00B950E5"/>
    <w:rsid w:val="00B9734B"/>
    <w:rsid w:val="00BA1D12"/>
    <w:rsid w:val="00BA30E2"/>
    <w:rsid w:val="00BD115F"/>
    <w:rsid w:val="00BD32D7"/>
    <w:rsid w:val="00BF6CCB"/>
    <w:rsid w:val="00C11169"/>
    <w:rsid w:val="00C11BFE"/>
    <w:rsid w:val="00C21607"/>
    <w:rsid w:val="00C237C9"/>
    <w:rsid w:val="00C5068F"/>
    <w:rsid w:val="00C557C8"/>
    <w:rsid w:val="00C634C5"/>
    <w:rsid w:val="00C71CCF"/>
    <w:rsid w:val="00C80637"/>
    <w:rsid w:val="00C82D15"/>
    <w:rsid w:val="00C86D74"/>
    <w:rsid w:val="00CA2A1F"/>
    <w:rsid w:val="00CB265E"/>
    <w:rsid w:val="00CC0B8F"/>
    <w:rsid w:val="00CD04F1"/>
    <w:rsid w:val="00CE45AA"/>
    <w:rsid w:val="00CE48D1"/>
    <w:rsid w:val="00CF2F34"/>
    <w:rsid w:val="00CF681A"/>
    <w:rsid w:val="00D07C78"/>
    <w:rsid w:val="00D45252"/>
    <w:rsid w:val="00D71B4D"/>
    <w:rsid w:val="00D90C41"/>
    <w:rsid w:val="00D93D55"/>
    <w:rsid w:val="00DA143F"/>
    <w:rsid w:val="00DA50FF"/>
    <w:rsid w:val="00DD7B7F"/>
    <w:rsid w:val="00DF18A6"/>
    <w:rsid w:val="00E15015"/>
    <w:rsid w:val="00E335FE"/>
    <w:rsid w:val="00E549B2"/>
    <w:rsid w:val="00E611F2"/>
    <w:rsid w:val="00E96BE6"/>
    <w:rsid w:val="00EA78A6"/>
    <w:rsid w:val="00EA7D6E"/>
    <w:rsid w:val="00EB2F76"/>
    <w:rsid w:val="00EC4E49"/>
    <w:rsid w:val="00ED61B4"/>
    <w:rsid w:val="00ED77FB"/>
    <w:rsid w:val="00EE4414"/>
    <w:rsid w:val="00EE45FA"/>
    <w:rsid w:val="00F032D5"/>
    <w:rsid w:val="00F043DE"/>
    <w:rsid w:val="00F15D4F"/>
    <w:rsid w:val="00F66152"/>
    <w:rsid w:val="00F9165B"/>
    <w:rsid w:val="00F92FE4"/>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E4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semiHidden/>
    <w:unhideWhenUsed/>
    <w:rsid w:val="00141791"/>
    <w:rPr>
      <w:rFonts w:ascii="Times New Roman" w:hAnsi="Times New Roman" w:cs="Times New Roman"/>
      <w:sz w:val="24"/>
      <w:szCs w:val="24"/>
    </w:rPr>
  </w:style>
  <w:style w:type="paragraph" w:styleId="BalloonText">
    <w:name w:val="Balloon Text"/>
    <w:basedOn w:val="Normal"/>
    <w:link w:val="BalloonTextChar"/>
    <w:semiHidden/>
    <w:unhideWhenUsed/>
    <w:rsid w:val="00406DA6"/>
    <w:rPr>
      <w:rFonts w:ascii="Segoe UI" w:hAnsi="Segoe UI" w:cs="Segoe UI"/>
      <w:sz w:val="18"/>
      <w:szCs w:val="18"/>
    </w:rPr>
  </w:style>
  <w:style w:type="character" w:customStyle="1" w:styleId="BalloonTextChar">
    <w:name w:val="Balloon Text Char"/>
    <w:basedOn w:val="DefaultParagraphFont"/>
    <w:link w:val="BalloonText"/>
    <w:semiHidden/>
    <w:rsid w:val="00406DA6"/>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80675B"/>
    <w:rPr>
      <w:vertAlign w:val="superscript"/>
    </w:rPr>
  </w:style>
  <w:style w:type="character" w:styleId="Hyperlink">
    <w:name w:val="Hyperlink"/>
    <w:basedOn w:val="DefaultParagraphFont"/>
    <w:uiPriority w:val="99"/>
    <w:unhideWhenUsed/>
    <w:rsid w:val="0080675B"/>
    <w:rPr>
      <w:color w:val="0000FF" w:themeColor="hyperlink"/>
      <w:u w:val="single"/>
    </w:rPr>
  </w:style>
  <w:style w:type="paragraph" w:customStyle="1" w:styleId="LegTitle">
    <w:name w:val="Leg # Title"/>
    <w:basedOn w:val="Normal"/>
    <w:next w:val="Normal"/>
    <w:rsid w:val="0080675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80675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80675B"/>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80675B"/>
    <w:pPr>
      <w:spacing w:after="100"/>
      <w:ind w:left="220"/>
    </w:pPr>
  </w:style>
  <w:style w:type="paragraph" w:styleId="TOC1">
    <w:name w:val="toc 1"/>
    <w:basedOn w:val="Normal"/>
    <w:next w:val="Normal"/>
    <w:autoRedefine/>
    <w:uiPriority w:val="39"/>
    <w:unhideWhenUsed/>
    <w:rsid w:val="0080675B"/>
    <w:pPr>
      <w:spacing w:after="100"/>
    </w:pPr>
  </w:style>
  <w:style w:type="paragraph" w:styleId="Revision">
    <w:name w:val="Revision"/>
    <w:hidden/>
    <w:uiPriority w:val="99"/>
    <w:semiHidden/>
    <w:rsid w:val="00040C5E"/>
    <w:rPr>
      <w:rFonts w:ascii="Arial" w:eastAsia="SimSun" w:hAnsi="Arial" w:cs="Arial"/>
      <w:sz w:val="22"/>
      <w:lang w:val="en-US" w:eastAsia="zh-CN"/>
    </w:rPr>
  </w:style>
  <w:style w:type="character" w:styleId="CommentReference">
    <w:name w:val="annotation reference"/>
    <w:basedOn w:val="DefaultParagraphFont"/>
    <w:semiHidden/>
    <w:unhideWhenUsed/>
    <w:rsid w:val="00BD115F"/>
    <w:rPr>
      <w:sz w:val="16"/>
      <w:szCs w:val="16"/>
    </w:rPr>
  </w:style>
  <w:style w:type="paragraph" w:styleId="CommentSubject">
    <w:name w:val="annotation subject"/>
    <w:basedOn w:val="CommentText"/>
    <w:next w:val="CommentText"/>
    <w:link w:val="CommentSubjectChar"/>
    <w:semiHidden/>
    <w:unhideWhenUsed/>
    <w:rsid w:val="00BD115F"/>
    <w:rPr>
      <w:b/>
      <w:bCs/>
      <w:sz w:val="20"/>
    </w:rPr>
  </w:style>
  <w:style w:type="character" w:customStyle="1" w:styleId="CommentTextChar">
    <w:name w:val="Comment Text Char"/>
    <w:basedOn w:val="DefaultParagraphFont"/>
    <w:link w:val="CommentText"/>
    <w:semiHidden/>
    <w:rsid w:val="00BD115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D115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310010">
      <w:bodyDiv w:val="1"/>
      <w:marLeft w:val="0"/>
      <w:marRight w:val="0"/>
      <w:marTop w:val="0"/>
      <w:marBottom w:val="0"/>
      <w:divBdr>
        <w:top w:val="none" w:sz="0" w:space="0" w:color="auto"/>
        <w:left w:val="none" w:sz="0" w:space="0" w:color="auto"/>
        <w:bottom w:val="none" w:sz="0" w:space="0" w:color="auto"/>
        <w:right w:val="none" w:sz="0" w:space="0" w:color="auto"/>
      </w:divBdr>
    </w:div>
    <w:div w:id="1660578604">
      <w:bodyDiv w:val="1"/>
      <w:marLeft w:val="0"/>
      <w:marRight w:val="0"/>
      <w:marTop w:val="0"/>
      <w:marBottom w:val="0"/>
      <w:divBdr>
        <w:top w:val="none" w:sz="0" w:space="0" w:color="auto"/>
        <w:left w:val="none" w:sz="0" w:space="0" w:color="auto"/>
        <w:bottom w:val="none" w:sz="0" w:space="0" w:color="auto"/>
        <w:right w:val="none" w:sz="0" w:space="0" w:color="auto"/>
      </w:divBdr>
    </w:div>
    <w:div w:id="1816608008">
      <w:bodyDiv w:val="1"/>
      <w:marLeft w:val="0"/>
      <w:marRight w:val="0"/>
      <w:marTop w:val="0"/>
      <w:marBottom w:val="0"/>
      <w:divBdr>
        <w:top w:val="none" w:sz="0" w:space="0" w:color="auto"/>
        <w:left w:val="none" w:sz="0" w:space="0" w:color="auto"/>
        <w:bottom w:val="none" w:sz="0" w:space="0" w:color="auto"/>
        <w:right w:val="none" w:sz="0" w:space="0" w:color="auto"/>
      </w:divBdr>
    </w:div>
    <w:div w:id="213189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FC8DA-7F01-4A71-AE84-169BED3B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1840</Words>
  <Characters>10011</Characters>
  <Application>Microsoft Office Word</Application>
  <DocSecurity>0</DocSecurity>
  <Lines>178</Lines>
  <Paragraphs>56</Paragraphs>
  <ScaleCrop>false</ScaleCrop>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FOR OFFICIAL USE ONLY</cp:keywords>
  <cp:lastModifiedBy/>
  <cp:revision>1</cp:revision>
  <dcterms:created xsi:type="dcterms:W3CDTF">2022-08-12T13:48:00Z</dcterms:created>
  <dcterms:modified xsi:type="dcterms:W3CDTF">2022-08-12T13:49:00Z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aead6aed-cb65-42ec-ac4f-050b4dfbbddf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