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3D5922">
            <w:pPr>
              <w:jc w:val="right"/>
              <w:rPr>
                <w:rFonts w:ascii="Arial Black" w:hAnsi="Arial Black"/>
                <w:caps/>
                <w:sz w:val="15"/>
              </w:rPr>
            </w:pPr>
            <w:r>
              <w:rPr>
                <w:rFonts w:ascii="Arial Black" w:hAnsi="Arial Black"/>
                <w:caps/>
                <w:sz w:val="15"/>
              </w:rPr>
              <w:t>PCT/WG/1</w:t>
            </w:r>
            <w:r w:rsidR="003D5922">
              <w:rPr>
                <w:rFonts w:ascii="Arial Black" w:hAnsi="Arial Black"/>
                <w:caps/>
                <w:sz w:val="15"/>
              </w:rPr>
              <w:t>2</w:t>
            </w:r>
            <w:r>
              <w:rPr>
                <w:rFonts w:ascii="Arial Black" w:hAnsi="Arial Black"/>
                <w:caps/>
                <w:sz w:val="15"/>
              </w:rPr>
              <w:t>/</w:t>
            </w:r>
            <w:bookmarkStart w:id="0" w:name="Code"/>
            <w:bookmarkEnd w:id="0"/>
            <w:r w:rsidR="002351CA">
              <w:rPr>
                <w:rFonts w:ascii="Arial Black" w:hAnsi="Arial Black"/>
                <w:caps/>
                <w:sz w:val="15"/>
              </w:rPr>
              <w:t>7</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A4474">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2351CA">
              <w:rPr>
                <w:rFonts w:ascii="Arial Black" w:hAnsi="Arial Black"/>
                <w:caps/>
                <w:sz w:val="15"/>
              </w:rPr>
              <w:t>April 25</w:t>
            </w:r>
            <w:r w:rsidR="00CA4474">
              <w:rPr>
                <w:rFonts w:ascii="Arial Black" w:hAnsi="Arial Black"/>
                <w:caps/>
                <w:sz w:val="15"/>
              </w:rPr>
              <w:t>,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3845C1" w:rsidRDefault="005A2D98" w:rsidP="003845C1">
      <w:r w:rsidRPr="00F960DD">
        <w:rPr>
          <w:b/>
          <w:sz w:val="28"/>
          <w:szCs w:val="28"/>
        </w:rPr>
        <w:t>Working Group</w:t>
      </w:r>
    </w:p>
    <w:p w:rsidR="003845C1" w:rsidRDefault="003845C1" w:rsidP="003845C1"/>
    <w:p w:rsidR="00F960DD" w:rsidRPr="00F960DD" w:rsidRDefault="003D5922" w:rsidP="00F960DD">
      <w:pPr>
        <w:rPr>
          <w:b/>
          <w:sz w:val="24"/>
          <w:szCs w:val="24"/>
        </w:rPr>
      </w:pPr>
      <w:r>
        <w:rPr>
          <w:b/>
          <w:sz w:val="24"/>
          <w:szCs w:val="24"/>
        </w:rPr>
        <w:t>Twelfth</w:t>
      </w:r>
      <w:r w:rsidR="00F960DD" w:rsidRPr="00F960DD">
        <w:rPr>
          <w:b/>
          <w:sz w:val="24"/>
          <w:szCs w:val="24"/>
        </w:rPr>
        <w:t xml:space="preserve"> Session</w:t>
      </w:r>
    </w:p>
    <w:p w:rsidR="008B2CC1" w:rsidRPr="003845C1" w:rsidRDefault="00F960DD" w:rsidP="00F960DD">
      <w:pPr>
        <w:rPr>
          <w:b/>
          <w:sz w:val="24"/>
          <w:szCs w:val="24"/>
        </w:rPr>
      </w:pPr>
      <w:r w:rsidRPr="00F960DD">
        <w:rPr>
          <w:b/>
          <w:sz w:val="24"/>
          <w:szCs w:val="24"/>
        </w:rPr>
        <w:t>Geneva, June 1</w:t>
      </w:r>
      <w:r w:rsidR="003D5922">
        <w:rPr>
          <w:b/>
          <w:sz w:val="24"/>
          <w:szCs w:val="24"/>
        </w:rPr>
        <w:t>1</w:t>
      </w:r>
      <w:r w:rsidRPr="00F960DD">
        <w:rPr>
          <w:b/>
          <w:sz w:val="24"/>
          <w:szCs w:val="24"/>
        </w:rPr>
        <w:t xml:space="preserve"> to </w:t>
      </w:r>
      <w:r w:rsidR="003D5922">
        <w:rPr>
          <w:b/>
          <w:sz w:val="24"/>
          <w:szCs w:val="24"/>
        </w:rPr>
        <w:t>14</w:t>
      </w:r>
      <w:r w:rsidRPr="00F960DD">
        <w:rPr>
          <w:b/>
          <w:sz w:val="24"/>
          <w:szCs w:val="24"/>
        </w:rPr>
        <w:t>, 201</w:t>
      </w:r>
      <w:r w:rsidR="003D5922">
        <w:rPr>
          <w:b/>
          <w:sz w:val="24"/>
          <w:szCs w:val="24"/>
        </w:rPr>
        <w:t>9</w:t>
      </w:r>
    </w:p>
    <w:p w:rsidR="008B2CC1" w:rsidRPr="008B2CC1" w:rsidRDefault="008B2CC1" w:rsidP="008B2CC1"/>
    <w:p w:rsidR="008B2CC1" w:rsidRPr="008B2CC1" w:rsidRDefault="008B2CC1" w:rsidP="008B2CC1"/>
    <w:p w:rsidR="008B2CC1" w:rsidRPr="008B2CC1" w:rsidRDefault="008B2CC1" w:rsidP="008B2CC1"/>
    <w:p w:rsidR="008B2CC1" w:rsidRPr="003845C1" w:rsidRDefault="00CA4474" w:rsidP="008B2CC1">
      <w:pPr>
        <w:rPr>
          <w:caps/>
          <w:sz w:val="24"/>
        </w:rPr>
      </w:pPr>
      <w:bookmarkStart w:id="3" w:name="TitleOfDoc"/>
      <w:bookmarkEnd w:id="3"/>
      <w:r>
        <w:rPr>
          <w:caps/>
          <w:sz w:val="24"/>
        </w:rPr>
        <w:t>International Applications Linked to U</w:t>
      </w:r>
      <w:r w:rsidR="00E852A0">
        <w:rPr>
          <w:caps/>
          <w:sz w:val="24"/>
        </w:rPr>
        <w:t xml:space="preserve">nited </w:t>
      </w:r>
      <w:r>
        <w:rPr>
          <w:caps/>
          <w:sz w:val="24"/>
        </w:rPr>
        <w:t>N</w:t>
      </w:r>
      <w:r w:rsidR="00E852A0">
        <w:rPr>
          <w:caps/>
          <w:sz w:val="24"/>
        </w:rPr>
        <w:t>ations</w:t>
      </w:r>
      <w:r w:rsidR="00DE42D3">
        <w:rPr>
          <w:caps/>
          <w:sz w:val="24"/>
        </w:rPr>
        <w:t xml:space="preserve"> Security </w:t>
      </w:r>
      <w:r>
        <w:rPr>
          <w:caps/>
          <w:sz w:val="24"/>
        </w:rPr>
        <w:t>Council Sanctions</w:t>
      </w:r>
      <w:bookmarkStart w:id="4" w:name="_GoBack"/>
      <w:bookmarkEnd w:id="4"/>
    </w:p>
    <w:p w:rsidR="008B2CC1" w:rsidRPr="008B2CC1" w:rsidRDefault="008B2CC1" w:rsidP="008B2CC1"/>
    <w:p w:rsidR="008B2CC1" w:rsidRPr="008B2CC1" w:rsidRDefault="00CA4474"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510CE2" w:rsidRDefault="00510CE2" w:rsidP="00510CE2">
      <w:pPr>
        <w:pStyle w:val="Heading1"/>
      </w:pPr>
      <w:r>
        <w:t>Monitoring of Sanctions</w:t>
      </w:r>
    </w:p>
    <w:p w:rsidR="002928D3" w:rsidRDefault="009354E0" w:rsidP="00510CE2">
      <w:pPr>
        <w:pStyle w:val="ONUME"/>
      </w:pPr>
      <w:r>
        <w:t xml:space="preserve">At </w:t>
      </w:r>
      <w:r w:rsidR="00510CE2">
        <w:t xml:space="preserve">the </w:t>
      </w:r>
      <w:r>
        <w:t>eleventh session</w:t>
      </w:r>
      <w:r w:rsidR="00510CE2">
        <w:t xml:space="preserve"> of</w:t>
      </w:r>
      <w:r>
        <w:t xml:space="preserve"> the PCT Working Group</w:t>
      </w:r>
      <w:r w:rsidR="00776C27">
        <w:t>,</w:t>
      </w:r>
      <w:r w:rsidR="00E852A0">
        <w:t xml:space="preserve"> held in June 2018</w:t>
      </w:r>
      <w:r w:rsidR="00510CE2">
        <w:t>, the International Bureau gave an overview of the measures taken to comply with various sanctions imposed by the United Nations Security Council (see document PCT/WG/11/14 and paragraphs 40 to 43 of document PCT/WG/11/26).</w:t>
      </w:r>
    </w:p>
    <w:p w:rsidR="00510CE2" w:rsidRDefault="00510CE2" w:rsidP="00510CE2">
      <w:pPr>
        <w:pStyle w:val="ONUME"/>
      </w:pPr>
      <w:r>
        <w:t xml:space="preserve">The Chair concluded, </w:t>
      </w:r>
      <w:r>
        <w:rPr>
          <w:i/>
        </w:rPr>
        <w:t>inter alia</w:t>
      </w:r>
      <w:r w:rsidR="00776C27">
        <w:rPr>
          <w:i/>
        </w:rPr>
        <w:t>,</w:t>
      </w:r>
      <w:r>
        <w:t xml:space="preserve"> that (paragraph 44(c) of document PCT/WG/11/26):</w:t>
      </w:r>
    </w:p>
    <w:p w:rsidR="00510CE2" w:rsidRDefault="00510CE2" w:rsidP="00510CE2">
      <w:pPr>
        <w:pStyle w:val="ONUME"/>
        <w:numPr>
          <w:ilvl w:val="0"/>
          <w:numId w:val="0"/>
        </w:numPr>
        <w:ind w:left="567"/>
      </w:pPr>
      <w:r>
        <w:t>“</w:t>
      </w:r>
      <w:r w:rsidRPr="00661EDC">
        <w:t>Delegations supported the subject of UN sanctions remaining on the agenda of the PCT Working Group, with the International Bureau providing a report to Member States of any relevant events at the next session of the Working Group.  Such reports should not include details of applications that were not open to public inspection, which would be contrary to PCT Article 30 concerning the confidential nature of an international application be</w:t>
      </w:r>
      <w:r w:rsidR="001010A1">
        <w:t>fore international publication.</w:t>
      </w:r>
      <w:r w:rsidR="0006349B">
        <w:t>”</w:t>
      </w:r>
    </w:p>
    <w:p w:rsidR="00EB1EE5" w:rsidRDefault="001010A1" w:rsidP="00EB1EE5">
      <w:pPr>
        <w:pStyle w:val="ONUME"/>
      </w:pPr>
      <w:r w:rsidRPr="00881F4A">
        <w:rPr>
          <w:noProof/>
        </w:rPr>
        <w:t xml:space="preserve">Since the eleventh session of the PCT Working Group, the monitoring process set up by the International Bureau </w:t>
      </w:r>
      <w:r>
        <w:rPr>
          <w:noProof/>
        </w:rPr>
        <w:t xml:space="preserve">with respect to </w:t>
      </w:r>
      <w:r w:rsidRPr="00D9168C">
        <w:rPr>
          <w:noProof/>
        </w:rPr>
        <w:t>all individuals and entities subject to sanctions measures imposed by the Security Council</w:t>
      </w:r>
      <w:r>
        <w:rPr>
          <w:noProof/>
        </w:rPr>
        <w:t xml:space="preserve"> of the United Nations</w:t>
      </w:r>
      <w:r w:rsidRPr="00D9168C">
        <w:rPr>
          <w:noProof/>
        </w:rPr>
        <w:t xml:space="preserve"> </w:t>
      </w:r>
      <w:r>
        <w:rPr>
          <w:noProof/>
        </w:rPr>
        <w:t xml:space="preserve">did not reveal that applicants named in </w:t>
      </w:r>
      <w:r w:rsidRPr="00D9168C">
        <w:rPr>
          <w:noProof/>
        </w:rPr>
        <w:t>PCT international applications implicate any such designated individual or entity</w:t>
      </w:r>
      <w:r w:rsidRPr="00881F4A">
        <w:rPr>
          <w:noProof/>
        </w:rPr>
        <w:t>.</w:t>
      </w:r>
    </w:p>
    <w:p w:rsidR="001010A1" w:rsidRDefault="001010A1" w:rsidP="00EB1EE5">
      <w:pPr>
        <w:pStyle w:val="ONUME"/>
        <w:keepLines/>
      </w:pPr>
      <w:r>
        <w:lastRenderedPageBreak/>
        <w:t>On February 6, 2019,</w:t>
      </w:r>
      <w:r w:rsidRPr="001010A1">
        <w:t xml:space="preserve"> </w:t>
      </w:r>
      <w:r>
        <w:t xml:space="preserve">WIPO informed the </w:t>
      </w:r>
      <w:r w:rsidRPr="00D9168C">
        <w:t>Security Council Committee established pursuant to resolution 1718 (2006)</w:t>
      </w:r>
      <w:r>
        <w:t xml:space="preserve"> that two new international patent applications under the PCT had been submitted by nationals and/or residents of the D</w:t>
      </w:r>
      <w:r w:rsidR="0006349B">
        <w:t xml:space="preserve">emocratic </w:t>
      </w:r>
      <w:r>
        <w:t>P</w:t>
      </w:r>
      <w:r w:rsidR="0006349B">
        <w:t xml:space="preserve">eople’s </w:t>
      </w:r>
      <w:r>
        <w:t>R</w:t>
      </w:r>
      <w:r w:rsidR="0006349B">
        <w:t xml:space="preserve">epublic of </w:t>
      </w:r>
      <w:r>
        <w:t>K</w:t>
      </w:r>
      <w:r w:rsidR="0006349B">
        <w:t>orea</w:t>
      </w:r>
      <w:r>
        <w:t xml:space="preserve">.  Pursuant to the conclusions of the Chair referred to in </w:t>
      </w:r>
      <w:r w:rsidR="0006349B">
        <w:t>paragraph </w:t>
      </w:r>
      <w:r>
        <w:t>2</w:t>
      </w:r>
      <w:r w:rsidR="0006349B">
        <w:t>,</w:t>
      </w:r>
      <w:r>
        <w:t xml:space="preserve"> above,</w:t>
      </w:r>
      <w:r w:rsidR="00F1652F">
        <w:t xml:space="preserve"> other than confirming that none of the applicants named in the two applications implicated any such designated individual or entity, </w:t>
      </w:r>
      <w:r>
        <w:t xml:space="preserve">the information provided to the Committee did </w:t>
      </w:r>
      <w:r w:rsidRPr="00D9168C">
        <w:t xml:space="preserve">not include </w:t>
      </w:r>
      <w:r>
        <w:t xml:space="preserve">any </w:t>
      </w:r>
      <w:r w:rsidRPr="00D9168C">
        <w:t xml:space="preserve">details of </w:t>
      </w:r>
      <w:r>
        <w:t xml:space="preserve">the </w:t>
      </w:r>
      <w:r w:rsidRPr="00D9168C">
        <w:t xml:space="preserve">applications </w:t>
      </w:r>
      <w:r>
        <w:t>concerned.</w:t>
      </w:r>
    </w:p>
    <w:p w:rsidR="00510CE2" w:rsidRPr="00BF222B" w:rsidRDefault="00BF222B" w:rsidP="00D9168C">
      <w:pPr>
        <w:pStyle w:val="ONUME"/>
        <w:ind w:left="5533"/>
        <w:rPr>
          <w:i/>
        </w:rPr>
      </w:pPr>
      <w:r>
        <w:rPr>
          <w:i/>
        </w:rPr>
        <w:t xml:space="preserve">The Working Group </w:t>
      </w:r>
      <w:proofErr w:type="gramStart"/>
      <w:r>
        <w:rPr>
          <w:i/>
        </w:rPr>
        <w:t>is invited</w:t>
      </w:r>
      <w:proofErr w:type="gramEnd"/>
      <w:r>
        <w:rPr>
          <w:i/>
        </w:rPr>
        <w:t xml:space="preserve"> to note the contents of this document.</w:t>
      </w:r>
    </w:p>
    <w:p w:rsidR="00BF222B" w:rsidRDefault="00BF222B" w:rsidP="00D9168C">
      <w:pPr>
        <w:pStyle w:val="Endofdocument-Annex"/>
      </w:pPr>
    </w:p>
    <w:p w:rsidR="00510CE2" w:rsidRDefault="00BF222B" w:rsidP="00BF222B">
      <w:pPr>
        <w:pStyle w:val="Endofdocument-Annex"/>
      </w:pPr>
      <w:r>
        <w:t>[End of document]</w:t>
      </w:r>
    </w:p>
    <w:sectPr w:rsidR="00510CE2" w:rsidSect="00CA447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D41" w:rsidRDefault="00211D41">
      <w:r>
        <w:separator/>
      </w:r>
    </w:p>
  </w:endnote>
  <w:endnote w:type="continuationSeparator" w:id="0">
    <w:p w:rsidR="00211D41" w:rsidRDefault="00211D41" w:rsidP="003B38C1">
      <w:r>
        <w:separator/>
      </w:r>
    </w:p>
    <w:p w:rsidR="00211D41" w:rsidRPr="003B38C1" w:rsidRDefault="00211D41" w:rsidP="003B38C1">
      <w:pPr>
        <w:spacing w:after="60"/>
        <w:rPr>
          <w:sz w:val="17"/>
        </w:rPr>
      </w:pPr>
      <w:r>
        <w:rPr>
          <w:sz w:val="17"/>
        </w:rPr>
        <w:t>[Endnote continued from previous page]</w:t>
      </w:r>
    </w:p>
  </w:endnote>
  <w:endnote w:type="continuationNotice" w:id="1">
    <w:p w:rsidR="00211D41" w:rsidRPr="003B38C1" w:rsidRDefault="00211D4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D41" w:rsidRDefault="00211D41">
      <w:r>
        <w:separator/>
      </w:r>
    </w:p>
  </w:footnote>
  <w:footnote w:type="continuationSeparator" w:id="0">
    <w:p w:rsidR="00211D41" w:rsidRDefault="00211D41" w:rsidP="008B60B2">
      <w:r>
        <w:separator/>
      </w:r>
    </w:p>
    <w:p w:rsidR="00211D41" w:rsidRPr="00ED77FB" w:rsidRDefault="00211D41" w:rsidP="008B60B2">
      <w:pPr>
        <w:spacing w:after="60"/>
        <w:rPr>
          <w:sz w:val="17"/>
          <w:szCs w:val="17"/>
        </w:rPr>
      </w:pPr>
      <w:r w:rsidRPr="00ED77FB">
        <w:rPr>
          <w:sz w:val="17"/>
          <w:szCs w:val="17"/>
        </w:rPr>
        <w:t>[Footnote continued from previous page]</w:t>
      </w:r>
    </w:p>
  </w:footnote>
  <w:footnote w:type="continuationNotice" w:id="1">
    <w:p w:rsidR="00211D41" w:rsidRPr="00ED77FB" w:rsidRDefault="00211D4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CA4474" w:rsidP="00477D6B">
    <w:pPr>
      <w:jc w:val="right"/>
    </w:pPr>
    <w:bookmarkStart w:id="6" w:name="Code2"/>
    <w:bookmarkEnd w:id="6"/>
    <w:r>
      <w:t>P</w:t>
    </w:r>
    <w:r w:rsidR="002351CA">
      <w:t>CT/WG/12/7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351CA">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74"/>
    <w:rsid w:val="00014D92"/>
    <w:rsid w:val="00043CAA"/>
    <w:rsid w:val="0006349B"/>
    <w:rsid w:val="00075432"/>
    <w:rsid w:val="000968ED"/>
    <w:rsid w:val="000C6CD0"/>
    <w:rsid w:val="000F5E56"/>
    <w:rsid w:val="001010A1"/>
    <w:rsid w:val="001362EE"/>
    <w:rsid w:val="001647D5"/>
    <w:rsid w:val="001832A6"/>
    <w:rsid w:val="00211D41"/>
    <w:rsid w:val="0021217E"/>
    <w:rsid w:val="002351CA"/>
    <w:rsid w:val="002634C4"/>
    <w:rsid w:val="002928D3"/>
    <w:rsid w:val="002A44D9"/>
    <w:rsid w:val="002F1FE6"/>
    <w:rsid w:val="002F4E68"/>
    <w:rsid w:val="0030063B"/>
    <w:rsid w:val="00312F7F"/>
    <w:rsid w:val="00341C71"/>
    <w:rsid w:val="00350748"/>
    <w:rsid w:val="00361450"/>
    <w:rsid w:val="003673CF"/>
    <w:rsid w:val="003845C1"/>
    <w:rsid w:val="003A6F89"/>
    <w:rsid w:val="003B38C1"/>
    <w:rsid w:val="003C2F54"/>
    <w:rsid w:val="003D5922"/>
    <w:rsid w:val="00423E3E"/>
    <w:rsid w:val="00426595"/>
    <w:rsid w:val="00427AF4"/>
    <w:rsid w:val="004647DA"/>
    <w:rsid w:val="00474062"/>
    <w:rsid w:val="00477D6B"/>
    <w:rsid w:val="00481EA5"/>
    <w:rsid w:val="005019FF"/>
    <w:rsid w:val="00510CE2"/>
    <w:rsid w:val="0053057A"/>
    <w:rsid w:val="00560A29"/>
    <w:rsid w:val="005A2D98"/>
    <w:rsid w:val="005C6649"/>
    <w:rsid w:val="00605827"/>
    <w:rsid w:val="00627ADC"/>
    <w:rsid w:val="00646050"/>
    <w:rsid w:val="006713CA"/>
    <w:rsid w:val="00672CE6"/>
    <w:rsid w:val="00676C5C"/>
    <w:rsid w:val="00694EAC"/>
    <w:rsid w:val="006B17F9"/>
    <w:rsid w:val="00776C27"/>
    <w:rsid w:val="00791FFB"/>
    <w:rsid w:val="007D1613"/>
    <w:rsid w:val="007E4C0E"/>
    <w:rsid w:val="008362B7"/>
    <w:rsid w:val="00881F4A"/>
    <w:rsid w:val="008A134B"/>
    <w:rsid w:val="008B2CC1"/>
    <w:rsid w:val="008B60B2"/>
    <w:rsid w:val="0090731E"/>
    <w:rsid w:val="00916EE2"/>
    <w:rsid w:val="009354E0"/>
    <w:rsid w:val="00966A22"/>
    <w:rsid w:val="0096722F"/>
    <w:rsid w:val="00980843"/>
    <w:rsid w:val="009B7277"/>
    <w:rsid w:val="009E2791"/>
    <w:rsid w:val="009E3F6F"/>
    <w:rsid w:val="009F499F"/>
    <w:rsid w:val="00A37342"/>
    <w:rsid w:val="00A42DAF"/>
    <w:rsid w:val="00A45BD8"/>
    <w:rsid w:val="00A869B7"/>
    <w:rsid w:val="00AC205C"/>
    <w:rsid w:val="00AF0A6B"/>
    <w:rsid w:val="00B05A69"/>
    <w:rsid w:val="00B9734B"/>
    <w:rsid w:val="00BA30E2"/>
    <w:rsid w:val="00BD676C"/>
    <w:rsid w:val="00BF222B"/>
    <w:rsid w:val="00C11BFE"/>
    <w:rsid w:val="00C5068F"/>
    <w:rsid w:val="00C52FCB"/>
    <w:rsid w:val="00C8541A"/>
    <w:rsid w:val="00C86D74"/>
    <w:rsid w:val="00CA4474"/>
    <w:rsid w:val="00CD04F1"/>
    <w:rsid w:val="00D45252"/>
    <w:rsid w:val="00D71B4D"/>
    <w:rsid w:val="00D9168C"/>
    <w:rsid w:val="00D93D55"/>
    <w:rsid w:val="00DE42D3"/>
    <w:rsid w:val="00E15015"/>
    <w:rsid w:val="00E335FE"/>
    <w:rsid w:val="00E852A0"/>
    <w:rsid w:val="00EA7D6E"/>
    <w:rsid w:val="00EB1EE5"/>
    <w:rsid w:val="00EC4E49"/>
    <w:rsid w:val="00ED77FB"/>
    <w:rsid w:val="00EE45FA"/>
    <w:rsid w:val="00F1652F"/>
    <w:rsid w:val="00F66152"/>
    <w:rsid w:val="00F960DD"/>
    <w:rsid w:val="00FD3477"/>
    <w:rsid w:val="00FF435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0FC822"/>
  <w15:docId w15:val="{3B52291F-510F-4242-97DF-E77658E5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basedOn w:val="DefaultParagraphFont"/>
    <w:link w:val="ONUME"/>
    <w:rsid w:val="00510CE2"/>
    <w:rPr>
      <w:rFonts w:ascii="Arial" w:eastAsia="SimSun" w:hAnsi="Arial" w:cs="Arial"/>
      <w:sz w:val="22"/>
      <w:lang w:val="en-US" w:eastAsia="zh-CN"/>
    </w:rPr>
  </w:style>
  <w:style w:type="paragraph" w:styleId="ListParagraph">
    <w:name w:val="List Paragraph"/>
    <w:basedOn w:val="Normal"/>
    <w:uiPriority w:val="34"/>
    <w:qFormat/>
    <w:rsid w:val="00D91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F4768-94E4-4457-8FF8-68253EAC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PCT/WG/12/7</vt:lpstr>
    </vt:vector>
  </TitlesOfParts>
  <Company>WIPO</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PCT/WG/12/7</dc:title>
  <dc:subject>International Applications Linked to UN Security Council Sanctions</dc:subject>
  <dc:creator>WIPO</dc:creator>
  <cp:keywords>PCT;  UN Security Council;  sanctions</cp:keywords>
  <cp:revision>3</cp:revision>
  <cp:lastPrinted>2011-02-15T11:56:00Z</cp:lastPrinted>
  <dcterms:created xsi:type="dcterms:W3CDTF">2019-04-25T07:49:00Z</dcterms:created>
  <dcterms:modified xsi:type="dcterms:W3CDTF">2019-04-25T07:51:00Z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