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33339D"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33339D" w:rsidP="0033339D">
            <w:pPr>
              <w:jc w:val="right"/>
              <w:rPr>
                <w:rFonts w:ascii="Arial Black" w:hAnsi="Arial Black"/>
                <w:caps/>
                <w:sz w:val="15"/>
              </w:rPr>
            </w:pPr>
            <w:r>
              <w:rPr>
                <w:rFonts w:ascii="Arial Black" w:hAnsi="Arial Black"/>
                <w:caps/>
                <w:sz w:val="15"/>
              </w:rPr>
              <w:t>PCT/WG/10/</w:t>
            </w:r>
            <w:bookmarkStart w:id="0" w:name="Code"/>
            <w:bookmarkEnd w:id="0"/>
            <w:r w:rsidR="001F3B0E">
              <w:rPr>
                <w:rFonts w:ascii="Arial Black" w:hAnsi="Arial Black"/>
                <w:caps/>
                <w:sz w:val="15"/>
              </w:rPr>
              <w:t>8</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AA733E">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DATE: </w:t>
            </w:r>
            <w:bookmarkStart w:id="2" w:name="Date"/>
            <w:bookmarkEnd w:id="2"/>
            <w:r w:rsidR="00D85C1B">
              <w:rPr>
                <w:rFonts w:ascii="Arial Black" w:hAnsi="Arial Black"/>
                <w:caps/>
                <w:sz w:val="15"/>
              </w:rPr>
              <w:t>April 4</w:t>
            </w:r>
            <w:r w:rsidR="00AA733E">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33339D" w:rsidP="008B2CC1">
      <w:pPr>
        <w:rPr>
          <w:b/>
          <w:sz w:val="28"/>
          <w:szCs w:val="28"/>
        </w:rPr>
      </w:pPr>
      <w:r w:rsidRPr="00F10338">
        <w:rPr>
          <w:b/>
          <w:sz w:val="28"/>
          <w:szCs w:val="28"/>
        </w:rPr>
        <w:t>Patent Cooperation Treaty (PCT)</w:t>
      </w:r>
    </w:p>
    <w:p w:rsidR="0033339D" w:rsidRPr="003845C1" w:rsidRDefault="0033339D" w:rsidP="008B2CC1">
      <w:pPr>
        <w:rPr>
          <w:b/>
          <w:sz w:val="28"/>
          <w:szCs w:val="28"/>
        </w:rPr>
      </w:pPr>
      <w:r w:rsidRPr="00F10338">
        <w:rPr>
          <w:b/>
          <w:sz w:val="28"/>
          <w:szCs w:val="28"/>
        </w:rPr>
        <w:t>Working Group</w:t>
      </w:r>
    </w:p>
    <w:p w:rsidR="003845C1" w:rsidRDefault="003845C1" w:rsidP="003845C1"/>
    <w:p w:rsidR="003845C1" w:rsidRDefault="003845C1" w:rsidP="003845C1"/>
    <w:p w:rsidR="008B2CC1" w:rsidRPr="003845C1" w:rsidRDefault="0033339D" w:rsidP="008B2CC1">
      <w:pPr>
        <w:rPr>
          <w:b/>
          <w:sz w:val="24"/>
          <w:szCs w:val="24"/>
        </w:rPr>
      </w:pPr>
      <w:r>
        <w:rPr>
          <w:b/>
          <w:sz w:val="24"/>
          <w:szCs w:val="24"/>
        </w:rPr>
        <w:t>Tenth</w:t>
      </w:r>
      <w:r w:rsidRPr="00912505">
        <w:rPr>
          <w:b/>
          <w:sz w:val="24"/>
          <w:szCs w:val="24"/>
        </w:rPr>
        <w:t xml:space="preserve"> Session</w:t>
      </w:r>
    </w:p>
    <w:p w:rsidR="008B2CC1" w:rsidRPr="003845C1" w:rsidRDefault="0033339D" w:rsidP="008B2CC1">
      <w:pPr>
        <w:rPr>
          <w:b/>
          <w:sz w:val="24"/>
          <w:szCs w:val="24"/>
        </w:rPr>
      </w:pPr>
      <w:r w:rsidRPr="00912505">
        <w:rPr>
          <w:b/>
          <w:sz w:val="24"/>
          <w:szCs w:val="24"/>
        </w:rPr>
        <w:t>Geneva</w:t>
      </w:r>
      <w:r>
        <w:rPr>
          <w:b/>
          <w:sz w:val="24"/>
          <w:szCs w:val="24"/>
        </w:rPr>
        <w:t>, May 8 to 12, 2017</w:t>
      </w:r>
    </w:p>
    <w:p w:rsidR="008B2CC1" w:rsidRPr="008B2CC1" w:rsidRDefault="008B2CC1" w:rsidP="008B2CC1"/>
    <w:p w:rsidR="008B2CC1" w:rsidRPr="008B2CC1" w:rsidRDefault="008B2CC1" w:rsidP="008B2CC1"/>
    <w:p w:rsidR="008B2CC1" w:rsidRPr="008B2CC1" w:rsidRDefault="008B2CC1" w:rsidP="008B2CC1"/>
    <w:p w:rsidR="00AA733E" w:rsidRPr="003845C1" w:rsidRDefault="00AA733E" w:rsidP="00AA733E">
      <w:pPr>
        <w:rPr>
          <w:caps/>
          <w:sz w:val="24"/>
        </w:rPr>
      </w:pPr>
      <w:bookmarkStart w:id="3" w:name="TitleOfDoc"/>
      <w:bookmarkEnd w:id="3"/>
      <w:r w:rsidRPr="006D4C80">
        <w:rPr>
          <w:caps/>
          <w:sz w:val="24"/>
        </w:rPr>
        <w:t>Fee Reductions for Certain Applicants from Certain Countries, Notably Developing and Least Developed Countries</w:t>
      </w:r>
    </w:p>
    <w:p w:rsidR="008B2CC1" w:rsidRPr="003845C1" w:rsidRDefault="008B2CC1" w:rsidP="008B2CC1">
      <w:pPr>
        <w:rPr>
          <w:caps/>
          <w:sz w:val="24"/>
        </w:rPr>
      </w:pPr>
    </w:p>
    <w:p w:rsidR="008B2CC1" w:rsidRPr="008B2CC1" w:rsidRDefault="00AA733E"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AA733E" w:rsidRDefault="00AA733E" w:rsidP="00AA733E">
      <w:pPr>
        <w:pStyle w:val="Heading1"/>
      </w:pPr>
      <w:r>
        <w:t>Summary</w:t>
      </w:r>
    </w:p>
    <w:p w:rsidR="00AA733E" w:rsidRPr="00A24706" w:rsidRDefault="00AA733E" w:rsidP="00AA733E">
      <w:pPr>
        <w:pStyle w:val="ONUME"/>
      </w:pPr>
      <w:r w:rsidRPr="00A24706">
        <w:t xml:space="preserve">The Working Group is invited to continue its discussions on proposed measures to </w:t>
      </w:r>
      <w:r w:rsidR="00A24706">
        <w:t xml:space="preserve">clarify the eligibility for fee reductions and, consequently, to </w:t>
      </w:r>
      <w:r w:rsidRPr="00A24706">
        <w:t>reduce the number of fee reductions being claimed by applicants not intended to be eligible</w:t>
      </w:r>
      <w:r w:rsidR="00A24706">
        <w:t xml:space="preserve">.  The </w:t>
      </w:r>
      <w:r w:rsidR="009B4C79">
        <w:t xml:space="preserve">present </w:t>
      </w:r>
      <w:r w:rsidR="001943C3">
        <w:t xml:space="preserve">document sets out </w:t>
      </w:r>
      <w:r w:rsidR="00A24706">
        <w:t xml:space="preserve">requested information concerning the </w:t>
      </w:r>
      <w:r w:rsidR="001943C3">
        <w:t xml:space="preserve">likely </w:t>
      </w:r>
      <w:r w:rsidR="000532A9">
        <w:t>impact of charging a fee for changes under Rule 92</w:t>
      </w:r>
      <w:r w:rsidR="000532A9">
        <w:rPr>
          <w:i/>
        </w:rPr>
        <w:t>bis</w:t>
      </w:r>
      <w:r w:rsidR="000532A9">
        <w:t xml:space="preserve"> which would result in the addition of applicants who had not been eligible for a fee reduction.  However, it is not proposed to further consider any such measure at this stage</w:t>
      </w:r>
      <w:r w:rsidR="00A24706">
        <w:t>.</w:t>
      </w:r>
    </w:p>
    <w:p w:rsidR="00AA733E" w:rsidRDefault="00AA733E" w:rsidP="00AA733E">
      <w:pPr>
        <w:pStyle w:val="Heading1"/>
      </w:pPr>
      <w:r>
        <w:t>Background</w:t>
      </w:r>
    </w:p>
    <w:p w:rsidR="00DC6F56" w:rsidRDefault="00AA733E" w:rsidP="00AA733E">
      <w:pPr>
        <w:pStyle w:val="ONUME"/>
      </w:pPr>
      <w:r>
        <w:t xml:space="preserve">At its ninth session </w:t>
      </w:r>
      <w:r w:rsidR="00624A00">
        <w:t xml:space="preserve">held </w:t>
      </w:r>
      <w:r>
        <w:t xml:space="preserve">in May 2016, </w:t>
      </w:r>
      <w:r w:rsidR="00624A00">
        <w:t xml:space="preserve">the Working Group discussed document PCT/WG/9/10, </w:t>
      </w:r>
      <w:r w:rsidR="00C31AA5">
        <w:t xml:space="preserve">prepared by the International Bureau, </w:t>
      </w:r>
      <w:r w:rsidR="00EB2585">
        <w:t xml:space="preserve">setting out </w:t>
      </w:r>
      <w:r w:rsidR="00DC6F56">
        <w:t xml:space="preserve">two proposals </w:t>
      </w:r>
      <w:r w:rsidR="00DC6F56" w:rsidRPr="005949B1">
        <w:t>intended to reduce the number of fee reductions being claimed by applicants not intended to be eligible for the reduction</w:t>
      </w:r>
      <w:r w:rsidR="00DC6F56">
        <w:t>, namely:</w:t>
      </w:r>
    </w:p>
    <w:p w:rsidR="00DC6F56" w:rsidRPr="003C60F0" w:rsidRDefault="00DC6F56" w:rsidP="00DC6F56">
      <w:pPr>
        <w:pStyle w:val="ONUME"/>
        <w:numPr>
          <w:ilvl w:val="1"/>
          <w:numId w:val="5"/>
        </w:numPr>
      </w:pPr>
      <w:r>
        <w:t>the proposal to add a proviso to item 5 of the Schedule of Fees that there be “</w:t>
      </w:r>
      <w:r w:rsidRPr="00763EC0">
        <w:t xml:space="preserve">no beneficial owners of the international application </w:t>
      </w:r>
      <w:r w:rsidRPr="00A61B26">
        <w:t>who would not satisfy the criteria in sub</w:t>
      </w:r>
      <w:r>
        <w:noBreakHyphen/>
      </w:r>
      <w:r w:rsidRPr="00A61B26">
        <w:t>item (a) or (b</w:t>
      </w:r>
      <w:r>
        <w:t xml:space="preserve">)”, accompanied by an Understanding to be adopted by the Assembly “that the fee reduction in item 5 of the </w:t>
      </w:r>
      <w:r w:rsidRPr="003C60F0">
        <w:t>Schedule of Fees is intended to apply only in the case where the applicants indicated in the request are the sole and true owners of the application and under no obligation to assign, grant, convey or license the rights in the invention to another party which is not eligible for the fee reduction”</w:t>
      </w:r>
      <w:r>
        <w:t>;  and</w:t>
      </w:r>
    </w:p>
    <w:p w:rsidR="00AA733E" w:rsidRDefault="00DC6F56" w:rsidP="005B3823">
      <w:pPr>
        <w:pStyle w:val="ONUME"/>
        <w:keepLines/>
        <w:numPr>
          <w:ilvl w:val="1"/>
          <w:numId w:val="5"/>
        </w:numPr>
        <w:ind w:left="562"/>
      </w:pPr>
      <w:r>
        <w:lastRenderedPageBreak/>
        <w:t xml:space="preserve">the proposal to </w:t>
      </w:r>
      <w:r w:rsidR="00F8011C">
        <w:t>amend Rule 92</w:t>
      </w:r>
      <w:r w:rsidR="00F8011C" w:rsidRPr="00EB2585">
        <w:rPr>
          <w:i/>
        </w:rPr>
        <w:t>bis</w:t>
      </w:r>
      <w:r w:rsidR="00F8011C">
        <w:t xml:space="preserve"> so as to </w:t>
      </w:r>
      <w:r w:rsidRPr="003C60F0">
        <w:t>provide for a fee, equivalent to the reduction which had been accorded at the time of filing, to be payable in the case where a request for the recording of a change in the person of the applicant is made</w:t>
      </w:r>
      <w:r>
        <w:t xml:space="preserve"> </w:t>
      </w:r>
      <w:r w:rsidRPr="003C60F0">
        <w:t>which would result in the applicant no longer being eligible for the fee reduction or, if there are several applicants, not all of them being eligible for the fee reduction.</w:t>
      </w:r>
    </w:p>
    <w:p w:rsidR="00F8011C" w:rsidRDefault="00DC6F56" w:rsidP="00DC6F56">
      <w:pPr>
        <w:pStyle w:val="ONUME"/>
      </w:pPr>
      <w:r>
        <w:t xml:space="preserve">The discussions by the Working Group </w:t>
      </w:r>
      <w:r w:rsidR="00EB2585">
        <w:t xml:space="preserve">on both proposals during its ninth session </w:t>
      </w:r>
      <w:r>
        <w:t xml:space="preserve">are set out in the report of the </w:t>
      </w:r>
      <w:proofErr w:type="gramStart"/>
      <w:r>
        <w:t>session,</w:t>
      </w:r>
      <w:proofErr w:type="gramEnd"/>
      <w:r>
        <w:t xml:space="preserve"> document PCT/WG/9/28, paragraphs 123 to 146.  In summary, </w:t>
      </w:r>
      <w:r w:rsidR="00F8011C">
        <w:t xml:space="preserve">all </w:t>
      </w:r>
      <w:r w:rsidRPr="009E5325">
        <w:t xml:space="preserve">delegations which </w:t>
      </w:r>
      <w:r w:rsidR="00F8011C">
        <w:t xml:space="preserve">took </w:t>
      </w:r>
      <w:r w:rsidRPr="009E5325">
        <w:t xml:space="preserve">the floor </w:t>
      </w:r>
      <w:r w:rsidR="00F8011C">
        <w:t xml:space="preserve">during the discussions </w:t>
      </w:r>
      <w:r w:rsidRPr="009E5325">
        <w:t xml:space="preserve">recognized that there was a need to clarify the criteria for eligibility for the fee reduction for certain applicants from certain countries and there was wide support for the proposal to amend the Schedule of Fees and adopt an Understanding by the Assembly on the subject.  </w:t>
      </w:r>
      <w:r w:rsidR="00F8011C">
        <w:t>There was</w:t>
      </w:r>
      <w:r w:rsidR="00C31AA5">
        <w:t xml:space="preserve">, however, </w:t>
      </w:r>
      <w:r w:rsidR="00F8011C">
        <w:t>no agreement on the proposal to amend Rule</w:t>
      </w:r>
      <w:r w:rsidR="00096F21">
        <w:t> </w:t>
      </w:r>
      <w:r w:rsidR="00F8011C">
        <w:t>92</w:t>
      </w:r>
      <w:r w:rsidR="00F8011C" w:rsidRPr="00F8011C">
        <w:rPr>
          <w:i/>
        </w:rPr>
        <w:t>bis</w:t>
      </w:r>
      <w:r w:rsidR="00F8011C">
        <w:t>.</w:t>
      </w:r>
    </w:p>
    <w:p w:rsidR="00C31AA5" w:rsidRDefault="00F8011C" w:rsidP="00DC6F56">
      <w:pPr>
        <w:pStyle w:val="ONUME"/>
      </w:pPr>
      <w:r w:rsidRPr="009E5325">
        <w:t xml:space="preserve">Recognizing that the Working Group could not agree </w:t>
      </w:r>
      <w:r>
        <w:t>on</w:t>
      </w:r>
      <w:r w:rsidRPr="009E5325">
        <w:t xml:space="preserve"> the </w:t>
      </w:r>
      <w:r w:rsidR="00EB2585">
        <w:t xml:space="preserve">proposed amendments to </w:t>
      </w:r>
      <w:r w:rsidRPr="009E5325">
        <w:t>Rule 92</w:t>
      </w:r>
      <w:r w:rsidRPr="00F8011C">
        <w:rPr>
          <w:i/>
        </w:rPr>
        <w:t>bis</w:t>
      </w:r>
      <w:r w:rsidRPr="009E5325">
        <w:t xml:space="preserve">, </w:t>
      </w:r>
      <w:r>
        <w:t xml:space="preserve">the Delegation of Brazil requested that the </w:t>
      </w:r>
      <w:r w:rsidRPr="009E5325">
        <w:t xml:space="preserve">discussions on the </w:t>
      </w:r>
      <w:r>
        <w:t xml:space="preserve">proposed </w:t>
      </w:r>
      <w:r w:rsidRPr="009E5325">
        <w:t>changes to the Schedule of Fees should be postponed in order to allow the Secretariat to revise the document to take into account concrete measures taken by Member States and the International Bureau to address the issues raised in the document</w:t>
      </w:r>
      <w:r w:rsidR="00EB2585">
        <w:t xml:space="preserve"> (see the report of the session,</w:t>
      </w:r>
      <w:r w:rsidR="00EB2585" w:rsidRPr="00EB2585">
        <w:t xml:space="preserve"> </w:t>
      </w:r>
      <w:r w:rsidR="00EB2585">
        <w:t>document PCT/WG/9/28, paragraph </w:t>
      </w:r>
      <w:r w:rsidR="00E05BBF">
        <w:t>145</w:t>
      </w:r>
      <w:r w:rsidR="00EB2585">
        <w:t>)</w:t>
      </w:r>
      <w:r w:rsidRPr="009E5325">
        <w:t>.</w:t>
      </w:r>
    </w:p>
    <w:p w:rsidR="00EB2585" w:rsidRDefault="00F8011C" w:rsidP="00EB2585">
      <w:pPr>
        <w:pStyle w:val="ONUME"/>
      </w:pPr>
      <w:r>
        <w:t xml:space="preserve">Upon request of the </w:t>
      </w:r>
      <w:r w:rsidRPr="009E5325">
        <w:t>Delegation of Brazil</w:t>
      </w:r>
      <w:r>
        <w:t>, t</w:t>
      </w:r>
      <w:r w:rsidRPr="009E5325">
        <w:t>he Working Group invited the Secretariat to provide additional information, for consideration by the Working Group at its next session, on the potentially positive impact on PCT fee income should the proposed change to Rule 92</w:t>
      </w:r>
      <w:r w:rsidRPr="00F8011C">
        <w:rPr>
          <w:i/>
          <w:iCs/>
        </w:rPr>
        <w:t>bis</w:t>
      </w:r>
      <w:r w:rsidRPr="009E5325">
        <w:t xml:space="preserve"> be adopted, that is, the annual average level of loss of income which could be avoided</w:t>
      </w:r>
      <w:r w:rsidR="00EB2585">
        <w:t xml:space="preserve"> (see the report of the session,</w:t>
      </w:r>
      <w:r w:rsidR="00EB2585" w:rsidRPr="00EB2585">
        <w:t xml:space="preserve"> </w:t>
      </w:r>
      <w:r w:rsidR="00EB2585">
        <w:t>document PCT/WG/9/28, paragraph </w:t>
      </w:r>
      <w:r w:rsidR="00E05BBF">
        <w:t>146</w:t>
      </w:r>
      <w:r w:rsidR="00EB2585">
        <w:t>)</w:t>
      </w:r>
      <w:r w:rsidR="00EB2585" w:rsidRPr="009E5325">
        <w:t>.</w:t>
      </w:r>
    </w:p>
    <w:p w:rsidR="001F233B" w:rsidRDefault="001F233B" w:rsidP="00EB2585">
      <w:pPr>
        <w:pStyle w:val="ONUME"/>
      </w:pPr>
      <w:r>
        <w:t>That additional information is set out in the present document.</w:t>
      </w:r>
    </w:p>
    <w:p w:rsidR="002902F4" w:rsidRDefault="002902F4" w:rsidP="002902F4">
      <w:pPr>
        <w:pStyle w:val="Heading1"/>
      </w:pPr>
      <w:r>
        <w:t>Potential Impact on PCT Fee Income should the proposed amendment to Rule 92</w:t>
      </w:r>
      <w:r w:rsidRPr="00823157">
        <w:rPr>
          <w:i/>
        </w:rPr>
        <w:t>bis</w:t>
      </w:r>
      <w:r>
        <w:t xml:space="preserve"> be adopted</w:t>
      </w:r>
    </w:p>
    <w:p w:rsidR="000D11A7" w:rsidRDefault="001F233B" w:rsidP="000D11A7">
      <w:pPr>
        <w:pStyle w:val="ONUME"/>
        <w:rPr>
          <w:lang w:val="en-GB"/>
        </w:rPr>
      </w:pPr>
      <w:bookmarkStart w:id="5" w:name="_Ref477965839"/>
      <w:r>
        <w:rPr>
          <w:lang w:val="en-GB"/>
        </w:rPr>
        <w:t xml:space="preserve">At the outset, it is to be noted that </w:t>
      </w:r>
      <w:r w:rsidR="000D11A7">
        <w:rPr>
          <w:lang w:val="en-GB"/>
        </w:rPr>
        <w:t xml:space="preserve">the data </w:t>
      </w:r>
      <w:r w:rsidR="001F38E7">
        <w:rPr>
          <w:lang w:val="en-GB"/>
        </w:rPr>
        <w:t xml:space="preserve">held by the International Bureau </w:t>
      </w:r>
      <w:r w:rsidR="000D11A7">
        <w:rPr>
          <w:lang w:val="en-GB"/>
        </w:rPr>
        <w:t>concerning nationality and residence of applicants before and after a Rule 92</w:t>
      </w:r>
      <w:r w:rsidR="000D11A7" w:rsidRPr="000D11A7">
        <w:rPr>
          <w:i/>
          <w:lang w:val="en-GB"/>
        </w:rPr>
        <w:t>bis</w:t>
      </w:r>
      <w:r w:rsidR="000D11A7">
        <w:rPr>
          <w:lang w:val="en-GB"/>
        </w:rPr>
        <w:t xml:space="preserve"> change is not held in a manner which makes it practical to determine </w:t>
      </w:r>
      <w:r w:rsidR="000D11A7" w:rsidRPr="001F38E7">
        <w:rPr>
          <w:i/>
          <w:lang w:val="en-GB"/>
        </w:rPr>
        <w:t>exactly</w:t>
      </w:r>
      <w:r w:rsidR="000D11A7">
        <w:rPr>
          <w:lang w:val="en-GB"/>
        </w:rPr>
        <w:t xml:space="preserve"> in how many cases the International Bureau record</w:t>
      </w:r>
      <w:r>
        <w:rPr>
          <w:lang w:val="en-GB"/>
        </w:rPr>
        <w:t>ed</w:t>
      </w:r>
      <w:r w:rsidR="000D11A7">
        <w:rPr>
          <w:lang w:val="en-GB"/>
        </w:rPr>
        <w:t>, under Rule 92</w:t>
      </w:r>
      <w:r w:rsidR="000D11A7" w:rsidRPr="000D11A7">
        <w:rPr>
          <w:i/>
          <w:lang w:val="en-GB"/>
        </w:rPr>
        <w:t>bis</w:t>
      </w:r>
      <w:r w:rsidR="000D11A7">
        <w:rPr>
          <w:lang w:val="en-GB"/>
        </w:rPr>
        <w:t xml:space="preserve">, a change in the person of the applicant from an applicant who, at the time of filing of the international application, was eligible for the fee reduction under </w:t>
      </w:r>
      <w:r w:rsidR="000D11A7">
        <w:t>item 5 of the Schedule of Fees to an applicant who would have not been eligible to such fee reduction</w:t>
      </w:r>
      <w:r w:rsidRPr="001F233B">
        <w:rPr>
          <w:lang w:val="en-GB"/>
        </w:rPr>
        <w:t xml:space="preserve"> </w:t>
      </w:r>
      <w:r>
        <w:rPr>
          <w:lang w:val="en-GB"/>
        </w:rPr>
        <w:t>without reviewing each case individually</w:t>
      </w:r>
      <w:r w:rsidR="000D11A7">
        <w:rPr>
          <w:lang w:val="en-GB"/>
        </w:rPr>
        <w:t>.</w:t>
      </w:r>
      <w:bookmarkEnd w:id="5"/>
    </w:p>
    <w:p w:rsidR="000D11A7" w:rsidRDefault="000D11A7" w:rsidP="000D11A7">
      <w:pPr>
        <w:pStyle w:val="ONUME"/>
        <w:rPr>
          <w:lang w:val="en-GB"/>
        </w:rPr>
      </w:pPr>
      <w:r>
        <w:rPr>
          <w:lang w:val="en-GB"/>
        </w:rPr>
        <w:t xml:space="preserve">However, the </w:t>
      </w:r>
      <w:r w:rsidR="001F233B">
        <w:rPr>
          <w:lang w:val="en-GB"/>
        </w:rPr>
        <w:t xml:space="preserve">available </w:t>
      </w:r>
      <w:r>
        <w:rPr>
          <w:lang w:val="en-GB"/>
        </w:rPr>
        <w:t>data show that, out of the 5,361 international applications filed in the period between July</w:t>
      </w:r>
      <w:r w:rsidR="001F233B">
        <w:rPr>
          <w:lang w:val="en-GB"/>
        </w:rPr>
        <w:t xml:space="preserve"> 1, </w:t>
      </w:r>
      <w:r>
        <w:rPr>
          <w:lang w:val="en-GB"/>
        </w:rPr>
        <w:t>2014</w:t>
      </w:r>
      <w:r w:rsidR="001F233B">
        <w:rPr>
          <w:lang w:val="en-GB"/>
        </w:rPr>
        <w:t xml:space="preserve">, </w:t>
      </w:r>
      <w:r>
        <w:rPr>
          <w:lang w:val="en-GB"/>
        </w:rPr>
        <w:t xml:space="preserve">to June </w:t>
      </w:r>
      <w:r w:rsidR="001F233B">
        <w:rPr>
          <w:lang w:val="en-GB"/>
        </w:rPr>
        <w:t xml:space="preserve">30, </w:t>
      </w:r>
      <w:r>
        <w:rPr>
          <w:lang w:val="en-GB"/>
        </w:rPr>
        <w:t>2015</w:t>
      </w:r>
      <w:r w:rsidR="000F3D77">
        <w:rPr>
          <w:rStyle w:val="FootnoteReference"/>
          <w:lang w:val="en-GB"/>
        </w:rPr>
        <w:footnoteReference w:id="2"/>
      </w:r>
      <w:r w:rsidR="001F233B">
        <w:rPr>
          <w:lang w:val="en-GB"/>
        </w:rPr>
        <w:t>,</w:t>
      </w:r>
      <w:r>
        <w:rPr>
          <w:lang w:val="en-GB"/>
        </w:rPr>
        <w:t xml:space="preserve"> which benefitted from the 90 per cent fee reduction, only 247 international applications were the subject of Rule 92</w:t>
      </w:r>
      <w:r w:rsidRPr="000D11A7">
        <w:rPr>
          <w:i/>
          <w:lang w:val="en-GB"/>
        </w:rPr>
        <w:t>bis</w:t>
      </w:r>
      <w:r>
        <w:rPr>
          <w:lang w:val="en-GB"/>
        </w:rPr>
        <w:t xml:space="preserve"> changes which </w:t>
      </w:r>
      <w:r w:rsidR="001F38E7">
        <w:rPr>
          <w:lang w:val="en-GB"/>
        </w:rPr>
        <w:t xml:space="preserve">resulted in </w:t>
      </w:r>
      <w:r w:rsidR="000F3D77">
        <w:rPr>
          <w:lang w:val="en-GB"/>
        </w:rPr>
        <w:t xml:space="preserve">the addition of a legal entity as applicant which </w:t>
      </w:r>
      <w:r>
        <w:rPr>
          <w:lang w:val="en-GB"/>
        </w:rPr>
        <w:t xml:space="preserve">clearly </w:t>
      </w:r>
      <w:r w:rsidR="001F38E7">
        <w:rPr>
          <w:lang w:val="en-GB"/>
        </w:rPr>
        <w:t xml:space="preserve">would have </w:t>
      </w:r>
      <w:r>
        <w:rPr>
          <w:lang w:val="en-GB"/>
        </w:rPr>
        <w:t xml:space="preserve">not </w:t>
      </w:r>
      <w:r w:rsidR="001F38E7">
        <w:rPr>
          <w:lang w:val="en-GB"/>
        </w:rPr>
        <w:t xml:space="preserve">been </w:t>
      </w:r>
      <w:r>
        <w:rPr>
          <w:lang w:val="en-GB"/>
        </w:rPr>
        <w:t xml:space="preserve">eligible for the fee reduction.  There may be a number of other </w:t>
      </w:r>
      <w:r w:rsidR="001F38E7">
        <w:rPr>
          <w:lang w:val="en-GB"/>
        </w:rPr>
        <w:t xml:space="preserve">international </w:t>
      </w:r>
      <w:r>
        <w:rPr>
          <w:lang w:val="en-GB"/>
        </w:rPr>
        <w:t xml:space="preserve">applications </w:t>
      </w:r>
      <w:r w:rsidR="001F38E7">
        <w:rPr>
          <w:lang w:val="en-GB"/>
        </w:rPr>
        <w:t xml:space="preserve">in </w:t>
      </w:r>
      <w:r w:rsidR="001F233B">
        <w:rPr>
          <w:lang w:val="en-GB"/>
        </w:rPr>
        <w:t xml:space="preserve">respect of </w:t>
      </w:r>
      <w:r w:rsidR="001F38E7">
        <w:rPr>
          <w:lang w:val="en-GB"/>
        </w:rPr>
        <w:t>which change</w:t>
      </w:r>
      <w:r w:rsidR="000F3D77">
        <w:rPr>
          <w:lang w:val="en-GB"/>
        </w:rPr>
        <w:t>s</w:t>
      </w:r>
      <w:r w:rsidR="001F38E7">
        <w:rPr>
          <w:lang w:val="en-GB"/>
        </w:rPr>
        <w:t xml:space="preserve"> </w:t>
      </w:r>
      <w:r w:rsidR="000F3D77">
        <w:rPr>
          <w:lang w:val="en-GB"/>
        </w:rPr>
        <w:t xml:space="preserve">of applicants were made such that the resulting applicants were not eligible </w:t>
      </w:r>
      <w:r>
        <w:rPr>
          <w:lang w:val="en-GB"/>
        </w:rPr>
        <w:t>for other reasons, but these should be relatively few in number.</w:t>
      </w:r>
    </w:p>
    <w:p w:rsidR="006421E2" w:rsidRDefault="000D11A7" w:rsidP="000D11A7">
      <w:pPr>
        <w:pStyle w:val="ONUME"/>
        <w:rPr>
          <w:lang w:val="en-GB"/>
        </w:rPr>
      </w:pPr>
      <w:r w:rsidRPr="001F38E7">
        <w:rPr>
          <w:lang w:val="en-GB"/>
        </w:rPr>
        <w:t xml:space="preserve">As </w:t>
      </w:r>
      <w:r w:rsidR="001F38E7" w:rsidRPr="001F38E7">
        <w:rPr>
          <w:lang w:val="en-GB"/>
        </w:rPr>
        <w:t xml:space="preserve">had been </w:t>
      </w:r>
      <w:r w:rsidRPr="001F38E7">
        <w:rPr>
          <w:lang w:val="en-GB"/>
        </w:rPr>
        <w:t xml:space="preserve">observed in paragraph 13 of document PCT/WG/9/10, some of the </w:t>
      </w:r>
      <w:r w:rsidR="001F38E7" w:rsidRPr="001F38E7">
        <w:rPr>
          <w:lang w:val="en-GB"/>
        </w:rPr>
        <w:t xml:space="preserve">changes in the person of the applicant to </w:t>
      </w:r>
      <w:r w:rsidRPr="001F38E7">
        <w:rPr>
          <w:lang w:val="en-GB"/>
        </w:rPr>
        <w:t xml:space="preserve">applicants not eligible for the </w:t>
      </w:r>
      <w:r w:rsidR="001F38E7" w:rsidRPr="001F38E7">
        <w:rPr>
          <w:lang w:val="en-GB"/>
        </w:rPr>
        <w:t xml:space="preserve">fee </w:t>
      </w:r>
      <w:r w:rsidRPr="001F38E7">
        <w:rPr>
          <w:lang w:val="en-GB"/>
        </w:rPr>
        <w:t xml:space="preserve">reduction may represent successes of the international patent system, where a lone inventor has used the fact of filing an international application to secure a subsequent </w:t>
      </w:r>
      <w:r w:rsidR="001F38E7" w:rsidRPr="001F38E7">
        <w:rPr>
          <w:lang w:val="en-GB"/>
        </w:rPr>
        <w:t xml:space="preserve">agreement </w:t>
      </w:r>
      <w:r w:rsidRPr="001F38E7">
        <w:rPr>
          <w:lang w:val="en-GB"/>
        </w:rPr>
        <w:t>with a company able to exploit the invention.</w:t>
      </w:r>
      <w:r w:rsidR="001F38E7" w:rsidRPr="001F38E7">
        <w:rPr>
          <w:lang w:val="en-GB"/>
        </w:rPr>
        <w:t xml:space="preserve"> </w:t>
      </w:r>
      <w:r w:rsidRPr="001F38E7">
        <w:rPr>
          <w:lang w:val="en-GB"/>
        </w:rPr>
        <w:t xml:space="preserve"> Others, believed to be a significant majority, appear to be cases where the initial </w:t>
      </w:r>
      <w:r w:rsidRPr="001F38E7">
        <w:rPr>
          <w:lang w:val="en-GB"/>
        </w:rPr>
        <w:lastRenderedPageBreak/>
        <w:t>filing was made by an employee of the company specifically for the purpose of receiving the fee reduction.</w:t>
      </w:r>
    </w:p>
    <w:p w:rsidR="00A24706" w:rsidRDefault="00A24706" w:rsidP="001943C3">
      <w:pPr>
        <w:pStyle w:val="Heading1"/>
      </w:pPr>
      <w:r>
        <w:t>Clarifying Eligibility for Fee REductions</w:t>
      </w:r>
    </w:p>
    <w:p w:rsidR="00725F01" w:rsidRPr="00804106" w:rsidRDefault="001943C3" w:rsidP="006421E2">
      <w:pPr>
        <w:pStyle w:val="ONUME"/>
        <w:keepLines/>
      </w:pPr>
      <w:r>
        <w:t>T</w:t>
      </w:r>
      <w:r w:rsidR="000D11A7" w:rsidRPr="00804106">
        <w:t xml:space="preserve">he numbers </w:t>
      </w:r>
      <w:r>
        <w:t xml:space="preserve">of international applications in respect of which </w:t>
      </w:r>
      <w:r w:rsidR="001F38E7" w:rsidRPr="00804106">
        <w:t>a</w:t>
      </w:r>
      <w:r w:rsidR="000D11A7" w:rsidRPr="00804106">
        <w:t xml:space="preserve"> change </w:t>
      </w:r>
      <w:r>
        <w:t>in</w:t>
      </w:r>
      <w:r w:rsidR="000D11A7" w:rsidRPr="00804106">
        <w:t xml:space="preserve"> </w:t>
      </w:r>
      <w:r w:rsidR="001F38E7" w:rsidRPr="00804106">
        <w:t xml:space="preserve">the person of the </w:t>
      </w:r>
      <w:r w:rsidR="000D11A7" w:rsidRPr="00804106">
        <w:t>applicant is re</w:t>
      </w:r>
      <w:r w:rsidR="001F38E7" w:rsidRPr="00804106">
        <w:t xml:space="preserve">corded </w:t>
      </w:r>
      <w:r w:rsidR="000D11A7" w:rsidRPr="00804106">
        <w:t xml:space="preserve">in the international phase </w:t>
      </w:r>
      <w:r w:rsidR="001F3B0E">
        <w:t xml:space="preserve">so as to add an applicant who would not have been eligible for the reduction </w:t>
      </w:r>
      <w:r w:rsidR="000D11A7" w:rsidRPr="00804106">
        <w:t xml:space="preserve">are small relative to the numbers </w:t>
      </w:r>
      <w:r>
        <w:t xml:space="preserve">of international applications in respect of which </w:t>
      </w:r>
      <w:r w:rsidR="000D11A7" w:rsidRPr="00804106">
        <w:t xml:space="preserve">it appears that individuals act as an applicant on behalf of a legal entity which is </w:t>
      </w:r>
      <w:r w:rsidR="00804106">
        <w:t>the real</w:t>
      </w:r>
      <w:r w:rsidR="000D11A7" w:rsidRPr="00804106">
        <w:t xml:space="preserve"> “beneficial owner” without re</w:t>
      </w:r>
      <w:r w:rsidR="001F38E7" w:rsidRPr="00804106">
        <w:t xml:space="preserve">questing </w:t>
      </w:r>
      <w:r w:rsidR="000D11A7" w:rsidRPr="00804106">
        <w:t xml:space="preserve">any change </w:t>
      </w:r>
      <w:r w:rsidR="001F38E7" w:rsidRPr="00804106">
        <w:t>in the person of the applicant during</w:t>
      </w:r>
      <w:r w:rsidR="000D11A7" w:rsidRPr="00804106">
        <w:t xml:space="preserve"> the international phase.</w:t>
      </w:r>
    </w:p>
    <w:p w:rsidR="006421E2" w:rsidRPr="006421E2" w:rsidRDefault="006421E2" w:rsidP="006421E2">
      <w:pPr>
        <w:pStyle w:val="ONUME"/>
        <w:keepLines/>
        <w:rPr>
          <w:lang w:val="en-GB"/>
        </w:rPr>
      </w:pPr>
      <w:bookmarkStart w:id="6" w:name="_Ref478027237"/>
      <w:r w:rsidRPr="006421E2">
        <w:rPr>
          <w:lang w:val="en-GB"/>
        </w:rPr>
        <w:t xml:space="preserve">To illustrate this point, </w:t>
      </w:r>
      <w:r>
        <w:rPr>
          <w:lang w:val="en-GB"/>
        </w:rPr>
        <w:t>t</w:t>
      </w:r>
      <w:r w:rsidRPr="006421E2">
        <w:rPr>
          <w:lang w:val="en-GB"/>
        </w:rPr>
        <w:t xml:space="preserve">he following table shows the number of </w:t>
      </w:r>
      <w:r>
        <w:rPr>
          <w:lang w:val="en-GB"/>
        </w:rPr>
        <w:t xml:space="preserve">international </w:t>
      </w:r>
      <w:r w:rsidRPr="006421E2">
        <w:rPr>
          <w:lang w:val="en-GB"/>
        </w:rPr>
        <w:t xml:space="preserve">applications filed </w:t>
      </w:r>
      <w:r>
        <w:rPr>
          <w:lang w:val="en-GB"/>
        </w:rPr>
        <w:t xml:space="preserve">in the years 2012 to 2016 </w:t>
      </w:r>
      <w:r w:rsidRPr="006421E2">
        <w:rPr>
          <w:lang w:val="en-GB"/>
        </w:rPr>
        <w:t xml:space="preserve">which </w:t>
      </w:r>
      <w:r>
        <w:rPr>
          <w:lang w:val="en-GB"/>
        </w:rPr>
        <w:t xml:space="preserve">benefitted from </w:t>
      </w:r>
      <w:r w:rsidRPr="006421E2">
        <w:rPr>
          <w:lang w:val="en-GB"/>
        </w:rPr>
        <w:t>the 90 per cent fee reduction</w:t>
      </w:r>
      <w:r w:rsidR="00C242DB">
        <w:rPr>
          <w:lang w:val="en-GB"/>
        </w:rPr>
        <w:t xml:space="preserve"> under both items 5(a) and 5(b) of the PCT Schedule of Fee (the numbers of applications benefitting from the fee reductions under item 5(b), that is, filed by applicants from least developed countries, is almost negligible)</w:t>
      </w:r>
      <w:r w:rsidRPr="006421E2">
        <w:rPr>
          <w:lang w:val="en-GB"/>
        </w:rPr>
        <w:t xml:space="preserve">, categorized according to the number of </w:t>
      </w:r>
      <w:r w:rsidR="00C242DB">
        <w:rPr>
          <w:lang w:val="en-GB"/>
        </w:rPr>
        <w:t xml:space="preserve">cases in which fee </w:t>
      </w:r>
      <w:r w:rsidRPr="006421E2">
        <w:rPr>
          <w:lang w:val="en-GB"/>
        </w:rPr>
        <w:t xml:space="preserve">reductions </w:t>
      </w:r>
      <w:r w:rsidR="00C242DB">
        <w:rPr>
          <w:lang w:val="en-GB"/>
        </w:rPr>
        <w:t xml:space="preserve">have been granted to </w:t>
      </w:r>
      <w:r w:rsidRPr="006421E2">
        <w:rPr>
          <w:lang w:val="en-GB"/>
        </w:rPr>
        <w:t xml:space="preserve">the same applicant during </w:t>
      </w:r>
      <w:r w:rsidR="00C242DB">
        <w:rPr>
          <w:lang w:val="en-GB"/>
        </w:rPr>
        <w:t xml:space="preserve">a given </w:t>
      </w:r>
      <w:r w:rsidRPr="006421E2">
        <w:rPr>
          <w:lang w:val="en-GB"/>
        </w:rPr>
        <w:t>calendar year</w:t>
      </w:r>
      <w:r w:rsidR="00C242DB">
        <w:rPr>
          <w:lang w:val="en-GB"/>
        </w:rPr>
        <w:t>.</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03"/>
        <w:gridCol w:w="1633"/>
        <w:gridCol w:w="1634"/>
        <w:gridCol w:w="1633"/>
        <w:gridCol w:w="1634"/>
        <w:gridCol w:w="1634"/>
      </w:tblGrid>
      <w:tr w:rsidR="006421E2" w:rsidTr="001943C3">
        <w:trPr>
          <w:trHeight w:val="255"/>
        </w:trPr>
        <w:tc>
          <w:tcPr>
            <w:tcW w:w="1291" w:type="dxa"/>
            <w:vMerge w:val="restart"/>
            <w:noWrap/>
            <w:tcMar>
              <w:top w:w="0" w:type="dxa"/>
              <w:left w:w="108" w:type="dxa"/>
              <w:bottom w:w="0" w:type="dxa"/>
              <w:right w:w="108" w:type="dxa"/>
            </w:tcMar>
            <w:vAlign w:val="bottom"/>
            <w:hideMark/>
          </w:tcPr>
          <w:p w:rsidR="006421E2" w:rsidRDefault="006421E2">
            <w:pPr>
              <w:rPr>
                <w:rFonts w:eastAsiaTheme="minorHAnsi"/>
                <w:b/>
                <w:bCs/>
                <w:color w:val="000000"/>
                <w:sz w:val="20"/>
                <w:lang w:eastAsia="en-GB"/>
              </w:rPr>
            </w:pPr>
            <w:r>
              <w:rPr>
                <w:b/>
                <w:bCs/>
                <w:color w:val="000000"/>
                <w:sz w:val="20"/>
                <w:lang w:eastAsia="en-GB"/>
              </w:rPr>
              <w:t># IAs per applicant</w:t>
            </w:r>
          </w:p>
        </w:tc>
        <w:tc>
          <w:tcPr>
            <w:tcW w:w="7513" w:type="dxa"/>
            <w:gridSpan w:val="5"/>
            <w:noWrap/>
            <w:tcMar>
              <w:top w:w="0" w:type="dxa"/>
              <w:left w:w="108" w:type="dxa"/>
              <w:bottom w:w="0" w:type="dxa"/>
              <w:right w:w="108" w:type="dxa"/>
            </w:tcMar>
            <w:vAlign w:val="bottom"/>
            <w:hideMark/>
          </w:tcPr>
          <w:p w:rsidR="006421E2" w:rsidRDefault="006421E2">
            <w:pPr>
              <w:jc w:val="center"/>
              <w:rPr>
                <w:rFonts w:eastAsiaTheme="minorHAnsi"/>
                <w:b/>
                <w:bCs/>
                <w:color w:val="000000"/>
                <w:sz w:val="20"/>
                <w:lang w:eastAsia="en-GB"/>
              </w:rPr>
            </w:pPr>
            <w:r>
              <w:rPr>
                <w:b/>
                <w:bCs/>
                <w:color w:val="000000"/>
                <w:sz w:val="20"/>
                <w:lang w:eastAsia="en-GB"/>
              </w:rPr>
              <w:t>Year</w:t>
            </w:r>
          </w:p>
        </w:tc>
      </w:tr>
      <w:tr w:rsidR="006421E2" w:rsidTr="001943C3">
        <w:trPr>
          <w:trHeight w:val="255"/>
        </w:trPr>
        <w:tc>
          <w:tcPr>
            <w:tcW w:w="0" w:type="auto"/>
            <w:vMerge/>
            <w:vAlign w:val="center"/>
            <w:hideMark/>
          </w:tcPr>
          <w:p w:rsidR="006421E2" w:rsidRDefault="006421E2">
            <w:pPr>
              <w:rPr>
                <w:rFonts w:eastAsiaTheme="minorHAnsi"/>
                <w:b/>
                <w:bCs/>
                <w:color w:val="000000"/>
                <w:sz w:val="20"/>
                <w:lang w:eastAsia="en-GB"/>
              </w:rPr>
            </w:pPr>
          </w:p>
        </w:tc>
        <w:tc>
          <w:tcPr>
            <w:tcW w:w="1502" w:type="dxa"/>
            <w:noWrap/>
            <w:tcMar>
              <w:top w:w="0" w:type="dxa"/>
              <w:left w:w="108" w:type="dxa"/>
              <w:bottom w:w="0" w:type="dxa"/>
              <w:right w:w="108" w:type="dxa"/>
            </w:tcMar>
            <w:vAlign w:val="bottom"/>
            <w:hideMark/>
          </w:tcPr>
          <w:p w:rsidR="006421E2" w:rsidRDefault="006421E2">
            <w:pPr>
              <w:jc w:val="center"/>
              <w:rPr>
                <w:rFonts w:eastAsiaTheme="minorHAnsi"/>
                <w:b/>
                <w:bCs/>
                <w:color w:val="000000"/>
                <w:sz w:val="20"/>
                <w:lang w:eastAsia="en-GB"/>
              </w:rPr>
            </w:pPr>
            <w:r>
              <w:rPr>
                <w:b/>
                <w:bCs/>
                <w:color w:val="000000"/>
                <w:sz w:val="20"/>
                <w:lang w:eastAsia="en-GB"/>
              </w:rPr>
              <w:t>2012</w:t>
            </w:r>
          </w:p>
        </w:tc>
        <w:tc>
          <w:tcPr>
            <w:tcW w:w="1503" w:type="dxa"/>
            <w:noWrap/>
            <w:tcMar>
              <w:top w:w="0" w:type="dxa"/>
              <w:left w:w="108" w:type="dxa"/>
              <w:bottom w:w="0" w:type="dxa"/>
              <w:right w:w="108" w:type="dxa"/>
            </w:tcMar>
            <w:vAlign w:val="bottom"/>
            <w:hideMark/>
          </w:tcPr>
          <w:p w:rsidR="006421E2" w:rsidRDefault="006421E2">
            <w:pPr>
              <w:jc w:val="center"/>
              <w:rPr>
                <w:rFonts w:eastAsiaTheme="minorHAnsi"/>
                <w:b/>
                <w:bCs/>
                <w:color w:val="000000"/>
                <w:sz w:val="20"/>
                <w:lang w:eastAsia="en-GB"/>
              </w:rPr>
            </w:pPr>
            <w:r>
              <w:rPr>
                <w:b/>
                <w:bCs/>
                <w:color w:val="000000"/>
                <w:sz w:val="20"/>
                <w:lang w:eastAsia="en-GB"/>
              </w:rPr>
              <w:t>2013</w:t>
            </w:r>
          </w:p>
        </w:tc>
        <w:tc>
          <w:tcPr>
            <w:tcW w:w="1502" w:type="dxa"/>
            <w:noWrap/>
            <w:tcMar>
              <w:top w:w="0" w:type="dxa"/>
              <w:left w:w="108" w:type="dxa"/>
              <w:bottom w:w="0" w:type="dxa"/>
              <w:right w:w="108" w:type="dxa"/>
            </w:tcMar>
            <w:vAlign w:val="bottom"/>
            <w:hideMark/>
          </w:tcPr>
          <w:p w:rsidR="006421E2" w:rsidRDefault="006421E2">
            <w:pPr>
              <w:jc w:val="center"/>
              <w:rPr>
                <w:rFonts w:eastAsiaTheme="minorHAnsi"/>
                <w:b/>
                <w:bCs/>
                <w:color w:val="000000"/>
                <w:sz w:val="20"/>
                <w:lang w:eastAsia="en-GB"/>
              </w:rPr>
            </w:pPr>
            <w:r>
              <w:rPr>
                <w:b/>
                <w:bCs/>
                <w:color w:val="000000"/>
                <w:sz w:val="20"/>
                <w:lang w:eastAsia="en-GB"/>
              </w:rPr>
              <w:t>2014</w:t>
            </w:r>
          </w:p>
        </w:tc>
        <w:tc>
          <w:tcPr>
            <w:tcW w:w="1503" w:type="dxa"/>
            <w:noWrap/>
            <w:tcMar>
              <w:top w:w="0" w:type="dxa"/>
              <w:left w:w="108" w:type="dxa"/>
              <w:bottom w:w="0" w:type="dxa"/>
              <w:right w:w="108" w:type="dxa"/>
            </w:tcMar>
            <w:vAlign w:val="bottom"/>
            <w:hideMark/>
          </w:tcPr>
          <w:p w:rsidR="006421E2" w:rsidRDefault="006421E2">
            <w:pPr>
              <w:jc w:val="center"/>
              <w:rPr>
                <w:rFonts w:eastAsiaTheme="minorHAnsi"/>
                <w:b/>
                <w:bCs/>
                <w:color w:val="000000"/>
                <w:sz w:val="20"/>
                <w:lang w:eastAsia="en-GB"/>
              </w:rPr>
            </w:pPr>
            <w:r>
              <w:rPr>
                <w:b/>
                <w:bCs/>
                <w:color w:val="000000"/>
                <w:sz w:val="20"/>
                <w:lang w:eastAsia="en-GB"/>
              </w:rPr>
              <w:t>2015</w:t>
            </w:r>
          </w:p>
        </w:tc>
        <w:tc>
          <w:tcPr>
            <w:tcW w:w="1503" w:type="dxa"/>
            <w:noWrap/>
            <w:tcMar>
              <w:top w:w="0" w:type="dxa"/>
              <w:left w:w="108" w:type="dxa"/>
              <w:bottom w:w="0" w:type="dxa"/>
              <w:right w:w="108" w:type="dxa"/>
            </w:tcMar>
            <w:vAlign w:val="bottom"/>
            <w:hideMark/>
          </w:tcPr>
          <w:p w:rsidR="006421E2" w:rsidRDefault="006421E2">
            <w:pPr>
              <w:jc w:val="center"/>
              <w:rPr>
                <w:rFonts w:eastAsiaTheme="minorHAnsi"/>
                <w:b/>
                <w:bCs/>
                <w:color w:val="000000"/>
                <w:sz w:val="20"/>
                <w:lang w:eastAsia="en-GB"/>
              </w:rPr>
            </w:pPr>
            <w:r>
              <w:rPr>
                <w:b/>
                <w:bCs/>
                <w:color w:val="000000"/>
                <w:sz w:val="20"/>
                <w:lang w:eastAsia="en-GB"/>
              </w:rPr>
              <w:t>2016</w:t>
            </w:r>
          </w:p>
        </w:tc>
      </w:tr>
      <w:tr w:rsidR="006421E2" w:rsidTr="001943C3">
        <w:trPr>
          <w:trHeight w:val="255"/>
        </w:trPr>
        <w:tc>
          <w:tcPr>
            <w:tcW w:w="1291" w:type="dxa"/>
            <w:noWrap/>
            <w:tcMar>
              <w:top w:w="0" w:type="dxa"/>
              <w:left w:w="108" w:type="dxa"/>
              <w:bottom w:w="0" w:type="dxa"/>
              <w:right w:w="108" w:type="dxa"/>
            </w:tcMar>
            <w:vAlign w:val="bottom"/>
            <w:hideMark/>
          </w:tcPr>
          <w:p w:rsidR="006421E2" w:rsidRDefault="006421E2">
            <w:pPr>
              <w:rPr>
                <w:rFonts w:eastAsiaTheme="minorHAnsi"/>
                <w:color w:val="000000"/>
                <w:sz w:val="20"/>
              </w:rPr>
            </w:pPr>
            <w:r>
              <w:rPr>
                <w:color w:val="000000"/>
                <w:sz w:val="20"/>
              </w:rPr>
              <w:t>Up to 5</w:t>
            </w:r>
          </w:p>
        </w:tc>
        <w:tc>
          <w:tcPr>
            <w:tcW w:w="1502" w:type="dxa"/>
            <w:noWrap/>
            <w:tcMar>
              <w:top w:w="0" w:type="dxa"/>
              <w:left w:w="108" w:type="dxa"/>
              <w:bottom w:w="0" w:type="dxa"/>
              <w:right w:w="108" w:type="dxa"/>
            </w:tcMar>
            <w:vAlign w:val="bottom"/>
            <w:hideMark/>
          </w:tcPr>
          <w:p w:rsidR="006421E2" w:rsidRDefault="000F3D77" w:rsidP="001943C3">
            <w:pPr>
              <w:tabs>
                <w:tab w:val="right" w:pos="582"/>
                <w:tab w:val="right" w:pos="1417"/>
              </w:tabs>
              <w:jc w:val="right"/>
              <w:rPr>
                <w:rFonts w:eastAsiaTheme="minorHAnsi"/>
                <w:color w:val="000000"/>
                <w:sz w:val="20"/>
              </w:rPr>
            </w:pPr>
            <w:r>
              <w:rPr>
                <w:color w:val="000000"/>
                <w:sz w:val="20"/>
              </w:rPr>
              <w:tab/>
            </w:r>
            <w:r w:rsidR="006421E2">
              <w:rPr>
                <w:color w:val="000000"/>
                <w:sz w:val="20"/>
              </w:rPr>
              <w:t>3</w:t>
            </w:r>
            <w:r>
              <w:rPr>
                <w:color w:val="000000"/>
                <w:sz w:val="20"/>
              </w:rPr>
              <w:t>,</w:t>
            </w:r>
            <w:r w:rsidR="006421E2">
              <w:rPr>
                <w:color w:val="000000"/>
                <w:sz w:val="20"/>
              </w:rPr>
              <w:t>896</w:t>
            </w:r>
            <w:r>
              <w:rPr>
                <w:color w:val="000000"/>
                <w:sz w:val="20"/>
              </w:rPr>
              <w:tab/>
            </w:r>
            <w:r w:rsidR="006421E2">
              <w:rPr>
                <w:color w:val="000000"/>
                <w:sz w:val="20"/>
              </w:rPr>
              <w:t>(84.1%)</w:t>
            </w:r>
          </w:p>
        </w:tc>
        <w:tc>
          <w:tcPr>
            <w:tcW w:w="1503" w:type="dxa"/>
            <w:noWrap/>
            <w:tcMar>
              <w:top w:w="0" w:type="dxa"/>
              <w:left w:w="108" w:type="dxa"/>
              <w:bottom w:w="0" w:type="dxa"/>
              <w:right w:w="108" w:type="dxa"/>
            </w:tcMar>
            <w:vAlign w:val="bottom"/>
            <w:hideMark/>
          </w:tcPr>
          <w:p w:rsidR="006421E2" w:rsidRDefault="000F3D77" w:rsidP="001943C3">
            <w:pPr>
              <w:tabs>
                <w:tab w:val="right" w:pos="582"/>
                <w:tab w:val="right" w:pos="1417"/>
              </w:tabs>
              <w:jc w:val="right"/>
              <w:rPr>
                <w:rFonts w:eastAsiaTheme="minorHAnsi"/>
                <w:color w:val="000000"/>
                <w:sz w:val="20"/>
              </w:rPr>
            </w:pPr>
            <w:r>
              <w:rPr>
                <w:color w:val="000000"/>
                <w:sz w:val="20"/>
              </w:rPr>
              <w:tab/>
            </w:r>
            <w:r w:rsidR="006421E2">
              <w:rPr>
                <w:color w:val="000000"/>
                <w:sz w:val="20"/>
              </w:rPr>
              <w:t>4</w:t>
            </w:r>
            <w:r>
              <w:rPr>
                <w:color w:val="000000"/>
                <w:sz w:val="20"/>
              </w:rPr>
              <w:t>,</w:t>
            </w:r>
            <w:r w:rsidR="006421E2">
              <w:rPr>
                <w:color w:val="000000"/>
                <w:sz w:val="20"/>
              </w:rPr>
              <w:t>115</w:t>
            </w:r>
            <w:r>
              <w:rPr>
                <w:color w:val="000000"/>
                <w:sz w:val="20"/>
              </w:rPr>
              <w:tab/>
            </w:r>
            <w:r w:rsidR="006421E2">
              <w:rPr>
                <w:color w:val="000000"/>
                <w:sz w:val="20"/>
              </w:rPr>
              <w:t>(74.2%)</w:t>
            </w:r>
          </w:p>
        </w:tc>
        <w:tc>
          <w:tcPr>
            <w:tcW w:w="1502" w:type="dxa"/>
            <w:noWrap/>
            <w:tcMar>
              <w:top w:w="0" w:type="dxa"/>
              <w:left w:w="108" w:type="dxa"/>
              <w:bottom w:w="0" w:type="dxa"/>
              <w:right w:w="108" w:type="dxa"/>
            </w:tcMar>
            <w:vAlign w:val="bottom"/>
            <w:hideMark/>
          </w:tcPr>
          <w:p w:rsidR="006421E2" w:rsidRDefault="000F3D77" w:rsidP="001943C3">
            <w:pPr>
              <w:tabs>
                <w:tab w:val="right" w:pos="582"/>
                <w:tab w:val="right" w:pos="1417"/>
              </w:tabs>
              <w:jc w:val="right"/>
              <w:rPr>
                <w:rFonts w:eastAsiaTheme="minorHAnsi"/>
                <w:color w:val="000000"/>
                <w:sz w:val="20"/>
              </w:rPr>
            </w:pPr>
            <w:r>
              <w:rPr>
                <w:color w:val="000000"/>
                <w:sz w:val="20"/>
              </w:rPr>
              <w:tab/>
            </w:r>
            <w:r w:rsidR="006421E2">
              <w:rPr>
                <w:color w:val="000000"/>
                <w:sz w:val="20"/>
              </w:rPr>
              <w:t>4</w:t>
            </w:r>
            <w:r>
              <w:rPr>
                <w:color w:val="000000"/>
                <w:sz w:val="20"/>
              </w:rPr>
              <w:t>,</w:t>
            </w:r>
            <w:r w:rsidR="006421E2">
              <w:rPr>
                <w:color w:val="000000"/>
                <w:sz w:val="20"/>
              </w:rPr>
              <w:t>297</w:t>
            </w:r>
            <w:r>
              <w:rPr>
                <w:color w:val="000000"/>
                <w:sz w:val="20"/>
              </w:rPr>
              <w:tab/>
            </w:r>
            <w:r w:rsidR="006421E2">
              <w:rPr>
                <w:color w:val="000000"/>
                <w:sz w:val="20"/>
              </w:rPr>
              <w:t>(79.9%)</w:t>
            </w:r>
          </w:p>
        </w:tc>
        <w:tc>
          <w:tcPr>
            <w:tcW w:w="1503" w:type="dxa"/>
            <w:noWrap/>
            <w:tcMar>
              <w:top w:w="0" w:type="dxa"/>
              <w:left w:w="108" w:type="dxa"/>
              <w:bottom w:w="0" w:type="dxa"/>
              <w:right w:w="108" w:type="dxa"/>
            </w:tcMar>
            <w:vAlign w:val="bottom"/>
            <w:hideMark/>
          </w:tcPr>
          <w:p w:rsidR="006421E2" w:rsidRDefault="000F3D77" w:rsidP="001943C3">
            <w:pPr>
              <w:tabs>
                <w:tab w:val="right" w:pos="582"/>
                <w:tab w:val="right" w:pos="1417"/>
              </w:tabs>
              <w:jc w:val="right"/>
              <w:rPr>
                <w:rFonts w:eastAsiaTheme="minorHAnsi"/>
                <w:color w:val="000000"/>
                <w:sz w:val="20"/>
              </w:rPr>
            </w:pPr>
            <w:r>
              <w:rPr>
                <w:color w:val="000000"/>
                <w:sz w:val="20"/>
              </w:rPr>
              <w:tab/>
            </w:r>
            <w:r w:rsidR="006421E2">
              <w:rPr>
                <w:color w:val="000000"/>
                <w:sz w:val="20"/>
              </w:rPr>
              <w:t>4</w:t>
            </w:r>
            <w:r>
              <w:rPr>
                <w:color w:val="000000"/>
                <w:sz w:val="20"/>
              </w:rPr>
              <w:t>,</w:t>
            </w:r>
            <w:r w:rsidR="006421E2">
              <w:rPr>
                <w:color w:val="000000"/>
                <w:sz w:val="20"/>
              </w:rPr>
              <w:t>588</w:t>
            </w:r>
            <w:r>
              <w:rPr>
                <w:color w:val="000000"/>
                <w:sz w:val="20"/>
              </w:rPr>
              <w:tab/>
            </w:r>
            <w:r w:rsidR="006421E2">
              <w:rPr>
                <w:color w:val="000000"/>
                <w:sz w:val="20"/>
              </w:rPr>
              <w:t>(75.9%)</w:t>
            </w:r>
          </w:p>
        </w:tc>
        <w:tc>
          <w:tcPr>
            <w:tcW w:w="1503" w:type="dxa"/>
            <w:noWrap/>
            <w:tcMar>
              <w:top w:w="0" w:type="dxa"/>
              <w:left w:w="108" w:type="dxa"/>
              <w:bottom w:w="0" w:type="dxa"/>
              <w:right w:w="108" w:type="dxa"/>
            </w:tcMar>
            <w:vAlign w:val="bottom"/>
            <w:hideMark/>
          </w:tcPr>
          <w:p w:rsidR="006421E2" w:rsidRDefault="000F3D77" w:rsidP="001943C3">
            <w:pPr>
              <w:tabs>
                <w:tab w:val="right" w:pos="582"/>
                <w:tab w:val="right" w:pos="1417"/>
              </w:tabs>
              <w:jc w:val="right"/>
              <w:rPr>
                <w:rFonts w:eastAsiaTheme="minorHAnsi"/>
                <w:color w:val="000000"/>
                <w:sz w:val="20"/>
              </w:rPr>
            </w:pPr>
            <w:r>
              <w:rPr>
                <w:color w:val="000000"/>
                <w:sz w:val="20"/>
              </w:rPr>
              <w:tab/>
            </w:r>
            <w:r w:rsidR="006421E2">
              <w:rPr>
                <w:color w:val="000000"/>
                <w:sz w:val="20"/>
              </w:rPr>
              <w:t>5</w:t>
            </w:r>
            <w:r>
              <w:rPr>
                <w:color w:val="000000"/>
                <w:sz w:val="20"/>
              </w:rPr>
              <w:t>,</w:t>
            </w:r>
            <w:r w:rsidR="006421E2">
              <w:rPr>
                <w:color w:val="000000"/>
                <w:sz w:val="20"/>
              </w:rPr>
              <w:t>398</w:t>
            </w:r>
            <w:r>
              <w:rPr>
                <w:color w:val="000000"/>
                <w:sz w:val="20"/>
              </w:rPr>
              <w:tab/>
            </w:r>
            <w:r w:rsidR="006421E2">
              <w:rPr>
                <w:color w:val="000000"/>
                <w:sz w:val="20"/>
              </w:rPr>
              <w:t>(50.8%)</w:t>
            </w:r>
          </w:p>
        </w:tc>
      </w:tr>
      <w:tr w:rsidR="006421E2" w:rsidTr="001943C3">
        <w:trPr>
          <w:trHeight w:val="255"/>
        </w:trPr>
        <w:tc>
          <w:tcPr>
            <w:tcW w:w="1291" w:type="dxa"/>
            <w:noWrap/>
            <w:tcMar>
              <w:top w:w="0" w:type="dxa"/>
              <w:left w:w="108" w:type="dxa"/>
              <w:bottom w:w="0" w:type="dxa"/>
              <w:right w:w="108" w:type="dxa"/>
            </w:tcMar>
            <w:vAlign w:val="bottom"/>
            <w:hideMark/>
          </w:tcPr>
          <w:p w:rsidR="006421E2" w:rsidRDefault="006421E2">
            <w:pPr>
              <w:rPr>
                <w:rFonts w:eastAsiaTheme="minorHAnsi"/>
                <w:color w:val="000000"/>
                <w:sz w:val="20"/>
              </w:rPr>
            </w:pPr>
            <w:r>
              <w:rPr>
                <w:color w:val="000000"/>
                <w:sz w:val="20"/>
              </w:rPr>
              <w:t>6 to 10</w:t>
            </w:r>
          </w:p>
        </w:tc>
        <w:tc>
          <w:tcPr>
            <w:tcW w:w="1502" w:type="dxa"/>
            <w:noWrap/>
            <w:tcMar>
              <w:top w:w="0" w:type="dxa"/>
              <w:left w:w="108" w:type="dxa"/>
              <w:bottom w:w="0" w:type="dxa"/>
              <w:right w:w="108" w:type="dxa"/>
            </w:tcMar>
            <w:vAlign w:val="bottom"/>
            <w:hideMark/>
          </w:tcPr>
          <w:p w:rsidR="006421E2" w:rsidRDefault="000F3D77" w:rsidP="001943C3">
            <w:pPr>
              <w:tabs>
                <w:tab w:val="right" w:pos="582"/>
                <w:tab w:val="right" w:pos="1417"/>
              </w:tabs>
              <w:jc w:val="right"/>
              <w:rPr>
                <w:rFonts w:eastAsiaTheme="minorHAnsi"/>
                <w:color w:val="000000"/>
                <w:sz w:val="20"/>
              </w:rPr>
            </w:pPr>
            <w:r>
              <w:rPr>
                <w:color w:val="000000"/>
                <w:sz w:val="20"/>
              </w:rPr>
              <w:tab/>
            </w:r>
            <w:r w:rsidR="006421E2">
              <w:rPr>
                <w:color w:val="000000"/>
                <w:sz w:val="20"/>
              </w:rPr>
              <w:t>313</w:t>
            </w:r>
            <w:r>
              <w:rPr>
                <w:color w:val="000000"/>
                <w:sz w:val="20"/>
              </w:rPr>
              <w:tab/>
            </w:r>
            <w:r w:rsidR="006421E2">
              <w:rPr>
                <w:color w:val="000000"/>
                <w:sz w:val="20"/>
              </w:rPr>
              <w:t>(6.8%)</w:t>
            </w:r>
          </w:p>
        </w:tc>
        <w:tc>
          <w:tcPr>
            <w:tcW w:w="1503" w:type="dxa"/>
            <w:noWrap/>
            <w:tcMar>
              <w:top w:w="0" w:type="dxa"/>
              <w:left w:w="108" w:type="dxa"/>
              <w:bottom w:w="0" w:type="dxa"/>
              <w:right w:w="108" w:type="dxa"/>
            </w:tcMar>
            <w:vAlign w:val="bottom"/>
            <w:hideMark/>
          </w:tcPr>
          <w:p w:rsidR="006421E2" w:rsidRDefault="000F3D77" w:rsidP="001943C3">
            <w:pPr>
              <w:tabs>
                <w:tab w:val="right" w:pos="582"/>
                <w:tab w:val="right" w:pos="1417"/>
              </w:tabs>
              <w:jc w:val="right"/>
              <w:rPr>
                <w:rFonts w:eastAsiaTheme="minorHAnsi"/>
                <w:color w:val="000000"/>
                <w:sz w:val="20"/>
              </w:rPr>
            </w:pPr>
            <w:r>
              <w:rPr>
                <w:color w:val="000000"/>
                <w:sz w:val="20"/>
              </w:rPr>
              <w:tab/>
            </w:r>
            <w:r w:rsidR="006421E2">
              <w:rPr>
                <w:color w:val="000000"/>
                <w:sz w:val="20"/>
              </w:rPr>
              <w:t>331</w:t>
            </w:r>
            <w:r>
              <w:rPr>
                <w:color w:val="000000"/>
                <w:sz w:val="20"/>
              </w:rPr>
              <w:tab/>
            </w:r>
            <w:r w:rsidR="006421E2">
              <w:rPr>
                <w:color w:val="000000"/>
                <w:sz w:val="20"/>
              </w:rPr>
              <w:t>(6.0%)</w:t>
            </w:r>
          </w:p>
        </w:tc>
        <w:tc>
          <w:tcPr>
            <w:tcW w:w="1502" w:type="dxa"/>
            <w:noWrap/>
            <w:tcMar>
              <w:top w:w="0" w:type="dxa"/>
              <w:left w:w="108" w:type="dxa"/>
              <w:bottom w:w="0" w:type="dxa"/>
              <w:right w:w="108" w:type="dxa"/>
            </w:tcMar>
            <w:vAlign w:val="bottom"/>
            <w:hideMark/>
          </w:tcPr>
          <w:p w:rsidR="006421E2" w:rsidRDefault="000F3D77" w:rsidP="001943C3">
            <w:pPr>
              <w:tabs>
                <w:tab w:val="right" w:pos="582"/>
                <w:tab w:val="right" w:pos="1417"/>
              </w:tabs>
              <w:jc w:val="right"/>
              <w:rPr>
                <w:rFonts w:eastAsiaTheme="minorHAnsi"/>
                <w:color w:val="000000"/>
                <w:sz w:val="20"/>
              </w:rPr>
            </w:pPr>
            <w:r>
              <w:rPr>
                <w:color w:val="000000"/>
                <w:sz w:val="20"/>
              </w:rPr>
              <w:tab/>
            </w:r>
            <w:r w:rsidR="006421E2">
              <w:rPr>
                <w:color w:val="000000"/>
                <w:sz w:val="20"/>
              </w:rPr>
              <w:t>294</w:t>
            </w:r>
            <w:r>
              <w:rPr>
                <w:color w:val="000000"/>
                <w:sz w:val="20"/>
              </w:rPr>
              <w:tab/>
            </w:r>
            <w:r w:rsidR="006421E2">
              <w:rPr>
                <w:color w:val="000000"/>
                <w:sz w:val="20"/>
              </w:rPr>
              <w:t>(5.5%)</w:t>
            </w:r>
          </w:p>
        </w:tc>
        <w:tc>
          <w:tcPr>
            <w:tcW w:w="1503" w:type="dxa"/>
            <w:noWrap/>
            <w:tcMar>
              <w:top w:w="0" w:type="dxa"/>
              <w:left w:w="108" w:type="dxa"/>
              <w:bottom w:w="0" w:type="dxa"/>
              <w:right w:w="108" w:type="dxa"/>
            </w:tcMar>
            <w:vAlign w:val="bottom"/>
            <w:hideMark/>
          </w:tcPr>
          <w:p w:rsidR="006421E2" w:rsidRDefault="000F3D77" w:rsidP="001943C3">
            <w:pPr>
              <w:tabs>
                <w:tab w:val="right" w:pos="582"/>
                <w:tab w:val="right" w:pos="1417"/>
              </w:tabs>
              <w:jc w:val="right"/>
              <w:rPr>
                <w:rFonts w:eastAsiaTheme="minorHAnsi"/>
                <w:color w:val="000000"/>
                <w:sz w:val="20"/>
              </w:rPr>
            </w:pPr>
            <w:r>
              <w:rPr>
                <w:color w:val="000000"/>
                <w:sz w:val="20"/>
              </w:rPr>
              <w:tab/>
            </w:r>
            <w:r w:rsidR="006421E2">
              <w:rPr>
                <w:color w:val="000000"/>
                <w:sz w:val="20"/>
              </w:rPr>
              <w:t>290</w:t>
            </w:r>
            <w:r>
              <w:rPr>
                <w:color w:val="000000"/>
                <w:sz w:val="20"/>
              </w:rPr>
              <w:tab/>
            </w:r>
            <w:r w:rsidR="006421E2">
              <w:rPr>
                <w:color w:val="000000"/>
                <w:sz w:val="20"/>
              </w:rPr>
              <w:t>(4.8%)</w:t>
            </w:r>
          </w:p>
        </w:tc>
        <w:tc>
          <w:tcPr>
            <w:tcW w:w="1503" w:type="dxa"/>
            <w:noWrap/>
            <w:tcMar>
              <w:top w:w="0" w:type="dxa"/>
              <w:left w:w="108" w:type="dxa"/>
              <w:bottom w:w="0" w:type="dxa"/>
              <w:right w:w="108" w:type="dxa"/>
            </w:tcMar>
            <w:vAlign w:val="bottom"/>
            <w:hideMark/>
          </w:tcPr>
          <w:p w:rsidR="006421E2" w:rsidRDefault="000F3D77" w:rsidP="001943C3">
            <w:pPr>
              <w:tabs>
                <w:tab w:val="right" w:pos="582"/>
                <w:tab w:val="right" w:pos="1417"/>
              </w:tabs>
              <w:jc w:val="right"/>
              <w:rPr>
                <w:rFonts w:eastAsiaTheme="minorHAnsi"/>
                <w:color w:val="000000"/>
                <w:sz w:val="20"/>
              </w:rPr>
            </w:pPr>
            <w:r>
              <w:rPr>
                <w:color w:val="000000"/>
                <w:sz w:val="20"/>
              </w:rPr>
              <w:tab/>
            </w:r>
            <w:r w:rsidR="006421E2">
              <w:rPr>
                <w:color w:val="000000"/>
                <w:sz w:val="20"/>
              </w:rPr>
              <w:t>615</w:t>
            </w:r>
            <w:r>
              <w:rPr>
                <w:color w:val="000000"/>
                <w:sz w:val="20"/>
              </w:rPr>
              <w:tab/>
            </w:r>
            <w:r w:rsidR="006421E2">
              <w:rPr>
                <w:color w:val="000000"/>
                <w:sz w:val="20"/>
              </w:rPr>
              <w:t>(5.8%)</w:t>
            </w:r>
          </w:p>
        </w:tc>
      </w:tr>
      <w:tr w:rsidR="006421E2" w:rsidTr="001943C3">
        <w:trPr>
          <w:trHeight w:val="255"/>
        </w:trPr>
        <w:tc>
          <w:tcPr>
            <w:tcW w:w="1291" w:type="dxa"/>
            <w:noWrap/>
            <w:tcMar>
              <w:top w:w="0" w:type="dxa"/>
              <w:left w:w="108" w:type="dxa"/>
              <w:bottom w:w="0" w:type="dxa"/>
              <w:right w:w="108" w:type="dxa"/>
            </w:tcMar>
            <w:vAlign w:val="bottom"/>
            <w:hideMark/>
          </w:tcPr>
          <w:p w:rsidR="006421E2" w:rsidRDefault="006421E2">
            <w:pPr>
              <w:rPr>
                <w:rFonts w:eastAsiaTheme="minorHAnsi"/>
                <w:color w:val="000000"/>
                <w:sz w:val="20"/>
              </w:rPr>
            </w:pPr>
            <w:r>
              <w:rPr>
                <w:color w:val="000000"/>
                <w:sz w:val="20"/>
              </w:rPr>
              <w:t>11 to 20</w:t>
            </w:r>
          </w:p>
        </w:tc>
        <w:tc>
          <w:tcPr>
            <w:tcW w:w="1502" w:type="dxa"/>
            <w:noWrap/>
            <w:tcMar>
              <w:top w:w="0" w:type="dxa"/>
              <w:left w:w="108" w:type="dxa"/>
              <w:bottom w:w="0" w:type="dxa"/>
              <w:right w:w="108" w:type="dxa"/>
            </w:tcMar>
            <w:vAlign w:val="bottom"/>
            <w:hideMark/>
          </w:tcPr>
          <w:p w:rsidR="006421E2" w:rsidRDefault="000F3D77" w:rsidP="001943C3">
            <w:pPr>
              <w:tabs>
                <w:tab w:val="right" w:pos="582"/>
                <w:tab w:val="right" w:pos="1417"/>
              </w:tabs>
              <w:jc w:val="right"/>
              <w:rPr>
                <w:rFonts w:eastAsiaTheme="minorHAnsi"/>
                <w:color w:val="000000"/>
                <w:sz w:val="20"/>
              </w:rPr>
            </w:pPr>
            <w:r>
              <w:rPr>
                <w:color w:val="000000"/>
                <w:sz w:val="20"/>
              </w:rPr>
              <w:tab/>
            </w:r>
            <w:r w:rsidR="006421E2">
              <w:rPr>
                <w:color w:val="000000"/>
                <w:sz w:val="20"/>
              </w:rPr>
              <w:t>227</w:t>
            </w:r>
            <w:r>
              <w:rPr>
                <w:color w:val="000000"/>
                <w:sz w:val="20"/>
              </w:rPr>
              <w:tab/>
            </w:r>
            <w:r w:rsidR="006421E2">
              <w:rPr>
                <w:color w:val="000000"/>
                <w:sz w:val="20"/>
              </w:rPr>
              <w:t>(4.9%)</w:t>
            </w:r>
          </w:p>
        </w:tc>
        <w:tc>
          <w:tcPr>
            <w:tcW w:w="1503" w:type="dxa"/>
            <w:noWrap/>
            <w:tcMar>
              <w:top w:w="0" w:type="dxa"/>
              <w:left w:w="108" w:type="dxa"/>
              <w:bottom w:w="0" w:type="dxa"/>
              <w:right w:w="108" w:type="dxa"/>
            </w:tcMar>
            <w:vAlign w:val="bottom"/>
            <w:hideMark/>
          </w:tcPr>
          <w:p w:rsidR="006421E2" w:rsidRDefault="000F3D77" w:rsidP="001943C3">
            <w:pPr>
              <w:tabs>
                <w:tab w:val="right" w:pos="582"/>
                <w:tab w:val="right" w:pos="1417"/>
              </w:tabs>
              <w:jc w:val="right"/>
              <w:rPr>
                <w:rFonts w:eastAsiaTheme="minorHAnsi"/>
                <w:color w:val="000000"/>
                <w:sz w:val="20"/>
              </w:rPr>
            </w:pPr>
            <w:r>
              <w:rPr>
                <w:color w:val="000000"/>
                <w:sz w:val="20"/>
              </w:rPr>
              <w:tab/>
            </w:r>
            <w:r w:rsidR="006421E2">
              <w:rPr>
                <w:color w:val="000000"/>
                <w:sz w:val="20"/>
              </w:rPr>
              <w:t>228</w:t>
            </w:r>
            <w:r>
              <w:rPr>
                <w:color w:val="000000"/>
                <w:sz w:val="20"/>
              </w:rPr>
              <w:tab/>
            </w:r>
            <w:r w:rsidR="006421E2">
              <w:rPr>
                <w:color w:val="000000"/>
                <w:sz w:val="20"/>
              </w:rPr>
              <w:t>(4.1%)</w:t>
            </w:r>
          </w:p>
        </w:tc>
        <w:tc>
          <w:tcPr>
            <w:tcW w:w="1502" w:type="dxa"/>
            <w:noWrap/>
            <w:tcMar>
              <w:top w:w="0" w:type="dxa"/>
              <w:left w:w="108" w:type="dxa"/>
              <w:bottom w:w="0" w:type="dxa"/>
              <w:right w:w="108" w:type="dxa"/>
            </w:tcMar>
            <w:vAlign w:val="bottom"/>
            <w:hideMark/>
          </w:tcPr>
          <w:p w:rsidR="006421E2" w:rsidRDefault="000F3D77" w:rsidP="001943C3">
            <w:pPr>
              <w:tabs>
                <w:tab w:val="right" w:pos="582"/>
                <w:tab w:val="right" w:pos="1417"/>
              </w:tabs>
              <w:jc w:val="right"/>
              <w:rPr>
                <w:rFonts w:eastAsiaTheme="minorHAnsi"/>
                <w:color w:val="000000"/>
                <w:sz w:val="20"/>
              </w:rPr>
            </w:pPr>
            <w:r>
              <w:rPr>
                <w:color w:val="000000"/>
                <w:sz w:val="20"/>
              </w:rPr>
              <w:tab/>
            </w:r>
            <w:r w:rsidR="006421E2">
              <w:rPr>
                <w:color w:val="000000"/>
                <w:sz w:val="20"/>
              </w:rPr>
              <w:t>321</w:t>
            </w:r>
            <w:r>
              <w:rPr>
                <w:color w:val="000000"/>
                <w:sz w:val="20"/>
              </w:rPr>
              <w:tab/>
            </w:r>
            <w:r w:rsidR="006421E2">
              <w:rPr>
                <w:color w:val="000000"/>
                <w:sz w:val="20"/>
              </w:rPr>
              <w:t>(6.0%)</w:t>
            </w:r>
          </w:p>
        </w:tc>
        <w:tc>
          <w:tcPr>
            <w:tcW w:w="1503" w:type="dxa"/>
            <w:noWrap/>
            <w:tcMar>
              <w:top w:w="0" w:type="dxa"/>
              <w:left w:w="108" w:type="dxa"/>
              <w:bottom w:w="0" w:type="dxa"/>
              <w:right w:w="108" w:type="dxa"/>
            </w:tcMar>
            <w:vAlign w:val="bottom"/>
            <w:hideMark/>
          </w:tcPr>
          <w:p w:rsidR="006421E2" w:rsidRDefault="000F3D77" w:rsidP="001943C3">
            <w:pPr>
              <w:tabs>
                <w:tab w:val="right" w:pos="582"/>
                <w:tab w:val="right" w:pos="1417"/>
              </w:tabs>
              <w:jc w:val="right"/>
              <w:rPr>
                <w:rFonts w:eastAsiaTheme="minorHAnsi"/>
                <w:color w:val="000000"/>
                <w:sz w:val="20"/>
              </w:rPr>
            </w:pPr>
            <w:r>
              <w:rPr>
                <w:color w:val="000000"/>
                <w:sz w:val="20"/>
              </w:rPr>
              <w:tab/>
            </w:r>
            <w:r w:rsidR="006421E2">
              <w:rPr>
                <w:color w:val="000000"/>
                <w:sz w:val="20"/>
              </w:rPr>
              <w:t>453</w:t>
            </w:r>
            <w:r>
              <w:rPr>
                <w:color w:val="000000"/>
                <w:sz w:val="20"/>
              </w:rPr>
              <w:tab/>
            </w:r>
            <w:r w:rsidR="006421E2">
              <w:rPr>
                <w:color w:val="000000"/>
                <w:sz w:val="20"/>
              </w:rPr>
              <w:t>(7.5%)</w:t>
            </w:r>
          </w:p>
        </w:tc>
        <w:tc>
          <w:tcPr>
            <w:tcW w:w="1503" w:type="dxa"/>
            <w:noWrap/>
            <w:tcMar>
              <w:top w:w="0" w:type="dxa"/>
              <w:left w:w="108" w:type="dxa"/>
              <w:bottom w:w="0" w:type="dxa"/>
              <w:right w:w="108" w:type="dxa"/>
            </w:tcMar>
            <w:vAlign w:val="bottom"/>
            <w:hideMark/>
          </w:tcPr>
          <w:p w:rsidR="006421E2" w:rsidRDefault="000F3D77" w:rsidP="001943C3">
            <w:pPr>
              <w:tabs>
                <w:tab w:val="right" w:pos="582"/>
                <w:tab w:val="right" w:pos="1417"/>
              </w:tabs>
              <w:jc w:val="right"/>
              <w:rPr>
                <w:rFonts w:eastAsiaTheme="minorHAnsi"/>
                <w:color w:val="000000"/>
                <w:sz w:val="20"/>
              </w:rPr>
            </w:pPr>
            <w:r>
              <w:rPr>
                <w:color w:val="000000"/>
                <w:sz w:val="20"/>
              </w:rPr>
              <w:tab/>
            </w:r>
            <w:r w:rsidR="006421E2">
              <w:rPr>
                <w:color w:val="000000"/>
                <w:sz w:val="20"/>
              </w:rPr>
              <w:t>751</w:t>
            </w:r>
            <w:r>
              <w:rPr>
                <w:color w:val="000000"/>
                <w:sz w:val="20"/>
              </w:rPr>
              <w:tab/>
            </w:r>
            <w:r w:rsidR="006421E2">
              <w:rPr>
                <w:color w:val="000000"/>
                <w:sz w:val="20"/>
              </w:rPr>
              <w:t>(7.1%)</w:t>
            </w:r>
          </w:p>
        </w:tc>
      </w:tr>
      <w:tr w:rsidR="006421E2" w:rsidTr="001943C3">
        <w:trPr>
          <w:trHeight w:val="255"/>
        </w:trPr>
        <w:tc>
          <w:tcPr>
            <w:tcW w:w="1291" w:type="dxa"/>
            <w:noWrap/>
            <w:tcMar>
              <w:top w:w="0" w:type="dxa"/>
              <w:left w:w="108" w:type="dxa"/>
              <w:bottom w:w="0" w:type="dxa"/>
              <w:right w:w="108" w:type="dxa"/>
            </w:tcMar>
            <w:vAlign w:val="bottom"/>
            <w:hideMark/>
          </w:tcPr>
          <w:p w:rsidR="006421E2" w:rsidRDefault="006421E2">
            <w:pPr>
              <w:rPr>
                <w:rFonts w:eastAsiaTheme="minorHAnsi"/>
                <w:color w:val="000000"/>
                <w:sz w:val="20"/>
              </w:rPr>
            </w:pPr>
            <w:r>
              <w:rPr>
                <w:color w:val="000000"/>
                <w:sz w:val="20"/>
              </w:rPr>
              <w:t>20 to 50</w:t>
            </w:r>
          </w:p>
        </w:tc>
        <w:tc>
          <w:tcPr>
            <w:tcW w:w="1502" w:type="dxa"/>
            <w:noWrap/>
            <w:tcMar>
              <w:top w:w="0" w:type="dxa"/>
              <w:left w:w="108" w:type="dxa"/>
              <w:bottom w:w="0" w:type="dxa"/>
              <w:right w:w="108" w:type="dxa"/>
            </w:tcMar>
            <w:vAlign w:val="bottom"/>
            <w:hideMark/>
          </w:tcPr>
          <w:p w:rsidR="006421E2" w:rsidRDefault="000F3D77" w:rsidP="001943C3">
            <w:pPr>
              <w:tabs>
                <w:tab w:val="right" w:pos="582"/>
                <w:tab w:val="right" w:pos="1417"/>
              </w:tabs>
              <w:jc w:val="right"/>
              <w:rPr>
                <w:rFonts w:eastAsiaTheme="minorHAnsi"/>
                <w:color w:val="000000"/>
                <w:sz w:val="20"/>
              </w:rPr>
            </w:pPr>
            <w:r>
              <w:rPr>
                <w:color w:val="000000"/>
                <w:sz w:val="20"/>
              </w:rPr>
              <w:tab/>
            </w:r>
            <w:r w:rsidR="006421E2">
              <w:rPr>
                <w:color w:val="000000"/>
                <w:sz w:val="20"/>
              </w:rPr>
              <w:t>138</w:t>
            </w:r>
            <w:r>
              <w:rPr>
                <w:color w:val="000000"/>
                <w:sz w:val="20"/>
              </w:rPr>
              <w:tab/>
            </w:r>
            <w:r w:rsidR="006421E2">
              <w:rPr>
                <w:color w:val="000000"/>
                <w:sz w:val="20"/>
              </w:rPr>
              <w:t>(3.0%)</w:t>
            </w:r>
          </w:p>
        </w:tc>
        <w:tc>
          <w:tcPr>
            <w:tcW w:w="1503" w:type="dxa"/>
            <w:noWrap/>
            <w:tcMar>
              <w:top w:w="0" w:type="dxa"/>
              <w:left w:w="108" w:type="dxa"/>
              <w:bottom w:w="0" w:type="dxa"/>
              <w:right w:w="108" w:type="dxa"/>
            </w:tcMar>
            <w:vAlign w:val="bottom"/>
            <w:hideMark/>
          </w:tcPr>
          <w:p w:rsidR="006421E2" w:rsidRDefault="000F3D77" w:rsidP="001943C3">
            <w:pPr>
              <w:tabs>
                <w:tab w:val="right" w:pos="582"/>
                <w:tab w:val="right" w:pos="1417"/>
              </w:tabs>
              <w:jc w:val="right"/>
              <w:rPr>
                <w:rFonts w:eastAsiaTheme="minorHAnsi"/>
                <w:color w:val="000000"/>
                <w:sz w:val="20"/>
              </w:rPr>
            </w:pPr>
            <w:r>
              <w:rPr>
                <w:color w:val="000000"/>
                <w:sz w:val="20"/>
              </w:rPr>
              <w:tab/>
            </w:r>
            <w:r w:rsidR="006421E2">
              <w:rPr>
                <w:color w:val="000000"/>
                <w:sz w:val="20"/>
              </w:rPr>
              <w:t>151</w:t>
            </w:r>
            <w:r>
              <w:rPr>
                <w:color w:val="000000"/>
                <w:sz w:val="20"/>
              </w:rPr>
              <w:tab/>
            </w:r>
            <w:r w:rsidR="006421E2">
              <w:rPr>
                <w:color w:val="000000"/>
                <w:sz w:val="20"/>
              </w:rPr>
              <w:t>(2.7%)</w:t>
            </w:r>
          </w:p>
        </w:tc>
        <w:tc>
          <w:tcPr>
            <w:tcW w:w="1502" w:type="dxa"/>
            <w:noWrap/>
            <w:tcMar>
              <w:top w:w="0" w:type="dxa"/>
              <w:left w:w="108" w:type="dxa"/>
              <w:bottom w:w="0" w:type="dxa"/>
              <w:right w:w="108" w:type="dxa"/>
            </w:tcMar>
            <w:vAlign w:val="bottom"/>
            <w:hideMark/>
          </w:tcPr>
          <w:p w:rsidR="006421E2" w:rsidRDefault="000F3D77" w:rsidP="001943C3">
            <w:pPr>
              <w:tabs>
                <w:tab w:val="right" w:pos="582"/>
                <w:tab w:val="right" w:pos="1417"/>
              </w:tabs>
              <w:jc w:val="right"/>
              <w:rPr>
                <w:rFonts w:eastAsiaTheme="minorHAnsi"/>
                <w:color w:val="000000"/>
                <w:sz w:val="20"/>
              </w:rPr>
            </w:pPr>
            <w:r>
              <w:rPr>
                <w:color w:val="000000"/>
                <w:sz w:val="20"/>
              </w:rPr>
              <w:tab/>
            </w:r>
            <w:r w:rsidR="006421E2">
              <w:rPr>
                <w:color w:val="000000"/>
                <w:sz w:val="20"/>
              </w:rPr>
              <w:t>234</w:t>
            </w:r>
            <w:r>
              <w:rPr>
                <w:color w:val="000000"/>
                <w:sz w:val="20"/>
              </w:rPr>
              <w:tab/>
            </w:r>
            <w:r w:rsidR="006421E2">
              <w:rPr>
                <w:color w:val="000000"/>
                <w:sz w:val="20"/>
              </w:rPr>
              <w:t>(4.4%)</w:t>
            </w:r>
          </w:p>
        </w:tc>
        <w:tc>
          <w:tcPr>
            <w:tcW w:w="1503" w:type="dxa"/>
            <w:noWrap/>
            <w:tcMar>
              <w:top w:w="0" w:type="dxa"/>
              <w:left w:w="108" w:type="dxa"/>
              <w:bottom w:w="0" w:type="dxa"/>
              <w:right w:w="108" w:type="dxa"/>
            </w:tcMar>
            <w:vAlign w:val="bottom"/>
            <w:hideMark/>
          </w:tcPr>
          <w:p w:rsidR="006421E2" w:rsidRDefault="000F3D77" w:rsidP="001943C3">
            <w:pPr>
              <w:tabs>
                <w:tab w:val="right" w:pos="582"/>
                <w:tab w:val="right" w:pos="1417"/>
              </w:tabs>
              <w:jc w:val="right"/>
              <w:rPr>
                <w:rFonts w:eastAsiaTheme="minorHAnsi"/>
                <w:color w:val="000000"/>
                <w:sz w:val="20"/>
              </w:rPr>
            </w:pPr>
            <w:r>
              <w:rPr>
                <w:color w:val="000000"/>
                <w:sz w:val="20"/>
              </w:rPr>
              <w:tab/>
            </w:r>
            <w:r w:rsidR="006421E2">
              <w:rPr>
                <w:color w:val="000000"/>
                <w:sz w:val="20"/>
              </w:rPr>
              <w:t>641</w:t>
            </w:r>
            <w:r>
              <w:rPr>
                <w:color w:val="000000"/>
                <w:sz w:val="20"/>
              </w:rPr>
              <w:tab/>
            </w:r>
            <w:r w:rsidR="006421E2">
              <w:rPr>
                <w:color w:val="000000"/>
                <w:sz w:val="20"/>
              </w:rPr>
              <w:t>(10.6%)</w:t>
            </w:r>
          </w:p>
        </w:tc>
        <w:tc>
          <w:tcPr>
            <w:tcW w:w="1503" w:type="dxa"/>
            <w:noWrap/>
            <w:tcMar>
              <w:top w:w="0" w:type="dxa"/>
              <w:left w:w="108" w:type="dxa"/>
              <w:bottom w:w="0" w:type="dxa"/>
              <w:right w:w="108" w:type="dxa"/>
            </w:tcMar>
            <w:vAlign w:val="bottom"/>
            <w:hideMark/>
          </w:tcPr>
          <w:p w:rsidR="006421E2" w:rsidRDefault="000F3D77" w:rsidP="001943C3">
            <w:pPr>
              <w:tabs>
                <w:tab w:val="right" w:pos="582"/>
                <w:tab w:val="right" w:pos="1417"/>
              </w:tabs>
              <w:jc w:val="right"/>
              <w:rPr>
                <w:rFonts w:eastAsiaTheme="minorHAnsi"/>
                <w:color w:val="000000"/>
                <w:sz w:val="20"/>
              </w:rPr>
            </w:pPr>
            <w:r>
              <w:rPr>
                <w:color w:val="000000"/>
                <w:sz w:val="20"/>
              </w:rPr>
              <w:tab/>
            </w:r>
            <w:r w:rsidR="006421E2">
              <w:rPr>
                <w:color w:val="000000"/>
                <w:sz w:val="20"/>
              </w:rPr>
              <w:t>2</w:t>
            </w:r>
            <w:r>
              <w:rPr>
                <w:color w:val="000000"/>
                <w:sz w:val="20"/>
              </w:rPr>
              <w:t>,</w:t>
            </w:r>
            <w:r w:rsidR="006421E2">
              <w:rPr>
                <w:color w:val="000000"/>
                <w:sz w:val="20"/>
              </w:rPr>
              <w:t>032</w:t>
            </w:r>
            <w:r>
              <w:rPr>
                <w:color w:val="000000"/>
                <w:sz w:val="20"/>
              </w:rPr>
              <w:tab/>
            </w:r>
            <w:r w:rsidR="006421E2">
              <w:rPr>
                <w:color w:val="000000"/>
                <w:sz w:val="20"/>
              </w:rPr>
              <w:t>(19.1%)</w:t>
            </w:r>
          </w:p>
        </w:tc>
      </w:tr>
      <w:tr w:rsidR="006421E2" w:rsidTr="001943C3">
        <w:trPr>
          <w:trHeight w:val="255"/>
        </w:trPr>
        <w:tc>
          <w:tcPr>
            <w:tcW w:w="1291" w:type="dxa"/>
            <w:noWrap/>
            <w:tcMar>
              <w:top w:w="0" w:type="dxa"/>
              <w:left w:w="108" w:type="dxa"/>
              <w:bottom w:w="0" w:type="dxa"/>
              <w:right w:w="108" w:type="dxa"/>
            </w:tcMar>
            <w:vAlign w:val="bottom"/>
            <w:hideMark/>
          </w:tcPr>
          <w:p w:rsidR="006421E2" w:rsidRDefault="006421E2">
            <w:pPr>
              <w:rPr>
                <w:rFonts w:eastAsiaTheme="minorHAnsi"/>
                <w:color w:val="000000"/>
                <w:sz w:val="20"/>
              </w:rPr>
            </w:pPr>
            <w:r>
              <w:rPr>
                <w:color w:val="000000"/>
                <w:sz w:val="20"/>
              </w:rPr>
              <w:t>51 or more</w:t>
            </w:r>
          </w:p>
        </w:tc>
        <w:tc>
          <w:tcPr>
            <w:tcW w:w="1502" w:type="dxa"/>
            <w:noWrap/>
            <w:tcMar>
              <w:top w:w="0" w:type="dxa"/>
              <w:left w:w="108" w:type="dxa"/>
              <w:bottom w:w="0" w:type="dxa"/>
              <w:right w:w="108" w:type="dxa"/>
            </w:tcMar>
            <w:vAlign w:val="bottom"/>
            <w:hideMark/>
          </w:tcPr>
          <w:p w:rsidR="006421E2" w:rsidRDefault="000F3D77" w:rsidP="001943C3">
            <w:pPr>
              <w:tabs>
                <w:tab w:val="right" w:pos="582"/>
                <w:tab w:val="right" w:pos="1417"/>
              </w:tabs>
              <w:jc w:val="right"/>
              <w:rPr>
                <w:rFonts w:eastAsiaTheme="minorHAnsi"/>
                <w:color w:val="000000"/>
                <w:sz w:val="20"/>
              </w:rPr>
            </w:pPr>
            <w:r>
              <w:rPr>
                <w:color w:val="000000"/>
                <w:sz w:val="20"/>
              </w:rPr>
              <w:tab/>
            </w:r>
            <w:r w:rsidR="006421E2">
              <w:rPr>
                <w:color w:val="000000"/>
                <w:sz w:val="20"/>
              </w:rPr>
              <w:t>61</w:t>
            </w:r>
            <w:r>
              <w:rPr>
                <w:color w:val="000000"/>
                <w:sz w:val="20"/>
              </w:rPr>
              <w:tab/>
            </w:r>
            <w:r w:rsidR="006421E2">
              <w:rPr>
                <w:color w:val="000000"/>
                <w:sz w:val="20"/>
              </w:rPr>
              <w:t>(1.3%)</w:t>
            </w:r>
          </w:p>
        </w:tc>
        <w:tc>
          <w:tcPr>
            <w:tcW w:w="1503" w:type="dxa"/>
            <w:noWrap/>
            <w:tcMar>
              <w:top w:w="0" w:type="dxa"/>
              <w:left w:w="108" w:type="dxa"/>
              <w:bottom w:w="0" w:type="dxa"/>
              <w:right w:w="108" w:type="dxa"/>
            </w:tcMar>
            <w:vAlign w:val="bottom"/>
            <w:hideMark/>
          </w:tcPr>
          <w:p w:rsidR="006421E2" w:rsidRDefault="000F3D77" w:rsidP="001943C3">
            <w:pPr>
              <w:tabs>
                <w:tab w:val="right" w:pos="582"/>
                <w:tab w:val="right" w:pos="1417"/>
              </w:tabs>
              <w:jc w:val="right"/>
              <w:rPr>
                <w:rFonts w:eastAsiaTheme="minorHAnsi"/>
                <w:color w:val="000000"/>
                <w:sz w:val="20"/>
              </w:rPr>
            </w:pPr>
            <w:r>
              <w:rPr>
                <w:color w:val="000000"/>
                <w:sz w:val="20"/>
              </w:rPr>
              <w:tab/>
            </w:r>
            <w:r w:rsidR="006421E2">
              <w:rPr>
                <w:color w:val="000000"/>
                <w:sz w:val="20"/>
              </w:rPr>
              <w:t>723</w:t>
            </w:r>
            <w:r>
              <w:rPr>
                <w:color w:val="000000"/>
                <w:sz w:val="20"/>
              </w:rPr>
              <w:tab/>
            </w:r>
            <w:r w:rsidR="006421E2">
              <w:rPr>
                <w:color w:val="000000"/>
                <w:sz w:val="20"/>
              </w:rPr>
              <w:t>(13.0%)</w:t>
            </w:r>
          </w:p>
        </w:tc>
        <w:tc>
          <w:tcPr>
            <w:tcW w:w="1502" w:type="dxa"/>
            <w:noWrap/>
            <w:tcMar>
              <w:top w:w="0" w:type="dxa"/>
              <w:left w:w="108" w:type="dxa"/>
              <w:bottom w:w="0" w:type="dxa"/>
              <w:right w:w="108" w:type="dxa"/>
            </w:tcMar>
            <w:vAlign w:val="bottom"/>
            <w:hideMark/>
          </w:tcPr>
          <w:p w:rsidR="006421E2" w:rsidRDefault="000F3D77" w:rsidP="001943C3">
            <w:pPr>
              <w:tabs>
                <w:tab w:val="right" w:pos="582"/>
                <w:tab w:val="right" w:pos="1417"/>
              </w:tabs>
              <w:jc w:val="right"/>
              <w:rPr>
                <w:rFonts w:eastAsiaTheme="minorHAnsi"/>
                <w:color w:val="000000"/>
                <w:sz w:val="20"/>
              </w:rPr>
            </w:pPr>
            <w:r>
              <w:rPr>
                <w:color w:val="000000"/>
                <w:sz w:val="20"/>
              </w:rPr>
              <w:tab/>
            </w:r>
            <w:r w:rsidR="006421E2">
              <w:rPr>
                <w:color w:val="000000"/>
                <w:sz w:val="20"/>
              </w:rPr>
              <w:t>229</w:t>
            </w:r>
            <w:r>
              <w:rPr>
                <w:color w:val="000000"/>
                <w:sz w:val="20"/>
              </w:rPr>
              <w:tab/>
            </w:r>
            <w:r w:rsidR="006421E2">
              <w:rPr>
                <w:color w:val="000000"/>
                <w:sz w:val="20"/>
              </w:rPr>
              <w:t>(4.3%)</w:t>
            </w:r>
          </w:p>
        </w:tc>
        <w:tc>
          <w:tcPr>
            <w:tcW w:w="1503" w:type="dxa"/>
            <w:noWrap/>
            <w:tcMar>
              <w:top w:w="0" w:type="dxa"/>
              <w:left w:w="108" w:type="dxa"/>
              <w:bottom w:w="0" w:type="dxa"/>
              <w:right w:w="108" w:type="dxa"/>
            </w:tcMar>
            <w:vAlign w:val="bottom"/>
            <w:hideMark/>
          </w:tcPr>
          <w:p w:rsidR="006421E2" w:rsidRDefault="000F3D77" w:rsidP="001943C3">
            <w:pPr>
              <w:tabs>
                <w:tab w:val="right" w:pos="582"/>
                <w:tab w:val="right" w:pos="1417"/>
              </w:tabs>
              <w:jc w:val="right"/>
              <w:rPr>
                <w:rFonts w:eastAsiaTheme="minorHAnsi"/>
                <w:color w:val="000000"/>
                <w:sz w:val="20"/>
              </w:rPr>
            </w:pPr>
            <w:r>
              <w:rPr>
                <w:color w:val="000000"/>
                <w:sz w:val="20"/>
              </w:rPr>
              <w:tab/>
            </w:r>
            <w:r w:rsidR="006421E2">
              <w:rPr>
                <w:color w:val="000000"/>
                <w:sz w:val="20"/>
              </w:rPr>
              <w:t>69</w:t>
            </w:r>
            <w:r>
              <w:rPr>
                <w:color w:val="000000"/>
                <w:sz w:val="20"/>
              </w:rPr>
              <w:tab/>
            </w:r>
            <w:r w:rsidR="006421E2">
              <w:rPr>
                <w:color w:val="000000"/>
                <w:sz w:val="20"/>
              </w:rPr>
              <w:t>(1.1%)</w:t>
            </w:r>
          </w:p>
        </w:tc>
        <w:tc>
          <w:tcPr>
            <w:tcW w:w="1503" w:type="dxa"/>
            <w:noWrap/>
            <w:tcMar>
              <w:top w:w="0" w:type="dxa"/>
              <w:left w:w="108" w:type="dxa"/>
              <w:bottom w:w="0" w:type="dxa"/>
              <w:right w:w="108" w:type="dxa"/>
            </w:tcMar>
            <w:vAlign w:val="bottom"/>
            <w:hideMark/>
          </w:tcPr>
          <w:p w:rsidR="006421E2" w:rsidRDefault="000F3D77" w:rsidP="001943C3">
            <w:pPr>
              <w:tabs>
                <w:tab w:val="right" w:pos="582"/>
                <w:tab w:val="right" w:pos="1417"/>
              </w:tabs>
              <w:jc w:val="right"/>
              <w:rPr>
                <w:rFonts w:eastAsiaTheme="minorHAnsi"/>
                <w:color w:val="000000"/>
                <w:sz w:val="20"/>
              </w:rPr>
            </w:pPr>
            <w:r>
              <w:rPr>
                <w:color w:val="000000"/>
                <w:sz w:val="20"/>
              </w:rPr>
              <w:tab/>
            </w:r>
            <w:r w:rsidR="006421E2">
              <w:rPr>
                <w:color w:val="000000"/>
                <w:sz w:val="20"/>
              </w:rPr>
              <w:t>1</w:t>
            </w:r>
            <w:r>
              <w:rPr>
                <w:color w:val="000000"/>
                <w:sz w:val="20"/>
              </w:rPr>
              <w:t>,</w:t>
            </w:r>
            <w:r w:rsidR="006421E2">
              <w:rPr>
                <w:color w:val="000000"/>
                <w:sz w:val="20"/>
              </w:rPr>
              <w:t>835</w:t>
            </w:r>
            <w:r>
              <w:rPr>
                <w:color w:val="000000"/>
                <w:sz w:val="20"/>
              </w:rPr>
              <w:tab/>
            </w:r>
            <w:r w:rsidR="006421E2">
              <w:rPr>
                <w:color w:val="000000"/>
                <w:sz w:val="20"/>
              </w:rPr>
              <w:t>(17.3%)</w:t>
            </w:r>
          </w:p>
        </w:tc>
      </w:tr>
      <w:tr w:rsidR="006421E2" w:rsidTr="001943C3">
        <w:trPr>
          <w:trHeight w:val="255"/>
        </w:trPr>
        <w:tc>
          <w:tcPr>
            <w:tcW w:w="1291" w:type="dxa"/>
            <w:noWrap/>
            <w:tcMar>
              <w:top w:w="0" w:type="dxa"/>
              <w:left w:w="108" w:type="dxa"/>
              <w:bottom w:w="0" w:type="dxa"/>
              <w:right w:w="108" w:type="dxa"/>
            </w:tcMar>
            <w:vAlign w:val="bottom"/>
            <w:hideMark/>
          </w:tcPr>
          <w:p w:rsidR="006421E2" w:rsidRDefault="006421E2">
            <w:pPr>
              <w:rPr>
                <w:rFonts w:eastAsiaTheme="minorHAnsi"/>
                <w:i/>
                <w:iCs/>
                <w:color w:val="000000"/>
                <w:sz w:val="20"/>
                <w:lang w:eastAsia="en-GB"/>
              </w:rPr>
            </w:pPr>
            <w:r>
              <w:rPr>
                <w:i/>
                <w:iCs/>
                <w:color w:val="000000"/>
                <w:sz w:val="20"/>
                <w:lang w:eastAsia="en-GB"/>
              </w:rPr>
              <w:t>Total</w:t>
            </w:r>
          </w:p>
        </w:tc>
        <w:tc>
          <w:tcPr>
            <w:tcW w:w="1502" w:type="dxa"/>
            <w:noWrap/>
            <w:tcMar>
              <w:top w:w="0" w:type="dxa"/>
              <w:left w:w="108" w:type="dxa"/>
              <w:bottom w:w="0" w:type="dxa"/>
              <w:right w:w="108" w:type="dxa"/>
            </w:tcMar>
            <w:vAlign w:val="bottom"/>
            <w:hideMark/>
          </w:tcPr>
          <w:p w:rsidR="006421E2" w:rsidRDefault="006421E2" w:rsidP="001943C3">
            <w:pPr>
              <w:tabs>
                <w:tab w:val="right" w:pos="582"/>
                <w:tab w:val="right" w:pos="1417"/>
              </w:tabs>
              <w:jc w:val="center"/>
              <w:rPr>
                <w:rFonts w:eastAsiaTheme="minorHAnsi"/>
                <w:i/>
                <w:iCs/>
                <w:color w:val="000000"/>
                <w:sz w:val="20"/>
                <w:lang w:eastAsia="en-GB"/>
              </w:rPr>
            </w:pPr>
            <w:r>
              <w:rPr>
                <w:i/>
                <w:iCs/>
                <w:color w:val="000000"/>
                <w:sz w:val="20"/>
                <w:lang w:eastAsia="en-GB"/>
              </w:rPr>
              <w:t>4</w:t>
            </w:r>
            <w:r w:rsidR="000F3D77">
              <w:rPr>
                <w:i/>
                <w:iCs/>
                <w:color w:val="000000"/>
                <w:sz w:val="20"/>
                <w:lang w:eastAsia="en-GB"/>
              </w:rPr>
              <w:t>,</w:t>
            </w:r>
            <w:r>
              <w:rPr>
                <w:i/>
                <w:iCs/>
                <w:color w:val="000000"/>
                <w:sz w:val="20"/>
                <w:lang w:eastAsia="en-GB"/>
              </w:rPr>
              <w:t>635</w:t>
            </w:r>
          </w:p>
        </w:tc>
        <w:tc>
          <w:tcPr>
            <w:tcW w:w="1503" w:type="dxa"/>
            <w:noWrap/>
            <w:tcMar>
              <w:top w:w="0" w:type="dxa"/>
              <w:left w:w="108" w:type="dxa"/>
              <w:bottom w:w="0" w:type="dxa"/>
              <w:right w:w="108" w:type="dxa"/>
            </w:tcMar>
            <w:vAlign w:val="bottom"/>
            <w:hideMark/>
          </w:tcPr>
          <w:p w:rsidR="006421E2" w:rsidRDefault="006421E2" w:rsidP="001943C3">
            <w:pPr>
              <w:tabs>
                <w:tab w:val="right" w:pos="582"/>
                <w:tab w:val="right" w:pos="1417"/>
              </w:tabs>
              <w:jc w:val="center"/>
              <w:rPr>
                <w:rFonts w:eastAsiaTheme="minorHAnsi"/>
                <w:i/>
                <w:iCs/>
                <w:color w:val="000000"/>
                <w:sz w:val="20"/>
                <w:lang w:eastAsia="en-GB"/>
              </w:rPr>
            </w:pPr>
            <w:r>
              <w:rPr>
                <w:i/>
                <w:iCs/>
                <w:color w:val="000000"/>
                <w:sz w:val="20"/>
                <w:lang w:eastAsia="en-GB"/>
              </w:rPr>
              <w:t>5</w:t>
            </w:r>
            <w:r w:rsidR="000F3D77">
              <w:rPr>
                <w:i/>
                <w:iCs/>
                <w:color w:val="000000"/>
                <w:sz w:val="20"/>
                <w:lang w:eastAsia="en-GB"/>
              </w:rPr>
              <w:t>,</w:t>
            </w:r>
            <w:r>
              <w:rPr>
                <w:i/>
                <w:iCs/>
                <w:color w:val="000000"/>
                <w:sz w:val="20"/>
                <w:lang w:eastAsia="en-GB"/>
              </w:rPr>
              <w:t>548</w:t>
            </w:r>
          </w:p>
        </w:tc>
        <w:tc>
          <w:tcPr>
            <w:tcW w:w="1502" w:type="dxa"/>
            <w:noWrap/>
            <w:tcMar>
              <w:top w:w="0" w:type="dxa"/>
              <w:left w:w="108" w:type="dxa"/>
              <w:bottom w:w="0" w:type="dxa"/>
              <w:right w:w="108" w:type="dxa"/>
            </w:tcMar>
            <w:vAlign w:val="bottom"/>
            <w:hideMark/>
          </w:tcPr>
          <w:p w:rsidR="006421E2" w:rsidRDefault="006421E2" w:rsidP="001943C3">
            <w:pPr>
              <w:tabs>
                <w:tab w:val="right" w:pos="582"/>
                <w:tab w:val="right" w:pos="1417"/>
              </w:tabs>
              <w:jc w:val="center"/>
              <w:rPr>
                <w:rFonts w:eastAsiaTheme="minorHAnsi"/>
                <w:i/>
                <w:iCs/>
                <w:color w:val="000000"/>
                <w:sz w:val="20"/>
                <w:lang w:eastAsia="en-GB"/>
              </w:rPr>
            </w:pPr>
            <w:r>
              <w:rPr>
                <w:i/>
                <w:iCs/>
                <w:color w:val="000000"/>
                <w:sz w:val="20"/>
                <w:lang w:eastAsia="en-GB"/>
              </w:rPr>
              <w:t>5</w:t>
            </w:r>
            <w:r w:rsidR="000F3D77">
              <w:rPr>
                <w:i/>
                <w:iCs/>
                <w:color w:val="000000"/>
                <w:sz w:val="20"/>
                <w:lang w:eastAsia="en-GB"/>
              </w:rPr>
              <w:t>,</w:t>
            </w:r>
            <w:r>
              <w:rPr>
                <w:i/>
                <w:iCs/>
                <w:color w:val="000000"/>
                <w:sz w:val="20"/>
                <w:lang w:eastAsia="en-GB"/>
              </w:rPr>
              <w:t>375</w:t>
            </w:r>
          </w:p>
        </w:tc>
        <w:tc>
          <w:tcPr>
            <w:tcW w:w="1503" w:type="dxa"/>
            <w:noWrap/>
            <w:tcMar>
              <w:top w:w="0" w:type="dxa"/>
              <w:left w:w="108" w:type="dxa"/>
              <w:bottom w:w="0" w:type="dxa"/>
              <w:right w:w="108" w:type="dxa"/>
            </w:tcMar>
            <w:vAlign w:val="bottom"/>
            <w:hideMark/>
          </w:tcPr>
          <w:p w:rsidR="006421E2" w:rsidRDefault="006421E2" w:rsidP="001943C3">
            <w:pPr>
              <w:tabs>
                <w:tab w:val="right" w:pos="582"/>
                <w:tab w:val="right" w:pos="1417"/>
              </w:tabs>
              <w:jc w:val="center"/>
              <w:rPr>
                <w:rFonts w:eastAsiaTheme="minorHAnsi"/>
                <w:i/>
                <w:iCs/>
                <w:color w:val="000000"/>
                <w:sz w:val="20"/>
                <w:lang w:eastAsia="en-GB"/>
              </w:rPr>
            </w:pPr>
            <w:r>
              <w:rPr>
                <w:i/>
                <w:iCs/>
                <w:color w:val="000000"/>
                <w:sz w:val="20"/>
                <w:lang w:eastAsia="en-GB"/>
              </w:rPr>
              <w:t>6</w:t>
            </w:r>
            <w:r w:rsidR="000F3D77">
              <w:rPr>
                <w:i/>
                <w:iCs/>
                <w:color w:val="000000"/>
                <w:sz w:val="20"/>
                <w:lang w:eastAsia="en-GB"/>
              </w:rPr>
              <w:t>,</w:t>
            </w:r>
            <w:r>
              <w:rPr>
                <w:i/>
                <w:iCs/>
                <w:color w:val="000000"/>
                <w:sz w:val="20"/>
                <w:lang w:eastAsia="en-GB"/>
              </w:rPr>
              <w:t>041</w:t>
            </w:r>
          </w:p>
        </w:tc>
        <w:tc>
          <w:tcPr>
            <w:tcW w:w="1503" w:type="dxa"/>
            <w:noWrap/>
            <w:tcMar>
              <w:top w:w="0" w:type="dxa"/>
              <w:left w:w="108" w:type="dxa"/>
              <w:bottom w:w="0" w:type="dxa"/>
              <w:right w:w="108" w:type="dxa"/>
            </w:tcMar>
            <w:vAlign w:val="bottom"/>
            <w:hideMark/>
          </w:tcPr>
          <w:p w:rsidR="006421E2" w:rsidRDefault="006421E2" w:rsidP="001943C3">
            <w:pPr>
              <w:tabs>
                <w:tab w:val="right" w:pos="582"/>
                <w:tab w:val="right" w:pos="1417"/>
              </w:tabs>
              <w:jc w:val="center"/>
              <w:rPr>
                <w:rFonts w:eastAsiaTheme="minorHAnsi"/>
                <w:i/>
                <w:iCs/>
                <w:color w:val="000000"/>
                <w:sz w:val="20"/>
                <w:lang w:eastAsia="en-GB"/>
              </w:rPr>
            </w:pPr>
            <w:r>
              <w:rPr>
                <w:i/>
                <w:iCs/>
                <w:color w:val="000000"/>
                <w:sz w:val="20"/>
                <w:lang w:eastAsia="en-GB"/>
              </w:rPr>
              <w:t>10</w:t>
            </w:r>
            <w:r w:rsidR="000F3D77">
              <w:rPr>
                <w:i/>
                <w:iCs/>
                <w:color w:val="000000"/>
                <w:sz w:val="20"/>
                <w:lang w:eastAsia="en-GB"/>
              </w:rPr>
              <w:t>,</w:t>
            </w:r>
            <w:r>
              <w:rPr>
                <w:i/>
                <w:iCs/>
                <w:color w:val="000000"/>
                <w:sz w:val="20"/>
                <w:lang w:eastAsia="en-GB"/>
              </w:rPr>
              <w:t>631</w:t>
            </w:r>
          </w:p>
        </w:tc>
      </w:tr>
    </w:tbl>
    <w:p w:rsidR="00E05BBF" w:rsidRPr="001943C3" w:rsidRDefault="00E05BBF" w:rsidP="001943C3"/>
    <w:p w:rsidR="00E1209B" w:rsidRDefault="00C242DB" w:rsidP="000D11A7">
      <w:pPr>
        <w:pStyle w:val="ONUME"/>
        <w:keepLines/>
        <w:rPr>
          <w:lang w:val="en-GB"/>
        </w:rPr>
      </w:pPr>
      <w:bookmarkStart w:id="7" w:name="_Ref477965873"/>
      <w:r w:rsidRPr="00E1209B">
        <w:rPr>
          <w:lang w:val="en-GB"/>
        </w:rPr>
        <w:t>The model used for the establishment of the above table provides a very simplistic grouping of applications per applicant – it is highly likely that some applications were not recognized as being part of a group and some applications should in fact be represented in lower rows of the table than they actually are.  In addition, i</w:t>
      </w:r>
      <w:r w:rsidR="006421E2" w:rsidRPr="00E1209B">
        <w:rPr>
          <w:lang w:val="en-GB"/>
        </w:rPr>
        <w:t xml:space="preserve">t is clearly not possible to say whether or not an applicant is standing in place of a “beneficial owner” solely based on whether or not he has filed more or </w:t>
      </w:r>
      <w:r w:rsidR="001F3B0E">
        <w:rPr>
          <w:lang w:val="en-GB"/>
        </w:rPr>
        <w:t>fewer</w:t>
      </w:r>
      <w:r w:rsidR="006421E2" w:rsidRPr="00E1209B">
        <w:rPr>
          <w:lang w:val="en-GB"/>
        </w:rPr>
        <w:t xml:space="preserve"> </w:t>
      </w:r>
      <w:r w:rsidRPr="00E1209B">
        <w:rPr>
          <w:lang w:val="en-GB"/>
        </w:rPr>
        <w:t xml:space="preserve">international applications </w:t>
      </w:r>
      <w:r w:rsidR="006421E2" w:rsidRPr="00E1209B">
        <w:rPr>
          <w:lang w:val="en-GB"/>
        </w:rPr>
        <w:t xml:space="preserve">than </w:t>
      </w:r>
      <w:r w:rsidR="00507693">
        <w:rPr>
          <w:lang w:val="en-GB"/>
        </w:rPr>
        <w:t xml:space="preserve">any particular </w:t>
      </w:r>
      <w:r w:rsidR="006421E2" w:rsidRPr="00E1209B">
        <w:rPr>
          <w:lang w:val="en-GB"/>
        </w:rPr>
        <w:t>cut</w:t>
      </w:r>
      <w:r w:rsidRPr="00E1209B">
        <w:rPr>
          <w:lang w:val="en-GB"/>
        </w:rPr>
        <w:t>-</w:t>
      </w:r>
      <w:r w:rsidR="006421E2" w:rsidRPr="00E1209B">
        <w:rPr>
          <w:lang w:val="en-GB"/>
        </w:rPr>
        <w:t xml:space="preserve">off number. </w:t>
      </w:r>
      <w:r w:rsidRPr="00E1209B">
        <w:rPr>
          <w:lang w:val="en-GB"/>
        </w:rPr>
        <w:t xml:space="preserve"> </w:t>
      </w:r>
      <w:r w:rsidR="006421E2" w:rsidRPr="00E1209B">
        <w:rPr>
          <w:lang w:val="en-GB"/>
        </w:rPr>
        <w:t xml:space="preserve">However, it </w:t>
      </w:r>
      <w:r w:rsidR="00804106">
        <w:rPr>
          <w:lang w:val="en-GB"/>
        </w:rPr>
        <w:t xml:space="preserve">would appear </w:t>
      </w:r>
      <w:r w:rsidR="006421E2" w:rsidRPr="00E1209B">
        <w:rPr>
          <w:lang w:val="en-GB"/>
        </w:rPr>
        <w:t xml:space="preserve">clear </w:t>
      </w:r>
      <w:r w:rsidRPr="00E1209B">
        <w:rPr>
          <w:lang w:val="en-GB"/>
        </w:rPr>
        <w:t xml:space="preserve">from the above figures </w:t>
      </w:r>
      <w:r w:rsidR="006421E2" w:rsidRPr="00E1209B">
        <w:rPr>
          <w:lang w:val="en-GB"/>
        </w:rPr>
        <w:t xml:space="preserve">that an increasing proportion of applications </w:t>
      </w:r>
      <w:r w:rsidRPr="00E1209B">
        <w:rPr>
          <w:lang w:val="en-GB"/>
        </w:rPr>
        <w:t xml:space="preserve">in respect of </w:t>
      </w:r>
      <w:r w:rsidR="006421E2" w:rsidRPr="00E1209B">
        <w:rPr>
          <w:lang w:val="en-GB"/>
        </w:rPr>
        <w:t xml:space="preserve">which </w:t>
      </w:r>
      <w:r w:rsidRPr="00E1209B">
        <w:rPr>
          <w:lang w:val="en-GB"/>
        </w:rPr>
        <w:t xml:space="preserve">fee reductions have been granted </w:t>
      </w:r>
      <w:r w:rsidR="006421E2" w:rsidRPr="00E1209B">
        <w:rPr>
          <w:lang w:val="en-GB"/>
        </w:rPr>
        <w:t xml:space="preserve">are filed by applicants who have filed </w:t>
      </w:r>
      <w:r w:rsidR="00804106">
        <w:rPr>
          <w:lang w:val="en-GB"/>
        </w:rPr>
        <w:t xml:space="preserve">a </w:t>
      </w:r>
      <w:r w:rsidR="006421E2" w:rsidRPr="00E1209B">
        <w:rPr>
          <w:lang w:val="en-GB"/>
        </w:rPr>
        <w:t xml:space="preserve">number of other </w:t>
      </w:r>
      <w:r w:rsidRPr="00E1209B">
        <w:rPr>
          <w:lang w:val="en-GB"/>
        </w:rPr>
        <w:t xml:space="preserve">international </w:t>
      </w:r>
      <w:r w:rsidR="006421E2" w:rsidRPr="00E1209B">
        <w:rPr>
          <w:lang w:val="en-GB"/>
        </w:rPr>
        <w:t xml:space="preserve">applications </w:t>
      </w:r>
      <w:r w:rsidRPr="00E1209B">
        <w:rPr>
          <w:lang w:val="en-GB"/>
        </w:rPr>
        <w:t xml:space="preserve">in a given year </w:t>
      </w:r>
      <w:r w:rsidR="006421E2" w:rsidRPr="00E1209B">
        <w:rPr>
          <w:lang w:val="en-GB"/>
        </w:rPr>
        <w:t>well beyond what would be possible for a genuine individual applicant to invent and describe without corporate support.</w:t>
      </w:r>
      <w:bookmarkEnd w:id="7"/>
    </w:p>
    <w:p w:rsidR="00E5450B" w:rsidRDefault="00507693" w:rsidP="00E5450B">
      <w:pPr>
        <w:pStyle w:val="ONUME"/>
        <w:keepLines/>
      </w:pPr>
      <w:r>
        <w:rPr>
          <w:lang w:val="en-GB"/>
        </w:rPr>
        <w:t>T</w:t>
      </w:r>
      <w:r w:rsidR="00804106">
        <w:rPr>
          <w:lang w:val="en-GB"/>
        </w:rPr>
        <w:t xml:space="preserve">he numbers set out in the above table point to </w:t>
      </w:r>
      <w:r>
        <w:rPr>
          <w:lang w:val="en-GB"/>
        </w:rPr>
        <w:t xml:space="preserve">an urgent </w:t>
      </w:r>
      <w:r w:rsidR="00804106">
        <w:rPr>
          <w:lang w:val="en-GB"/>
        </w:rPr>
        <w:t xml:space="preserve">need </w:t>
      </w:r>
      <w:r w:rsidR="00A557C9">
        <w:t>clarify the matter of eligibility</w:t>
      </w:r>
      <w:r w:rsidR="00725F01">
        <w:t xml:space="preserve"> by</w:t>
      </w:r>
      <w:r w:rsidR="00A557C9">
        <w:t xml:space="preserve"> add</w:t>
      </w:r>
      <w:r w:rsidR="00725F01">
        <w:t>ing</w:t>
      </w:r>
      <w:r w:rsidR="00A557C9">
        <w:t xml:space="preserve"> a proviso to item 5 of the Schedule of Fees, </w:t>
      </w:r>
      <w:r w:rsidR="00725F01" w:rsidRPr="00E5450B">
        <w:rPr>
          <w:lang w:val="en-GB"/>
        </w:rPr>
        <w:t>as had been proposed in document PCT/WG/9/10,</w:t>
      </w:r>
      <w:r w:rsidR="00A557C9">
        <w:t xml:space="preserve"> </w:t>
      </w:r>
      <w:r w:rsidR="00725F01">
        <w:t>further amended by the words “at the time of filing of the international application” (as had been suggested by the Delegation of the United States of America and agreed by the Working Group at its ninth session; see document PCT/WG/9/28, paragraph 127)</w:t>
      </w:r>
      <w:r w:rsidR="00E5450B">
        <w:t>.  For ease of reference, the proposal to amend item 5 of the PCT Schedule of Fees as originally set out in the Annex to document PCT/WG/9/10, further amended as indicated above, is reproduced in the Annex to the present document.</w:t>
      </w:r>
    </w:p>
    <w:p w:rsidR="00A557C9" w:rsidRDefault="009A6B76" w:rsidP="00A557C9">
      <w:pPr>
        <w:pStyle w:val="ONUME"/>
      </w:pPr>
      <w:bookmarkStart w:id="8" w:name="_Ref477965846"/>
      <w:r>
        <w:t>In addition, a</w:t>
      </w:r>
      <w:r w:rsidR="001F3B0E">
        <w:t>s</w:t>
      </w:r>
      <w:r>
        <w:t xml:space="preserve"> has been proposed in document PCT/WG/9/10, </w:t>
      </w:r>
      <w:r w:rsidR="00A557C9">
        <w:t>it is proposed that the Assembly adopt an Understanding in the following terms:</w:t>
      </w:r>
      <w:bookmarkEnd w:id="8"/>
    </w:p>
    <w:p w:rsidR="00A557C9" w:rsidRDefault="00A557C9" w:rsidP="00E1209B">
      <w:pPr>
        <w:pStyle w:val="ONUME"/>
        <w:keepLines/>
        <w:numPr>
          <w:ilvl w:val="0"/>
          <w:numId w:val="0"/>
        </w:numPr>
        <w:ind w:left="562"/>
      </w:pPr>
      <w:r>
        <w:t xml:space="preserve">“It is the understanding of the PCT Assembly that the fee reduction in item 5 of the </w:t>
      </w:r>
      <w:r w:rsidRPr="003C60F0">
        <w:t>Schedule of Fees is intended to apply only in the case where the applicants indicated in the request are the sole and true owners of the application and under no obligation to assign, grant, convey or license the rights in the invention to another party which is not eligible for the fee reduction.”</w:t>
      </w:r>
    </w:p>
    <w:p w:rsidR="00507693" w:rsidRPr="00804106" w:rsidRDefault="00507693" w:rsidP="00507693">
      <w:pPr>
        <w:pStyle w:val="ONUME"/>
        <w:keepLines/>
      </w:pPr>
      <w:r>
        <w:rPr>
          <w:lang w:val="en-GB"/>
        </w:rPr>
        <w:t xml:space="preserve">Given that the </w:t>
      </w:r>
      <w:r w:rsidRPr="00E1209B">
        <w:rPr>
          <w:lang w:val="en-GB"/>
        </w:rPr>
        <w:t xml:space="preserve">numbers </w:t>
      </w:r>
      <w:r w:rsidR="009B4C79">
        <w:t xml:space="preserve">of international applications in respect of which </w:t>
      </w:r>
      <w:r w:rsidR="009B4C79" w:rsidRPr="00804106">
        <w:t xml:space="preserve">it appears that individuals act as an applicant on behalf of a legal entity which is </w:t>
      </w:r>
      <w:r w:rsidR="009B4C79">
        <w:t>the real</w:t>
      </w:r>
      <w:r w:rsidR="009B4C79" w:rsidRPr="00804106">
        <w:t xml:space="preserve"> “beneficial owner” without requesting any change </w:t>
      </w:r>
      <w:r w:rsidR="009B4C79">
        <w:t>under Rule 92</w:t>
      </w:r>
      <w:r w:rsidR="009B4C79" w:rsidRPr="009B4C79">
        <w:rPr>
          <w:i/>
        </w:rPr>
        <w:t>bis</w:t>
      </w:r>
      <w:r w:rsidR="009B4C79">
        <w:t xml:space="preserve"> </w:t>
      </w:r>
      <w:r w:rsidR="009B4C79" w:rsidRPr="00804106">
        <w:t>in the person of the applicant during the international phase</w:t>
      </w:r>
      <w:r w:rsidR="009B4C79">
        <w:t xml:space="preserve"> (as </w:t>
      </w:r>
      <w:r>
        <w:rPr>
          <w:lang w:val="en-GB"/>
        </w:rPr>
        <w:t xml:space="preserve">set out </w:t>
      </w:r>
      <w:r w:rsidRPr="00E1209B">
        <w:rPr>
          <w:lang w:val="en-GB"/>
        </w:rPr>
        <w:t xml:space="preserve">in the table </w:t>
      </w:r>
      <w:r w:rsidR="009B4C79">
        <w:rPr>
          <w:lang w:val="en-GB"/>
        </w:rPr>
        <w:t>in paragraph </w:t>
      </w:r>
      <w:r w:rsidR="009B4C79">
        <w:rPr>
          <w:lang w:val="en-GB"/>
        </w:rPr>
        <w:fldChar w:fldCharType="begin"/>
      </w:r>
      <w:r w:rsidR="009B4C79">
        <w:rPr>
          <w:lang w:val="en-GB"/>
        </w:rPr>
        <w:instrText xml:space="preserve"> REF _Ref478027237 \r \h </w:instrText>
      </w:r>
      <w:r w:rsidR="009B4C79">
        <w:rPr>
          <w:lang w:val="en-GB"/>
        </w:rPr>
      </w:r>
      <w:r w:rsidR="009B4C79">
        <w:rPr>
          <w:lang w:val="en-GB"/>
        </w:rPr>
        <w:fldChar w:fldCharType="separate"/>
      </w:r>
      <w:r w:rsidR="00954373">
        <w:rPr>
          <w:lang w:val="en-GB"/>
        </w:rPr>
        <w:t>11</w:t>
      </w:r>
      <w:r w:rsidR="009B4C79">
        <w:rPr>
          <w:lang w:val="en-GB"/>
        </w:rPr>
        <w:fldChar w:fldCharType="end"/>
      </w:r>
      <w:r w:rsidR="009B4C79">
        <w:rPr>
          <w:lang w:val="en-GB"/>
        </w:rPr>
        <w:t xml:space="preserve">, above) </w:t>
      </w:r>
      <w:r w:rsidRPr="00E1209B">
        <w:rPr>
          <w:lang w:val="en-GB"/>
        </w:rPr>
        <w:t xml:space="preserve">are </w:t>
      </w:r>
      <w:r>
        <w:rPr>
          <w:lang w:val="en-GB"/>
        </w:rPr>
        <w:t xml:space="preserve">significantly </w:t>
      </w:r>
      <w:r w:rsidRPr="00E1209B">
        <w:rPr>
          <w:lang w:val="en-GB"/>
        </w:rPr>
        <w:t xml:space="preserve">larger than </w:t>
      </w:r>
      <w:r w:rsidR="009B4C79">
        <w:rPr>
          <w:lang w:val="en-GB"/>
        </w:rPr>
        <w:t xml:space="preserve">the numbers of international applications in respect of which a change in </w:t>
      </w:r>
      <w:r w:rsidRPr="00E1209B">
        <w:rPr>
          <w:lang w:val="en-GB"/>
        </w:rPr>
        <w:t xml:space="preserve">the person of the applicant is actually </w:t>
      </w:r>
      <w:r w:rsidR="009B4C79">
        <w:rPr>
          <w:lang w:val="en-GB"/>
        </w:rPr>
        <w:t>recorded</w:t>
      </w:r>
      <w:r w:rsidR="009B4C79" w:rsidRPr="00E1209B">
        <w:rPr>
          <w:lang w:val="en-GB"/>
        </w:rPr>
        <w:t xml:space="preserve"> </w:t>
      </w:r>
      <w:r w:rsidRPr="00E1209B">
        <w:rPr>
          <w:lang w:val="en-GB"/>
        </w:rPr>
        <w:t>under Rule</w:t>
      </w:r>
      <w:r>
        <w:rPr>
          <w:lang w:val="en-GB"/>
        </w:rPr>
        <w:t> </w:t>
      </w:r>
      <w:r w:rsidRPr="00E1209B">
        <w:rPr>
          <w:lang w:val="en-GB"/>
        </w:rPr>
        <w:t>92</w:t>
      </w:r>
      <w:r w:rsidRPr="00E1209B">
        <w:rPr>
          <w:i/>
          <w:lang w:val="en-GB"/>
        </w:rPr>
        <w:t>bis</w:t>
      </w:r>
      <w:r w:rsidR="00A24706">
        <w:rPr>
          <w:lang w:val="en-GB"/>
        </w:rPr>
        <w:t xml:space="preserve"> to include a non</w:t>
      </w:r>
      <w:r w:rsidR="00A24706">
        <w:rPr>
          <w:lang w:val="en-GB"/>
        </w:rPr>
        <w:noBreakHyphen/>
        <w:t>eligible applicant</w:t>
      </w:r>
      <w:r>
        <w:rPr>
          <w:lang w:val="en-GB"/>
        </w:rPr>
        <w:t>,</w:t>
      </w:r>
      <w:r w:rsidR="009B4C79">
        <w:rPr>
          <w:lang w:val="en-GB"/>
        </w:rPr>
        <w:t xml:space="preserve"> it would appear that efforts aimed at influencing applicants’ behaviour in respect of requesting Rule 92</w:t>
      </w:r>
      <w:r w:rsidR="009B4C79" w:rsidRPr="009B4C79">
        <w:rPr>
          <w:i/>
          <w:lang w:val="en-GB"/>
        </w:rPr>
        <w:t>bis</w:t>
      </w:r>
      <w:r w:rsidR="009B4C79">
        <w:rPr>
          <w:lang w:val="en-GB"/>
        </w:rPr>
        <w:t xml:space="preserve"> </w:t>
      </w:r>
      <w:r>
        <w:rPr>
          <w:lang w:val="en-GB"/>
        </w:rPr>
        <w:t xml:space="preserve">changes </w:t>
      </w:r>
      <w:r w:rsidR="009B4C79">
        <w:rPr>
          <w:lang w:val="en-GB"/>
        </w:rPr>
        <w:t>during</w:t>
      </w:r>
      <w:r>
        <w:rPr>
          <w:lang w:val="en-GB"/>
        </w:rPr>
        <w:t xml:space="preserve"> the international phase </w:t>
      </w:r>
      <w:r w:rsidR="009B4C79">
        <w:rPr>
          <w:lang w:val="en-GB"/>
        </w:rPr>
        <w:t>are</w:t>
      </w:r>
      <w:r>
        <w:rPr>
          <w:lang w:val="en-GB"/>
        </w:rPr>
        <w:t xml:space="preserve"> </w:t>
      </w:r>
      <w:r w:rsidR="00A24706">
        <w:rPr>
          <w:lang w:val="en-GB"/>
        </w:rPr>
        <w:t xml:space="preserve">of less importance than clarifying the eligibility </w:t>
      </w:r>
      <w:r w:rsidR="009B4C79">
        <w:rPr>
          <w:lang w:val="en-GB"/>
        </w:rPr>
        <w:t xml:space="preserve">for fee reductions </w:t>
      </w:r>
      <w:r w:rsidR="00A24706">
        <w:rPr>
          <w:lang w:val="en-GB"/>
        </w:rPr>
        <w:t xml:space="preserve">on the international filing date.  Consequently, </w:t>
      </w:r>
      <w:r w:rsidR="00A24706" w:rsidRPr="00E5450B">
        <w:rPr>
          <w:lang w:val="en-GB"/>
        </w:rPr>
        <w:t>as had already been indicated in paragr</w:t>
      </w:r>
      <w:r w:rsidR="00A24706">
        <w:rPr>
          <w:lang w:val="en-GB"/>
        </w:rPr>
        <w:t>aph 143 of document PCT/WG/9/28,</w:t>
      </w:r>
      <w:r w:rsidR="00A24706" w:rsidRPr="00E5450B">
        <w:rPr>
          <w:lang w:val="en-GB"/>
        </w:rPr>
        <w:t xml:space="preserve"> </w:t>
      </w:r>
      <w:r w:rsidRPr="00E5450B">
        <w:rPr>
          <w:lang w:val="en-GB"/>
        </w:rPr>
        <w:t>the International Bureau see</w:t>
      </w:r>
      <w:r w:rsidR="00A24706">
        <w:rPr>
          <w:lang w:val="en-GB"/>
        </w:rPr>
        <w:t>s</w:t>
      </w:r>
      <w:r w:rsidRPr="00E5450B">
        <w:rPr>
          <w:lang w:val="en-GB"/>
        </w:rPr>
        <w:t xml:space="preserve"> no need to amend Rule 92</w:t>
      </w:r>
      <w:r w:rsidRPr="00E5450B">
        <w:rPr>
          <w:i/>
          <w:lang w:val="en-GB"/>
        </w:rPr>
        <w:t>bis</w:t>
      </w:r>
      <w:r w:rsidRPr="00E5450B">
        <w:rPr>
          <w:lang w:val="en-GB"/>
        </w:rPr>
        <w:t xml:space="preserve"> at this point.</w:t>
      </w:r>
    </w:p>
    <w:p w:rsidR="005B3823" w:rsidRPr="005B3823" w:rsidRDefault="005B3823" w:rsidP="005B3823">
      <w:pPr>
        <w:pStyle w:val="ONUME"/>
        <w:tabs>
          <w:tab w:val="left" w:pos="6096"/>
        </w:tabs>
        <w:ind w:left="5533"/>
        <w:rPr>
          <w:i/>
          <w:iCs/>
        </w:rPr>
      </w:pPr>
      <w:r w:rsidRPr="005B3823">
        <w:rPr>
          <w:i/>
        </w:rPr>
        <w:t>The Working Group is invited:</w:t>
      </w:r>
      <w:r w:rsidRPr="005B3823">
        <w:rPr>
          <w:i/>
        </w:rPr>
        <w:br/>
      </w:r>
      <w:r w:rsidRPr="005B3823">
        <w:rPr>
          <w:i/>
        </w:rPr>
        <w:br/>
      </w:r>
      <w:r>
        <w:rPr>
          <w:i/>
        </w:rPr>
        <w:t>(</w:t>
      </w:r>
      <w:proofErr w:type="spellStart"/>
      <w:r>
        <w:rPr>
          <w:i/>
        </w:rPr>
        <w:t>i</w:t>
      </w:r>
      <w:proofErr w:type="spellEnd"/>
      <w:r>
        <w:rPr>
          <w:i/>
        </w:rPr>
        <w:t>)</w:t>
      </w:r>
      <w:r>
        <w:rPr>
          <w:i/>
        </w:rPr>
        <w:tab/>
      </w:r>
      <w:r w:rsidRPr="005B3823">
        <w:rPr>
          <w:i/>
        </w:rPr>
        <w:t xml:space="preserve">to take note of the additional information set out in </w:t>
      </w:r>
      <w:r w:rsidR="002902F4">
        <w:rPr>
          <w:i/>
        </w:rPr>
        <w:t>paragraph</w:t>
      </w:r>
      <w:r w:rsidR="004122E0">
        <w:rPr>
          <w:i/>
        </w:rPr>
        <w:t>s</w:t>
      </w:r>
      <w:r w:rsidR="002902F4">
        <w:rPr>
          <w:i/>
        </w:rPr>
        <w:t> </w:t>
      </w:r>
      <w:r w:rsidR="004122E0">
        <w:rPr>
          <w:i/>
        </w:rPr>
        <w:fldChar w:fldCharType="begin"/>
      </w:r>
      <w:r w:rsidR="004122E0">
        <w:rPr>
          <w:i/>
        </w:rPr>
        <w:instrText xml:space="preserve"> REF _Ref477965839 \r \h </w:instrText>
      </w:r>
      <w:r w:rsidR="004122E0">
        <w:rPr>
          <w:i/>
        </w:rPr>
      </w:r>
      <w:r w:rsidR="004122E0">
        <w:rPr>
          <w:i/>
        </w:rPr>
        <w:fldChar w:fldCharType="separate"/>
      </w:r>
      <w:r w:rsidR="00954373">
        <w:rPr>
          <w:i/>
        </w:rPr>
        <w:t>7</w:t>
      </w:r>
      <w:r w:rsidR="004122E0">
        <w:rPr>
          <w:i/>
        </w:rPr>
        <w:fldChar w:fldCharType="end"/>
      </w:r>
      <w:r w:rsidR="004122E0">
        <w:rPr>
          <w:i/>
        </w:rPr>
        <w:t> </w:t>
      </w:r>
      <w:r w:rsidR="002902F4">
        <w:rPr>
          <w:i/>
        </w:rPr>
        <w:t>to</w:t>
      </w:r>
      <w:r w:rsidR="004122E0">
        <w:rPr>
          <w:i/>
        </w:rPr>
        <w:t> </w:t>
      </w:r>
      <w:r w:rsidR="004122E0">
        <w:rPr>
          <w:i/>
        </w:rPr>
        <w:fldChar w:fldCharType="begin"/>
      </w:r>
      <w:r w:rsidR="004122E0">
        <w:rPr>
          <w:i/>
        </w:rPr>
        <w:instrText xml:space="preserve"> REF _Ref477965873 \r \h </w:instrText>
      </w:r>
      <w:r w:rsidR="004122E0">
        <w:rPr>
          <w:i/>
        </w:rPr>
      </w:r>
      <w:r w:rsidR="004122E0">
        <w:rPr>
          <w:i/>
        </w:rPr>
        <w:fldChar w:fldCharType="separate"/>
      </w:r>
      <w:r w:rsidR="00954373">
        <w:rPr>
          <w:i/>
        </w:rPr>
        <w:t>12</w:t>
      </w:r>
      <w:r w:rsidR="004122E0">
        <w:rPr>
          <w:i/>
        </w:rPr>
        <w:fldChar w:fldCharType="end"/>
      </w:r>
      <w:r w:rsidR="002902F4">
        <w:rPr>
          <w:i/>
        </w:rPr>
        <w:t xml:space="preserve"> of </w:t>
      </w:r>
      <w:r w:rsidRPr="005B3823">
        <w:rPr>
          <w:i/>
        </w:rPr>
        <w:t>the present document</w:t>
      </w:r>
      <w:r>
        <w:rPr>
          <w:i/>
        </w:rPr>
        <w:t xml:space="preserve">; </w:t>
      </w:r>
      <w:r>
        <w:rPr>
          <w:i/>
        </w:rPr>
        <w:br/>
      </w:r>
      <w:r>
        <w:rPr>
          <w:i/>
        </w:rPr>
        <w:br/>
        <w:t>(ii)</w:t>
      </w:r>
      <w:r>
        <w:rPr>
          <w:i/>
        </w:rPr>
        <w:tab/>
      </w:r>
      <w:r w:rsidR="00C31AA5">
        <w:rPr>
          <w:i/>
        </w:rPr>
        <w:t xml:space="preserve">to continue its </w:t>
      </w:r>
      <w:r w:rsidRPr="005B3823">
        <w:rPr>
          <w:i/>
        </w:rPr>
        <w:t>consider</w:t>
      </w:r>
      <w:r w:rsidR="00C31AA5">
        <w:rPr>
          <w:i/>
        </w:rPr>
        <w:t>ation of</w:t>
      </w:r>
      <w:r w:rsidRPr="005B3823">
        <w:rPr>
          <w:i/>
        </w:rPr>
        <w:t xml:space="preserve"> the proposed amendments to Schedule of Fees </w:t>
      </w:r>
      <w:r>
        <w:rPr>
          <w:i/>
        </w:rPr>
        <w:t xml:space="preserve">set out in </w:t>
      </w:r>
      <w:r w:rsidR="002902F4">
        <w:rPr>
          <w:i/>
        </w:rPr>
        <w:t xml:space="preserve">the </w:t>
      </w:r>
      <w:r w:rsidRPr="005B3823">
        <w:rPr>
          <w:i/>
        </w:rPr>
        <w:t>Annex</w:t>
      </w:r>
      <w:r w:rsidR="004122E0">
        <w:rPr>
          <w:i/>
        </w:rPr>
        <w:t> </w:t>
      </w:r>
      <w:r w:rsidRPr="005B3823">
        <w:rPr>
          <w:i/>
        </w:rPr>
        <w:t xml:space="preserve">to </w:t>
      </w:r>
      <w:r>
        <w:rPr>
          <w:i/>
        </w:rPr>
        <w:t xml:space="preserve">the present </w:t>
      </w:r>
      <w:r w:rsidRPr="005B3823">
        <w:rPr>
          <w:i/>
        </w:rPr>
        <w:t>document.</w:t>
      </w:r>
    </w:p>
    <w:p w:rsidR="005B3823" w:rsidRDefault="005B3823" w:rsidP="005B3823">
      <w:pPr>
        <w:pStyle w:val="Endofdocument-Annex"/>
      </w:pPr>
    </w:p>
    <w:p w:rsidR="005B3823" w:rsidRDefault="005B3823" w:rsidP="005B3823">
      <w:pPr>
        <w:pStyle w:val="Endofdocument-Annex"/>
        <w:sectPr w:rsidR="005B3823" w:rsidSect="00E05BBF">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r>
        <w:t>[Annex follows]</w:t>
      </w:r>
    </w:p>
    <w:p w:rsidR="00EA00DC" w:rsidRDefault="00EA00DC" w:rsidP="00EA00DC">
      <w:pPr>
        <w:jc w:val="center"/>
      </w:pPr>
      <w:r w:rsidRPr="00E63141">
        <w:t>PROPOSED AMENDMENTS TO THE PCT REGULATIONS</w:t>
      </w:r>
      <w:r w:rsidRPr="00E63141">
        <w:rPr>
          <w:rStyle w:val="FootnoteReference"/>
        </w:rPr>
        <w:footnoteReference w:id="3"/>
      </w:r>
    </w:p>
    <w:p w:rsidR="00EA00DC" w:rsidRDefault="00EA00DC" w:rsidP="00EA00DC"/>
    <w:p w:rsidR="00EA00DC" w:rsidRPr="003C35EB" w:rsidRDefault="00EA00DC" w:rsidP="00EA00DC">
      <w:pPr>
        <w:pStyle w:val="LegTitle"/>
        <w:spacing w:after="240" w:line="360" w:lineRule="auto"/>
        <w:rPr>
          <w:rFonts w:eastAsia="Arial Unicode MS"/>
        </w:rPr>
      </w:pPr>
      <w:bookmarkStart w:id="9" w:name="_Toc390869454"/>
      <w:bookmarkStart w:id="10" w:name="_Toc390869876"/>
      <w:bookmarkStart w:id="11" w:name="_Toc391294056"/>
      <w:bookmarkStart w:id="12" w:name="_Toc392057254"/>
      <w:bookmarkStart w:id="13" w:name="_Toc477964349"/>
      <w:r w:rsidRPr="003C35EB">
        <w:rPr>
          <w:rFonts w:eastAsia="Arial Unicode MS"/>
        </w:rPr>
        <w:t>SCHEDULE OF FEES</w:t>
      </w:r>
      <w:bookmarkEnd w:id="9"/>
      <w:bookmarkEnd w:id="10"/>
      <w:bookmarkEnd w:id="11"/>
      <w:bookmarkEnd w:id="12"/>
      <w:bookmarkEnd w:id="13"/>
    </w:p>
    <w:tbl>
      <w:tblPr>
        <w:tblW w:w="0" w:type="auto"/>
        <w:jc w:val="center"/>
        <w:tblLayout w:type="fixed"/>
        <w:tblCellMar>
          <w:left w:w="56" w:type="dxa"/>
          <w:right w:w="56" w:type="dxa"/>
        </w:tblCellMar>
        <w:tblLook w:val="0000" w:firstRow="0" w:lastRow="0" w:firstColumn="0" w:lastColumn="0" w:noHBand="0" w:noVBand="0"/>
      </w:tblPr>
      <w:tblGrid>
        <w:gridCol w:w="33"/>
        <w:gridCol w:w="573"/>
        <w:gridCol w:w="5506"/>
        <w:gridCol w:w="3001"/>
        <w:gridCol w:w="33"/>
      </w:tblGrid>
      <w:tr w:rsidR="00EA00DC" w:rsidRPr="002A1976" w:rsidTr="00A94680">
        <w:trPr>
          <w:gridAfter w:val="1"/>
          <w:wAfter w:w="33" w:type="dxa"/>
          <w:jc w:val="center"/>
        </w:trPr>
        <w:tc>
          <w:tcPr>
            <w:tcW w:w="6112" w:type="dxa"/>
            <w:gridSpan w:val="3"/>
          </w:tcPr>
          <w:p w:rsidR="00EA00DC" w:rsidRPr="00763EC0" w:rsidRDefault="00EA00DC" w:rsidP="00A40E22">
            <w:pPr>
              <w:pStyle w:val="LegBasic"/>
              <w:spacing w:after="120" w:line="360" w:lineRule="auto"/>
              <w:rPr>
                <w:rFonts w:eastAsia="SimSun"/>
                <w:b/>
                <w:bCs/>
              </w:rPr>
            </w:pPr>
            <w:r w:rsidRPr="00763EC0">
              <w:rPr>
                <w:rFonts w:eastAsia="SimSun"/>
                <w:b/>
                <w:bCs/>
              </w:rPr>
              <w:t>Fees</w:t>
            </w:r>
          </w:p>
        </w:tc>
        <w:tc>
          <w:tcPr>
            <w:tcW w:w="3001" w:type="dxa"/>
          </w:tcPr>
          <w:p w:rsidR="00EA00DC" w:rsidRPr="00763EC0" w:rsidRDefault="00EA00DC" w:rsidP="00A40E22">
            <w:pPr>
              <w:pStyle w:val="LegBasic"/>
              <w:spacing w:after="120" w:line="360" w:lineRule="auto"/>
              <w:rPr>
                <w:rFonts w:eastAsia="SimSun"/>
                <w:b/>
                <w:bCs/>
              </w:rPr>
            </w:pPr>
            <w:r w:rsidRPr="00763EC0">
              <w:rPr>
                <w:rFonts w:eastAsia="SimSun"/>
                <w:b/>
                <w:bCs/>
              </w:rPr>
              <w:t>Amounts</w:t>
            </w:r>
          </w:p>
        </w:tc>
      </w:tr>
      <w:tr w:rsidR="00EA00DC" w:rsidRPr="002A1976" w:rsidTr="00A94680">
        <w:trPr>
          <w:gridBefore w:val="1"/>
          <w:wBefore w:w="33" w:type="dxa"/>
          <w:cantSplit/>
          <w:jc w:val="center"/>
        </w:trPr>
        <w:tc>
          <w:tcPr>
            <w:tcW w:w="9113" w:type="dxa"/>
            <w:gridSpan w:val="4"/>
          </w:tcPr>
          <w:p w:rsidR="00EA00DC" w:rsidRPr="002A1976" w:rsidRDefault="00EA00DC" w:rsidP="00A40E22">
            <w:pPr>
              <w:pStyle w:val="LegBasic"/>
              <w:spacing w:after="120" w:line="360" w:lineRule="auto"/>
            </w:pPr>
            <w:r>
              <w:t>1. to 3.   [No change]</w:t>
            </w:r>
          </w:p>
        </w:tc>
      </w:tr>
      <w:tr w:rsidR="00EA00DC" w:rsidRPr="002A1976" w:rsidTr="00A94680">
        <w:trPr>
          <w:gridAfter w:val="1"/>
          <w:wAfter w:w="33" w:type="dxa"/>
          <w:jc w:val="center"/>
        </w:trPr>
        <w:tc>
          <w:tcPr>
            <w:tcW w:w="6112" w:type="dxa"/>
            <w:gridSpan w:val="3"/>
          </w:tcPr>
          <w:p w:rsidR="00EA00DC" w:rsidRDefault="00EA00DC" w:rsidP="00A40E22">
            <w:pPr>
              <w:pStyle w:val="LegBasic"/>
              <w:spacing w:after="120" w:line="360" w:lineRule="auto"/>
              <w:rPr>
                <w:rFonts w:eastAsia="SimSun"/>
                <w:b/>
                <w:bCs/>
              </w:rPr>
            </w:pPr>
            <w:r>
              <w:rPr>
                <w:rFonts w:eastAsia="SimSun"/>
                <w:b/>
                <w:bCs/>
              </w:rPr>
              <w:t>Reductions</w:t>
            </w:r>
          </w:p>
          <w:p w:rsidR="00EA00DC" w:rsidRPr="00763EC0" w:rsidRDefault="00EA00DC" w:rsidP="00A40E22">
            <w:pPr>
              <w:pStyle w:val="LegBasic"/>
              <w:spacing w:after="120" w:line="360" w:lineRule="auto"/>
              <w:rPr>
                <w:rFonts w:eastAsia="SimSun"/>
                <w:b/>
                <w:bCs/>
              </w:rPr>
            </w:pPr>
            <w:r>
              <w:t>4.   [No change]</w:t>
            </w:r>
          </w:p>
        </w:tc>
        <w:tc>
          <w:tcPr>
            <w:tcW w:w="3001" w:type="dxa"/>
          </w:tcPr>
          <w:p w:rsidR="00EA00DC" w:rsidRPr="00763EC0" w:rsidRDefault="00EA00DC" w:rsidP="00A40E22">
            <w:pPr>
              <w:pStyle w:val="LegBasic"/>
              <w:spacing w:after="120" w:line="360" w:lineRule="auto"/>
              <w:rPr>
                <w:rFonts w:eastAsia="SimSun"/>
                <w:b/>
                <w:bCs/>
              </w:rPr>
            </w:pPr>
          </w:p>
        </w:tc>
      </w:tr>
      <w:tr w:rsidR="00EA00DC" w:rsidRPr="002A1976" w:rsidTr="00A94680">
        <w:trPr>
          <w:gridBefore w:val="1"/>
          <w:wBefore w:w="33" w:type="dxa"/>
          <w:cantSplit/>
          <w:jc w:val="center"/>
        </w:trPr>
        <w:tc>
          <w:tcPr>
            <w:tcW w:w="9113" w:type="dxa"/>
            <w:gridSpan w:val="4"/>
          </w:tcPr>
          <w:p w:rsidR="00EA00DC" w:rsidRPr="002A1976" w:rsidRDefault="00EA00DC" w:rsidP="00A40E22">
            <w:pPr>
              <w:pStyle w:val="LegBasic"/>
              <w:spacing w:after="120" w:line="360" w:lineRule="auto"/>
              <w:rPr>
                <w:rFonts w:eastAsia="SimSun"/>
                <w:lang w:eastAsia="zh-CN"/>
              </w:rPr>
            </w:pPr>
            <w:r w:rsidRPr="002A1976">
              <w:rPr>
                <w:rFonts w:eastAsia="SimSun"/>
                <w:lang w:eastAsia="zh-CN"/>
              </w:rPr>
              <w:t>5.</w:t>
            </w:r>
            <w:r w:rsidRPr="002A1976">
              <w:rPr>
                <w:rFonts w:eastAsia="SimSun"/>
                <w:lang w:eastAsia="zh-CN"/>
              </w:rPr>
              <w:tab/>
              <w:t>The international filing fee under item 1 (where applicable, as reduced under item 4), the supplementary search handling fee under item 2 and the handling fee under item 3 are reduced by 90% if the international application is filed by:</w:t>
            </w:r>
          </w:p>
        </w:tc>
      </w:tr>
      <w:tr w:rsidR="00EA00DC" w:rsidRPr="002A1976" w:rsidTr="00A94680">
        <w:trPr>
          <w:gridBefore w:val="1"/>
          <w:wBefore w:w="33" w:type="dxa"/>
          <w:cantSplit/>
          <w:jc w:val="center"/>
        </w:trPr>
        <w:tc>
          <w:tcPr>
            <w:tcW w:w="573" w:type="dxa"/>
          </w:tcPr>
          <w:p w:rsidR="00EA00DC" w:rsidRPr="002A1976" w:rsidRDefault="00EA00DC" w:rsidP="00A40E22">
            <w:pPr>
              <w:suppressAutoHyphens/>
              <w:spacing w:after="120" w:line="360" w:lineRule="auto"/>
              <w:rPr>
                <w:szCs w:val="28"/>
              </w:rPr>
            </w:pPr>
            <w:r w:rsidRPr="002A1976">
              <w:rPr>
                <w:szCs w:val="28"/>
              </w:rPr>
              <w:br w:type="page"/>
            </w:r>
          </w:p>
        </w:tc>
        <w:tc>
          <w:tcPr>
            <w:tcW w:w="8540" w:type="dxa"/>
            <w:gridSpan w:val="3"/>
          </w:tcPr>
          <w:p w:rsidR="00EA00DC" w:rsidRPr="002A1976" w:rsidRDefault="00EA00DC" w:rsidP="00A40E22">
            <w:pPr>
              <w:pStyle w:val="LegBasic"/>
              <w:spacing w:after="120" w:line="360" w:lineRule="auto"/>
              <w:rPr>
                <w:rFonts w:eastAsia="SimSun"/>
              </w:rPr>
            </w:pPr>
            <w:r w:rsidRPr="002A1976">
              <w:rPr>
                <w:rFonts w:eastAsia="SimSun"/>
              </w:rPr>
              <w:t>(a)</w:t>
            </w:r>
            <w:r w:rsidRPr="002A1976">
              <w:rPr>
                <w:rFonts w:eastAsia="SimSun"/>
              </w:rPr>
              <w:tab/>
            </w:r>
            <w:r>
              <w:t>[No change]  </w:t>
            </w:r>
            <w:r w:rsidRPr="002A1976">
              <w:rPr>
                <w:rFonts w:eastAsia="SimSun"/>
              </w:rPr>
              <w:t>an applicant who is a natural person and who is a national of and resides in a State</w:t>
            </w:r>
            <w:r w:rsidRPr="002A1976">
              <w:rPr>
                <w:rFonts w:eastAsia="SimSun"/>
                <w:color w:val="0070C0"/>
              </w:rPr>
              <w:t xml:space="preserve"> </w:t>
            </w:r>
            <w:r w:rsidRPr="002A1976">
              <w:rPr>
                <w:rFonts w:eastAsia="SimSun"/>
              </w:rPr>
              <w:t>that is listed as being a State</w:t>
            </w:r>
            <w:r w:rsidRPr="002A1976">
              <w:rPr>
                <w:rFonts w:eastAsia="SimSun"/>
                <w:color w:val="0070C0"/>
              </w:rPr>
              <w:t xml:space="preserve"> </w:t>
            </w:r>
            <w:r w:rsidRPr="002A1976">
              <w:rPr>
                <w:rFonts w:eastAsia="SimSun"/>
              </w:rPr>
              <w:t>whose per capita gross domestic product</w:t>
            </w:r>
            <w:r w:rsidRPr="002A1976">
              <w:rPr>
                <w:rFonts w:eastAsia="SimSun"/>
                <w:color w:val="0070C0"/>
              </w:rPr>
              <w:t xml:space="preserve"> </w:t>
            </w:r>
            <w:r w:rsidRPr="002A1976">
              <w:rPr>
                <w:rFonts w:eastAsia="SimSun"/>
              </w:rPr>
              <w:t>is below US$ 25,000 (according to the most recent 10</w:t>
            </w:r>
            <w:r w:rsidRPr="002A1976">
              <w:rPr>
                <w:rFonts w:eastAsia="SimSun"/>
              </w:rPr>
              <w:noBreakHyphen/>
              <w:t>year</w:t>
            </w:r>
            <w:r w:rsidRPr="002A1976">
              <w:rPr>
                <w:rFonts w:eastAsia="SimSun"/>
                <w:color w:val="0070C0"/>
              </w:rPr>
              <w:t xml:space="preserve"> </w:t>
            </w:r>
            <w:r w:rsidRPr="002A1976">
              <w:rPr>
                <w:rFonts w:eastAsia="SimSun"/>
              </w:rPr>
              <w:t>average per capita gross domestic product</w:t>
            </w:r>
            <w:r w:rsidRPr="002A1976">
              <w:rPr>
                <w:rFonts w:eastAsia="SimSun"/>
                <w:color w:val="0070C0"/>
              </w:rPr>
              <w:t xml:space="preserve"> </w:t>
            </w:r>
            <w:r w:rsidRPr="002A1976">
              <w:rPr>
                <w:rFonts w:eastAsia="SimSun"/>
              </w:rPr>
              <w:t>figures</w:t>
            </w:r>
            <w:r w:rsidRPr="002A1976">
              <w:rPr>
                <w:rFonts w:eastAsia="SimSun"/>
                <w:color w:val="0070C0"/>
              </w:rPr>
              <w:t xml:space="preserve"> </w:t>
            </w:r>
            <w:r w:rsidRPr="002A1976">
              <w:rPr>
                <w:rFonts w:eastAsia="SimSun"/>
              </w:rPr>
              <w:t>at constant 2005 US$ values published</w:t>
            </w:r>
            <w:r w:rsidRPr="002A1976">
              <w:rPr>
                <w:rFonts w:eastAsia="SimSun"/>
                <w:color w:val="0070C0"/>
              </w:rPr>
              <w:t xml:space="preserve"> </w:t>
            </w:r>
            <w:r w:rsidRPr="002A1976">
              <w:rPr>
                <w:rFonts w:eastAsia="SimSun"/>
              </w:rPr>
              <w:t>by the United Nations), and whose nationals and residents who are natural persons have filed less than 10 international applications per year (per million population) or less than 50 international applications per year (in absolute numbers) according to the most recent five</w:t>
            </w:r>
            <w:r w:rsidRPr="002A1976">
              <w:rPr>
                <w:rFonts w:eastAsia="SimSun"/>
              </w:rPr>
              <w:noBreakHyphen/>
              <w:t>year average yearly filing figures published by the International Bureau;  or</w:t>
            </w:r>
          </w:p>
        </w:tc>
      </w:tr>
      <w:tr w:rsidR="00EA00DC" w:rsidRPr="002A1976" w:rsidTr="00A94680">
        <w:trPr>
          <w:gridBefore w:val="1"/>
          <w:wBefore w:w="33" w:type="dxa"/>
          <w:cantSplit/>
          <w:jc w:val="center"/>
        </w:trPr>
        <w:tc>
          <w:tcPr>
            <w:tcW w:w="573" w:type="dxa"/>
          </w:tcPr>
          <w:p w:rsidR="00EA00DC" w:rsidRPr="002A1976" w:rsidRDefault="00EA00DC" w:rsidP="00A40E22">
            <w:pPr>
              <w:suppressAutoHyphens/>
              <w:spacing w:after="120" w:line="360" w:lineRule="auto"/>
              <w:rPr>
                <w:szCs w:val="28"/>
              </w:rPr>
            </w:pPr>
          </w:p>
        </w:tc>
        <w:tc>
          <w:tcPr>
            <w:tcW w:w="8540" w:type="dxa"/>
            <w:gridSpan w:val="3"/>
          </w:tcPr>
          <w:p w:rsidR="00EA00DC" w:rsidRPr="002A1976" w:rsidRDefault="00EA00DC" w:rsidP="00A40E22">
            <w:pPr>
              <w:pStyle w:val="LegBasic"/>
              <w:spacing w:after="120" w:line="360" w:lineRule="auto"/>
              <w:rPr>
                <w:rFonts w:eastAsia="SimSun"/>
              </w:rPr>
            </w:pPr>
            <w:r w:rsidRPr="002A1976">
              <w:rPr>
                <w:rFonts w:eastAsia="SimSun"/>
              </w:rPr>
              <w:t>(b)</w:t>
            </w:r>
            <w:r w:rsidRPr="002A1976">
              <w:rPr>
                <w:rFonts w:eastAsia="SimSun"/>
              </w:rPr>
              <w:tab/>
            </w:r>
            <w:r>
              <w:t>[No change]  </w:t>
            </w:r>
            <w:r w:rsidRPr="002A1976">
              <w:rPr>
                <w:rFonts w:eastAsia="SimSun"/>
              </w:rPr>
              <w:t>an applicant, whether a natural person or not, who is a national of and resides in a State that is</w:t>
            </w:r>
            <w:r w:rsidRPr="002A1976">
              <w:rPr>
                <w:rFonts w:eastAsia="SimSun"/>
                <w:color w:val="0070C0"/>
              </w:rPr>
              <w:t xml:space="preserve"> </w:t>
            </w:r>
            <w:r w:rsidRPr="002A1976">
              <w:rPr>
                <w:rFonts w:eastAsia="SimSun"/>
              </w:rPr>
              <w:t>listed as being classified by the United Nations as a least developed country;</w:t>
            </w:r>
          </w:p>
        </w:tc>
      </w:tr>
      <w:tr w:rsidR="00EA00DC" w:rsidRPr="002A1976" w:rsidTr="00A94680">
        <w:trPr>
          <w:gridBefore w:val="1"/>
          <w:wBefore w:w="33" w:type="dxa"/>
          <w:cantSplit/>
          <w:jc w:val="center"/>
        </w:trPr>
        <w:tc>
          <w:tcPr>
            <w:tcW w:w="9113" w:type="dxa"/>
            <w:gridSpan w:val="4"/>
          </w:tcPr>
          <w:p w:rsidR="00EA00DC" w:rsidRPr="002A1976" w:rsidRDefault="00EA00DC" w:rsidP="00A40E22">
            <w:pPr>
              <w:pStyle w:val="LegBasic"/>
              <w:spacing w:after="120" w:line="360" w:lineRule="auto"/>
              <w:rPr>
                <w:rFonts w:eastAsia="SimSun"/>
              </w:rPr>
            </w:pPr>
            <w:r w:rsidRPr="002A1976">
              <w:rPr>
                <w:rFonts w:eastAsia="SimSun"/>
              </w:rPr>
              <w:t>provided that</w:t>
            </w:r>
            <w:r w:rsidR="00A40E22">
              <w:rPr>
                <w:rFonts w:eastAsia="SimSun"/>
              </w:rPr>
              <w:t xml:space="preserve">, </w:t>
            </w:r>
            <w:r w:rsidR="00A40E22">
              <w:rPr>
                <w:rStyle w:val="LegAddedText"/>
                <w:rFonts w:eastAsia="SimSun"/>
                <w:color w:val="0000FF"/>
              </w:rPr>
              <w:t>at the time of filing of the international application, th</w:t>
            </w:r>
            <w:r w:rsidRPr="00405208">
              <w:rPr>
                <w:rStyle w:val="LegAddedText"/>
                <w:rFonts w:eastAsia="SimSun"/>
                <w:color w:val="0000FF"/>
              </w:rPr>
              <w:t>ere are no beneficial owners of the international application who would not satisfy the criteria in sub-item (a) or (b) and provided that</w:t>
            </w:r>
            <w:r w:rsidRPr="00A61B26">
              <w:rPr>
                <w:rFonts w:eastAsia="SimSun"/>
              </w:rPr>
              <w:t>,</w:t>
            </w:r>
            <w:r w:rsidRPr="002A1976">
              <w:rPr>
                <w:rFonts w:eastAsia="SimSun"/>
              </w:rPr>
              <w:t xml:space="preserve"> if there are several applicants, each must satisfy the criteria set out in either sub-item (a) or (b).</w:t>
            </w:r>
            <w:r w:rsidRPr="002A1976">
              <w:rPr>
                <w:rFonts w:eastAsia="SimSun"/>
                <w:color w:val="0070C0"/>
              </w:rPr>
              <w:t xml:space="preserve">  </w:t>
            </w:r>
            <w:r w:rsidRPr="002A1976">
              <w:rPr>
                <w:rFonts w:eastAsia="SimSun"/>
              </w:rPr>
              <w:t>The lists of States referred to in sub-items (a) and (b)</w:t>
            </w:r>
            <w:r w:rsidRPr="002A1976">
              <w:rPr>
                <w:rFonts w:eastAsia="SimSun"/>
                <w:vertAlign w:val="superscript"/>
              </w:rPr>
              <w:footnoteReference w:id="4"/>
            </w:r>
            <w:r w:rsidRPr="002A1976">
              <w:rPr>
                <w:rFonts w:eastAsia="SimSun"/>
              </w:rPr>
              <w:t xml:space="preserve"> shall be updated by the Director General at least every five years according to directives given by the Ass</w:t>
            </w:r>
            <w:r>
              <w:rPr>
                <w:rFonts w:eastAsia="SimSun"/>
              </w:rPr>
              <w:t xml:space="preserve">embly.  The criteria set out in </w:t>
            </w:r>
            <w:r w:rsidRPr="002A1976">
              <w:rPr>
                <w:rFonts w:eastAsia="SimSun"/>
              </w:rPr>
              <w:t>sub-items</w:t>
            </w:r>
            <w:r>
              <w:rPr>
                <w:rFonts w:eastAsia="SimSun"/>
              </w:rPr>
              <w:t> </w:t>
            </w:r>
            <w:r w:rsidRPr="002A1976">
              <w:rPr>
                <w:rFonts w:eastAsia="SimSun"/>
              </w:rPr>
              <w:t>(a) and (b) shall be reviewed by the Assembly at least every five years.</w:t>
            </w:r>
          </w:p>
        </w:tc>
      </w:tr>
    </w:tbl>
    <w:p w:rsidR="00EA00DC" w:rsidRDefault="00EA00DC" w:rsidP="008F580C">
      <w:pPr>
        <w:pStyle w:val="Endofdocument-Annex"/>
      </w:pPr>
      <w:r>
        <w:t>[</w:t>
      </w:r>
      <w:r w:rsidR="008F580C">
        <w:t xml:space="preserve">End of </w:t>
      </w:r>
      <w:r>
        <w:t xml:space="preserve">Annex </w:t>
      </w:r>
      <w:r w:rsidR="008F580C">
        <w:t>and of document</w:t>
      </w:r>
      <w:r w:rsidR="008F580C">
        <w:rPr>
          <w:rFonts w:ascii="Microsoft Sans Serif" w:hAnsi="Microsoft Sans Serif"/>
        </w:rPr>
        <w:t>]</w:t>
      </w:r>
    </w:p>
    <w:sectPr w:rsidR="00EA00DC" w:rsidSect="00070DF2">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33E" w:rsidRDefault="00AA733E">
      <w:r>
        <w:separator/>
      </w:r>
    </w:p>
  </w:endnote>
  <w:endnote w:type="continuationSeparator" w:id="0">
    <w:p w:rsidR="00AA733E" w:rsidRDefault="00AA733E" w:rsidP="003B38C1">
      <w:r>
        <w:separator/>
      </w:r>
    </w:p>
    <w:p w:rsidR="00AA733E" w:rsidRPr="003B38C1" w:rsidRDefault="00AA733E" w:rsidP="003B38C1">
      <w:pPr>
        <w:spacing w:after="60"/>
        <w:rPr>
          <w:sz w:val="17"/>
        </w:rPr>
      </w:pPr>
      <w:r>
        <w:rPr>
          <w:sz w:val="17"/>
        </w:rPr>
        <w:t>[Endnote continued from previous page]</w:t>
      </w:r>
    </w:p>
  </w:endnote>
  <w:endnote w:type="continuationNotice" w:id="1">
    <w:p w:rsidR="00AA733E" w:rsidRPr="003B38C1" w:rsidRDefault="00AA733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373" w:rsidRDefault="009543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373" w:rsidRDefault="009543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373" w:rsidRDefault="009543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33E" w:rsidRDefault="00AA733E">
      <w:r>
        <w:separator/>
      </w:r>
    </w:p>
  </w:footnote>
  <w:footnote w:type="continuationSeparator" w:id="0">
    <w:p w:rsidR="00AA733E" w:rsidRDefault="00AA733E" w:rsidP="008B60B2">
      <w:r>
        <w:separator/>
      </w:r>
    </w:p>
    <w:p w:rsidR="00AA733E" w:rsidRPr="00ED77FB" w:rsidRDefault="00AA733E" w:rsidP="008B60B2">
      <w:pPr>
        <w:spacing w:after="60"/>
        <w:rPr>
          <w:sz w:val="17"/>
          <w:szCs w:val="17"/>
        </w:rPr>
      </w:pPr>
      <w:r w:rsidRPr="00ED77FB">
        <w:rPr>
          <w:sz w:val="17"/>
          <w:szCs w:val="17"/>
        </w:rPr>
        <w:t>[Footnote continued from previous page]</w:t>
      </w:r>
    </w:p>
  </w:footnote>
  <w:footnote w:type="continuationNotice" w:id="1">
    <w:p w:rsidR="00AA733E" w:rsidRPr="00ED77FB" w:rsidRDefault="00AA733E" w:rsidP="008B60B2">
      <w:pPr>
        <w:spacing w:before="60"/>
        <w:jc w:val="right"/>
        <w:rPr>
          <w:sz w:val="17"/>
          <w:szCs w:val="17"/>
        </w:rPr>
      </w:pPr>
      <w:r w:rsidRPr="00ED77FB">
        <w:rPr>
          <w:sz w:val="17"/>
          <w:szCs w:val="17"/>
        </w:rPr>
        <w:t>[Footnote continued on next page]</w:t>
      </w:r>
    </w:p>
  </w:footnote>
  <w:footnote w:id="2">
    <w:p w:rsidR="000F3D77" w:rsidRPr="000F3D77" w:rsidRDefault="000F3D77">
      <w:pPr>
        <w:pStyle w:val="FootnoteText"/>
      </w:pPr>
      <w:r>
        <w:rPr>
          <w:rStyle w:val="FootnoteReference"/>
        </w:rPr>
        <w:footnoteRef/>
      </w:r>
      <w:r>
        <w:t xml:space="preserve"> </w:t>
      </w:r>
      <w:r>
        <w:tab/>
        <w:t>A sample period for which the period of 30 months from priority</w:t>
      </w:r>
      <w:r w:rsidR="001943C3">
        <w:t>,</w:t>
      </w:r>
      <w:r>
        <w:t xml:space="preserve"> within which any Rule 92</w:t>
      </w:r>
      <w:r>
        <w:rPr>
          <w:i/>
        </w:rPr>
        <w:t>bis</w:t>
      </w:r>
      <w:r>
        <w:t xml:space="preserve"> change must be requested</w:t>
      </w:r>
      <w:r w:rsidR="001943C3">
        <w:t>,</w:t>
      </w:r>
      <w:r>
        <w:t xml:space="preserve"> has expired for almost the entire population.</w:t>
      </w:r>
    </w:p>
  </w:footnote>
  <w:footnote w:id="3">
    <w:p w:rsidR="00EA00DC" w:rsidRPr="00DE7A0C" w:rsidRDefault="00EA00DC" w:rsidP="00EA00DC">
      <w:pPr>
        <w:pStyle w:val="FootnoteText"/>
        <w:tabs>
          <w:tab w:val="left" w:pos="567"/>
        </w:tabs>
      </w:pPr>
      <w:r>
        <w:rPr>
          <w:rStyle w:val="FootnoteReference"/>
        </w:rPr>
        <w:footnoteRef/>
      </w:r>
      <w:r>
        <w:t xml:space="preserve"> </w:t>
      </w:r>
      <w:r>
        <w:tab/>
      </w:r>
      <w:r w:rsidRPr="00DE7A0C">
        <w:t>Proposed additions and deletions are indicated, respectively, by underlining and striking through the text concerned.</w:t>
      </w:r>
    </w:p>
  </w:footnote>
  <w:footnote w:id="4">
    <w:p w:rsidR="00EA00DC" w:rsidRPr="00F34CC7" w:rsidRDefault="00EA00DC" w:rsidP="00EA00DC">
      <w:pPr>
        <w:pStyle w:val="FootnoteText"/>
        <w:rPr>
          <w:szCs w:val="24"/>
          <w:lang w:val="en-GB"/>
        </w:rPr>
      </w:pPr>
      <w:r>
        <w:rPr>
          <w:rStyle w:val="FootnoteReference"/>
        </w:rPr>
        <w:footnoteRef/>
      </w:r>
      <w:r>
        <w:t xml:space="preserve"> </w:t>
      </w:r>
      <w:r>
        <w:tab/>
      </w:r>
      <w:r w:rsidRPr="00F34CC7">
        <w:rPr>
          <w:i/>
          <w:szCs w:val="24"/>
        </w:rPr>
        <w:t>Editor’s Note:</w:t>
      </w:r>
      <w:r>
        <w:rPr>
          <w:szCs w:val="24"/>
        </w:rPr>
        <w:t xml:space="preserve"> </w:t>
      </w:r>
      <w:r w:rsidRPr="00F34CC7">
        <w:rPr>
          <w:szCs w:val="24"/>
        </w:rPr>
        <w:t xml:space="preserve">The first lists of States were published in the Gazette of </w:t>
      </w:r>
      <w:r>
        <w:rPr>
          <w:szCs w:val="24"/>
        </w:rPr>
        <w:t>February 12,</w:t>
      </w:r>
      <w:r>
        <w:t> </w:t>
      </w:r>
      <w:r w:rsidRPr="00F34CC7">
        <w:rPr>
          <w:szCs w:val="24"/>
        </w:rPr>
        <w:t xml:space="preserve">2015, page 32 (see </w:t>
      </w:r>
      <w:r w:rsidRPr="00E4625E">
        <w:rPr>
          <w:szCs w:val="24"/>
        </w:rPr>
        <w:t>www.wipo.int/pct/en/official_notices/index.htm</w:t>
      </w:r>
      <w:r w:rsidRPr="00E4625E">
        <w:rPr>
          <w:szCs w:val="24"/>
          <w:lang w:val="en-GB"/>
        </w:rPr>
        <w:t>l</w:t>
      </w:r>
      <w:r w:rsidRPr="00F34CC7">
        <w:rPr>
          <w:szCs w:val="24"/>
          <w:lang w:val="en-GB"/>
        </w:rPr>
        <w:t>)</w:t>
      </w:r>
      <w:r>
        <w:rPr>
          <w:szCs w:val="24"/>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373" w:rsidRDefault="009543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823" w:rsidRDefault="005B3823" w:rsidP="00477D6B">
    <w:pPr>
      <w:jc w:val="right"/>
    </w:pPr>
    <w:r>
      <w:t>PCT/WG/10</w:t>
    </w:r>
    <w:r w:rsidR="00BE609E">
      <w:t>/</w:t>
    </w:r>
    <w:r w:rsidR="00A3358A">
      <w:t>8</w:t>
    </w:r>
  </w:p>
  <w:p w:rsidR="005B3823" w:rsidRDefault="005B3823" w:rsidP="00477D6B">
    <w:pPr>
      <w:jc w:val="right"/>
    </w:pPr>
    <w:proofErr w:type="gramStart"/>
    <w:r>
      <w:t>page</w:t>
    </w:r>
    <w:proofErr w:type="gramEnd"/>
    <w:r>
      <w:t xml:space="preserve"> </w:t>
    </w:r>
    <w:r>
      <w:fldChar w:fldCharType="begin"/>
    </w:r>
    <w:r>
      <w:instrText xml:space="preserve"> PAGE  \* MERGEFORMAT </w:instrText>
    </w:r>
    <w:r>
      <w:fldChar w:fldCharType="separate"/>
    </w:r>
    <w:r w:rsidR="00954373">
      <w:rPr>
        <w:noProof/>
      </w:rPr>
      <w:t>4</w:t>
    </w:r>
    <w:r>
      <w:fldChar w:fldCharType="end"/>
    </w:r>
  </w:p>
  <w:p w:rsidR="005B3823" w:rsidRDefault="005B3823"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373" w:rsidRDefault="0095437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2F4" w:rsidRPr="002902F4" w:rsidRDefault="002902F4" w:rsidP="00477D6B">
    <w:pPr>
      <w:jc w:val="right"/>
      <w:rPr>
        <w:lang w:val="fr-CH"/>
      </w:rPr>
    </w:pPr>
    <w:r w:rsidRPr="002902F4">
      <w:rPr>
        <w:lang w:val="fr-CH"/>
      </w:rPr>
      <w:t>PCT/WG/10/XX</w:t>
    </w:r>
  </w:p>
  <w:p w:rsidR="002902F4" w:rsidRPr="002902F4" w:rsidRDefault="002902F4" w:rsidP="00477D6B">
    <w:pPr>
      <w:jc w:val="right"/>
      <w:rPr>
        <w:lang w:val="fr-CH"/>
      </w:rPr>
    </w:pPr>
    <w:proofErr w:type="spellStart"/>
    <w:r w:rsidRPr="002902F4">
      <w:rPr>
        <w:lang w:val="fr-CH"/>
      </w:rPr>
      <w:t>Annex</w:t>
    </w:r>
    <w:proofErr w:type="spellEnd"/>
    <w:r w:rsidRPr="002902F4">
      <w:rPr>
        <w:lang w:val="fr-CH"/>
      </w:rPr>
      <w:t xml:space="preserve">, page </w:t>
    </w:r>
    <w:r>
      <w:fldChar w:fldCharType="begin"/>
    </w:r>
    <w:r w:rsidRPr="002902F4">
      <w:rPr>
        <w:lang w:val="fr-CH"/>
      </w:rPr>
      <w:instrText xml:space="preserve"> PAGE  \* MERGEFORMAT </w:instrText>
    </w:r>
    <w:r>
      <w:fldChar w:fldCharType="separate"/>
    </w:r>
    <w:r w:rsidR="00D009D6">
      <w:rPr>
        <w:noProof/>
        <w:lang w:val="fr-CH"/>
      </w:rPr>
      <w:t>1</w:t>
    </w:r>
    <w:r>
      <w:fldChar w:fldCharType="end"/>
    </w:r>
  </w:p>
  <w:p w:rsidR="002902F4" w:rsidRPr="002902F4" w:rsidRDefault="002902F4" w:rsidP="00477D6B">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0DC" w:rsidRDefault="00954373" w:rsidP="00EA00DC">
    <w:pPr>
      <w:jc w:val="right"/>
    </w:pPr>
    <w:r>
      <w:t>PCT/WG/10/8</w:t>
    </w:r>
    <w:bookmarkStart w:id="14" w:name="_GoBack"/>
    <w:bookmarkEnd w:id="14"/>
  </w:p>
  <w:p w:rsidR="00EA00DC" w:rsidRDefault="00EA00DC" w:rsidP="00EA00DC">
    <w:pPr>
      <w:jc w:val="right"/>
    </w:pPr>
    <w:r>
      <w:t>ANNEX</w:t>
    </w:r>
  </w:p>
  <w:p w:rsidR="00EA00DC" w:rsidRDefault="00EA00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33E"/>
    <w:rsid w:val="00043CAA"/>
    <w:rsid w:val="000532A9"/>
    <w:rsid w:val="00075432"/>
    <w:rsid w:val="00095745"/>
    <w:rsid w:val="000968ED"/>
    <w:rsid w:val="00096F21"/>
    <w:rsid w:val="000D11A7"/>
    <w:rsid w:val="000F3D77"/>
    <w:rsid w:val="000F5E56"/>
    <w:rsid w:val="001362EE"/>
    <w:rsid w:val="00151A8A"/>
    <w:rsid w:val="001832A6"/>
    <w:rsid w:val="001943C3"/>
    <w:rsid w:val="001F233B"/>
    <w:rsid w:val="001F38E7"/>
    <w:rsid w:val="001F3B0E"/>
    <w:rsid w:val="0021217E"/>
    <w:rsid w:val="002634C4"/>
    <w:rsid w:val="002902F4"/>
    <w:rsid w:val="002928D3"/>
    <w:rsid w:val="002F1FE6"/>
    <w:rsid w:val="002F4E68"/>
    <w:rsid w:val="00312F7F"/>
    <w:rsid w:val="0033339D"/>
    <w:rsid w:val="00361450"/>
    <w:rsid w:val="003673CF"/>
    <w:rsid w:val="003845C1"/>
    <w:rsid w:val="00395A61"/>
    <w:rsid w:val="003A6F89"/>
    <w:rsid w:val="003B38C1"/>
    <w:rsid w:val="004122E0"/>
    <w:rsid w:val="0041231B"/>
    <w:rsid w:val="00423E3E"/>
    <w:rsid w:val="00427AF4"/>
    <w:rsid w:val="004647DA"/>
    <w:rsid w:val="00474062"/>
    <w:rsid w:val="00477D6B"/>
    <w:rsid w:val="005019FF"/>
    <w:rsid w:val="00507693"/>
    <w:rsid w:val="0053057A"/>
    <w:rsid w:val="00560A29"/>
    <w:rsid w:val="005B3823"/>
    <w:rsid w:val="005C6649"/>
    <w:rsid w:val="00605827"/>
    <w:rsid w:val="00624A00"/>
    <w:rsid w:val="006421E2"/>
    <w:rsid w:val="00646050"/>
    <w:rsid w:val="006713CA"/>
    <w:rsid w:val="00676C5C"/>
    <w:rsid w:val="00722100"/>
    <w:rsid w:val="00725F01"/>
    <w:rsid w:val="007D1613"/>
    <w:rsid w:val="007E4C0E"/>
    <w:rsid w:val="00804106"/>
    <w:rsid w:val="00823157"/>
    <w:rsid w:val="008B2CC1"/>
    <w:rsid w:val="008B60B2"/>
    <w:rsid w:val="008F580C"/>
    <w:rsid w:val="0090731E"/>
    <w:rsid w:val="00916EE2"/>
    <w:rsid w:val="00954373"/>
    <w:rsid w:val="00966A22"/>
    <w:rsid w:val="0096722F"/>
    <w:rsid w:val="00980843"/>
    <w:rsid w:val="009A6B76"/>
    <w:rsid w:val="009B4C79"/>
    <w:rsid w:val="009E2791"/>
    <w:rsid w:val="009E3F6F"/>
    <w:rsid w:val="009F499F"/>
    <w:rsid w:val="00A0469D"/>
    <w:rsid w:val="00A24706"/>
    <w:rsid w:val="00A3358A"/>
    <w:rsid w:val="00A40E22"/>
    <w:rsid w:val="00A42DAF"/>
    <w:rsid w:val="00A45BD8"/>
    <w:rsid w:val="00A557C9"/>
    <w:rsid w:val="00A62F09"/>
    <w:rsid w:val="00A74167"/>
    <w:rsid w:val="00A869B7"/>
    <w:rsid w:val="00AA733E"/>
    <w:rsid w:val="00AC205C"/>
    <w:rsid w:val="00AD6185"/>
    <w:rsid w:val="00AF0A6B"/>
    <w:rsid w:val="00B05A69"/>
    <w:rsid w:val="00B4580F"/>
    <w:rsid w:val="00B9734B"/>
    <w:rsid w:val="00BA30E2"/>
    <w:rsid w:val="00BD3505"/>
    <w:rsid w:val="00BE609E"/>
    <w:rsid w:val="00C11BFE"/>
    <w:rsid w:val="00C242DB"/>
    <w:rsid w:val="00C31AA5"/>
    <w:rsid w:val="00C5068F"/>
    <w:rsid w:val="00CC24D3"/>
    <w:rsid w:val="00CD04F1"/>
    <w:rsid w:val="00D009D6"/>
    <w:rsid w:val="00D45252"/>
    <w:rsid w:val="00D717EC"/>
    <w:rsid w:val="00D71B4D"/>
    <w:rsid w:val="00D85C1B"/>
    <w:rsid w:val="00D93D55"/>
    <w:rsid w:val="00DC6F56"/>
    <w:rsid w:val="00E05BBF"/>
    <w:rsid w:val="00E1209B"/>
    <w:rsid w:val="00E15015"/>
    <w:rsid w:val="00E335FE"/>
    <w:rsid w:val="00E5450B"/>
    <w:rsid w:val="00E63E9C"/>
    <w:rsid w:val="00EA00DC"/>
    <w:rsid w:val="00EA6964"/>
    <w:rsid w:val="00EB2585"/>
    <w:rsid w:val="00EC4E49"/>
    <w:rsid w:val="00ED77FB"/>
    <w:rsid w:val="00EE45FA"/>
    <w:rsid w:val="00EE4B0B"/>
    <w:rsid w:val="00F35C97"/>
    <w:rsid w:val="00F66152"/>
    <w:rsid w:val="00F80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2F09"/>
    <w:rPr>
      <w:rFonts w:ascii="Arial" w:eastAsia="SimSun" w:hAnsi="Arial" w:cs="Arial"/>
      <w:sz w:val="22"/>
      <w:lang w:eastAsia="zh-CN"/>
    </w:rPr>
  </w:style>
  <w:style w:type="paragraph" w:styleId="Heading1">
    <w:name w:val="heading 1"/>
    <w:basedOn w:val="Normal"/>
    <w:next w:val="Normal"/>
    <w:link w:val="Heading1Char"/>
    <w:qFormat/>
    <w:rsid w:val="00A62F09"/>
    <w:pPr>
      <w:keepNext/>
      <w:spacing w:before="240" w:after="60"/>
      <w:outlineLvl w:val="0"/>
    </w:pPr>
    <w:rPr>
      <w:b/>
      <w:bCs/>
      <w:caps/>
      <w:kern w:val="32"/>
      <w:szCs w:val="32"/>
    </w:rPr>
  </w:style>
  <w:style w:type="paragraph" w:styleId="Heading2">
    <w:name w:val="heading 2"/>
    <w:basedOn w:val="Normal"/>
    <w:next w:val="Normal"/>
    <w:link w:val="Heading2Char"/>
    <w:qFormat/>
    <w:rsid w:val="00A62F09"/>
    <w:pPr>
      <w:keepNext/>
      <w:spacing w:before="240" w:after="60"/>
      <w:outlineLvl w:val="1"/>
    </w:pPr>
    <w:rPr>
      <w:bCs/>
      <w:iCs/>
      <w:caps/>
      <w:szCs w:val="28"/>
    </w:rPr>
  </w:style>
  <w:style w:type="paragraph" w:styleId="Heading3">
    <w:name w:val="heading 3"/>
    <w:basedOn w:val="Normal"/>
    <w:next w:val="Normal"/>
    <w:link w:val="Heading3Char"/>
    <w:qFormat/>
    <w:rsid w:val="00A62F09"/>
    <w:pPr>
      <w:keepNext/>
      <w:spacing w:before="240" w:after="60"/>
      <w:outlineLvl w:val="2"/>
    </w:pPr>
    <w:rPr>
      <w:bCs/>
      <w:szCs w:val="26"/>
      <w:u w:val="single"/>
    </w:rPr>
  </w:style>
  <w:style w:type="paragraph" w:styleId="Heading4">
    <w:name w:val="heading 4"/>
    <w:basedOn w:val="Normal"/>
    <w:next w:val="Normal"/>
    <w:link w:val="Heading4Char"/>
    <w:qFormat/>
    <w:rsid w:val="00A62F09"/>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A62F09"/>
    <w:pPr>
      <w:ind w:left="5534"/>
    </w:pPr>
  </w:style>
  <w:style w:type="paragraph" w:styleId="BodyText">
    <w:name w:val="Body Text"/>
    <w:basedOn w:val="Normal"/>
    <w:link w:val="BodyTextChar"/>
    <w:rsid w:val="00A62F09"/>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A62F09"/>
    <w:pPr>
      <w:tabs>
        <w:tab w:val="center" w:pos="4320"/>
        <w:tab w:val="right" w:pos="8640"/>
      </w:tabs>
    </w:pPr>
  </w:style>
  <w:style w:type="paragraph" w:styleId="FootnoteText">
    <w:name w:val="footnote text"/>
    <w:basedOn w:val="Normal"/>
    <w:link w:val="FootnoteTextChar"/>
    <w:semiHidden/>
    <w:rsid w:val="000F3D77"/>
    <w:rPr>
      <w:sz w:val="20"/>
    </w:rPr>
  </w:style>
  <w:style w:type="paragraph" w:styleId="Header">
    <w:name w:val="header"/>
    <w:basedOn w:val="Normal"/>
    <w:link w:val="HeaderChar"/>
    <w:semiHidden/>
    <w:rsid w:val="00A62F09"/>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A62F09"/>
    <w:pPr>
      <w:numPr>
        <w:numId w:val="7"/>
      </w:numPr>
    </w:pPr>
  </w:style>
  <w:style w:type="paragraph" w:customStyle="1" w:styleId="ONUMFS">
    <w:name w:val="ONUM FS"/>
    <w:basedOn w:val="BodyText"/>
    <w:rsid w:val="00A62F09"/>
    <w:pPr>
      <w:numPr>
        <w:numId w:val="8"/>
      </w:numPr>
    </w:pPr>
  </w:style>
  <w:style w:type="paragraph" w:styleId="Salutation">
    <w:name w:val="Salutation"/>
    <w:basedOn w:val="Normal"/>
    <w:next w:val="Normal"/>
    <w:link w:val="SalutationChar"/>
    <w:semiHidden/>
    <w:rsid w:val="00A62F09"/>
  </w:style>
  <w:style w:type="paragraph" w:styleId="Signature">
    <w:name w:val="Signature"/>
    <w:basedOn w:val="Normal"/>
    <w:semiHidden/>
    <w:rsid w:val="00676C5C"/>
    <w:pPr>
      <w:ind w:left="5250"/>
    </w:pPr>
  </w:style>
  <w:style w:type="paragraph" w:styleId="BalloonText">
    <w:name w:val="Balloon Text"/>
    <w:basedOn w:val="Normal"/>
    <w:link w:val="BalloonTextChar"/>
    <w:rsid w:val="00AA733E"/>
    <w:rPr>
      <w:rFonts w:ascii="Tahoma" w:hAnsi="Tahoma" w:cs="Tahoma"/>
      <w:sz w:val="16"/>
      <w:szCs w:val="16"/>
    </w:rPr>
  </w:style>
  <w:style w:type="character" w:customStyle="1" w:styleId="BalloonTextChar">
    <w:name w:val="Balloon Text Char"/>
    <w:basedOn w:val="DefaultParagraphFont"/>
    <w:link w:val="BalloonText"/>
    <w:rsid w:val="00AA733E"/>
    <w:rPr>
      <w:rFonts w:ascii="Tahoma" w:eastAsia="SimSun" w:hAnsi="Tahoma" w:cs="Tahoma"/>
      <w:sz w:val="16"/>
      <w:szCs w:val="16"/>
      <w:lang w:eastAsia="zh-CN"/>
    </w:rPr>
  </w:style>
  <w:style w:type="character" w:customStyle="1" w:styleId="ONUMEChar">
    <w:name w:val="ONUM E Char"/>
    <w:link w:val="ONUME"/>
    <w:locked/>
    <w:rsid w:val="00AA733E"/>
    <w:rPr>
      <w:rFonts w:ascii="Arial" w:eastAsia="SimSun" w:hAnsi="Arial" w:cs="Arial"/>
      <w:sz w:val="22"/>
      <w:lang w:eastAsia="zh-CN"/>
    </w:rPr>
  </w:style>
  <w:style w:type="character" w:styleId="Hyperlink">
    <w:name w:val="Hyperlink"/>
    <w:basedOn w:val="DefaultParagraphFont"/>
    <w:uiPriority w:val="99"/>
    <w:rsid w:val="00EA00DC"/>
    <w:rPr>
      <w:color w:val="0000FF" w:themeColor="hyperlink"/>
      <w:u w:val="single"/>
    </w:rPr>
  </w:style>
  <w:style w:type="character" w:styleId="FootnoteReference">
    <w:name w:val="footnote reference"/>
    <w:basedOn w:val="DefaultParagraphFont"/>
    <w:rsid w:val="00A62F09"/>
    <w:rPr>
      <w:vertAlign w:val="superscript"/>
    </w:rPr>
  </w:style>
  <w:style w:type="character" w:customStyle="1" w:styleId="FootnoteTextChar">
    <w:name w:val="Footnote Text Char"/>
    <w:basedOn w:val="DefaultParagraphFont"/>
    <w:link w:val="FootnoteText"/>
    <w:semiHidden/>
    <w:rsid w:val="000F3D77"/>
    <w:rPr>
      <w:rFonts w:ascii="Arial" w:eastAsia="SimSun" w:hAnsi="Arial" w:cs="Arial"/>
      <w:lang w:eastAsia="zh-CN"/>
    </w:rPr>
  </w:style>
  <w:style w:type="paragraph" w:customStyle="1" w:styleId="LegTitle">
    <w:name w:val="Leg # Title"/>
    <w:basedOn w:val="Normal"/>
    <w:next w:val="Normal"/>
    <w:rsid w:val="00A62F09"/>
    <w:pPr>
      <w:keepNext/>
      <w:keepLines/>
      <w:suppressAutoHyphens/>
      <w:spacing w:before="240"/>
      <w:jc w:val="center"/>
    </w:pPr>
    <w:rPr>
      <w:rFonts w:eastAsia="Times New Roman" w:cs="Times New Roman"/>
      <w:b/>
      <w:lang w:eastAsia="ja-JP"/>
    </w:rPr>
  </w:style>
  <w:style w:type="paragraph" w:customStyle="1" w:styleId="LegSubRule">
    <w:name w:val="Leg SubRule #"/>
    <w:basedOn w:val="Normal"/>
    <w:rsid w:val="00A62F09"/>
    <w:pPr>
      <w:keepNext/>
      <w:keepLines/>
      <w:tabs>
        <w:tab w:val="left" w:pos="510"/>
      </w:tabs>
      <w:spacing w:before="119"/>
      <w:ind w:left="533" w:hanging="533"/>
      <w:jc w:val="both"/>
    </w:pPr>
    <w:rPr>
      <w:rFonts w:eastAsia="Times New Roman" w:cs="Times New Roman"/>
      <w:snapToGrid w:val="0"/>
      <w:lang w:eastAsia="ja-JP"/>
    </w:rPr>
  </w:style>
  <w:style w:type="paragraph" w:customStyle="1" w:styleId="Lega">
    <w:name w:val="Leg (a)"/>
    <w:basedOn w:val="Normal"/>
    <w:rsid w:val="00A62F09"/>
    <w:pPr>
      <w:tabs>
        <w:tab w:val="left" w:pos="454"/>
      </w:tabs>
      <w:spacing w:before="119"/>
    </w:pPr>
    <w:rPr>
      <w:rFonts w:eastAsia="Times New Roman" w:cs="Times New Roman"/>
      <w:snapToGrid w:val="0"/>
      <w:lang w:eastAsia="ja-JP"/>
    </w:rPr>
  </w:style>
  <w:style w:type="paragraph" w:customStyle="1" w:styleId="Legi">
    <w:name w:val="Leg (i)"/>
    <w:basedOn w:val="Normal"/>
    <w:rsid w:val="00A62F09"/>
    <w:pPr>
      <w:tabs>
        <w:tab w:val="right" w:pos="1020"/>
        <w:tab w:val="left" w:pos="1191"/>
      </w:tabs>
      <w:spacing w:before="60"/>
    </w:pPr>
    <w:rPr>
      <w:rFonts w:eastAsia="Times New Roman" w:cs="Times New Roman"/>
      <w:snapToGrid w:val="0"/>
      <w:lang w:eastAsia="ja-JP"/>
    </w:rPr>
  </w:style>
  <w:style w:type="paragraph" w:customStyle="1" w:styleId="LegBasic">
    <w:name w:val="Leg Basic"/>
    <w:rsid w:val="00EA00DC"/>
    <w:pPr>
      <w:spacing w:after="480" w:line="480" w:lineRule="auto"/>
    </w:pPr>
    <w:rPr>
      <w:rFonts w:ascii="Arial" w:hAnsi="Arial"/>
      <w:snapToGrid w:val="0"/>
      <w:sz w:val="22"/>
    </w:rPr>
  </w:style>
  <w:style w:type="character" w:customStyle="1" w:styleId="LegAddedText">
    <w:name w:val="Leg Added Text"/>
    <w:basedOn w:val="DefaultParagraphFont"/>
    <w:uiPriority w:val="1"/>
    <w:qFormat/>
    <w:rsid w:val="00EA00DC"/>
    <w:rPr>
      <w:color w:val="0070C0"/>
      <w:u w:val="single"/>
    </w:rPr>
  </w:style>
  <w:style w:type="paragraph" w:styleId="TOC1">
    <w:name w:val="toc 1"/>
    <w:basedOn w:val="Normal"/>
    <w:next w:val="Normal"/>
    <w:autoRedefine/>
    <w:uiPriority w:val="39"/>
    <w:rsid w:val="00EA00DC"/>
    <w:pPr>
      <w:spacing w:after="100"/>
    </w:pPr>
  </w:style>
  <w:style w:type="paragraph" w:styleId="TOC2">
    <w:name w:val="toc 2"/>
    <w:basedOn w:val="Normal"/>
    <w:next w:val="Normal"/>
    <w:autoRedefine/>
    <w:uiPriority w:val="39"/>
    <w:rsid w:val="00EA00DC"/>
    <w:pPr>
      <w:spacing w:after="100"/>
      <w:ind w:left="220"/>
    </w:pPr>
  </w:style>
  <w:style w:type="character" w:customStyle="1" w:styleId="BodyTextChar">
    <w:name w:val="Body Text Char"/>
    <w:basedOn w:val="DefaultParagraphFont"/>
    <w:link w:val="BodyText"/>
    <w:rsid w:val="00A62F09"/>
    <w:rPr>
      <w:rFonts w:ascii="Arial" w:eastAsia="SimSun" w:hAnsi="Arial" w:cs="Arial"/>
      <w:sz w:val="22"/>
      <w:lang w:eastAsia="zh-CN"/>
    </w:rPr>
  </w:style>
  <w:style w:type="character" w:customStyle="1" w:styleId="FooterChar">
    <w:name w:val="Footer Char"/>
    <w:basedOn w:val="DefaultParagraphFont"/>
    <w:link w:val="Footer"/>
    <w:semiHidden/>
    <w:rsid w:val="00A62F09"/>
    <w:rPr>
      <w:rFonts w:ascii="Arial" w:eastAsia="SimSun" w:hAnsi="Arial" w:cs="Arial"/>
      <w:sz w:val="22"/>
      <w:lang w:eastAsia="zh-CN"/>
    </w:rPr>
  </w:style>
  <w:style w:type="character" w:customStyle="1" w:styleId="HeaderChar">
    <w:name w:val="Header Char"/>
    <w:basedOn w:val="DefaultParagraphFont"/>
    <w:link w:val="Header"/>
    <w:semiHidden/>
    <w:rsid w:val="00A62F09"/>
    <w:rPr>
      <w:rFonts w:ascii="Arial" w:eastAsia="SimSun" w:hAnsi="Arial" w:cs="Arial"/>
      <w:sz w:val="22"/>
      <w:lang w:eastAsia="zh-CN"/>
    </w:rPr>
  </w:style>
  <w:style w:type="character" w:customStyle="1" w:styleId="Heading1Char">
    <w:name w:val="Heading 1 Char"/>
    <w:basedOn w:val="DefaultParagraphFont"/>
    <w:link w:val="Heading1"/>
    <w:rsid w:val="00A62F09"/>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A62F09"/>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A62F09"/>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A62F09"/>
    <w:rPr>
      <w:rFonts w:ascii="Arial" w:eastAsia="SimSun" w:hAnsi="Arial" w:cs="Arial"/>
      <w:bCs/>
      <w:i/>
      <w:sz w:val="22"/>
      <w:szCs w:val="28"/>
      <w:lang w:eastAsia="zh-CN"/>
    </w:rPr>
  </w:style>
  <w:style w:type="paragraph" w:customStyle="1" w:styleId="Leg1">
    <w:name w:val="Leg (1)"/>
    <w:basedOn w:val="Normal"/>
    <w:rsid w:val="00A62F09"/>
    <w:pPr>
      <w:tabs>
        <w:tab w:val="left" w:pos="397"/>
      </w:tabs>
      <w:spacing w:before="120"/>
    </w:pPr>
    <w:rPr>
      <w:rFonts w:eastAsia="Times New Roman" w:cs="Times New Roman"/>
      <w:lang w:eastAsia="ja-JP"/>
    </w:rPr>
  </w:style>
  <w:style w:type="paragraph" w:customStyle="1" w:styleId="Leg1a">
    <w:name w:val="Leg (1)(a)"/>
    <w:basedOn w:val="Normal"/>
    <w:rsid w:val="00A62F09"/>
    <w:pPr>
      <w:tabs>
        <w:tab w:val="left" w:pos="709"/>
      </w:tabs>
      <w:spacing w:before="120"/>
    </w:pPr>
    <w:rPr>
      <w:rFonts w:eastAsia="Times New Roman" w:cs="Times New Roman"/>
      <w:lang w:eastAsia="ja-JP"/>
    </w:rPr>
  </w:style>
  <w:style w:type="paragraph" w:customStyle="1" w:styleId="Leg1i">
    <w:name w:val="Leg (1)(i)"/>
    <w:basedOn w:val="Normal"/>
    <w:rsid w:val="00A62F09"/>
    <w:pPr>
      <w:tabs>
        <w:tab w:val="right" w:pos="1134"/>
        <w:tab w:val="left" w:pos="1276"/>
      </w:tabs>
      <w:spacing w:before="60"/>
    </w:pPr>
    <w:rPr>
      <w:rFonts w:eastAsia="Times New Roman" w:cs="Times New Roman"/>
      <w:lang w:eastAsia="ja-JP"/>
    </w:rPr>
  </w:style>
  <w:style w:type="character" w:customStyle="1" w:styleId="Legitalmutatis">
    <w:name w:val="Leg ital (mutatis)"/>
    <w:basedOn w:val="DefaultParagraphFont"/>
    <w:rsid w:val="00A62F09"/>
    <w:rPr>
      <w:i/>
    </w:rPr>
  </w:style>
  <w:style w:type="paragraph" w:customStyle="1" w:styleId="RComment">
    <w:name w:val="RComment"/>
    <w:basedOn w:val="Normal"/>
    <w:next w:val="Normal"/>
    <w:rsid w:val="00A62F09"/>
    <w:pPr>
      <w:tabs>
        <w:tab w:val="left" w:pos="567"/>
      </w:tabs>
      <w:spacing w:after="600"/>
    </w:pPr>
    <w:rPr>
      <w:rFonts w:ascii="Times New Roman" w:eastAsia="Times New Roman" w:hAnsi="Times New Roman" w:cs="Times New Roman"/>
      <w:sz w:val="24"/>
      <w:lang w:eastAsia="en-US"/>
    </w:rPr>
  </w:style>
  <w:style w:type="paragraph" w:customStyle="1" w:styleId="RText">
    <w:name w:val="RText"/>
    <w:basedOn w:val="Normal"/>
    <w:link w:val="RTextChar"/>
    <w:rsid w:val="00A62F09"/>
    <w:pPr>
      <w:tabs>
        <w:tab w:val="left" w:pos="567"/>
      </w:tabs>
      <w:spacing w:after="240" w:line="480" w:lineRule="auto"/>
    </w:pPr>
    <w:rPr>
      <w:rFonts w:ascii="Times New Roman" w:eastAsia="Times New Roman" w:hAnsi="Times New Roman" w:cs="Times New Roman"/>
      <w:sz w:val="24"/>
      <w:lang w:eastAsia="en-US"/>
    </w:rPr>
  </w:style>
  <w:style w:type="character" w:customStyle="1" w:styleId="RTextChar">
    <w:name w:val="RText Char"/>
    <w:basedOn w:val="DefaultParagraphFont"/>
    <w:link w:val="RText"/>
    <w:rsid w:val="00A62F09"/>
    <w:rPr>
      <w:sz w:val="24"/>
    </w:rPr>
  </w:style>
  <w:style w:type="paragraph" w:customStyle="1" w:styleId="RContinued">
    <w:name w:val="RContinued"/>
    <w:basedOn w:val="RText"/>
    <w:next w:val="Normal"/>
    <w:rsid w:val="00A62F09"/>
    <w:pPr>
      <w:pageBreakBefore/>
      <w:spacing w:after="360"/>
      <w:jc w:val="center"/>
    </w:pPr>
    <w:rPr>
      <w:i/>
    </w:rPr>
  </w:style>
  <w:style w:type="character" w:customStyle="1" w:styleId="RDeletedText">
    <w:name w:val="RDeletedText"/>
    <w:basedOn w:val="DefaultParagraphFont"/>
    <w:rsid w:val="00A62F09"/>
    <w:rPr>
      <w:strike/>
      <w:color w:val="FF0000"/>
    </w:rPr>
  </w:style>
  <w:style w:type="character" w:customStyle="1" w:styleId="RInsertedText">
    <w:name w:val="RInsertedText"/>
    <w:basedOn w:val="DefaultParagraphFont"/>
    <w:rsid w:val="00A62F09"/>
    <w:rPr>
      <w:color w:val="0000FF"/>
      <w:u w:val="single"/>
    </w:rPr>
  </w:style>
  <w:style w:type="character" w:customStyle="1" w:styleId="RItalic">
    <w:name w:val="RItalic"/>
    <w:basedOn w:val="DefaultParagraphFont"/>
    <w:rsid w:val="00A62F09"/>
    <w:rPr>
      <w:i/>
    </w:rPr>
  </w:style>
  <w:style w:type="paragraph" w:customStyle="1" w:styleId="RNoMain">
    <w:name w:val="RNo.(Main)"/>
    <w:basedOn w:val="Normal"/>
    <w:next w:val="Normal"/>
    <w:rsid w:val="00A62F09"/>
    <w:pPr>
      <w:keepNext/>
      <w:pageBreakBefore/>
      <w:tabs>
        <w:tab w:val="left" w:pos="57"/>
      </w:tabs>
      <w:spacing w:after="600" w:line="480" w:lineRule="auto"/>
      <w:jc w:val="center"/>
    </w:pPr>
    <w:rPr>
      <w:rFonts w:ascii="Times New Roman" w:eastAsia="Times New Roman" w:hAnsi="Times New Roman" w:cs="Times New Roman"/>
      <w:b/>
      <w:sz w:val="24"/>
      <w:lang w:val="fr-FR" w:eastAsia="en-US"/>
    </w:rPr>
  </w:style>
  <w:style w:type="paragraph" w:customStyle="1" w:styleId="RPara">
    <w:name w:val="RPar(a)"/>
    <w:basedOn w:val="RText"/>
    <w:link w:val="RParaChar"/>
    <w:rsid w:val="00A62F09"/>
    <w:pPr>
      <w:spacing w:after="360"/>
    </w:pPr>
  </w:style>
  <w:style w:type="character" w:customStyle="1" w:styleId="RParaChar">
    <w:name w:val="RPar(a) Char"/>
    <w:basedOn w:val="RTextChar"/>
    <w:link w:val="RPara"/>
    <w:rsid w:val="00A62F09"/>
    <w:rPr>
      <w:sz w:val="24"/>
    </w:rPr>
  </w:style>
  <w:style w:type="paragraph" w:customStyle="1" w:styleId="RParai">
    <w:name w:val="RPar(a)(i)"/>
    <w:basedOn w:val="RText"/>
    <w:rsid w:val="00A62F09"/>
    <w:pPr>
      <w:tabs>
        <w:tab w:val="clear" w:pos="567"/>
        <w:tab w:val="right" w:pos="1418"/>
        <w:tab w:val="left" w:pos="1701"/>
      </w:tabs>
      <w:spacing w:after="360"/>
    </w:pPr>
  </w:style>
  <w:style w:type="paragraph" w:customStyle="1" w:styleId="RParaiindent">
    <w:name w:val="RPar(a)(i)indent"/>
    <w:basedOn w:val="RParai"/>
    <w:rsid w:val="00A62F09"/>
    <w:pPr>
      <w:spacing w:line="240" w:lineRule="auto"/>
      <w:ind w:left="1701" w:hanging="1701"/>
    </w:pPr>
  </w:style>
  <w:style w:type="paragraph" w:customStyle="1" w:styleId="RPari">
    <w:name w:val="RPar(i)"/>
    <w:basedOn w:val="RText"/>
    <w:link w:val="RPariChar"/>
    <w:rsid w:val="00A62F09"/>
    <w:pPr>
      <w:tabs>
        <w:tab w:val="clear" w:pos="567"/>
        <w:tab w:val="right" w:pos="1276"/>
        <w:tab w:val="left" w:pos="1418"/>
      </w:tabs>
      <w:spacing w:after="360"/>
    </w:pPr>
  </w:style>
  <w:style w:type="character" w:customStyle="1" w:styleId="RPariChar">
    <w:name w:val="RPar(i) Char"/>
    <w:basedOn w:val="RTextChar"/>
    <w:link w:val="RPari"/>
    <w:rsid w:val="00A62F09"/>
    <w:rPr>
      <w:sz w:val="24"/>
    </w:rPr>
  </w:style>
  <w:style w:type="paragraph" w:customStyle="1" w:styleId="RPariIndent">
    <w:name w:val="RPar(i)Indent"/>
    <w:basedOn w:val="RPari"/>
    <w:rsid w:val="00A62F09"/>
    <w:pPr>
      <w:ind w:left="1418" w:hanging="1418"/>
    </w:pPr>
  </w:style>
  <w:style w:type="paragraph" w:customStyle="1" w:styleId="RTitleMain">
    <w:name w:val="RTitle(Main)"/>
    <w:basedOn w:val="RText"/>
    <w:next w:val="RPara"/>
    <w:rsid w:val="00A62F09"/>
    <w:pPr>
      <w:keepNext/>
      <w:pageBreakBefore/>
      <w:tabs>
        <w:tab w:val="clear" w:pos="567"/>
        <w:tab w:val="left" w:pos="57"/>
      </w:tabs>
      <w:spacing w:after="360"/>
      <w:jc w:val="center"/>
    </w:pPr>
    <w:rPr>
      <w:b/>
    </w:rPr>
  </w:style>
  <w:style w:type="paragraph" w:customStyle="1" w:styleId="RTitleSub">
    <w:name w:val="RTitle(Sub)"/>
    <w:basedOn w:val="RText"/>
    <w:next w:val="RPara"/>
    <w:rsid w:val="00A62F09"/>
    <w:pPr>
      <w:keepNext/>
      <w:spacing w:after="360"/>
    </w:pPr>
  </w:style>
  <w:style w:type="character" w:customStyle="1" w:styleId="SalutationChar">
    <w:name w:val="Salutation Char"/>
    <w:basedOn w:val="DefaultParagraphFont"/>
    <w:link w:val="Salutation"/>
    <w:semiHidden/>
    <w:rsid w:val="00A62F09"/>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2F09"/>
    <w:rPr>
      <w:rFonts w:ascii="Arial" w:eastAsia="SimSun" w:hAnsi="Arial" w:cs="Arial"/>
      <w:sz w:val="22"/>
      <w:lang w:eastAsia="zh-CN"/>
    </w:rPr>
  </w:style>
  <w:style w:type="paragraph" w:styleId="Heading1">
    <w:name w:val="heading 1"/>
    <w:basedOn w:val="Normal"/>
    <w:next w:val="Normal"/>
    <w:link w:val="Heading1Char"/>
    <w:qFormat/>
    <w:rsid w:val="00A62F09"/>
    <w:pPr>
      <w:keepNext/>
      <w:spacing w:before="240" w:after="60"/>
      <w:outlineLvl w:val="0"/>
    </w:pPr>
    <w:rPr>
      <w:b/>
      <w:bCs/>
      <w:caps/>
      <w:kern w:val="32"/>
      <w:szCs w:val="32"/>
    </w:rPr>
  </w:style>
  <w:style w:type="paragraph" w:styleId="Heading2">
    <w:name w:val="heading 2"/>
    <w:basedOn w:val="Normal"/>
    <w:next w:val="Normal"/>
    <w:link w:val="Heading2Char"/>
    <w:qFormat/>
    <w:rsid w:val="00A62F09"/>
    <w:pPr>
      <w:keepNext/>
      <w:spacing w:before="240" w:after="60"/>
      <w:outlineLvl w:val="1"/>
    </w:pPr>
    <w:rPr>
      <w:bCs/>
      <w:iCs/>
      <w:caps/>
      <w:szCs w:val="28"/>
    </w:rPr>
  </w:style>
  <w:style w:type="paragraph" w:styleId="Heading3">
    <w:name w:val="heading 3"/>
    <w:basedOn w:val="Normal"/>
    <w:next w:val="Normal"/>
    <w:link w:val="Heading3Char"/>
    <w:qFormat/>
    <w:rsid w:val="00A62F09"/>
    <w:pPr>
      <w:keepNext/>
      <w:spacing w:before="240" w:after="60"/>
      <w:outlineLvl w:val="2"/>
    </w:pPr>
    <w:rPr>
      <w:bCs/>
      <w:szCs w:val="26"/>
      <w:u w:val="single"/>
    </w:rPr>
  </w:style>
  <w:style w:type="paragraph" w:styleId="Heading4">
    <w:name w:val="heading 4"/>
    <w:basedOn w:val="Normal"/>
    <w:next w:val="Normal"/>
    <w:link w:val="Heading4Char"/>
    <w:qFormat/>
    <w:rsid w:val="00A62F09"/>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A62F09"/>
    <w:pPr>
      <w:ind w:left="5534"/>
    </w:pPr>
  </w:style>
  <w:style w:type="paragraph" w:styleId="BodyText">
    <w:name w:val="Body Text"/>
    <w:basedOn w:val="Normal"/>
    <w:link w:val="BodyTextChar"/>
    <w:rsid w:val="00A62F09"/>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A62F09"/>
    <w:pPr>
      <w:tabs>
        <w:tab w:val="center" w:pos="4320"/>
        <w:tab w:val="right" w:pos="8640"/>
      </w:tabs>
    </w:pPr>
  </w:style>
  <w:style w:type="paragraph" w:styleId="FootnoteText">
    <w:name w:val="footnote text"/>
    <w:basedOn w:val="Normal"/>
    <w:link w:val="FootnoteTextChar"/>
    <w:semiHidden/>
    <w:rsid w:val="000F3D77"/>
    <w:rPr>
      <w:sz w:val="20"/>
    </w:rPr>
  </w:style>
  <w:style w:type="paragraph" w:styleId="Header">
    <w:name w:val="header"/>
    <w:basedOn w:val="Normal"/>
    <w:link w:val="HeaderChar"/>
    <w:semiHidden/>
    <w:rsid w:val="00A62F09"/>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A62F09"/>
    <w:pPr>
      <w:numPr>
        <w:numId w:val="7"/>
      </w:numPr>
    </w:pPr>
  </w:style>
  <w:style w:type="paragraph" w:customStyle="1" w:styleId="ONUMFS">
    <w:name w:val="ONUM FS"/>
    <w:basedOn w:val="BodyText"/>
    <w:rsid w:val="00A62F09"/>
    <w:pPr>
      <w:numPr>
        <w:numId w:val="8"/>
      </w:numPr>
    </w:pPr>
  </w:style>
  <w:style w:type="paragraph" w:styleId="Salutation">
    <w:name w:val="Salutation"/>
    <w:basedOn w:val="Normal"/>
    <w:next w:val="Normal"/>
    <w:link w:val="SalutationChar"/>
    <w:semiHidden/>
    <w:rsid w:val="00A62F09"/>
  </w:style>
  <w:style w:type="paragraph" w:styleId="Signature">
    <w:name w:val="Signature"/>
    <w:basedOn w:val="Normal"/>
    <w:semiHidden/>
    <w:rsid w:val="00676C5C"/>
    <w:pPr>
      <w:ind w:left="5250"/>
    </w:pPr>
  </w:style>
  <w:style w:type="paragraph" w:styleId="BalloonText">
    <w:name w:val="Balloon Text"/>
    <w:basedOn w:val="Normal"/>
    <w:link w:val="BalloonTextChar"/>
    <w:rsid w:val="00AA733E"/>
    <w:rPr>
      <w:rFonts w:ascii="Tahoma" w:hAnsi="Tahoma" w:cs="Tahoma"/>
      <w:sz w:val="16"/>
      <w:szCs w:val="16"/>
    </w:rPr>
  </w:style>
  <w:style w:type="character" w:customStyle="1" w:styleId="BalloonTextChar">
    <w:name w:val="Balloon Text Char"/>
    <w:basedOn w:val="DefaultParagraphFont"/>
    <w:link w:val="BalloonText"/>
    <w:rsid w:val="00AA733E"/>
    <w:rPr>
      <w:rFonts w:ascii="Tahoma" w:eastAsia="SimSun" w:hAnsi="Tahoma" w:cs="Tahoma"/>
      <w:sz w:val="16"/>
      <w:szCs w:val="16"/>
      <w:lang w:eastAsia="zh-CN"/>
    </w:rPr>
  </w:style>
  <w:style w:type="character" w:customStyle="1" w:styleId="ONUMEChar">
    <w:name w:val="ONUM E Char"/>
    <w:link w:val="ONUME"/>
    <w:locked/>
    <w:rsid w:val="00AA733E"/>
    <w:rPr>
      <w:rFonts w:ascii="Arial" w:eastAsia="SimSun" w:hAnsi="Arial" w:cs="Arial"/>
      <w:sz w:val="22"/>
      <w:lang w:eastAsia="zh-CN"/>
    </w:rPr>
  </w:style>
  <w:style w:type="character" w:styleId="Hyperlink">
    <w:name w:val="Hyperlink"/>
    <w:basedOn w:val="DefaultParagraphFont"/>
    <w:uiPriority w:val="99"/>
    <w:rsid w:val="00EA00DC"/>
    <w:rPr>
      <w:color w:val="0000FF" w:themeColor="hyperlink"/>
      <w:u w:val="single"/>
    </w:rPr>
  </w:style>
  <w:style w:type="character" w:styleId="FootnoteReference">
    <w:name w:val="footnote reference"/>
    <w:basedOn w:val="DefaultParagraphFont"/>
    <w:rsid w:val="00A62F09"/>
    <w:rPr>
      <w:vertAlign w:val="superscript"/>
    </w:rPr>
  </w:style>
  <w:style w:type="character" w:customStyle="1" w:styleId="FootnoteTextChar">
    <w:name w:val="Footnote Text Char"/>
    <w:basedOn w:val="DefaultParagraphFont"/>
    <w:link w:val="FootnoteText"/>
    <w:semiHidden/>
    <w:rsid w:val="000F3D77"/>
    <w:rPr>
      <w:rFonts w:ascii="Arial" w:eastAsia="SimSun" w:hAnsi="Arial" w:cs="Arial"/>
      <w:lang w:eastAsia="zh-CN"/>
    </w:rPr>
  </w:style>
  <w:style w:type="paragraph" w:customStyle="1" w:styleId="LegTitle">
    <w:name w:val="Leg # Title"/>
    <w:basedOn w:val="Normal"/>
    <w:next w:val="Normal"/>
    <w:rsid w:val="00A62F09"/>
    <w:pPr>
      <w:keepNext/>
      <w:keepLines/>
      <w:suppressAutoHyphens/>
      <w:spacing w:before="240"/>
      <w:jc w:val="center"/>
    </w:pPr>
    <w:rPr>
      <w:rFonts w:eastAsia="Times New Roman" w:cs="Times New Roman"/>
      <w:b/>
      <w:lang w:eastAsia="ja-JP"/>
    </w:rPr>
  </w:style>
  <w:style w:type="paragraph" w:customStyle="1" w:styleId="LegSubRule">
    <w:name w:val="Leg SubRule #"/>
    <w:basedOn w:val="Normal"/>
    <w:rsid w:val="00A62F09"/>
    <w:pPr>
      <w:keepNext/>
      <w:keepLines/>
      <w:tabs>
        <w:tab w:val="left" w:pos="510"/>
      </w:tabs>
      <w:spacing w:before="119"/>
      <w:ind w:left="533" w:hanging="533"/>
      <w:jc w:val="both"/>
    </w:pPr>
    <w:rPr>
      <w:rFonts w:eastAsia="Times New Roman" w:cs="Times New Roman"/>
      <w:snapToGrid w:val="0"/>
      <w:lang w:eastAsia="ja-JP"/>
    </w:rPr>
  </w:style>
  <w:style w:type="paragraph" w:customStyle="1" w:styleId="Lega">
    <w:name w:val="Leg (a)"/>
    <w:basedOn w:val="Normal"/>
    <w:rsid w:val="00A62F09"/>
    <w:pPr>
      <w:tabs>
        <w:tab w:val="left" w:pos="454"/>
      </w:tabs>
      <w:spacing w:before="119"/>
    </w:pPr>
    <w:rPr>
      <w:rFonts w:eastAsia="Times New Roman" w:cs="Times New Roman"/>
      <w:snapToGrid w:val="0"/>
      <w:lang w:eastAsia="ja-JP"/>
    </w:rPr>
  </w:style>
  <w:style w:type="paragraph" w:customStyle="1" w:styleId="Legi">
    <w:name w:val="Leg (i)"/>
    <w:basedOn w:val="Normal"/>
    <w:rsid w:val="00A62F09"/>
    <w:pPr>
      <w:tabs>
        <w:tab w:val="right" w:pos="1020"/>
        <w:tab w:val="left" w:pos="1191"/>
      </w:tabs>
      <w:spacing w:before="60"/>
    </w:pPr>
    <w:rPr>
      <w:rFonts w:eastAsia="Times New Roman" w:cs="Times New Roman"/>
      <w:snapToGrid w:val="0"/>
      <w:lang w:eastAsia="ja-JP"/>
    </w:rPr>
  </w:style>
  <w:style w:type="paragraph" w:customStyle="1" w:styleId="LegBasic">
    <w:name w:val="Leg Basic"/>
    <w:rsid w:val="00EA00DC"/>
    <w:pPr>
      <w:spacing w:after="480" w:line="480" w:lineRule="auto"/>
    </w:pPr>
    <w:rPr>
      <w:rFonts w:ascii="Arial" w:hAnsi="Arial"/>
      <w:snapToGrid w:val="0"/>
      <w:sz w:val="22"/>
    </w:rPr>
  </w:style>
  <w:style w:type="character" w:customStyle="1" w:styleId="LegAddedText">
    <w:name w:val="Leg Added Text"/>
    <w:basedOn w:val="DefaultParagraphFont"/>
    <w:uiPriority w:val="1"/>
    <w:qFormat/>
    <w:rsid w:val="00EA00DC"/>
    <w:rPr>
      <w:color w:val="0070C0"/>
      <w:u w:val="single"/>
    </w:rPr>
  </w:style>
  <w:style w:type="paragraph" w:styleId="TOC1">
    <w:name w:val="toc 1"/>
    <w:basedOn w:val="Normal"/>
    <w:next w:val="Normal"/>
    <w:autoRedefine/>
    <w:uiPriority w:val="39"/>
    <w:rsid w:val="00EA00DC"/>
    <w:pPr>
      <w:spacing w:after="100"/>
    </w:pPr>
  </w:style>
  <w:style w:type="paragraph" w:styleId="TOC2">
    <w:name w:val="toc 2"/>
    <w:basedOn w:val="Normal"/>
    <w:next w:val="Normal"/>
    <w:autoRedefine/>
    <w:uiPriority w:val="39"/>
    <w:rsid w:val="00EA00DC"/>
    <w:pPr>
      <w:spacing w:after="100"/>
      <w:ind w:left="220"/>
    </w:pPr>
  </w:style>
  <w:style w:type="character" w:customStyle="1" w:styleId="BodyTextChar">
    <w:name w:val="Body Text Char"/>
    <w:basedOn w:val="DefaultParagraphFont"/>
    <w:link w:val="BodyText"/>
    <w:rsid w:val="00A62F09"/>
    <w:rPr>
      <w:rFonts w:ascii="Arial" w:eastAsia="SimSun" w:hAnsi="Arial" w:cs="Arial"/>
      <w:sz w:val="22"/>
      <w:lang w:eastAsia="zh-CN"/>
    </w:rPr>
  </w:style>
  <w:style w:type="character" w:customStyle="1" w:styleId="FooterChar">
    <w:name w:val="Footer Char"/>
    <w:basedOn w:val="DefaultParagraphFont"/>
    <w:link w:val="Footer"/>
    <w:semiHidden/>
    <w:rsid w:val="00A62F09"/>
    <w:rPr>
      <w:rFonts w:ascii="Arial" w:eastAsia="SimSun" w:hAnsi="Arial" w:cs="Arial"/>
      <w:sz w:val="22"/>
      <w:lang w:eastAsia="zh-CN"/>
    </w:rPr>
  </w:style>
  <w:style w:type="character" w:customStyle="1" w:styleId="HeaderChar">
    <w:name w:val="Header Char"/>
    <w:basedOn w:val="DefaultParagraphFont"/>
    <w:link w:val="Header"/>
    <w:semiHidden/>
    <w:rsid w:val="00A62F09"/>
    <w:rPr>
      <w:rFonts w:ascii="Arial" w:eastAsia="SimSun" w:hAnsi="Arial" w:cs="Arial"/>
      <w:sz w:val="22"/>
      <w:lang w:eastAsia="zh-CN"/>
    </w:rPr>
  </w:style>
  <w:style w:type="character" w:customStyle="1" w:styleId="Heading1Char">
    <w:name w:val="Heading 1 Char"/>
    <w:basedOn w:val="DefaultParagraphFont"/>
    <w:link w:val="Heading1"/>
    <w:rsid w:val="00A62F09"/>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A62F09"/>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A62F09"/>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A62F09"/>
    <w:rPr>
      <w:rFonts w:ascii="Arial" w:eastAsia="SimSun" w:hAnsi="Arial" w:cs="Arial"/>
      <w:bCs/>
      <w:i/>
      <w:sz w:val="22"/>
      <w:szCs w:val="28"/>
      <w:lang w:eastAsia="zh-CN"/>
    </w:rPr>
  </w:style>
  <w:style w:type="paragraph" w:customStyle="1" w:styleId="Leg1">
    <w:name w:val="Leg (1)"/>
    <w:basedOn w:val="Normal"/>
    <w:rsid w:val="00A62F09"/>
    <w:pPr>
      <w:tabs>
        <w:tab w:val="left" w:pos="397"/>
      </w:tabs>
      <w:spacing w:before="120"/>
    </w:pPr>
    <w:rPr>
      <w:rFonts w:eastAsia="Times New Roman" w:cs="Times New Roman"/>
      <w:lang w:eastAsia="ja-JP"/>
    </w:rPr>
  </w:style>
  <w:style w:type="paragraph" w:customStyle="1" w:styleId="Leg1a">
    <w:name w:val="Leg (1)(a)"/>
    <w:basedOn w:val="Normal"/>
    <w:rsid w:val="00A62F09"/>
    <w:pPr>
      <w:tabs>
        <w:tab w:val="left" w:pos="709"/>
      </w:tabs>
      <w:spacing w:before="120"/>
    </w:pPr>
    <w:rPr>
      <w:rFonts w:eastAsia="Times New Roman" w:cs="Times New Roman"/>
      <w:lang w:eastAsia="ja-JP"/>
    </w:rPr>
  </w:style>
  <w:style w:type="paragraph" w:customStyle="1" w:styleId="Leg1i">
    <w:name w:val="Leg (1)(i)"/>
    <w:basedOn w:val="Normal"/>
    <w:rsid w:val="00A62F09"/>
    <w:pPr>
      <w:tabs>
        <w:tab w:val="right" w:pos="1134"/>
        <w:tab w:val="left" w:pos="1276"/>
      </w:tabs>
      <w:spacing w:before="60"/>
    </w:pPr>
    <w:rPr>
      <w:rFonts w:eastAsia="Times New Roman" w:cs="Times New Roman"/>
      <w:lang w:eastAsia="ja-JP"/>
    </w:rPr>
  </w:style>
  <w:style w:type="character" w:customStyle="1" w:styleId="Legitalmutatis">
    <w:name w:val="Leg ital (mutatis)"/>
    <w:basedOn w:val="DefaultParagraphFont"/>
    <w:rsid w:val="00A62F09"/>
    <w:rPr>
      <w:i/>
    </w:rPr>
  </w:style>
  <w:style w:type="paragraph" w:customStyle="1" w:styleId="RComment">
    <w:name w:val="RComment"/>
    <w:basedOn w:val="Normal"/>
    <w:next w:val="Normal"/>
    <w:rsid w:val="00A62F09"/>
    <w:pPr>
      <w:tabs>
        <w:tab w:val="left" w:pos="567"/>
      </w:tabs>
      <w:spacing w:after="600"/>
    </w:pPr>
    <w:rPr>
      <w:rFonts w:ascii="Times New Roman" w:eastAsia="Times New Roman" w:hAnsi="Times New Roman" w:cs="Times New Roman"/>
      <w:sz w:val="24"/>
      <w:lang w:eastAsia="en-US"/>
    </w:rPr>
  </w:style>
  <w:style w:type="paragraph" w:customStyle="1" w:styleId="RText">
    <w:name w:val="RText"/>
    <w:basedOn w:val="Normal"/>
    <w:link w:val="RTextChar"/>
    <w:rsid w:val="00A62F09"/>
    <w:pPr>
      <w:tabs>
        <w:tab w:val="left" w:pos="567"/>
      </w:tabs>
      <w:spacing w:after="240" w:line="480" w:lineRule="auto"/>
    </w:pPr>
    <w:rPr>
      <w:rFonts w:ascii="Times New Roman" w:eastAsia="Times New Roman" w:hAnsi="Times New Roman" w:cs="Times New Roman"/>
      <w:sz w:val="24"/>
      <w:lang w:eastAsia="en-US"/>
    </w:rPr>
  </w:style>
  <w:style w:type="character" w:customStyle="1" w:styleId="RTextChar">
    <w:name w:val="RText Char"/>
    <w:basedOn w:val="DefaultParagraphFont"/>
    <w:link w:val="RText"/>
    <w:rsid w:val="00A62F09"/>
    <w:rPr>
      <w:sz w:val="24"/>
    </w:rPr>
  </w:style>
  <w:style w:type="paragraph" w:customStyle="1" w:styleId="RContinued">
    <w:name w:val="RContinued"/>
    <w:basedOn w:val="RText"/>
    <w:next w:val="Normal"/>
    <w:rsid w:val="00A62F09"/>
    <w:pPr>
      <w:pageBreakBefore/>
      <w:spacing w:after="360"/>
      <w:jc w:val="center"/>
    </w:pPr>
    <w:rPr>
      <w:i/>
    </w:rPr>
  </w:style>
  <w:style w:type="character" w:customStyle="1" w:styleId="RDeletedText">
    <w:name w:val="RDeletedText"/>
    <w:basedOn w:val="DefaultParagraphFont"/>
    <w:rsid w:val="00A62F09"/>
    <w:rPr>
      <w:strike/>
      <w:color w:val="FF0000"/>
    </w:rPr>
  </w:style>
  <w:style w:type="character" w:customStyle="1" w:styleId="RInsertedText">
    <w:name w:val="RInsertedText"/>
    <w:basedOn w:val="DefaultParagraphFont"/>
    <w:rsid w:val="00A62F09"/>
    <w:rPr>
      <w:color w:val="0000FF"/>
      <w:u w:val="single"/>
    </w:rPr>
  </w:style>
  <w:style w:type="character" w:customStyle="1" w:styleId="RItalic">
    <w:name w:val="RItalic"/>
    <w:basedOn w:val="DefaultParagraphFont"/>
    <w:rsid w:val="00A62F09"/>
    <w:rPr>
      <w:i/>
    </w:rPr>
  </w:style>
  <w:style w:type="paragraph" w:customStyle="1" w:styleId="RNoMain">
    <w:name w:val="RNo.(Main)"/>
    <w:basedOn w:val="Normal"/>
    <w:next w:val="Normal"/>
    <w:rsid w:val="00A62F09"/>
    <w:pPr>
      <w:keepNext/>
      <w:pageBreakBefore/>
      <w:tabs>
        <w:tab w:val="left" w:pos="57"/>
      </w:tabs>
      <w:spacing w:after="600" w:line="480" w:lineRule="auto"/>
      <w:jc w:val="center"/>
    </w:pPr>
    <w:rPr>
      <w:rFonts w:ascii="Times New Roman" w:eastAsia="Times New Roman" w:hAnsi="Times New Roman" w:cs="Times New Roman"/>
      <w:b/>
      <w:sz w:val="24"/>
      <w:lang w:val="fr-FR" w:eastAsia="en-US"/>
    </w:rPr>
  </w:style>
  <w:style w:type="paragraph" w:customStyle="1" w:styleId="RPara">
    <w:name w:val="RPar(a)"/>
    <w:basedOn w:val="RText"/>
    <w:link w:val="RParaChar"/>
    <w:rsid w:val="00A62F09"/>
    <w:pPr>
      <w:spacing w:after="360"/>
    </w:pPr>
  </w:style>
  <w:style w:type="character" w:customStyle="1" w:styleId="RParaChar">
    <w:name w:val="RPar(a) Char"/>
    <w:basedOn w:val="RTextChar"/>
    <w:link w:val="RPara"/>
    <w:rsid w:val="00A62F09"/>
    <w:rPr>
      <w:sz w:val="24"/>
    </w:rPr>
  </w:style>
  <w:style w:type="paragraph" w:customStyle="1" w:styleId="RParai">
    <w:name w:val="RPar(a)(i)"/>
    <w:basedOn w:val="RText"/>
    <w:rsid w:val="00A62F09"/>
    <w:pPr>
      <w:tabs>
        <w:tab w:val="clear" w:pos="567"/>
        <w:tab w:val="right" w:pos="1418"/>
        <w:tab w:val="left" w:pos="1701"/>
      </w:tabs>
      <w:spacing w:after="360"/>
    </w:pPr>
  </w:style>
  <w:style w:type="paragraph" w:customStyle="1" w:styleId="RParaiindent">
    <w:name w:val="RPar(a)(i)indent"/>
    <w:basedOn w:val="RParai"/>
    <w:rsid w:val="00A62F09"/>
    <w:pPr>
      <w:spacing w:line="240" w:lineRule="auto"/>
      <w:ind w:left="1701" w:hanging="1701"/>
    </w:pPr>
  </w:style>
  <w:style w:type="paragraph" w:customStyle="1" w:styleId="RPari">
    <w:name w:val="RPar(i)"/>
    <w:basedOn w:val="RText"/>
    <w:link w:val="RPariChar"/>
    <w:rsid w:val="00A62F09"/>
    <w:pPr>
      <w:tabs>
        <w:tab w:val="clear" w:pos="567"/>
        <w:tab w:val="right" w:pos="1276"/>
        <w:tab w:val="left" w:pos="1418"/>
      </w:tabs>
      <w:spacing w:after="360"/>
    </w:pPr>
  </w:style>
  <w:style w:type="character" w:customStyle="1" w:styleId="RPariChar">
    <w:name w:val="RPar(i) Char"/>
    <w:basedOn w:val="RTextChar"/>
    <w:link w:val="RPari"/>
    <w:rsid w:val="00A62F09"/>
    <w:rPr>
      <w:sz w:val="24"/>
    </w:rPr>
  </w:style>
  <w:style w:type="paragraph" w:customStyle="1" w:styleId="RPariIndent">
    <w:name w:val="RPar(i)Indent"/>
    <w:basedOn w:val="RPari"/>
    <w:rsid w:val="00A62F09"/>
    <w:pPr>
      <w:ind w:left="1418" w:hanging="1418"/>
    </w:pPr>
  </w:style>
  <w:style w:type="paragraph" w:customStyle="1" w:styleId="RTitleMain">
    <w:name w:val="RTitle(Main)"/>
    <w:basedOn w:val="RText"/>
    <w:next w:val="RPara"/>
    <w:rsid w:val="00A62F09"/>
    <w:pPr>
      <w:keepNext/>
      <w:pageBreakBefore/>
      <w:tabs>
        <w:tab w:val="clear" w:pos="567"/>
        <w:tab w:val="left" w:pos="57"/>
      </w:tabs>
      <w:spacing w:after="360"/>
      <w:jc w:val="center"/>
    </w:pPr>
    <w:rPr>
      <w:b/>
    </w:rPr>
  </w:style>
  <w:style w:type="paragraph" w:customStyle="1" w:styleId="RTitleSub">
    <w:name w:val="RTitle(Sub)"/>
    <w:basedOn w:val="RText"/>
    <w:next w:val="RPara"/>
    <w:rsid w:val="00A62F09"/>
    <w:pPr>
      <w:keepNext/>
      <w:spacing w:after="360"/>
    </w:pPr>
  </w:style>
  <w:style w:type="character" w:customStyle="1" w:styleId="SalutationChar">
    <w:name w:val="Salutation Char"/>
    <w:basedOn w:val="DefaultParagraphFont"/>
    <w:link w:val="Salutation"/>
    <w:semiHidden/>
    <w:rsid w:val="00A62F09"/>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295677">
      <w:bodyDiv w:val="1"/>
      <w:marLeft w:val="0"/>
      <w:marRight w:val="0"/>
      <w:marTop w:val="0"/>
      <w:marBottom w:val="0"/>
      <w:divBdr>
        <w:top w:val="none" w:sz="0" w:space="0" w:color="auto"/>
        <w:left w:val="none" w:sz="0" w:space="0" w:color="auto"/>
        <w:bottom w:val="none" w:sz="0" w:space="0" w:color="auto"/>
        <w:right w:val="none" w:sz="0" w:space="0" w:color="auto"/>
      </w:divBdr>
    </w:div>
    <w:div w:id="152320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18F7E-ACD2-492B-9D0C-02391A3C2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10 (E)</Template>
  <TotalTime>27</TotalTime>
  <Pages>5</Pages>
  <Words>2090</Words>
  <Characters>10338</Characters>
  <Application>Microsoft Office Word</Application>
  <DocSecurity>0</DocSecurity>
  <Lines>236</Lines>
  <Paragraphs>89</Paragraphs>
  <ScaleCrop>false</ScaleCrop>
  <HeadingPairs>
    <vt:vector size="2" baseType="variant">
      <vt:variant>
        <vt:lpstr>Title</vt:lpstr>
      </vt:variant>
      <vt:variant>
        <vt:i4>1</vt:i4>
      </vt:variant>
    </vt:vector>
  </HeadingPairs>
  <TitlesOfParts>
    <vt:vector size="1" baseType="lpstr">
      <vt:lpstr>PCT/WG/10/8</vt:lpstr>
    </vt:vector>
  </TitlesOfParts>
  <Company>WIPO</Company>
  <LinksUpToDate>false</LinksUpToDate>
  <CharactersWithSpaces>12390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PCT/WG/10/8</dc:title>
  <dc:subject>Fee Reductions for Certain Applicants from Certain Countries, Notably Developing and Least Developed Countries</dc:subject>
  <dc:creator>MATTHES Claus</dc:creator>
  <cp:lastModifiedBy>MARLOW Thomas</cp:lastModifiedBy>
  <cp:revision>7</cp:revision>
  <cp:lastPrinted>2017-04-04T12:32:00Z</cp:lastPrinted>
  <dcterms:created xsi:type="dcterms:W3CDTF">2017-03-23T10:44:00Z</dcterms:created>
  <dcterms:modified xsi:type="dcterms:W3CDTF">2017-04-04T12:39:00Z</dcterms:modified>
</cp:coreProperties>
</file>