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F023AF">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023A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8D276B">
              <w:rPr>
                <w:rFonts w:ascii="Arial Black" w:hAnsi="Arial Black"/>
                <w:caps/>
                <w:sz w:val="15"/>
              </w:rPr>
              <w:t>January 11</w:t>
            </w:r>
            <w:r w:rsidR="00F023AF">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bookmarkStart w:id="3" w:name="_GoBack"/>
      <w:bookmarkEnd w:id="3"/>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023AF" w:rsidP="008B2CC1">
      <w:pPr>
        <w:rPr>
          <w:caps/>
          <w:sz w:val="24"/>
        </w:rPr>
      </w:pPr>
      <w:bookmarkStart w:id="4" w:name="TitleOfDoc"/>
      <w:bookmarkEnd w:id="4"/>
      <w:r>
        <w:rPr>
          <w:caps/>
          <w:sz w:val="24"/>
        </w:rPr>
        <w:t xml:space="preserve">Second Supplement to “Estimating </w:t>
      </w:r>
      <w:proofErr w:type="gramStart"/>
      <w:r>
        <w:rPr>
          <w:caps/>
          <w:sz w:val="24"/>
        </w:rPr>
        <w:t>a PCT</w:t>
      </w:r>
      <w:proofErr w:type="gramEnd"/>
      <w:r>
        <w:rPr>
          <w:caps/>
          <w:sz w:val="24"/>
        </w:rPr>
        <w:t xml:space="preserve"> Fee Elasticity” Study</w:t>
      </w:r>
    </w:p>
    <w:p w:rsidR="008B2CC1" w:rsidRPr="008B2CC1" w:rsidRDefault="008B2CC1" w:rsidP="008B2CC1"/>
    <w:p w:rsidR="008B2CC1" w:rsidRPr="008B2CC1" w:rsidRDefault="00F023AF"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F023AF" w:rsidRDefault="00F023AF" w:rsidP="00F023AF"/>
    <w:p w:rsidR="00F023AF" w:rsidRDefault="00F023AF" w:rsidP="00F023AF">
      <w:pPr>
        <w:pStyle w:val="Heading1"/>
      </w:pPr>
      <w:r>
        <w:t>Introduction</w:t>
      </w:r>
    </w:p>
    <w:p w:rsidR="00F023AF" w:rsidRDefault="00F023AF" w:rsidP="00F023AF">
      <w:pPr>
        <w:pStyle w:val="ONUME"/>
      </w:pPr>
      <w:r w:rsidRPr="002924F1">
        <w:t>At the seventh session of the Working Group</w:t>
      </w:r>
      <w:r>
        <w:t xml:space="preserve"> in 2013</w:t>
      </w:r>
      <w:r w:rsidRPr="002924F1">
        <w:t>, the International Bureau presented a study entitled “</w:t>
      </w:r>
      <w:r w:rsidRPr="002924F1">
        <w:rPr>
          <w:i/>
        </w:rPr>
        <w:t>Estimating a PCT Fee Elasticity</w:t>
      </w:r>
      <w:r w:rsidRPr="002924F1">
        <w:t>”</w:t>
      </w:r>
      <w:r>
        <w:t xml:space="preserve"> (document PCT/WG/7/6)</w:t>
      </w:r>
      <w:r w:rsidRPr="002924F1">
        <w:t>, which provided a first ever estimate of the overall fee elasticity of PCT applications, that is, how an applicant’s choice on whether to use the PCT or the Paris route for filing patent applications abroad is affected by changes in</w:t>
      </w:r>
      <w:r>
        <w:t xml:space="preserve"> the international filing fee. </w:t>
      </w:r>
      <w:r w:rsidRPr="002924F1">
        <w:t xml:space="preserve"> It showed that universities and public research organizations (PROs) are more price sensitive than other applicants – even if all elasticity estimates suggested </w:t>
      </w:r>
      <w:proofErr w:type="gramStart"/>
      <w:r w:rsidRPr="002924F1">
        <w:t>a highly</w:t>
      </w:r>
      <w:proofErr w:type="gramEnd"/>
      <w:r w:rsidRPr="002924F1">
        <w:t xml:space="preserve"> inelastic fee responsiveness</w:t>
      </w:r>
      <w:r>
        <w:t>.</w:t>
      </w:r>
    </w:p>
    <w:p w:rsidR="00F023AF" w:rsidRDefault="00F023AF" w:rsidP="00F023AF">
      <w:pPr>
        <w:pStyle w:val="ONUME"/>
      </w:pPr>
      <w:r w:rsidRPr="002924F1">
        <w:t xml:space="preserve">As a follow up, the Working Group asked the Secretariat to work with the Chief Economist to provide a supplementary study exploring the effects of possible fee reductions for universities and public research organizations originating in different country groups.  This supplementary study </w:t>
      </w:r>
      <w:r>
        <w:t xml:space="preserve">(document PCT/WG/8/11) </w:t>
      </w:r>
      <w:r w:rsidRPr="002924F1">
        <w:t>was presented to the eighth session of the Working Group</w:t>
      </w:r>
      <w:r>
        <w:t xml:space="preserve"> in 2015</w:t>
      </w:r>
      <w:r w:rsidRPr="002924F1">
        <w:t>.</w:t>
      </w:r>
    </w:p>
    <w:p w:rsidR="00F023AF" w:rsidRDefault="00F023AF" w:rsidP="00350E06">
      <w:pPr>
        <w:pStyle w:val="ONUME"/>
        <w:keepLines/>
      </w:pPr>
      <w:r w:rsidRPr="002924F1">
        <w:lastRenderedPageBreak/>
        <w:t xml:space="preserve">At its ninth </w:t>
      </w:r>
      <w:r w:rsidRPr="00350E06">
        <w:t>session</w:t>
      </w:r>
      <w:r>
        <w:t xml:space="preserve"> in 2016</w:t>
      </w:r>
      <w:r w:rsidRPr="002924F1">
        <w:t>, the Work</w:t>
      </w:r>
      <w:r>
        <w:t xml:space="preserve">ing Group discussed a proposal by Brazil on PCT fee policy to stimulate patent filings by universities and public funded research institutions from certain countries, notably developing and least developed countries (document PCT/WG/9/25).  These discussions are recorded in paragraphs 85 to 122 of the Report of the session (document PCT/WG/9/28);  paragraphs 119 </w:t>
      </w:r>
      <w:r w:rsidRPr="00B61B41">
        <w:t>and</w:t>
      </w:r>
      <w:r>
        <w:t xml:space="preserve"> 120 outline the further work </w:t>
      </w:r>
      <w:r w:rsidRPr="00B61B41">
        <w:t>agreed</w:t>
      </w:r>
      <w:r>
        <w:t xml:space="preserve"> by the Working Group as follows:</w:t>
      </w:r>
      <w:r w:rsidRPr="002B6FEC">
        <w:t xml:space="preserve"> </w:t>
      </w:r>
    </w:p>
    <w:p w:rsidR="00F023AF" w:rsidRPr="002B422A" w:rsidRDefault="00F023AF" w:rsidP="00F023AF">
      <w:pPr>
        <w:pStyle w:val="ONUME"/>
        <w:keepLines/>
        <w:numPr>
          <w:ilvl w:val="0"/>
          <w:numId w:val="0"/>
        </w:numPr>
        <w:ind w:left="567"/>
      </w:pPr>
      <w:r>
        <w:t>“119.</w:t>
      </w:r>
      <w:r>
        <w:tab/>
      </w:r>
      <w:r w:rsidRPr="002B422A">
        <w:t>Following informal discussions, the Working Group requested the Secretariat to work with the Chief Economist to provide a supplement to the study presented at the eighth session (document PCT/WG/8/11), for discussion at the next session of the Working Group.  That supplement should provide:</w:t>
      </w:r>
    </w:p>
    <w:p w:rsidR="00F023AF" w:rsidRPr="002B422A" w:rsidRDefault="00F023AF" w:rsidP="00F023AF">
      <w:pPr>
        <w:pStyle w:val="ONUME"/>
        <w:numPr>
          <w:ilvl w:val="1"/>
          <w:numId w:val="5"/>
        </w:numPr>
        <w:ind w:left="1134"/>
      </w:pPr>
      <w:r w:rsidRPr="002B422A">
        <w:t xml:space="preserve">further information, similar to the information provided in tables 4 and 5 of document PCT/WG/8/11, using the elasticity estimates presented in table 3 of document PCT/WG/8/11 and then calculating the number of additional filings, the average fee payment and the income effect, both in absolute terms and relative to total PCT income, separately for universities and public research organizations benefitting from the hypothetical fee reductions, on </w:t>
      </w:r>
      <w:r>
        <w:t xml:space="preserve">a range of </w:t>
      </w:r>
      <w:r w:rsidRPr="002B422A">
        <w:t xml:space="preserve">hypothetical fee reductions for </w:t>
      </w:r>
      <w:r>
        <w:t xml:space="preserve">both </w:t>
      </w:r>
      <w:r w:rsidRPr="002B422A">
        <w:t>developed countries and countries complying with the criteria set out in item 5(a) of the PCT Schedule of Fees;</w:t>
      </w:r>
    </w:p>
    <w:p w:rsidR="00F023AF" w:rsidRPr="002B422A" w:rsidRDefault="00F023AF" w:rsidP="00F023AF">
      <w:pPr>
        <w:pStyle w:val="ONUME"/>
        <w:numPr>
          <w:ilvl w:val="1"/>
          <w:numId w:val="5"/>
        </w:numPr>
        <w:ind w:left="1134"/>
      </w:pPr>
      <w:r w:rsidRPr="002B422A">
        <w:t xml:space="preserve">information on the income effect in case of a hypothetical limitation of the number of applications which could be filed by any university or public research organization benefitting from the hypothetical fee reductions to </w:t>
      </w:r>
      <w:r>
        <w:t xml:space="preserve">a range of international applications per year, including values of </w:t>
      </w:r>
      <w:r w:rsidRPr="002B422A">
        <w:t>5, 10 and 20 international applications per year;</w:t>
      </w:r>
      <w:r>
        <w:t xml:space="preserve">  and</w:t>
      </w:r>
    </w:p>
    <w:p w:rsidR="00F023AF" w:rsidRPr="00D86A04" w:rsidRDefault="00F023AF" w:rsidP="00F023AF">
      <w:pPr>
        <w:pStyle w:val="ONUME"/>
        <w:numPr>
          <w:ilvl w:val="1"/>
          <w:numId w:val="5"/>
        </w:numPr>
        <w:ind w:left="1134"/>
      </w:pPr>
      <w:proofErr w:type="gramStart"/>
      <w:r w:rsidRPr="002B422A">
        <w:t>more</w:t>
      </w:r>
      <w:proofErr w:type="gramEnd"/>
      <w:r w:rsidRPr="002B422A">
        <w:t xml:space="preserve"> detailed information on the approach taken to identify universities and public research institutions from among all PCT applicants, as referred to in paragraph </w:t>
      </w:r>
      <w:r>
        <w:t>118</w:t>
      </w:r>
      <w:r w:rsidRPr="00D86A04">
        <w:t>, above.</w:t>
      </w:r>
    </w:p>
    <w:p w:rsidR="00F023AF" w:rsidRDefault="00F023AF" w:rsidP="00F023AF">
      <w:pPr>
        <w:pStyle w:val="ONUME"/>
        <w:numPr>
          <w:ilvl w:val="0"/>
          <w:numId w:val="0"/>
        </w:numPr>
        <w:ind w:left="567"/>
      </w:pPr>
      <w:r>
        <w:t>“120.</w:t>
      </w:r>
      <w:r>
        <w:tab/>
      </w:r>
      <w:r w:rsidRPr="00D86A04">
        <w:t xml:space="preserve">The Working Group further requested the Secretariat to make that supplement available well in advance of (at least </w:t>
      </w:r>
      <w:r>
        <w:t>four</w:t>
      </w:r>
      <w:r w:rsidRPr="00D86A04">
        <w:t xml:space="preserve"> months prior to) the next session of the Working Group.</w:t>
      </w:r>
      <w:r>
        <w:t>”</w:t>
      </w:r>
    </w:p>
    <w:p w:rsidR="00F023AF" w:rsidRDefault="00F023AF" w:rsidP="00F023AF">
      <w:pPr>
        <w:pStyle w:val="ONUME"/>
      </w:pPr>
      <w:r>
        <w:t>This document presents the supplementary study requested by the Working Group at its ninth session.</w:t>
      </w:r>
    </w:p>
    <w:p w:rsidR="00F023AF" w:rsidRDefault="00F023AF" w:rsidP="00F023AF">
      <w:pPr>
        <w:pStyle w:val="ONUME"/>
      </w:pPr>
      <w:r>
        <w:t>As discussed in the first</w:t>
      </w:r>
      <w:r w:rsidRPr="00765B9A">
        <w:t xml:space="preserve"> supplementary study, it is unfortunately not possible to perform simulations of hypothetical fee reductions for </w:t>
      </w:r>
      <w:r w:rsidRPr="002B422A">
        <w:t>public research organizations</w:t>
      </w:r>
      <w:r w:rsidRPr="00765B9A">
        <w:t xml:space="preserve"> </w:t>
      </w:r>
      <w:r>
        <w:t xml:space="preserve">(PROs) </w:t>
      </w:r>
      <w:r w:rsidRPr="00765B9A">
        <w:t>from developing countries.  This is because the coefficient estimate on the fee variable in the underlying econometric investigation was not statistically significant</w:t>
      </w:r>
      <w:r>
        <w:t xml:space="preserve"> (see paragraph 5 of document PCT/WG/8/11)</w:t>
      </w:r>
      <w:r w:rsidRPr="00765B9A">
        <w:t>.  As explained in the study, this result very likely does not reflect that PRO applicants are not fee-responsive; it rather reflects the small estimation sample that constrains statistical inference</w:t>
      </w:r>
      <w:r>
        <w:rPr>
          <w:rStyle w:val="FootnoteReference"/>
        </w:rPr>
        <w:footnoteReference w:id="2"/>
      </w:r>
      <w:r w:rsidRPr="00765B9A">
        <w:t>.   For this reason, the new simulations presented in this document focus entirely on university applicants.</w:t>
      </w:r>
    </w:p>
    <w:p w:rsidR="00F023AF" w:rsidRDefault="00F023AF" w:rsidP="00F023AF">
      <w:pPr>
        <w:pStyle w:val="ONUME"/>
      </w:pPr>
      <w:r w:rsidRPr="00227C2A">
        <w:t>This (second) supplementary study is divided into two parts.  The first part describes the approach taken to identify universities and PROs in the PCT’s applicant base.  The second part presents additional simulation results on hypothetical fee reductions, particularly those that would limit such reductions to a certain number of international applications per applicant and per year</w:t>
      </w:r>
      <w:r>
        <w:t>.</w:t>
      </w:r>
    </w:p>
    <w:p w:rsidR="00F023AF" w:rsidRDefault="00F023AF" w:rsidP="00F023AF">
      <w:pPr>
        <w:pStyle w:val="Heading1"/>
      </w:pPr>
      <w:r>
        <w:lastRenderedPageBreak/>
        <w:t>Identifying U</w:t>
      </w:r>
      <w:r w:rsidRPr="00227C2A">
        <w:t>n</w:t>
      </w:r>
      <w:r>
        <w:t>iversities and Public Research Organizations in the PCT Applicant B</w:t>
      </w:r>
      <w:r w:rsidRPr="00227C2A">
        <w:t>ase</w:t>
      </w:r>
    </w:p>
    <w:p w:rsidR="00F023AF" w:rsidRDefault="00F023AF" w:rsidP="00F023AF">
      <w:pPr>
        <w:pStyle w:val="ONUME"/>
      </w:pPr>
      <w:r w:rsidRPr="00227C2A">
        <w:t xml:space="preserve">PCT records do not classify applicants by institutional category.  The only possible </w:t>
      </w:r>
      <w:proofErr w:type="gramStart"/>
      <w:r w:rsidRPr="00227C2A">
        <w:t>way of doing so is to search the names of applicants as recorded in PCT documents</w:t>
      </w:r>
      <w:r>
        <w:t xml:space="preserve"> and </w:t>
      </w:r>
      <w:r w:rsidRPr="00227C2A">
        <w:t>determine</w:t>
      </w:r>
      <w:proofErr w:type="gramEnd"/>
      <w:r w:rsidRPr="00227C2A">
        <w:t>, based on the name, whether the applicant is a university, PRO, company or an individual.</w:t>
      </w:r>
    </w:p>
    <w:p w:rsidR="00F023AF" w:rsidRDefault="00F023AF" w:rsidP="00F023AF">
      <w:pPr>
        <w:pStyle w:val="ONUME"/>
      </w:pPr>
      <w:r w:rsidRPr="00227C2A">
        <w:t>WIPO’s Economics and Statistics Division (ESD) employs the following procedures to categorize PCT applicants as a university or PRO:</w:t>
      </w:r>
    </w:p>
    <w:p w:rsidR="00F023AF" w:rsidRDefault="00F023AF" w:rsidP="00F023AF">
      <w:pPr>
        <w:pStyle w:val="ONUME"/>
        <w:numPr>
          <w:ilvl w:val="0"/>
          <w:numId w:val="7"/>
        </w:numPr>
        <w:ind w:left="1134" w:hanging="567"/>
      </w:pPr>
      <w:r w:rsidRPr="004B08C2">
        <w:t>As a first step, ESD harmonizes and consolidates all applicant names, using name-cleaning algorithms that account for typos, abbreviations, and other sources of name discrepancy</w:t>
      </w:r>
      <w:r>
        <w:t>.</w:t>
      </w:r>
    </w:p>
    <w:p w:rsidR="00F023AF" w:rsidRDefault="00F023AF" w:rsidP="00F023AF">
      <w:pPr>
        <w:pStyle w:val="ONUME"/>
        <w:numPr>
          <w:ilvl w:val="0"/>
          <w:numId w:val="7"/>
        </w:numPr>
        <w:ind w:left="1134" w:hanging="567"/>
      </w:pPr>
      <w:r>
        <w:t xml:space="preserve">Next </w:t>
      </w:r>
      <w:r w:rsidRPr="004B08C2">
        <w:t xml:space="preserve">universities and PROs are identified through a list of keywords for universities, university hospitals and </w:t>
      </w:r>
      <w:proofErr w:type="spellStart"/>
      <w:r w:rsidRPr="004B08C2">
        <w:t>PROs.</w:t>
      </w:r>
      <w:proofErr w:type="spellEnd"/>
      <w:r w:rsidRPr="004B08C2">
        <w:t xml:space="preserve">  In the case of universities, these keywords encompass all types of educational entities, including universities, colleges, polytechnics, and others.  They also take account of the different languages of PCT applicant</w:t>
      </w:r>
      <w:r>
        <w:t xml:space="preserve"> names.</w:t>
      </w:r>
    </w:p>
    <w:p w:rsidR="00F023AF" w:rsidRDefault="00F023AF" w:rsidP="00F023AF">
      <w:pPr>
        <w:pStyle w:val="ListParagraph"/>
        <w:numPr>
          <w:ilvl w:val="0"/>
          <w:numId w:val="7"/>
        </w:numPr>
        <w:ind w:left="1134" w:hanging="567"/>
      </w:pPr>
      <w:r w:rsidRPr="004B08C2">
        <w:t>The list of keywords undergoes continuous refin</w:t>
      </w:r>
      <w:r>
        <w:t xml:space="preserve">ement reflecting manual checks </w:t>
      </w:r>
      <w:r>
        <w:noBreakHyphen/>
      </w:r>
      <w:r w:rsidRPr="004B08C2">
        <w:t xml:space="preserve"> including web-based searches of applicant names of ambiguous institutional nature </w:t>
      </w:r>
      <w:r>
        <w:noBreakHyphen/>
      </w:r>
      <w:r w:rsidRPr="004B08C2">
        <w:t xml:space="preserve"> and the availability of new PCT records.</w:t>
      </w:r>
    </w:p>
    <w:p w:rsidR="00F023AF" w:rsidRPr="004B08C2" w:rsidRDefault="00F023AF" w:rsidP="00F023AF">
      <w:pPr>
        <w:pStyle w:val="ListParagraph"/>
      </w:pPr>
    </w:p>
    <w:p w:rsidR="00F023AF" w:rsidRDefault="00F023AF" w:rsidP="00F023AF">
      <w:pPr>
        <w:pStyle w:val="ONUME"/>
      </w:pPr>
      <w:r>
        <w:t>By nature, name</w:t>
      </w:r>
      <w:r>
        <w:noBreakHyphen/>
      </w:r>
      <w:r w:rsidRPr="004B08C2">
        <w:t>based searches invariably lead to false positives (an applicant wrongly identified as a university or PRO) and false negatives (a university or PRO applicant not identified as such).  However, since the institutional nature of universities and PROs are in most cases reflected in their names, their identification through keyword lists is likely to be meaningful, if not reliable.</w:t>
      </w:r>
    </w:p>
    <w:p w:rsidR="00F023AF" w:rsidRDefault="00F023AF" w:rsidP="00F023AF">
      <w:pPr>
        <w:pStyle w:val="Heading1"/>
      </w:pPr>
      <w:r w:rsidRPr="004B08C2">
        <w:t xml:space="preserve">Additional </w:t>
      </w:r>
      <w:r>
        <w:t>Simulations of Volume and Income Effects in the Presence of Eligible Application C</w:t>
      </w:r>
      <w:r w:rsidRPr="004B08C2">
        <w:t>eilings</w:t>
      </w:r>
    </w:p>
    <w:p w:rsidR="00F023AF" w:rsidRDefault="00F023AF" w:rsidP="00F023AF">
      <w:pPr>
        <w:pStyle w:val="ONUME"/>
      </w:pPr>
      <w:r w:rsidRPr="004B08C2">
        <w:t>To better understand how different ceilings of numbers of applications per applicant and per year influence the volume and income effects associated with hypothetical fee reductions, it is first helpful to look at the distribution of PCT applications in the PCT’s applicant base.  Table</w:t>
      </w:r>
      <w:r>
        <w:t> </w:t>
      </w:r>
      <w:r w:rsidRPr="004B08C2">
        <w:t>1a presents this distribution for developed country university applicants and Table</w:t>
      </w:r>
      <w:r>
        <w:t> </w:t>
      </w:r>
      <w:r w:rsidRPr="004B08C2">
        <w:t>1b does so for developing country university applicants</w:t>
      </w:r>
      <w:r>
        <w:rPr>
          <w:rStyle w:val="FootnoteReference"/>
        </w:rPr>
        <w:footnoteReference w:id="3"/>
      </w:r>
      <w:r>
        <w:t>.</w:t>
      </w:r>
    </w:p>
    <w:p w:rsidR="00F023AF" w:rsidRDefault="00F023AF" w:rsidP="00F023AF">
      <w:pPr>
        <w:pStyle w:val="ONUME"/>
      </w:pPr>
      <w:r w:rsidRPr="004B08C2">
        <w:t>In the case of developed countries, around 64</w:t>
      </w:r>
      <w:r>
        <w:t> </w:t>
      </w:r>
      <w:r w:rsidRPr="004B08C2">
        <w:t>per</w:t>
      </w:r>
      <w:r>
        <w:t xml:space="preserve"> cent of all PCT</w:t>
      </w:r>
      <w:r>
        <w:noBreakHyphen/>
      </w:r>
      <w:r w:rsidRPr="004B08C2">
        <w:t>u</w:t>
      </w:r>
      <w:r>
        <w:t xml:space="preserve">sing universities file between one and five </w:t>
      </w:r>
      <w:r w:rsidRPr="004B08C2">
        <w:t>applications per year and this share has remained fairly stable between 2011 and 2015.  The share of large university filers – defined as those filing</w:t>
      </w:r>
      <w:r>
        <w:t> </w:t>
      </w:r>
      <w:r w:rsidRPr="004B08C2">
        <w:t>26 or more applications – stands at around 8</w:t>
      </w:r>
      <w:r>
        <w:t> </w:t>
      </w:r>
      <w:r w:rsidRPr="004B08C2">
        <w:t>per</w:t>
      </w:r>
      <w:r>
        <w:t xml:space="preserve"> </w:t>
      </w:r>
      <w:r w:rsidRPr="004B08C2">
        <w:t>cent and has equally remained stable.</w:t>
      </w:r>
    </w:p>
    <w:p w:rsidR="00F023AF" w:rsidRDefault="00F023AF" w:rsidP="00F023AF">
      <w:pPr>
        <w:pStyle w:val="ONUME"/>
      </w:pPr>
      <w:r w:rsidRPr="004B08C2">
        <w:t>By contrast, around 80</w:t>
      </w:r>
      <w:r>
        <w:t> </w:t>
      </w:r>
      <w:r w:rsidRPr="004B08C2">
        <w:t>per</w:t>
      </w:r>
      <w:r>
        <w:t xml:space="preserve"> </w:t>
      </w:r>
      <w:r w:rsidRPr="004B08C2">
        <w:t>cent of PCT-using universities from dev</w:t>
      </w:r>
      <w:r>
        <w:t>eloping countries file between one and five</w:t>
      </w:r>
      <w:r w:rsidRPr="004B08C2">
        <w:t xml:space="preserve"> applications per year, though this share has fallen from 84</w:t>
      </w:r>
      <w:r>
        <w:t> </w:t>
      </w:r>
      <w:r w:rsidRPr="004B08C2">
        <w:t>per</w:t>
      </w:r>
      <w:r>
        <w:t xml:space="preserve"> </w:t>
      </w:r>
      <w:r w:rsidRPr="004B08C2">
        <w:t>cent in 2011 to 71</w:t>
      </w:r>
      <w:r>
        <w:t> </w:t>
      </w:r>
      <w:r w:rsidRPr="004B08C2">
        <w:t>per</w:t>
      </w:r>
      <w:r>
        <w:t xml:space="preserve"> </w:t>
      </w:r>
      <w:r w:rsidRPr="004B08C2">
        <w:t>cent in 2015.  Large university filers account for only 3</w:t>
      </w:r>
      <w:r>
        <w:t> </w:t>
      </w:r>
      <w:r w:rsidRPr="004B08C2">
        <w:t>per</w:t>
      </w:r>
      <w:r>
        <w:t xml:space="preserve"> </w:t>
      </w:r>
      <w:r w:rsidRPr="004B08C2">
        <w:t xml:space="preserve">cent of the university applicant base in developing countries, although this share has </w:t>
      </w:r>
      <w:proofErr w:type="gramStart"/>
      <w:r w:rsidRPr="004B08C2">
        <w:t>risen</w:t>
      </w:r>
      <w:proofErr w:type="gramEnd"/>
      <w:r w:rsidRPr="004B08C2">
        <w:t xml:space="preserve"> from 2</w:t>
      </w:r>
      <w:r>
        <w:t> </w:t>
      </w:r>
      <w:r w:rsidRPr="004B08C2">
        <w:t>per</w:t>
      </w:r>
      <w:r>
        <w:t xml:space="preserve"> </w:t>
      </w:r>
      <w:r w:rsidRPr="004B08C2">
        <w:t>cent in 2011 to 5</w:t>
      </w:r>
      <w:r>
        <w:t> </w:t>
      </w:r>
      <w:r w:rsidRPr="004B08C2">
        <w:t>per</w:t>
      </w:r>
      <w:r>
        <w:t xml:space="preserve"> </w:t>
      </w:r>
      <w:r w:rsidRPr="004B08C2">
        <w:t>cent in 2015.</w:t>
      </w:r>
    </w:p>
    <w:p w:rsidR="00F023AF" w:rsidRDefault="00F023AF" w:rsidP="00F023AF">
      <w:pPr>
        <w:pStyle w:val="ONUME"/>
        <w:keepLines/>
      </w:pPr>
      <w:r w:rsidRPr="004B08C2">
        <w:t>Simulating the effect of a hypothetical fee reduction with a ceiling of eligible applications per year is not straightforward.  The fee elasticities estimated in the first supplementary study applied to all university applicants from the two groups of countries, regardless of their filing volume.  In practice, small and large existing filers as well as universities currently not using the PCT system may exhibit different fee elasticities.  As the introduction of a ceiling would imply a steeper fee discount for some universities than for others, this may bias the simulation analysis</w:t>
      </w:r>
      <w:r>
        <w:rPr>
          <w:rStyle w:val="FootnoteReference"/>
        </w:rPr>
        <w:footnoteReference w:id="4"/>
      </w:r>
      <w:r>
        <w:t>.</w:t>
      </w:r>
    </w:p>
    <w:p w:rsidR="00F023AF" w:rsidRDefault="00F023AF" w:rsidP="00F023AF">
      <w:pPr>
        <w:pStyle w:val="ONUME"/>
        <w:keepLines/>
      </w:pPr>
      <w:r w:rsidRPr="006A7D5D">
        <w:t xml:space="preserve">In the absence of a better alternative, this document simulates a hypothetical fee reduction with a ceiling by applying the fee reduction only to the number of eligible university filings at or below the ceiling.  To illustrate with an example, in 2015, there were 1,693 PCT filings from universities in developing countries.  If a fee reduction had applied to up to </w:t>
      </w:r>
      <w:r>
        <w:t>five </w:t>
      </w:r>
      <w:r w:rsidRPr="006A7D5D">
        <w:t>applications per univers</w:t>
      </w:r>
      <w:r>
        <w:t>ity, 698 applications – or 41.2 </w:t>
      </w:r>
      <w:r w:rsidRPr="006A7D5D">
        <w:t>per</w:t>
      </w:r>
      <w:r>
        <w:t xml:space="preserve"> </w:t>
      </w:r>
      <w:r w:rsidRPr="006A7D5D">
        <w:t>cent of the total – would have qualified.  Using the elasticity estimate of -0.164 from the first supplementary study</w:t>
      </w:r>
      <w:r>
        <w:t xml:space="preserve"> (see Table 3 of document PCT/WG/8/11)</w:t>
      </w:r>
      <w:proofErr w:type="gramStart"/>
      <w:r w:rsidRPr="006A7D5D">
        <w:t>,</w:t>
      </w:r>
      <w:proofErr w:type="gramEnd"/>
      <w:r w:rsidRPr="006A7D5D">
        <w:t xml:space="preserve"> a fee discount of 25</w:t>
      </w:r>
      <w:r>
        <w:t> </w:t>
      </w:r>
      <w:r w:rsidRPr="006A7D5D">
        <w:t>per</w:t>
      </w:r>
      <w:r>
        <w:t xml:space="preserve"> </w:t>
      </w:r>
      <w:r w:rsidRPr="006A7D5D">
        <w:t>cent would have yielded an additional 29</w:t>
      </w:r>
      <w:r>
        <w:t> </w:t>
      </w:r>
      <w:r w:rsidRPr="006A7D5D">
        <w:t xml:space="preserve">filings.  As a result, with an average filing fee of 1,150 </w:t>
      </w:r>
      <w:r>
        <w:t xml:space="preserve">Swiss francs </w:t>
      </w:r>
      <w:r w:rsidRPr="006A7D5D">
        <w:t xml:space="preserve">in 2015, PCT income would have been 200,579 </w:t>
      </w:r>
      <w:r>
        <w:t xml:space="preserve">Swiss francs </w:t>
      </w:r>
      <w:r w:rsidRPr="006A7D5D">
        <w:t>lower.</w:t>
      </w:r>
    </w:p>
    <w:p w:rsidR="00F023AF" w:rsidRDefault="00F023AF" w:rsidP="00F023AF">
      <w:pPr>
        <w:pStyle w:val="ONUME"/>
      </w:pPr>
      <w:r w:rsidRPr="00DC009E">
        <w:t>Tables</w:t>
      </w:r>
      <w:r>
        <w:t> </w:t>
      </w:r>
      <w:r w:rsidRPr="00DC009E">
        <w:t>2a and 2b present the baseline figures for the simulation analysis – namely, the actual filing performance from</w:t>
      </w:r>
      <w:r>
        <w:t xml:space="preserve"> </w:t>
      </w:r>
      <w:r w:rsidRPr="00DC009E">
        <w:t>2011 to</w:t>
      </w:r>
      <w:r>
        <w:t> </w:t>
      </w:r>
      <w:r w:rsidRPr="00DC009E">
        <w:t>2015, the income from those filings, the implied average fee, and the absolute number as well as the share of applications that would have been elig</w:t>
      </w:r>
      <w:r>
        <w:t>ible with different ceilings</w:t>
      </w:r>
      <w:r>
        <w:rPr>
          <w:rStyle w:val="FootnoteReference"/>
        </w:rPr>
        <w:footnoteReference w:id="5"/>
      </w:r>
      <w:r>
        <w:t xml:space="preserve">.  </w:t>
      </w:r>
      <w:r w:rsidRPr="00DC009E">
        <w:t>Reflecting the distributions shown in Tables</w:t>
      </w:r>
      <w:r>
        <w:t> </w:t>
      </w:r>
      <w:r w:rsidRPr="00DC009E">
        <w:t>1a and</w:t>
      </w:r>
      <w:r>
        <w:t> </w:t>
      </w:r>
      <w:r w:rsidRPr="00DC009E">
        <w:t>1b, for any value of the ceiling, a higher percentage of university applications from developing countries would have been eligible for the fee discount.</w:t>
      </w:r>
    </w:p>
    <w:p w:rsidR="00F023AF" w:rsidRDefault="00F023AF" w:rsidP="00F023AF">
      <w:pPr>
        <w:pStyle w:val="ONUME"/>
      </w:pPr>
      <w:r w:rsidRPr="00DC009E">
        <w:t>Figures</w:t>
      </w:r>
      <w:r>
        <w:t> </w:t>
      </w:r>
      <w:r w:rsidRPr="00DC009E">
        <w:t>1a and</w:t>
      </w:r>
      <w:r>
        <w:t> </w:t>
      </w:r>
      <w:r w:rsidRPr="00DC009E">
        <w:t>1b then depict the number of additional filings depending on the size of the fee discount a</w:t>
      </w:r>
      <w:r>
        <w:t>nd for ceilings of </w:t>
      </w:r>
      <w:r w:rsidRPr="00DC009E">
        <w:t>5, 10, 20, and 30</w:t>
      </w:r>
      <w:r>
        <w:t> </w:t>
      </w:r>
      <w:r w:rsidRPr="00DC009E">
        <w:t>applications.  For comparison purposes, the figures also show the filing effect if no ceiling were imposed.  For presentational efficiency, only results in relation to the 2015 baseline are shown.  In addition, while – as a mathematical matter – one can apply the elasticity estimate to any fee discount, the figures stop at 75</w:t>
      </w:r>
      <w:r>
        <w:t> </w:t>
      </w:r>
      <w:r w:rsidRPr="00DC009E">
        <w:t>per</w:t>
      </w:r>
      <w:r>
        <w:t xml:space="preserve"> </w:t>
      </w:r>
      <w:r w:rsidRPr="00DC009E">
        <w:t>cent.  As pointed out in the first supplementary study, the econometric model underlying the fee elasticity estimate imposes a log-linear function form on the impact of the international filing fee.  This assumption – which explains the linear impact of the fee reductions in Figures</w:t>
      </w:r>
      <w:r>
        <w:t> </w:t>
      </w:r>
      <w:r w:rsidRPr="00DC009E">
        <w:t>1a and</w:t>
      </w:r>
      <w:r>
        <w:t> </w:t>
      </w:r>
      <w:r w:rsidRPr="00DC009E">
        <w:t>1b – may be especially questionable for large fee changes that exceed historical experience.  For this reason, the simulation of additional filings for large fee reductions – especially 50</w:t>
      </w:r>
      <w:r>
        <w:t> </w:t>
      </w:r>
      <w:r w:rsidRPr="00DC009E">
        <w:t>per</w:t>
      </w:r>
      <w:r>
        <w:t xml:space="preserve"> </w:t>
      </w:r>
      <w:r w:rsidRPr="00DC009E">
        <w:t>cent and above – should be treated with due caution.</w:t>
      </w:r>
    </w:p>
    <w:p w:rsidR="00F023AF" w:rsidRDefault="00F023AF" w:rsidP="00F023AF">
      <w:pPr>
        <w:pStyle w:val="ONUME"/>
      </w:pPr>
      <w:r w:rsidRPr="00DC009E">
        <w:t xml:space="preserve">Reflecting a lower number of total university filings but </w:t>
      </w:r>
      <w:proofErr w:type="gramStart"/>
      <w:r w:rsidRPr="00DC009E">
        <w:t>a higher</w:t>
      </w:r>
      <w:proofErr w:type="gramEnd"/>
      <w:r w:rsidRPr="00DC009E">
        <w:t xml:space="preserve"> fee elasticity, the same fee discount yields a smaller absolute filing response but a bigger relative response in developing compared to developed countries.  In addition, the lower the ceiling for eligible applications, the weaker the filing response</w:t>
      </w:r>
      <w:r>
        <w:t>.</w:t>
      </w:r>
      <w:r w:rsidRPr="003F0F8D">
        <w:t xml:space="preserve"> </w:t>
      </w:r>
    </w:p>
    <w:p w:rsidR="00F023AF" w:rsidRDefault="00F023AF" w:rsidP="00F023AF">
      <w:pPr>
        <w:pStyle w:val="ONUME"/>
        <w:keepNext/>
        <w:keepLines/>
        <w:numPr>
          <w:ilvl w:val="0"/>
          <w:numId w:val="0"/>
        </w:numPr>
      </w:pPr>
    </w:p>
    <w:p w:rsidR="00F023AF" w:rsidRDefault="00F023AF" w:rsidP="00F023AF">
      <w:pPr>
        <w:pStyle w:val="ONUME"/>
        <w:keepNext/>
        <w:keepLines/>
        <w:numPr>
          <w:ilvl w:val="0"/>
          <w:numId w:val="0"/>
        </w:numPr>
        <w:jc w:val="center"/>
      </w:pPr>
      <w:r w:rsidRPr="00061039">
        <w:rPr>
          <w:noProof/>
          <w:lang w:eastAsia="en-US"/>
        </w:rPr>
        <w:drawing>
          <wp:inline distT="0" distB="0" distL="0" distR="0" wp14:anchorId="3E827771" wp14:editId="2E2CFC66">
            <wp:extent cx="5732145" cy="3833659"/>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3833659"/>
                    </a:xfrm>
                    <a:prstGeom prst="rect">
                      <a:avLst/>
                    </a:prstGeom>
                    <a:noFill/>
                    <a:ln>
                      <a:noFill/>
                    </a:ln>
                  </pic:spPr>
                </pic:pic>
              </a:graphicData>
            </a:graphic>
          </wp:inline>
        </w:drawing>
      </w:r>
      <w:r w:rsidRPr="00040ADC">
        <w:rPr>
          <w:noProof/>
          <w:lang w:eastAsia="en-US"/>
        </w:rPr>
        <w:t xml:space="preserve"> </w:t>
      </w:r>
    </w:p>
    <w:p w:rsidR="00F023AF" w:rsidRDefault="00F023AF" w:rsidP="00F023AF">
      <w:pPr>
        <w:pStyle w:val="ONUME"/>
        <w:keepNext/>
        <w:keepLines/>
        <w:numPr>
          <w:ilvl w:val="0"/>
          <w:numId w:val="0"/>
        </w:numPr>
        <w:jc w:val="center"/>
      </w:pPr>
      <w:r w:rsidRPr="00061039">
        <w:rPr>
          <w:noProof/>
          <w:lang w:eastAsia="en-US"/>
        </w:rPr>
        <w:drawing>
          <wp:inline distT="0" distB="0" distL="0" distR="0" wp14:anchorId="0EDBA070" wp14:editId="1AA691D3">
            <wp:extent cx="5732145" cy="3498842"/>
            <wp:effectExtent l="0" t="0" r="190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3498842"/>
                    </a:xfrm>
                    <a:prstGeom prst="rect">
                      <a:avLst/>
                    </a:prstGeom>
                    <a:noFill/>
                    <a:ln>
                      <a:noFill/>
                    </a:ln>
                  </pic:spPr>
                </pic:pic>
              </a:graphicData>
            </a:graphic>
          </wp:inline>
        </w:drawing>
      </w:r>
    </w:p>
    <w:p w:rsidR="00F023AF" w:rsidRDefault="00F023AF" w:rsidP="00F023AF">
      <w:pPr>
        <w:pStyle w:val="ONUME"/>
        <w:keepNext/>
        <w:keepLines/>
        <w:numPr>
          <w:ilvl w:val="0"/>
          <w:numId w:val="0"/>
        </w:numPr>
        <w:jc w:val="center"/>
      </w:pPr>
      <w:r w:rsidRPr="00040ADC">
        <w:t xml:space="preserve">Table 1a: </w:t>
      </w:r>
      <w:r>
        <w:t xml:space="preserve"> Distribution of University PCT Applicants, Developed C</w:t>
      </w:r>
      <w:r w:rsidRPr="00040ADC">
        <w:t>ountries</w:t>
      </w:r>
    </w:p>
    <w:p w:rsidR="00F023AF" w:rsidRDefault="00F023AF" w:rsidP="00F023AF">
      <w:pPr>
        <w:pStyle w:val="ONUME"/>
        <w:numPr>
          <w:ilvl w:val="0"/>
          <w:numId w:val="0"/>
        </w:numPr>
        <w:jc w:val="center"/>
      </w:pPr>
      <w:r w:rsidRPr="00061039">
        <w:rPr>
          <w:noProof/>
          <w:lang w:eastAsia="en-US"/>
        </w:rPr>
        <w:drawing>
          <wp:inline distT="0" distB="0" distL="0" distR="0" wp14:anchorId="03351AC8" wp14:editId="275116F1">
            <wp:extent cx="5732145" cy="3833659"/>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3833659"/>
                    </a:xfrm>
                    <a:prstGeom prst="rect">
                      <a:avLst/>
                    </a:prstGeom>
                    <a:noFill/>
                    <a:ln>
                      <a:noFill/>
                    </a:ln>
                  </pic:spPr>
                </pic:pic>
              </a:graphicData>
            </a:graphic>
          </wp:inline>
        </w:drawing>
      </w:r>
    </w:p>
    <w:p w:rsidR="00F023AF" w:rsidRDefault="00F023AF" w:rsidP="00F023AF">
      <w:pPr>
        <w:pStyle w:val="ONUME"/>
        <w:numPr>
          <w:ilvl w:val="0"/>
          <w:numId w:val="0"/>
        </w:numPr>
        <w:jc w:val="center"/>
      </w:pPr>
      <w:r w:rsidRPr="00061039">
        <w:rPr>
          <w:noProof/>
          <w:lang w:eastAsia="en-US"/>
        </w:rPr>
        <w:drawing>
          <wp:inline distT="0" distB="0" distL="0" distR="0" wp14:anchorId="6CE9DC70" wp14:editId="62BAB111">
            <wp:extent cx="5732145" cy="349884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3498842"/>
                    </a:xfrm>
                    <a:prstGeom prst="rect">
                      <a:avLst/>
                    </a:prstGeom>
                    <a:noFill/>
                    <a:ln>
                      <a:noFill/>
                    </a:ln>
                  </pic:spPr>
                </pic:pic>
              </a:graphicData>
            </a:graphic>
          </wp:inline>
        </w:drawing>
      </w:r>
    </w:p>
    <w:p w:rsidR="00F023AF" w:rsidRDefault="00F023AF" w:rsidP="00F023AF">
      <w:pPr>
        <w:pStyle w:val="ONUME"/>
        <w:numPr>
          <w:ilvl w:val="0"/>
          <w:numId w:val="0"/>
        </w:numPr>
        <w:jc w:val="center"/>
      </w:pPr>
      <w:r>
        <w:t>Table 1b:  Distribution of University PCT Applicants, Developing C</w:t>
      </w:r>
      <w:r w:rsidRPr="00040ADC">
        <w:t>ountries</w:t>
      </w:r>
    </w:p>
    <w:p w:rsidR="00F023AF" w:rsidRDefault="00F023AF" w:rsidP="00F023AF">
      <w:pPr>
        <w:sectPr w:rsidR="00F023AF" w:rsidSect="00E74A2A">
          <w:headerReference w:type="default" r:id="rId14"/>
          <w:footerReference w:type="default" r:id="rId15"/>
          <w:pgSz w:w="11907" w:h="16839" w:code="9"/>
          <w:pgMar w:top="1440" w:right="1440" w:bottom="1440" w:left="1440" w:header="720" w:footer="720" w:gutter="0"/>
          <w:cols w:space="720"/>
          <w:titlePg/>
          <w:docGrid w:linePitch="360"/>
        </w:sectPr>
      </w:pPr>
    </w:p>
    <w:p w:rsidR="00F023AF" w:rsidRDefault="00F023AF" w:rsidP="00F023AF">
      <w:pPr>
        <w:jc w:val="center"/>
      </w:pPr>
      <w:r w:rsidRPr="00047921">
        <w:t xml:space="preserve">Table 2a: </w:t>
      </w:r>
      <w:r>
        <w:t xml:space="preserve"> Baseline for Simulation, Developed C</w:t>
      </w:r>
      <w:r w:rsidRPr="00047921">
        <w:t>ountries</w:t>
      </w:r>
    </w:p>
    <w:p w:rsidR="00F023AF" w:rsidRPr="00047921" w:rsidRDefault="00F023AF" w:rsidP="00F023AF">
      <w:pPr>
        <w:jc w:val="center"/>
      </w:pPr>
    </w:p>
    <w:tbl>
      <w:tblPr>
        <w:tblW w:w="0" w:type="auto"/>
        <w:tblInd w:w="78" w:type="dxa"/>
        <w:tblLayout w:type="fixed"/>
        <w:tblLook w:val="0000" w:firstRow="0" w:lastRow="0" w:firstColumn="0" w:lastColumn="0" w:noHBand="0" w:noVBand="0"/>
      </w:tblPr>
      <w:tblGrid>
        <w:gridCol w:w="750"/>
        <w:gridCol w:w="1260"/>
        <w:gridCol w:w="1440"/>
        <w:gridCol w:w="1350"/>
        <w:gridCol w:w="1260"/>
        <w:gridCol w:w="900"/>
        <w:gridCol w:w="1260"/>
        <w:gridCol w:w="900"/>
        <w:gridCol w:w="1260"/>
        <w:gridCol w:w="900"/>
        <w:gridCol w:w="1170"/>
        <w:gridCol w:w="990"/>
      </w:tblGrid>
      <w:tr w:rsidR="00F023AF" w:rsidRPr="00DD60E4"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p>
        </w:tc>
        <w:tc>
          <w:tcPr>
            <w:tcW w:w="1260" w:type="dxa"/>
            <w:tcBorders>
              <w:top w:val="nil"/>
              <w:left w:val="nil"/>
              <w:right w:val="nil"/>
            </w:tcBorders>
          </w:tcPr>
          <w:p w:rsidR="00F023AF" w:rsidRPr="009E30CC" w:rsidRDefault="00F023AF" w:rsidP="00770D1B">
            <w:pPr>
              <w:autoSpaceDE w:val="0"/>
              <w:autoSpaceDN w:val="0"/>
              <w:adjustRightInd w:val="0"/>
              <w:spacing w:after="40"/>
              <w:jc w:val="right"/>
              <w:rPr>
                <w:color w:val="000000"/>
              </w:rPr>
            </w:pPr>
          </w:p>
        </w:tc>
        <w:tc>
          <w:tcPr>
            <w:tcW w:w="1440" w:type="dxa"/>
            <w:tcBorders>
              <w:top w:val="nil"/>
              <w:left w:val="nil"/>
              <w:right w:val="nil"/>
            </w:tcBorders>
          </w:tcPr>
          <w:p w:rsidR="00F023AF" w:rsidRPr="009E30CC" w:rsidRDefault="00F023AF" w:rsidP="00770D1B">
            <w:pPr>
              <w:autoSpaceDE w:val="0"/>
              <w:autoSpaceDN w:val="0"/>
              <w:adjustRightInd w:val="0"/>
              <w:spacing w:after="40"/>
              <w:jc w:val="right"/>
              <w:rPr>
                <w:color w:val="000000"/>
              </w:rPr>
            </w:pPr>
          </w:p>
        </w:tc>
        <w:tc>
          <w:tcPr>
            <w:tcW w:w="1350" w:type="dxa"/>
            <w:tcBorders>
              <w:top w:val="nil"/>
              <w:left w:val="nil"/>
            </w:tcBorders>
          </w:tcPr>
          <w:p w:rsidR="00F023AF" w:rsidRPr="009E30CC" w:rsidRDefault="00F023AF" w:rsidP="00770D1B">
            <w:pPr>
              <w:autoSpaceDE w:val="0"/>
              <w:autoSpaceDN w:val="0"/>
              <w:adjustRightInd w:val="0"/>
              <w:spacing w:after="40"/>
              <w:jc w:val="right"/>
              <w:rPr>
                <w:color w:val="000000"/>
              </w:rPr>
            </w:pP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5</w:t>
            </w: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10</w:t>
            </w: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20</w:t>
            </w: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30</w:t>
            </w:r>
          </w:p>
        </w:tc>
      </w:tr>
      <w:tr w:rsidR="00F023AF" w:rsidRPr="00DD60E4" w:rsidTr="00770D1B">
        <w:trPr>
          <w:trHeight w:val="247"/>
        </w:trPr>
        <w:tc>
          <w:tcPr>
            <w:tcW w:w="750" w:type="dxa"/>
            <w:tcBorders>
              <w:top w:val="nil"/>
              <w:left w:val="nil"/>
              <w:bottom w:val="nil"/>
              <w:right w:val="nil"/>
            </w:tcBorders>
            <w:vAlign w:val="bottom"/>
          </w:tcPr>
          <w:p w:rsidR="00F023AF" w:rsidRPr="009E30CC" w:rsidRDefault="00F023AF" w:rsidP="00770D1B">
            <w:pPr>
              <w:autoSpaceDE w:val="0"/>
              <w:autoSpaceDN w:val="0"/>
              <w:adjustRightInd w:val="0"/>
              <w:spacing w:after="40"/>
              <w:jc w:val="right"/>
              <w:rPr>
                <w:color w:val="000000"/>
              </w:rPr>
            </w:pPr>
          </w:p>
        </w:tc>
        <w:tc>
          <w:tcPr>
            <w:tcW w:w="1260" w:type="dxa"/>
            <w:tcBorders>
              <w:top w:val="nil"/>
              <w:left w:val="nil"/>
              <w:bottom w:val="single" w:sz="4" w:space="0" w:color="auto"/>
              <w:right w:val="nil"/>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PCT filings</w:t>
            </w:r>
          </w:p>
        </w:tc>
        <w:tc>
          <w:tcPr>
            <w:tcW w:w="1440" w:type="dxa"/>
            <w:tcBorders>
              <w:top w:val="nil"/>
              <w:left w:val="nil"/>
              <w:bottom w:val="single" w:sz="4" w:space="0" w:color="auto"/>
              <w:right w:val="nil"/>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Income from those filings</w:t>
            </w:r>
            <w:r w:rsidRPr="00DD60E4">
              <w:rPr>
                <w:color w:val="000000"/>
              </w:rPr>
              <w:br/>
            </w:r>
            <w:r w:rsidRPr="009E30CC">
              <w:rPr>
                <w:color w:val="000000"/>
              </w:rPr>
              <w:t xml:space="preserve"> (in CHF </w:t>
            </w:r>
            <w:r w:rsidRPr="00DD60E4">
              <w:rPr>
                <w:color w:val="000000"/>
              </w:rPr>
              <w:t>m</w:t>
            </w:r>
            <w:r w:rsidRPr="009E30CC">
              <w:rPr>
                <w:color w:val="000000"/>
              </w:rPr>
              <w:t>illions)</w:t>
            </w:r>
          </w:p>
        </w:tc>
        <w:tc>
          <w:tcPr>
            <w:tcW w:w="1350" w:type="dxa"/>
            <w:tcBorders>
              <w:top w:val="nil"/>
              <w:left w:val="nil"/>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Implied average fee (in CHF)</w:t>
            </w:r>
          </w:p>
        </w:tc>
        <w:tc>
          <w:tcPr>
            <w:tcW w:w="1260" w:type="dxa"/>
            <w:tcBorders>
              <w:bottom w:val="single" w:sz="4" w:space="0" w:color="auto"/>
              <w:right w:val="nil"/>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00" w:type="dxa"/>
            <w:tcBorders>
              <w:left w:val="nil"/>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c>
          <w:tcPr>
            <w:tcW w:w="1260" w:type="dxa"/>
            <w:tcBorders>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00" w:type="dxa"/>
            <w:tcBorders>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c>
          <w:tcPr>
            <w:tcW w:w="1260" w:type="dxa"/>
            <w:tcBorders>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00" w:type="dxa"/>
            <w:tcBorders>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c>
          <w:tcPr>
            <w:tcW w:w="1170" w:type="dxa"/>
            <w:tcBorders>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90" w:type="dxa"/>
            <w:tcBorders>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2011</w:t>
            </w:r>
          </w:p>
        </w:tc>
        <w:tc>
          <w:tcPr>
            <w:tcW w:w="1260" w:type="dxa"/>
            <w:tcBorders>
              <w:top w:val="single" w:sz="4" w:space="0" w:color="auto"/>
              <w:left w:val="nil"/>
              <w:bottom w:val="nil"/>
              <w:right w:val="nil"/>
            </w:tcBorders>
          </w:tcPr>
          <w:p w:rsidR="00F023AF" w:rsidRPr="00C4352B" w:rsidRDefault="00F023AF" w:rsidP="00770D1B">
            <w:pPr>
              <w:spacing w:after="40"/>
              <w:jc w:val="right"/>
            </w:pPr>
            <w:r w:rsidRPr="00C4352B">
              <w:t>7,742</w:t>
            </w:r>
          </w:p>
        </w:tc>
        <w:tc>
          <w:tcPr>
            <w:tcW w:w="1440" w:type="dxa"/>
            <w:tcBorders>
              <w:top w:val="single" w:sz="4" w:space="0" w:color="auto"/>
              <w:left w:val="nil"/>
              <w:bottom w:val="nil"/>
              <w:right w:val="nil"/>
            </w:tcBorders>
          </w:tcPr>
          <w:p w:rsidR="00F023AF" w:rsidRPr="00C4352B" w:rsidRDefault="00F023AF" w:rsidP="00770D1B">
            <w:pPr>
              <w:spacing w:after="40"/>
              <w:jc w:val="right"/>
            </w:pPr>
            <w:r w:rsidRPr="00C4352B">
              <w:t>8.9</w:t>
            </w:r>
          </w:p>
        </w:tc>
        <w:tc>
          <w:tcPr>
            <w:tcW w:w="1350" w:type="dxa"/>
            <w:tcBorders>
              <w:top w:val="single" w:sz="4" w:space="0" w:color="auto"/>
              <w:left w:val="nil"/>
              <w:bottom w:val="nil"/>
              <w:right w:val="nil"/>
            </w:tcBorders>
          </w:tcPr>
          <w:p w:rsidR="00F023AF" w:rsidRPr="00C4352B" w:rsidRDefault="00F023AF" w:rsidP="00770D1B">
            <w:pPr>
              <w:spacing w:after="40"/>
              <w:jc w:val="right"/>
            </w:pPr>
            <w:r>
              <w:t>1,146</w:t>
            </w:r>
          </w:p>
        </w:tc>
        <w:tc>
          <w:tcPr>
            <w:tcW w:w="1260" w:type="dxa"/>
            <w:tcBorders>
              <w:top w:val="single" w:sz="4" w:space="0" w:color="auto"/>
              <w:left w:val="nil"/>
              <w:bottom w:val="nil"/>
              <w:right w:val="nil"/>
            </w:tcBorders>
          </w:tcPr>
          <w:p w:rsidR="00F023AF" w:rsidRPr="00C4352B" w:rsidRDefault="00F023AF" w:rsidP="00770D1B">
            <w:pPr>
              <w:spacing w:after="40"/>
              <w:jc w:val="right"/>
            </w:pPr>
            <w:r w:rsidRPr="00C4352B">
              <w:t>2,788</w:t>
            </w:r>
          </w:p>
        </w:tc>
        <w:tc>
          <w:tcPr>
            <w:tcW w:w="900" w:type="dxa"/>
            <w:tcBorders>
              <w:top w:val="single" w:sz="4" w:space="0" w:color="auto"/>
              <w:left w:val="nil"/>
              <w:bottom w:val="nil"/>
              <w:right w:val="nil"/>
            </w:tcBorders>
          </w:tcPr>
          <w:p w:rsidR="00F023AF" w:rsidRPr="00C4352B" w:rsidRDefault="00F023AF" w:rsidP="00770D1B">
            <w:pPr>
              <w:spacing w:after="40"/>
            </w:pPr>
            <w:r w:rsidRPr="00C4352B">
              <w:t>36.0%</w:t>
            </w:r>
          </w:p>
        </w:tc>
        <w:tc>
          <w:tcPr>
            <w:tcW w:w="1260" w:type="dxa"/>
            <w:tcBorders>
              <w:top w:val="single" w:sz="4" w:space="0" w:color="auto"/>
              <w:left w:val="nil"/>
              <w:bottom w:val="nil"/>
              <w:right w:val="nil"/>
            </w:tcBorders>
          </w:tcPr>
          <w:p w:rsidR="00F023AF" w:rsidRPr="00C4352B" w:rsidRDefault="00F023AF" w:rsidP="00770D1B">
            <w:pPr>
              <w:spacing w:after="40"/>
            </w:pPr>
            <w:r w:rsidRPr="00C4352B">
              <w:t>4,033</w:t>
            </w:r>
          </w:p>
        </w:tc>
        <w:tc>
          <w:tcPr>
            <w:tcW w:w="900" w:type="dxa"/>
            <w:tcBorders>
              <w:top w:val="single" w:sz="4" w:space="0" w:color="auto"/>
              <w:left w:val="nil"/>
              <w:bottom w:val="nil"/>
              <w:right w:val="nil"/>
            </w:tcBorders>
          </w:tcPr>
          <w:p w:rsidR="00F023AF" w:rsidRPr="00C4352B" w:rsidRDefault="00F023AF" w:rsidP="00770D1B">
            <w:pPr>
              <w:spacing w:after="40"/>
            </w:pPr>
            <w:r w:rsidRPr="00C4352B">
              <w:t>52.1%</w:t>
            </w:r>
          </w:p>
        </w:tc>
        <w:tc>
          <w:tcPr>
            <w:tcW w:w="1260" w:type="dxa"/>
            <w:tcBorders>
              <w:top w:val="single" w:sz="4" w:space="0" w:color="auto"/>
              <w:left w:val="nil"/>
              <w:bottom w:val="nil"/>
              <w:right w:val="nil"/>
            </w:tcBorders>
          </w:tcPr>
          <w:p w:rsidR="00F023AF" w:rsidRPr="00C4352B" w:rsidRDefault="00F023AF" w:rsidP="00770D1B">
            <w:pPr>
              <w:spacing w:after="40"/>
            </w:pPr>
            <w:r w:rsidRPr="00C4352B">
              <w:t>5,436</w:t>
            </w:r>
          </w:p>
        </w:tc>
        <w:tc>
          <w:tcPr>
            <w:tcW w:w="900" w:type="dxa"/>
            <w:tcBorders>
              <w:top w:val="single" w:sz="4" w:space="0" w:color="auto"/>
              <w:left w:val="nil"/>
              <w:bottom w:val="nil"/>
              <w:right w:val="nil"/>
            </w:tcBorders>
          </w:tcPr>
          <w:p w:rsidR="00F023AF" w:rsidRPr="00C4352B" w:rsidRDefault="00F023AF" w:rsidP="00770D1B">
            <w:pPr>
              <w:spacing w:after="40"/>
            </w:pPr>
            <w:r w:rsidRPr="00C4352B">
              <w:t>70.2%</w:t>
            </w:r>
          </w:p>
        </w:tc>
        <w:tc>
          <w:tcPr>
            <w:tcW w:w="1170" w:type="dxa"/>
            <w:tcBorders>
              <w:top w:val="single" w:sz="4" w:space="0" w:color="auto"/>
              <w:left w:val="nil"/>
              <w:bottom w:val="nil"/>
              <w:right w:val="nil"/>
            </w:tcBorders>
          </w:tcPr>
          <w:p w:rsidR="00F023AF" w:rsidRPr="00C4352B" w:rsidRDefault="00F023AF" w:rsidP="00770D1B">
            <w:pPr>
              <w:spacing w:after="40"/>
            </w:pPr>
            <w:r w:rsidRPr="00C4352B">
              <w:t>6,165</w:t>
            </w:r>
          </w:p>
        </w:tc>
        <w:tc>
          <w:tcPr>
            <w:tcW w:w="990" w:type="dxa"/>
            <w:tcBorders>
              <w:top w:val="single" w:sz="4" w:space="0" w:color="auto"/>
              <w:left w:val="nil"/>
              <w:bottom w:val="nil"/>
              <w:right w:val="nil"/>
            </w:tcBorders>
          </w:tcPr>
          <w:p w:rsidR="00F023AF" w:rsidRPr="00C4352B" w:rsidRDefault="00F023AF" w:rsidP="00770D1B">
            <w:pPr>
              <w:spacing w:after="40"/>
            </w:pPr>
            <w:r w:rsidRPr="00C4352B">
              <w:t>79.6%</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2012</w:t>
            </w:r>
          </w:p>
        </w:tc>
        <w:tc>
          <w:tcPr>
            <w:tcW w:w="1260" w:type="dxa"/>
            <w:tcBorders>
              <w:top w:val="nil"/>
              <w:left w:val="nil"/>
              <w:bottom w:val="nil"/>
              <w:right w:val="nil"/>
            </w:tcBorders>
          </w:tcPr>
          <w:p w:rsidR="00F023AF" w:rsidRPr="00C4352B" w:rsidRDefault="00F023AF" w:rsidP="00770D1B">
            <w:pPr>
              <w:spacing w:after="40"/>
              <w:jc w:val="right"/>
            </w:pPr>
            <w:r w:rsidRPr="00C4352B">
              <w:t>8,186</w:t>
            </w:r>
          </w:p>
        </w:tc>
        <w:tc>
          <w:tcPr>
            <w:tcW w:w="1440" w:type="dxa"/>
            <w:tcBorders>
              <w:top w:val="nil"/>
              <w:left w:val="nil"/>
              <w:bottom w:val="nil"/>
              <w:right w:val="nil"/>
            </w:tcBorders>
          </w:tcPr>
          <w:p w:rsidR="00F023AF" w:rsidRPr="00C4352B" w:rsidRDefault="00F023AF" w:rsidP="00770D1B">
            <w:pPr>
              <w:spacing w:after="40"/>
              <w:jc w:val="right"/>
            </w:pPr>
            <w:r w:rsidRPr="00C4352B">
              <w:t>9.7</w:t>
            </w:r>
          </w:p>
        </w:tc>
        <w:tc>
          <w:tcPr>
            <w:tcW w:w="1350" w:type="dxa"/>
            <w:tcBorders>
              <w:top w:val="nil"/>
              <w:left w:val="nil"/>
              <w:bottom w:val="nil"/>
              <w:right w:val="nil"/>
            </w:tcBorders>
          </w:tcPr>
          <w:p w:rsidR="00F023AF" w:rsidRPr="00C4352B" w:rsidRDefault="00F023AF" w:rsidP="00770D1B">
            <w:pPr>
              <w:spacing w:after="40"/>
              <w:jc w:val="right"/>
            </w:pPr>
            <w:r>
              <w:t>1,181</w:t>
            </w:r>
          </w:p>
        </w:tc>
        <w:tc>
          <w:tcPr>
            <w:tcW w:w="1260" w:type="dxa"/>
            <w:tcBorders>
              <w:top w:val="nil"/>
              <w:left w:val="nil"/>
              <w:bottom w:val="nil"/>
              <w:right w:val="nil"/>
            </w:tcBorders>
          </w:tcPr>
          <w:p w:rsidR="00F023AF" w:rsidRPr="00C4352B" w:rsidRDefault="00F023AF" w:rsidP="00770D1B">
            <w:pPr>
              <w:spacing w:after="40"/>
              <w:jc w:val="right"/>
            </w:pPr>
            <w:r w:rsidRPr="00C4352B">
              <w:t>2,931</w:t>
            </w:r>
          </w:p>
        </w:tc>
        <w:tc>
          <w:tcPr>
            <w:tcW w:w="900" w:type="dxa"/>
            <w:tcBorders>
              <w:top w:val="nil"/>
              <w:left w:val="nil"/>
              <w:bottom w:val="nil"/>
              <w:right w:val="nil"/>
            </w:tcBorders>
          </w:tcPr>
          <w:p w:rsidR="00F023AF" w:rsidRPr="00C4352B" w:rsidRDefault="00F023AF" w:rsidP="00770D1B">
            <w:pPr>
              <w:spacing w:after="40"/>
            </w:pPr>
            <w:r w:rsidRPr="00C4352B">
              <w:t>35.8%</w:t>
            </w:r>
          </w:p>
        </w:tc>
        <w:tc>
          <w:tcPr>
            <w:tcW w:w="1260" w:type="dxa"/>
            <w:tcBorders>
              <w:top w:val="nil"/>
              <w:left w:val="nil"/>
              <w:bottom w:val="nil"/>
              <w:right w:val="nil"/>
            </w:tcBorders>
          </w:tcPr>
          <w:p w:rsidR="00F023AF" w:rsidRPr="00C4352B" w:rsidRDefault="00F023AF" w:rsidP="00770D1B">
            <w:pPr>
              <w:spacing w:after="40"/>
            </w:pPr>
            <w:r w:rsidRPr="00C4352B">
              <w:t>4,232</w:t>
            </w:r>
          </w:p>
        </w:tc>
        <w:tc>
          <w:tcPr>
            <w:tcW w:w="900" w:type="dxa"/>
            <w:tcBorders>
              <w:top w:val="nil"/>
              <w:left w:val="nil"/>
              <w:bottom w:val="nil"/>
              <w:right w:val="nil"/>
            </w:tcBorders>
          </w:tcPr>
          <w:p w:rsidR="00F023AF" w:rsidRPr="00C4352B" w:rsidRDefault="00F023AF" w:rsidP="00770D1B">
            <w:pPr>
              <w:spacing w:after="40"/>
            </w:pPr>
            <w:r w:rsidRPr="00C4352B">
              <w:t>51.7%</w:t>
            </w:r>
          </w:p>
        </w:tc>
        <w:tc>
          <w:tcPr>
            <w:tcW w:w="1260" w:type="dxa"/>
            <w:tcBorders>
              <w:top w:val="nil"/>
              <w:left w:val="nil"/>
              <w:bottom w:val="nil"/>
              <w:right w:val="nil"/>
            </w:tcBorders>
          </w:tcPr>
          <w:p w:rsidR="00F023AF" w:rsidRPr="00C4352B" w:rsidRDefault="00F023AF" w:rsidP="00770D1B">
            <w:pPr>
              <w:spacing w:after="40"/>
            </w:pPr>
            <w:r w:rsidRPr="00C4352B">
              <w:t>5,654</w:t>
            </w:r>
          </w:p>
        </w:tc>
        <w:tc>
          <w:tcPr>
            <w:tcW w:w="900" w:type="dxa"/>
            <w:tcBorders>
              <w:top w:val="nil"/>
              <w:left w:val="nil"/>
              <w:bottom w:val="nil"/>
              <w:right w:val="nil"/>
            </w:tcBorders>
          </w:tcPr>
          <w:p w:rsidR="00F023AF" w:rsidRPr="00C4352B" w:rsidRDefault="00F023AF" w:rsidP="00770D1B">
            <w:pPr>
              <w:spacing w:after="40"/>
            </w:pPr>
            <w:r w:rsidRPr="00C4352B">
              <w:t>69.1%</w:t>
            </w:r>
          </w:p>
        </w:tc>
        <w:tc>
          <w:tcPr>
            <w:tcW w:w="1170" w:type="dxa"/>
            <w:tcBorders>
              <w:top w:val="nil"/>
              <w:left w:val="nil"/>
              <w:bottom w:val="nil"/>
              <w:right w:val="nil"/>
            </w:tcBorders>
          </w:tcPr>
          <w:p w:rsidR="00F023AF" w:rsidRPr="00C4352B" w:rsidRDefault="00F023AF" w:rsidP="00770D1B">
            <w:pPr>
              <w:spacing w:after="40"/>
            </w:pPr>
            <w:r w:rsidRPr="00C4352B">
              <w:t>6,405</w:t>
            </w:r>
          </w:p>
        </w:tc>
        <w:tc>
          <w:tcPr>
            <w:tcW w:w="990" w:type="dxa"/>
            <w:tcBorders>
              <w:top w:val="nil"/>
              <w:left w:val="nil"/>
              <w:bottom w:val="nil"/>
              <w:right w:val="nil"/>
            </w:tcBorders>
          </w:tcPr>
          <w:p w:rsidR="00F023AF" w:rsidRPr="00C4352B" w:rsidRDefault="00F023AF" w:rsidP="00770D1B">
            <w:pPr>
              <w:spacing w:after="40"/>
            </w:pPr>
            <w:r w:rsidRPr="00C4352B">
              <w:t>78.2%</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2013</w:t>
            </w:r>
          </w:p>
        </w:tc>
        <w:tc>
          <w:tcPr>
            <w:tcW w:w="1260" w:type="dxa"/>
            <w:tcBorders>
              <w:top w:val="nil"/>
              <w:left w:val="nil"/>
              <w:bottom w:val="nil"/>
              <w:right w:val="nil"/>
            </w:tcBorders>
          </w:tcPr>
          <w:p w:rsidR="00F023AF" w:rsidRPr="00C4352B" w:rsidRDefault="00F023AF" w:rsidP="00770D1B">
            <w:pPr>
              <w:spacing w:after="40"/>
              <w:jc w:val="right"/>
            </w:pPr>
            <w:r w:rsidRPr="00C4352B">
              <w:t>8,012</w:t>
            </w:r>
          </w:p>
        </w:tc>
        <w:tc>
          <w:tcPr>
            <w:tcW w:w="1440" w:type="dxa"/>
            <w:tcBorders>
              <w:top w:val="nil"/>
              <w:left w:val="nil"/>
              <w:bottom w:val="nil"/>
              <w:right w:val="nil"/>
            </w:tcBorders>
          </w:tcPr>
          <w:p w:rsidR="00F023AF" w:rsidRPr="00C4352B" w:rsidRDefault="00F023AF" w:rsidP="00770D1B">
            <w:pPr>
              <w:spacing w:after="40"/>
              <w:jc w:val="right"/>
            </w:pPr>
            <w:r w:rsidRPr="00C4352B">
              <w:t>9.2</w:t>
            </w:r>
          </w:p>
        </w:tc>
        <w:tc>
          <w:tcPr>
            <w:tcW w:w="1350" w:type="dxa"/>
            <w:tcBorders>
              <w:top w:val="nil"/>
              <w:left w:val="nil"/>
              <w:bottom w:val="nil"/>
              <w:right w:val="nil"/>
            </w:tcBorders>
          </w:tcPr>
          <w:p w:rsidR="00F023AF" w:rsidRPr="00C4352B" w:rsidRDefault="00F023AF" w:rsidP="00770D1B">
            <w:pPr>
              <w:spacing w:after="40"/>
              <w:jc w:val="right"/>
            </w:pPr>
            <w:r>
              <w:t>1,144</w:t>
            </w:r>
          </w:p>
        </w:tc>
        <w:tc>
          <w:tcPr>
            <w:tcW w:w="1260" w:type="dxa"/>
            <w:tcBorders>
              <w:top w:val="nil"/>
              <w:left w:val="nil"/>
              <w:bottom w:val="nil"/>
              <w:right w:val="nil"/>
            </w:tcBorders>
          </w:tcPr>
          <w:p w:rsidR="00F023AF" w:rsidRPr="00C4352B" w:rsidRDefault="00F023AF" w:rsidP="00770D1B">
            <w:pPr>
              <w:spacing w:after="40"/>
              <w:jc w:val="right"/>
            </w:pPr>
            <w:r w:rsidRPr="00C4352B">
              <w:t>2,886</w:t>
            </w:r>
          </w:p>
        </w:tc>
        <w:tc>
          <w:tcPr>
            <w:tcW w:w="900" w:type="dxa"/>
            <w:tcBorders>
              <w:top w:val="nil"/>
              <w:left w:val="nil"/>
              <w:bottom w:val="nil"/>
              <w:right w:val="nil"/>
            </w:tcBorders>
          </w:tcPr>
          <w:p w:rsidR="00F023AF" w:rsidRPr="00C4352B" w:rsidRDefault="00F023AF" w:rsidP="00770D1B">
            <w:pPr>
              <w:spacing w:after="40"/>
            </w:pPr>
            <w:r w:rsidRPr="00C4352B">
              <w:t>36.0%</w:t>
            </w:r>
          </w:p>
        </w:tc>
        <w:tc>
          <w:tcPr>
            <w:tcW w:w="1260" w:type="dxa"/>
            <w:tcBorders>
              <w:top w:val="nil"/>
              <w:left w:val="nil"/>
              <w:bottom w:val="nil"/>
              <w:right w:val="nil"/>
            </w:tcBorders>
          </w:tcPr>
          <w:p w:rsidR="00F023AF" w:rsidRPr="00C4352B" w:rsidRDefault="00F023AF" w:rsidP="00770D1B">
            <w:pPr>
              <w:spacing w:after="40"/>
            </w:pPr>
            <w:r w:rsidRPr="00C4352B">
              <w:t>4,165</w:t>
            </w:r>
          </w:p>
        </w:tc>
        <w:tc>
          <w:tcPr>
            <w:tcW w:w="900" w:type="dxa"/>
            <w:tcBorders>
              <w:top w:val="nil"/>
              <w:left w:val="nil"/>
              <w:bottom w:val="nil"/>
              <w:right w:val="nil"/>
            </w:tcBorders>
          </w:tcPr>
          <w:p w:rsidR="00F023AF" w:rsidRPr="00C4352B" w:rsidRDefault="00F023AF" w:rsidP="00770D1B">
            <w:pPr>
              <w:spacing w:after="40"/>
            </w:pPr>
            <w:r w:rsidRPr="00C4352B">
              <w:t>52.0%</w:t>
            </w:r>
          </w:p>
        </w:tc>
        <w:tc>
          <w:tcPr>
            <w:tcW w:w="1260" w:type="dxa"/>
            <w:tcBorders>
              <w:top w:val="nil"/>
              <w:left w:val="nil"/>
              <w:bottom w:val="nil"/>
              <w:right w:val="nil"/>
            </w:tcBorders>
          </w:tcPr>
          <w:p w:rsidR="00F023AF" w:rsidRPr="00C4352B" w:rsidRDefault="00F023AF" w:rsidP="00770D1B">
            <w:pPr>
              <w:spacing w:after="40"/>
            </w:pPr>
            <w:r w:rsidRPr="00C4352B">
              <w:t>5,486</w:t>
            </w:r>
          </w:p>
        </w:tc>
        <w:tc>
          <w:tcPr>
            <w:tcW w:w="900" w:type="dxa"/>
            <w:tcBorders>
              <w:top w:val="nil"/>
              <w:left w:val="nil"/>
              <w:bottom w:val="nil"/>
              <w:right w:val="nil"/>
            </w:tcBorders>
          </w:tcPr>
          <w:p w:rsidR="00F023AF" w:rsidRPr="00C4352B" w:rsidRDefault="00F023AF" w:rsidP="00770D1B">
            <w:pPr>
              <w:spacing w:after="40"/>
            </w:pPr>
            <w:r w:rsidRPr="00C4352B">
              <w:t>68.5%</w:t>
            </w:r>
          </w:p>
        </w:tc>
        <w:tc>
          <w:tcPr>
            <w:tcW w:w="1170" w:type="dxa"/>
            <w:tcBorders>
              <w:top w:val="nil"/>
              <w:left w:val="nil"/>
              <w:bottom w:val="nil"/>
              <w:right w:val="nil"/>
            </w:tcBorders>
          </w:tcPr>
          <w:p w:rsidR="00F023AF" w:rsidRPr="00C4352B" w:rsidRDefault="00F023AF" w:rsidP="00770D1B">
            <w:pPr>
              <w:spacing w:after="40"/>
            </w:pPr>
            <w:r w:rsidRPr="00C4352B">
              <w:t>6,217</w:t>
            </w:r>
          </w:p>
        </w:tc>
        <w:tc>
          <w:tcPr>
            <w:tcW w:w="990" w:type="dxa"/>
            <w:tcBorders>
              <w:top w:val="nil"/>
              <w:left w:val="nil"/>
              <w:bottom w:val="nil"/>
              <w:right w:val="nil"/>
            </w:tcBorders>
          </w:tcPr>
          <w:p w:rsidR="00F023AF" w:rsidRPr="00C4352B" w:rsidRDefault="00F023AF" w:rsidP="00770D1B">
            <w:pPr>
              <w:spacing w:after="40"/>
            </w:pPr>
            <w:r w:rsidRPr="00C4352B">
              <w:t>77.6%</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2014</w:t>
            </w:r>
          </w:p>
        </w:tc>
        <w:tc>
          <w:tcPr>
            <w:tcW w:w="1260" w:type="dxa"/>
            <w:tcBorders>
              <w:top w:val="nil"/>
              <w:left w:val="nil"/>
              <w:bottom w:val="nil"/>
              <w:right w:val="nil"/>
            </w:tcBorders>
          </w:tcPr>
          <w:p w:rsidR="00F023AF" w:rsidRPr="00C4352B" w:rsidRDefault="00F023AF" w:rsidP="00770D1B">
            <w:pPr>
              <w:spacing w:after="40"/>
              <w:jc w:val="right"/>
            </w:pPr>
            <w:r w:rsidRPr="00C4352B">
              <w:t>8,272</w:t>
            </w:r>
          </w:p>
        </w:tc>
        <w:tc>
          <w:tcPr>
            <w:tcW w:w="1440" w:type="dxa"/>
            <w:tcBorders>
              <w:top w:val="nil"/>
              <w:left w:val="nil"/>
              <w:bottom w:val="nil"/>
              <w:right w:val="nil"/>
            </w:tcBorders>
          </w:tcPr>
          <w:p w:rsidR="00F023AF" w:rsidRPr="00C4352B" w:rsidRDefault="00F023AF" w:rsidP="00770D1B">
            <w:pPr>
              <w:spacing w:after="40"/>
              <w:jc w:val="right"/>
            </w:pPr>
            <w:r w:rsidRPr="00C4352B">
              <w:t>9.6</w:t>
            </w:r>
          </w:p>
        </w:tc>
        <w:tc>
          <w:tcPr>
            <w:tcW w:w="1350" w:type="dxa"/>
            <w:tcBorders>
              <w:top w:val="nil"/>
              <w:left w:val="nil"/>
              <w:bottom w:val="nil"/>
              <w:right w:val="nil"/>
            </w:tcBorders>
          </w:tcPr>
          <w:p w:rsidR="00F023AF" w:rsidRPr="00C4352B" w:rsidRDefault="00F023AF" w:rsidP="00770D1B">
            <w:pPr>
              <w:spacing w:after="40"/>
              <w:jc w:val="right"/>
            </w:pPr>
            <w:r>
              <w:t>1,167</w:t>
            </w:r>
          </w:p>
        </w:tc>
        <w:tc>
          <w:tcPr>
            <w:tcW w:w="1260" w:type="dxa"/>
            <w:tcBorders>
              <w:top w:val="nil"/>
              <w:left w:val="nil"/>
              <w:bottom w:val="nil"/>
              <w:right w:val="nil"/>
            </w:tcBorders>
          </w:tcPr>
          <w:p w:rsidR="00F023AF" w:rsidRPr="00C4352B" w:rsidRDefault="00F023AF" w:rsidP="00770D1B">
            <w:pPr>
              <w:spacing w:after="40"/>
              <w:jc w:val="right"/>
            </w:pPr>
            <w:r w:rsidRPr="00C4352B">
              <w:t>2,842</w:t>
            </w:r>
          </w:p>
        </w:tc>
        <w:tc>
          <w:tcPr>
            <w:tcW w:w="900" w:type="dxa"/>
            <w:tcBorders>
              <w:top w:val="nil"/>
              <w:left w:val="nil"/>
              <w:bottom w:val="nil"/>
              <w:right w:val="nil"/>
            </w:tcBorders>
          </w:tcPr>
          <w:p w:rsidR="00F023AF" w:rsidRPr="00C4352B" w:rsidRDefault="00F023AF" w:rsidP="00770D1B">
            <w:pPr>
              <w:spacing w:after="40"/>
            </w:pPr>
            <w:r w:rsidRPr="00C4352B">
              <w:t>34.4%</w:t>
            </w:r>
          </w:p>
        </w:tc>
        <w:tc>
          <w:tcPr>
            <w:tcW w:w="1260" w:type="dxa"/>
            <w:tcBorders>
              <w:top w:val="nil"/>
              <w:left w:val="nil"/>
              <w:bottom w:val="nil"/>
              <w:right w:val="nil"/>
            </w:tcBorders>
          </w:tcPr>
          <w:p w:rsidR="00F023AF" w:rsidRPr="00C4352B" w:rsidRDefault="00F023AF" w:rsidP="00770D1B">
            <w:pPr>
              <w:spacing w:after="40"/>
            </w:pPr>
            <w:r w:rsidRPr="00C4352B">
              <w:t>4,129</w:t>
            </w:r>
          </w:p>
        </w:tc>
        <w:tc>
          <w:tcPr>
            <w:tcW w:w="900" w:type="dxa"/>
            <w:tcBorders>
              <w:top w:val="nil"/>
              <w:left w:val="nil"/>
              <w:bottom w:val="nil"/>
              <w:right w:val="nil"/>
            </w:tcBorders>
          </w:tcPr>
          <w:p w:rsidR="00F023AF" w:rsidRPr="00C4352B" w:rsidRDefault="00F023AF" w:rsidP="00770D1B">
            <w:pPr>
              <w:spacing w:after="40"/>
            </w:pPr>
            <w:r w:rsidRPr="00C4352B">
              <w:t>49.9%</w:t>
            </w:r>
          </w:p>
        </w:tc>
        <w:tc>
          <w:tcPr>
            <w:tcW w:w="1260" w:type="dxa"/>
            <w:tcBorders>
              <w:top w:val="nil"/>
              <w:left w:val="nil"/>
              <w:bottom w:val="nil"/>
              <w:right w:val="nil"/>
            </w:tcBorders>
          </w:tcPr>
          <w:p w:rsidR="00F023AF" w:rsidRPr="00C4352B" w:rsidRDefault="00F023AF" w:rsidP="00770D1B">
            <w:pPr>
              <w:spacing w:after="40"/>
            </w:pPr>
            <w:r w:rsidRPr="00C4352B">
              <w:t>5,539</w:t>
            </w:r>
          </w:p>
        </w:tc>
        <w:tc>
          <w:tcPr>
            <w:tcW w:w="900" w:type="dxa"/>
            <w:tcBorders>
              <w:top w:val="nil"/>
              <w:left w:val="nil"/>
              <w:bottom w:val="nil"/>
              <w:right w:val="nil"/>
            </w:tcBorders>
          </w:tcPr>
          <w:p w:rsidR="00F023AF" w:rsidRPr="00C4352B" w:rsidRDefault="00F023AF" w:rsidP="00770D1B">
            <w:pPr>
              <w:spacing w:after="40"/>
            </w:pPr>
            <w:r w:rsidRPr="00C4352B">
              <w:t>67.0%</w:t>
            </w:r>
          </w:p>
        </w:tc>
        <w:tc>
          <w:tcPr>
            <w:tcW w:w="1170" w:type="dxa"/>
            <w:tcBorders>
              <w:top w:val="nil"/>
              <w:left w:val="nil"/>
              <w:bottom w:val="nil"/>
              <w:right w:val="nil"/>
            </w:tcBorders>
          </w:tcPr>
          <w:p w:rsidR="00F023AF" w:rsidRPr="00C4352B" w:rsidRDefault="00F023AF" w:rsidP="00770D1B">
            <w:pPr>
              <w:spacing w:after="40"/>
            </w:pPr>
            <w:r w:rsidRPr="00C4352B">
              <w:t>6,264</w:t>
            </w:r>
          </w:p>
        </w:tc>
        <w:tc>
          <w:tcPr>
            <w:tcW w:w="990" w:type="dxa"/>
            <w:tcBorders>
              <w:top w:val="nil"/>
              <w:left w:val="nil"/>
              <w:bottom w:val="nil"/>
              <w:right w:val="nil"/>
            </w:tcBorders>
          </w:tcPr>
          <w:p w:rsidR="00F023AF" w:rsidRPr="00C4352B" w:rsidRDefault="00F023AF" w:rsidP="00770D1B">
            <w:pPr>
              <w:spacing w:after="40"/>
            </w:pPr>
            <w:r w:rsidRPr="00C4352B">
              <w:t>75.7%</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2015</w:t>
            </w:r>
          </w:p>
        </w:tc>
        <w:tc>
          <w:tcPr>
            <w:tcW w:w="1260" w:type="dxa"/>
            <w:tcBorders>
              <w:top w:val="nil"/>
              <w:left w:val="nil"/>
              <w:bottom w:val="nil"/>
              <w:right w:val="nil"/>
            </w:tcBorders>
          </w:tcPr>
          <w:p w:rsidR="00F023AF" w:rsidRPr="00C4352B" w:rsidRDefault="00F023AF" w:rsidP="00770D1B">
            <w:pPr>
              <w:spacing w:after="40"/>
              <w:jc w:val="right"/>
            </w:pPr>
            <w:r w:rsidRPr="00C4352B">
              <w:t>8,188</w:t>
            </w:r>
          </w:p>
        </w:tc>
        <w:tc>
          <w:tcPr>
            <w:tcW w:w="1440" w:type="dxa"/>
            <w:tcBorders>
              <w:top w:val="nil"/>
              <w:left w:val="nil"/>
              <w:bottom w:val="nil"/>
              <w:right w:val="nil"/>
            </w:tcBorders>
          </w:tcPr>
          <w:p w:rsidR="00F023AF" w:rsidRPr="00C4352B" w:rsidRDefault="00F023AF" w:rsidP="00770D1B">
            <w:pPr>
              <w:spacing w:after="40"/>
              <w:jc w:val="right"/>
            </w:pPr>
            <w:r w:rsidRPr="00C4352B">
              <w:t>9.3</w:t>
            </w:r>
          </w:p>
        </w:tc>
        <w:tc>
          <w:tcPr>
            <w:tcW w:w="1350" w:type="dxa"/>
            <w:tcBorders>
              <w:top w:val="nil"/>
              <w:left w:val="nil"/>
              <w:bottom w:val="nil"/>
              <w:right w:val="nil"/>
            </w:tcBorders>
          </w:tcPr>
          <w:p w:rsidR="00F023AF" w:rsidRPr="00C4352B" w:rsidRDefault="00F023AF" w:rsidP="00770D1B">
            <w:pPr>
              <w:spacing w:after="40"/>
              <w:jc w:val="right"/>
            </w:pPr>
            <w:r>
              <w:t>1,139</w:t>
            </w:r>
          </w:p>
        </w:tc>
        <w:tc>
          <w:tcPr>
            <w:tcW w:w="1260" w:type="dxa"/>
            <w:tcBorders>
              <w:top w:val="nil"/>
              <w:left w:val="nil"/>
              <w:bottom w:val="nil"/>
              <w:right w:val="nil"/>
            </w:tcBorders>
          </w:tcPr>
          <w:p w:rsidR="00F023AF" w:rsidRPr="00C4352B" w:rsidRDefault="00F023AF" w:rsidP="00770D1B">
            <w:pPr>
              <w:spacing w:after="40"/>
              <w:jc w:val="right"/>
            </w:pPr>
            <w:r w:rsidRPr="00C4352B">
              <w:t>2,841</w:t>
            </w:r>
          </w:p>
        </w:tc>
        <w:tc>
          <w:tcPr>
            <w:tcW w:w="900" w:type="dxa"/>
            <w:tcBorders>
              <w:top w:val="nil"/>
              <w:left w:val="nil"/>
              <w:bottom w:val="nil"/>
              <w:right w:val="nil"/>
            </w:tcBorders>
          </w:tcPr>
          <w:p w:rsidR="00F023AF" w:rsidRPr="00C4352B" w:rsidRDefault="00F023AF" w:rsidP="00770D1B">
            <w:pPr>
              <w:spacing w:after="40"/>
            </w:pPr>
            <w:r w:rsidRPr="00C4352B">
              <w:t>34.7%</w:t>
            </w:r>
          </w:p>
        </w:tc>
        <w:tc>
          <w:tcPr>
            <w:tcW w:w="1260" w:type="dxa"/>
            <w:tcBorders>
              <w:top w:val="nil"/>
              <w:left w:val="nil"/>
              <w:bottom w:val="nil"/>
              <w:right w:val="nil"/>
            </w:tcBorders>
          </w:tcPr>
          <w:p w:rsidR="00F023AF" w:rsidRPr="00C4352B" w:rsidRDefault="00F023AF" w:rsidP="00770D1B">
            <w:pPr>
              <w:spacing w:after="40"/>
            </w:pPr>
            <w:r w:rsidRPr="00C4352B">
              <w:t>4,147</w:t>
            </w:r>
          </w:p>
        </w:tc>
        <w:tc>
          <w:tcPr>
            <w:tcW w:w="900" w:type="dxa"/>
            <w:tcBorders>
              <w:top w:val="nil"/>
              <w:left w:val="nil"/>
              <w:bottom w:val="nil"/>
              <w:right w:val="nil"/>
            </w:tcBorders>
          </w:tcPr>
          <w:p w:rsidR="00F023AF" w:rsidRPr="00C4352B" w:rsidRDefault="00F023AF" w:rsidP="00770D1B">
            <w:pPr>
              <w:spacing w:after="40"/>
            </w:pPr>
            <w:r w:rsidRPr="00C4352B">
              <w:t>50.6%</w:t>
            </w:r>
          </w:p>
        </w:tc>
        <w:tc>
          <w:tcPr>
            <w:tcW w:w="1260" w:type="dxa"/>
            <w:tcBorders>
              <w:top w:val="nil"/>
              <w:left w:val="nil"/>
              <w:bottom w:val="nil"/>
              <w:right w:val="nil"/>
            </w:tcBorders>
          </w:tcPr>
          <w:p w:rsidR="00F023AF" w:rsidRPr="00C4352B" w:rsidRDefault="00F023AF" w:rsidP="00770D1B">
            <w:pPr>
              <w:spacing w:after="40"/>
            </w:pPr>
            <w:r w:rsidRPr="00C4352B">
              <w:t>5,553</w:t>
            </w:r>
          </w:p>
        </w:tc>
        <w:tc>
          <w:tcPr>
            <w:tcW w:w="900" w:type="dxa"/>
            <w:tcBorders>
              <w:top w:val="nil"/>
              <w:left w:val="nil"/>
              <w:bottom w:val="nil"/>
              <w:right w:val="nil"/>
            </w:tcBorders>
          </w:tcPr>
          <w:p w:rsidR="00F023AF" w:rsidRPr="00C4352B" w:rsidRDefault="00F023AF" w:rsidP="00770D1B">
            <w:pPr>
              <w:spacing w:after="40"/>
            </w:pPr>
            <w:r w:rsidRPr="00C4352B">
              <w:t>67.8%</w:t>
            </w:r>
          </w:p>
        </w:tc>
        <w:tc>
          <w:tcPr>
            <w:tcW w:w="1170" w:type="dxa"/>
            <w:tcBorders>
              <w:top w:val="nil"/>
              <w:left w:val="nil"/>
              <w:bottom w:val="nil"/>
              <w:right w:val="nil"/>
            </w:tcBorders>
          </w:tcPr>
          <w:p w:rsidR="00F023AF" w:rsidRPr="00C4352B" w:rsidRDefault="00F023AF" w:rsidP="00770D1B">
            <w:pPr>
              <w:spacing w:after="40"/>
            </w:pPr>
            <w:r w:rsidRPr="00C4352B">
              <w:t>6,300</w:t>
            </w:r>
          </w:p>
        </w:tc>
        <w:tc>
          <w:tcPr>
            <w:tcW w:w="990" w:type="dxa"/>
            <w:tcBorders>
              <w:top w:val="nil"/>
              <w:left w:val="nil"/>
              <w:bottom w:val="nil"/>
              <w:right w:val="nil"/>
            </w:tcBorders>
          </w:tcPr>
          <w:p w:rsidR="00F023AF" w:rsidRPr="00C4352B" w:rsidRDefault="00F023AF" w:rsidP="00770D1B">
            <w:pPr>
              <w:spacing w:after="40"/>
            </w:pPr>
            <w:r w:rsidRPr="00C4352B">
              <w:t>76.9%</w:t>
            </w:r>
          </w:p>
        </w:tc>
      </w:tr>
    </w:tbl>
    <w:p w:rsidR="00F023AF" w:rsidRDefault="00F023AF" w:rsidP="00F023AF"/>
    <w:p w:rsidR="00F023AF" w:rsidRPr="00DD60E4" w:rsidRDefault="00F023AF" w:rsidP="00F023AF"/>
    <w:p w:rsidR="00F023AF" w:rsidRPr="003F0F8D" w:rsidRDefault="00F023AF" w:rsidP="00F023AF">
      <w:pPr>
        <w:jc w:val="center"/>
      </w:pPr>
    </w:p>
    <w:p w:rsidR="00F023AF" w:rsidRDefault="00F023AF" w:rsidP="00F023AF">
      <w:pPr>
        <w:jc w:val="center"/>
      </w:pPr>
      <w:r w:rsidRPr="00047921">
        <w:t>Table 2b:</w:t>
      </w:r>
      <w:r>
        <w:t xml:space="preserve">  Baseline for Simulation, Developing C</w:t>
      </w:r>
      <w:r w:rsidRPr="00047921">
        <w:t>ountries</w:t>
      </w:r>
    </w:p>
    <w:p w:rsidR="00F023AF" w:rsidRPr="00047921" w:rsidRDefault="00F023AF" w:rsidP="00F023AF">
      <w:pPr>
        <w:jc w:val="center"/>
      </w:pPr>
    </w:p>
    <w:tbl>
      <w:tblPr>
        <w:tblW w:w="0" w:type="auto"/>
        <w:tblInd w:w="78" w:type="dxa"/>
        <w:tblLayout w:type="fixed"/>
        <w:tblLook w:val="0000" w:firstRow="0" w:lastRow="0" w:firstColumn="0" w:lastColumn="0" w:noHBand="0" w:noVBand="0"/>
      </w:tblPr>
      <w:tblGrid>
        <w:gridCol w:w="750"/>
        <w:gridCol w:w="1260"/>
        <w:gridCol w:w="1440"/>
        <w:gridCol w:w="1350"/>
        <w:gridCol w:w="1260"/>
        <w:gridCol w:w="900"/>
        <w:gridCol w:w="1260"/>
        <w:gridCol w:w="900"/>
        <w:gridCol w:w="1260"/>
        <w:gridCol w:w="900"/>
        <w:gridCol w:w="1170"/>
        <w:gridCol w:w="990"/>
      </w:tblGrid>
      <w:tr w:rsidR="00F023AF" w:rsidRPr="00DD60E4"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p>
        </w:tc>
        <w:tc>
          <w:tcPr>
            <w:tcW w:w="1260" w:type="dxa"/>
            <w:tcBorders>
              <w:top w:val="nil"/>
              <w:left w:val="nil"/>
              <w:right w:val="nil"/>
            </w:tcBorders>
          </w:tcPr>
          <w:p w:rsidR="00F023AF" w:rsidRPr="009E30CC" w:rsidRDefault="00F023AF" w:rsidP="00770D1B">
            <w:pPr>
              <w:autoSpaceDE w:val="0"/>
              <w:autoSpaceDN w:val="0"/>
              <w:adjustRightInd w:val="0"/>
              <w:spacing w:after="40"/>
              <w:jc w:val="right"/>
              <w:rPr>
                <w:color w:val="000000"/>
              </w:rPr>
            </w:pPr>
          </w:p>
        </w:tc>
        <w:tc>
          <w:tcPr>
            <w:tcW w:w="1440" w:type="dxa"/>
            <w:tcBorders>
              <w:top w:val="nil"/>
              <w:left w:val="nil"/>
              <w:right w:val="nil"/>
            </w:tcBorders>
          </w:tcPr>
          <w:p w:rsidR="00F023AF" w:rsidRPr="009E30CC" w:rsidRDefault="00F023AF" w:rsidP="00770D1B">
            <w:pPr>
              <w:autoSpaceDE w:val="0"/>
              <w:autoSpaceDN w:val="0"/>
              <w:adjustRightInd w:val="0"/>
              <w:spacing w:after="40"/>
              <w:jc w:val="right"/>
              <w:rPr>
                <w:color w:val="000000"/>
              </w:rPr>
            </w:pPr>
          </w:p>
        </w:tc>
        <w:tc>
          <w:tcPr>
            <w:tcW w:w="1350" w:type="dxa"/>
            <w:tcBorders>
              <w:top w:val="nil"/>
              <w:left w:val="nil"/>
            </w:tcBorders>
          </w:tcPr>
          <w:p w:rsidR="00F023AF" w:rsidRPr="009E30CC" w:rsidRDefault="00F023AF" w:rsidP="00770D1B">
            <w:pPr>
              <w:autoSpaceDE w:val="0"/>
              <w:autoSpaceDN w:val="0"/>
              <w:adjustRightInd w:val="0"/>
              <w:spacing w:after="40"/>
              <w:jc w:val="right"/>
              <w:rPr>
                <w:color w:val="000000"/>
              </w:rPr>
            </w:pP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5</w:t>
            </w: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10</w:t>
            </w: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20</w:t>
            </w:r>
          </w:p>
        </w:tc>
        <w:tc>
          <w:tcPr>
            <w:tcW w:w="2160" w:type="dxa"/>
            <w:gridSpan w:val="2"/>
          </w:tcPr>
          <w:p w:rsidR="00F023AF" w:rsidRPr="009E30CC" w:rsidRDefault="00F023AF" w:rsidP="00770D1B">
            <w:pPr>
              <w:autoSpaceDE w:val="0"/>
              <w:autoSpaceDN w:val="0"/>
              <w:adjustRightInd w:val="0"/>
              <w:spacing w:after="40"/>
              <w:jc w:val="center"/>
              <w:rPr>
                <w:color w:val="000000"/>
                <w:u w:val="single"/>
              </w:rPr>
            </w:pPr>
            <w:r>
              <w:rPr>
                <w:color w:val="000000"/>
                <w:u w:val="single"/>
              </w:rPr>
              <w:t>C</w:t>
            </w:r>
            <w:r w:rsidRPr="009E30CC">
              <w:rPr>
                <w:color w:val="000000"/>
                <w:u w:val="single"/>
              </w:rPr>
              <w:t>eiling of 30</w:t>
            </w:r>
          </w:p>
        </w:tc>
      </w:tr>
      <w:tr w:rsidR="00F023AF" w:rsidRPr="00DD60E4" w:rsidTr="00770D1B">
        <w:trPr>
          <w:trHeight w:val="247"/>
        </w:trPr>
        <w:tc>
          <w:tcPr>
            <w:tcW w:w="750" w:type="dxa"/>
            <w:tcBorders>
              <w:top w:val="nil"/>
              <w:left w:val="nil"/>
              <w:bottom w:val="nil"/>
              <w:right w:val="nil"/>
            </w:tcBorders>
            <w:vAlign w:val="bottom"/>
          </w:tcPr>
          <w:p w:rsidR="00F023AF" w:rsidRPr="009E30CC" w:rsidRDefault="00F023AF" w:rsidP="00770D1B">
            <w:pPr>
              <w:autoSpaceDE w:val="0"/>
              <w:autoSpaceDN w:val="0"/>
              <w:adjustRightInd w:val="0"/>
              <w:spacing w:after="40"/>
              <w:jc w:val="right"/>
              <w:rPr>
                <w:color w:val="000000"/>
              </w:rPr>
            </w:pPr>
          </w:p>
        </w:tc>
        <w:tc>
          <w:tcPr>
            <w:tcW w:w="1260" w:type="dxa"/>
            <w:tcBorders>
              <w:top w:val="nil"/>
              <w:left w:val="nil"/>
              <w:bottom w:val="single" w:sz="4" w:space="0" w:color="auto"/>
              <w:right w:val="nil"/>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PCT filings</w:t>
            </w:r>
          </w:p>
        </w:tc>
        <w:tc>
          <w:tcPr>
            <w:tcW w:w="1440" w:type="dxa"/>
            <w:tcBorders>
              <w:top w:val="nil"/>
              <w:left w:val="nil"/>
              <w:bottom w:val="single" w:sz="4" w:space="0" w:color="auto"/>
              <w:right w:val="nil"/>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Income from those filings</w:t>
            </w:r>
            <w:r w:rsidRPr="00DD60E4">
              <w:rPr>
                <w:color w:val="000000"/>
              </w:rPr>
              <w:br/>
            </w:r>
            <w:r w:rsidRPr="009E30CC">
              <w:rPr>
                <w:color w:val="000000"/>
              </w:rPr>
              <w:t xml:space="preserve"> (in CHF </w:t>
            </w:r>
            <w:r w:rsidRPr="00DD60E4">
              <w:rPr>
                <w:color w:val="000000"/>
              </w:rPr>
              <w:t>m</w:t>
            </w:r>
            <w:r w:rsidRPr="009E30CC">
              <w:rPr>
                <w:color w:val="000000"/>
              </w:rPr>
              <w:t>illions)</w:t>
            </w:r>
          </w:p>
        </w:tc>
        <w:tc>
          <w:tcPr>
            <w:tcW w:w="1350" w:type="dxa"/>
            <w:tcBorders>
              <w:top w:val="nil"/>
              <w:left w:val="nil"/>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Implied average fee (in CHF)</w:t>
            </w:r>
          </w:p>
        </w:tc>
        <w:tc>
          <w:tcPr>
            <w:tcW w:w="1260" w:type="dxa"/>
            <w:tcBorders>
              <w:bottom w:val="single" w:sz="4" w:space="0" w:color="auto"/>
              <w:right w:val="nil"/>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00" w:type="dxa"/>
            <w:tcBorders>
              <w:left w:val="nil"/>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c>
          <w:tcPr>
            <w:tcW w:w="1260" w:type="dxa"/>
            <w:tcBorders>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00" w:type="dxa"/>
            <w:tcBorders>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c>
          <w:tcPr>
            <w:tcW w:w="1260" w:type="dxa"/>
            <w:tcBorders>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00" w:type="dxa"/>
            <w:tcBorders>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c>
          <w:tcPr>
            <w:tcW w:w="1170" w:type="dxa"/>
            <w:tcBorders>
              <w:bottom w:val="single" w:sz="4" w:space="0" w:color="auto"/>
            </w:tcBorders>
            <w:vAlign w:val="bottom"/>
          </w:tcPr>
          <w:p w:rsidR="00F023AF" w:rsidRPr="009E30CC" w:rsidRDefault="00F023AF" w:rsidP="00770D1B">
            <w:pPr>
              <w:autoSpaceDE w:val="0"/>
              <w:autoSpaceDN w:val="0"/>
              <w:adjustRightInd w:val="0"/>
              <w:spacing w:after="40"/>
              <w:jc w:val="right"/>
              <w:rPr>
                <w:color w:val="000000"/>
              </w:rPr>
            </w:pPr>
            <w:r w:rsidRPr="009E30CC">
              <w:rPr>
                <w:color w:val="000000"/>
              </w:rPr>
              <w:t>Number of eligible filings</w:t>
            </w:r>
          </w:p>
        </w:tc>
        <w:tc>
          <w:tcPr>
            <w:tcW w:w="990" w:type="dxa"/>
            <w:tcBorders>
              <w:bottom w:val="single" w:sz="4" w:space="0" w:color="auto"/>
            </w:tcBorders>
            <w:vAlign w:val="bottom"/>
          </w:tcPr>
          <w:p w:rsidR="00F023AF" w:rsidRPr="009E30CC" w:rsidRDefault="00F023AF" w:rsidP="00770D1B">
            <w:pPr>
              <w:autoSpaceDE w:val="0"/>
              <w:autoSpaceDN w:val="0"/>
              <w:adjustRightInd w:val="0"/>
              <w:spacing w:after="40"/>
              <w:rPr>
                <w:color w:val="000000"/>
              </w:rPr>
            </w:pPr>
            <w:r w:rsidRPr="009E30CC">
              <w:rPr>
                <w:color w:val="000000"/>
              </w:rPr>
              <w:t>Share</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2011</w:t>
            </w:r>
          </w:p>
        </w:tc>
        <w:tc>
          <w:tcPr>
            <w:tcW w:w="1260" w:type="dxa"/>
            <w:tcBorders>
              <w:top w:val="single" w:sz="4" w:space="0" w:color="auto"/>
              <w:left w:val="nil"/>
              <w:bottom w:val="nil"/>
              <w:right w:val="nil"/>
            </w:tcBorders>
          </w:tcPr>
          <w:p w:rsidR="00F023AF" w:rsidRPr="00C4352B" w:rsidRDefault="00F023AF" w:rsidP="00770D1B">
            <w:pPr>
              <w:spacing w:after="40"/>
              <w:jc w:val="right"/>
            </w:pPr>
            <w:r w:rsidRPr="00C4352B">
              <w:t>1,099</w:t>
            </w:r>
          </w:p>
        </w:tc>
        <w:tc>
          <w:tcPr>
            <w:tcW w:w="1440" w:type="dxa"/>
            <w:tcBorders>
              <w:top w:val="single" w:sz="4" w:space="0" w:color="auto"/>
              <w:left w:val="nil"/>
              <w:bottom w:val="nil"/>
              <w:right w:val="nil"/>
            </w:tcBorders>
          </w:tcPr>
          <w:p w:rsidR="00F023AF" w:rsidRPr="00C4352B" w:rsidRDefault="00F023AF" w:rsidP="00770D1B">
            <w:pPr>
              <w:spacing w:after="40"/>
              <w:jc w:val="right"/>
            </w:pPr>
            <w:r w:rsidRPr="00C4352B">
              <w:t>1.3</w:t>
            </w:r>
          </w:p>
        </w:tc>
        <w:tc>
          <w:tcPr>
            <w:tcW w:w="1350" w:type="dxa"/>
            <w:tcBorders>
              <w:top w:val="single" w:sz="4" w:space="0" w:color="auto"/>
              <w:left w:val="nil"/>
              <w:bottom w:val="nil"/>
              <w:right w:val="nil"/>
            </w:tcBorders>
          </w:tcPr>
          <w:p w:rsidR="00F023AF" w:rsidRPr="00C4352B" w:rsidRDefault="00F023AF" w:rsidP="00770D1B">
            <w:pPr>
              <w:spacing w:after="40"/>
              <w:jc w:val="right"/>
            </w:pPr>
            <w:r w:rsidRPr="00C4352B">
              <w:t>1,18</w:t>
            </w:r>
            <w:r>
              <w:t>0</w:t>
            </w:r>
          </w:p>
        </w:tc>
        <w:tc>
          <w:tcPr>
            <w:tcW w:w="1260" w:type="dxa"/>
            <w:tcBorders>
              <w:top w:val="single" w:sz="4" w:space="0" w:color="auto"/>
              <w:left w:val="nil"/>
              <w:bottom w:val="nil"/>
              <w:right w:val="nil"/>
            </w:tcBorders>
          </w:tcPr>
          <w:p w:rsidR="00F023AF" w:rsidRPr="00C4352B" w:rsidRDefault="00F023AF" w:rsidP="00770D1B">
            <w:pPr>
              <w:spacing w:after="40"/>
              <w:jc w:val="right"/>
            </w:pPr>
            <w:r w:rsidRPr="00C4352B">
              <w:t>636</w:t>
            </w:r>
          </w:p>
        </w:tc>
        <w:tc>
          <w:tcPr>
            <w:tcW w:w="900" w:type="dxa"/>
            <w:tcBorders>
              <w:top w:val="single" w:sz="4" w:space="0" w:color="auto"/>
              <w:left w:val="nil"/>
              <w:bottom w:val="nil"/>
              <w:right w:val="nil"/>
            </w:tcBorders>
          </w:tcPr>
          <w:p w:rsidR="00F023AF" w:rsidRPr="00C4352B" w:rsidRDefault="00F023AF" w:rsidP="00770D1B">
            <w:pPr>
              <w:spacing w:after="40"/>
            </w:pPr>
            <w:r w:rsidRPr="00C4352B">
              <w:t>57.9%</w:t>
            </w:r>
          </w:p>
        </w:tc>
        <w:tc>
          <w:tcPr>
            <w:tcW w:w="1260" w:type="dxa"/>
            <w:tcBorders>
              <w:top w:val="single" w:sz="4" w:space="0" w:color="auto"/>
              <w:left w:val="nil"/>
              <w:bottom w:val="nil"/>
              <w:right w:val="nil"/>
            </w:tcBorders>
          </w:tcPr>
          <w:p w:rsidR="00F023AF" w:rsidRPr="00C4352B" w:rsidRDefault="00F023AF" w:rsidP="00770D1B">
            <w:pPr>
              <w:spacing w:after="40"/>
              <w:jc w:val="right"/>
            </w:pPr>
            <w:r w:rsidRPr="00C4352B">
              <w:t>812</w:t>
            </w:r>
          </w:p>
        </w:tc>
        <w:tc>
          <w:tcPr>
            <w:tcW w:w="900" w:type="dxa"/>
            <w:tcBorders>
              <w:top w:val="single" w:sz="4" w:space="0" w:color="auto"/>
              <w:left w:val="nil"/>
              <w:bottom w:val="nil"/>
              <w:right w:val="nil"/>
            </w:tcBorders>
          </w:tcPr>
          <w:p w:rsidR="00F023AF" w:rsidRPr="00C4352B" w:rsidRDefault="00F023AF" w:rsidP="00770D1B">
            <w:pPr>
              <w:spacing w:after="40"/>
            </w:pPr>
            <w:r w:rsidRPr="00C4352B">
              <w:t>73.9%</w:t>
            </w:r>
          </w:p>
        </w:tc>
        <w:tc>
          <w:tcPr>
            <w:tcW w:w="1260" w:type="dxa"/>
            <w:tcBorders>
              <w:top w:val="single" w:sz="4" w:space="0" w:color="auto"/>
              <w:left w:val="nil"/>
              <w:bottom w:val="nil"/>
              <w:right w:val="nil"/>
            </w:tcBorders>
          </w:tcPr>
          <w:p w:rsidR="00F023AF" w:rsidRPr="00C4352B" w:rsidRDefault="00F023AF" w:rsidP="00770D1B">
            <w:pPr>
              <w:spacing w:after="40"/>
              <w:jc w:val="right"/>
            </w:pPr>
            <w:r w:rsidRPr="00C4352B">
              <w:t>957</w:t>
            </w:r>
          </w:p>
        </w:tc>
        <w:tc>
          <w:tcPr>
            <w:tcW w:w="900" w:type="dxa"/>
            <w:tcBorders>
              <w:top w:val="single" w:sz="4" w:space="0" w:color="auto"/>
              <w:left w:val="nil"/>
              <w:bottom w:val="nil"/>
              <w:right w:val="nil"/>
            </w:tcBorders>
          </w:tcPr>
          <w:p w:rsidR="00F023AF" w:rsidRPr="00C4352B" w:rsidRDefault="00F023AF" w:rsidP="00770D1B">
            <w:pPr>
              <w:spacing w:after="40"/>
            </w:pPr>
            <w:r w:rsidRPr="00C4352B">
              <w:t>87.1%</w:t>
            </w:r>
          </w:p>
        </w:tc>
        <w:tc>
          <w:tcPr>
            <w:tcW w:w="1170" w:type="dxa"/>
            <w:tcBorders>
              <w:top w:val="single" w:sz="4" w:space="0" w:color="auto"/>
              <w:left w:val="nil"/>
              <w:bottom w:val="nil"/>
              <w:right w:val="nil"/>
            </w:tcBorders>
          </w:tcPr>
          <w:p w:rsidR="00F023AF" w:rsidRPr="00C4352B" w:rsidRDefault="00F023AF" w:rsidP="00770D1B">
            <w:pPr>
              <w:spacing w:after="40"/>
              <w:jc w:val="right"/>
            </w:pPr>
            <w:r w:rsidRPr="00C4352B">
              <w:t>1,015</w:t>
            </w:r>
          </w:p>
        </w:tc>
        <w:tc>
          <w:tcPr>
            <w:tcW w:w="990" w:type="dxa"/>
            <w:tcBorders>
              <w:top w:val="single" w:sz="4" w:space="0" w:color="auto"/>
              <w:left w:val="nil"/>
              <w:bottom w:val="nil"/>
              <w:right w:val="nil"/>
            </w:tcBorders>
          </w:tcPr>
          <w:p w:rsidR="00F023AF" w:rsidRPr="00C4352B" w:rsidRDefault="00F023AF" w:rsidP="00770D1B">
            <w:pPr>
              <w:spacing w:after="40"/>
            </w:pPr>
            <w:r w:rsidRPr="00C4352B">
              <w:t>92.4%</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2012</w:t>
            </w:r>
          </w:p>
        </w:tc>
        <w:tc>
          <w:tcPr>
            <w:tcW w:w="1260" w:type="dxa"/>
            <w:tcBorders>
              <w:top w:val="nil"/>
              <w:left w:val="nil"/>
              <w:bottom w:val="nil"/>
              <w:right w:val="nil"/>
            </w:tcBorders>
          </w:tcPr>
          <w:p w:rsidR="00F023AF" w:rsidRPr="00C4352B" w:rsidRDefault="00F023AF" w:rsidP="00770D1B">
            <w:pPr>
              <w:spacing w:after="40"/>
              <w:jc w:val="right"/>
            </w:pPr>
            <w:r w:rsidRPr="00C4352B">
              <w:t>1,030</w:t>
            </w:r>
          </w:p>
        </w:tc>
        <w:tc>
          <w:tcPr>
            <w:tcW w:w="1440" w:type="dxa"/>
            <w:tcBorders>
              <w:top w:val="nil"/>
              <w:left w:val="nil"/>
              <w:bottom w:val="nil"/>
              <w:right w:val="nil"/>
            </w:tcBorders>
          </w:tcPr>
          <w:p w:rsidR="00F023AF" w:rsidRPr="00C4352B" w:rsidRDefault="00F023AF" w:rsidP="00770D1B">
            <w:pPr>
              <w:spacing w:after="40"/>
              <w:jc w:val="right"/>
            </w:pPr>
            <w:r w:rsidRPr="00C4352B">
              <w:t>1.2</w:t>
            </w:r>
          </w:p>
        </w:tc>
        <w:tc>
          <w:tcPr>
            <w:tcW w:w="1350" w:type="dxa"/>
            <w:tcBorders>
              <w:top w:val="nil"/>
              <w:left w:val="nil"/>
              <w:bottom w:val="nil"/>
              <w:right w:val="nil"/>
            </w:tcBorders>
          </w:tcPr>
          <w:p w:rsidR="00F023AF" w:rsidRPr="00C4352B" w:rsidRDefault="00F023AF" w:rsidP="00770D1B">
            <w:pPr>
              <w:spacing w:after="40"/>
              <w:jc w:val="right"/>
            </w:pPr>
            <w:r>
              <w:t>1,176</w:t>
            </w:r>
          </w:p>
        </w:tc>
        <w:tc>
          <w:tcPr>
            <w:tcW w:w="1260" w:type="dxa"/>
            <w:tcBorders>
              <w:top w:val="nil"/>
              <w:left w:val="nil"/>
              <w:bottom w:val="nil"/>
              <w:right w:val="nil"/>
            </w:tcBorders>
          </w:tcPr>
          <w:p w:rsidR="00F023AF" w:rsidRPr="00C4352B" w:rsidRDefault="00F023AF" w:rsidP="00770D1B">
            <w:pPr>
              <w:spacing w:after="40"/>
              <w:jc w:val="right"/>
            </w:pPr>
            <w:r w:rsidRPr="00C4352B">
              <w:t>653</w:t>
            </w:r>
          </w:p>
        </w:tc>
        <w:tc>
          <w:tcPr>
            <w:tcW w:w="900" w:type="dxa"/>
            <w:tcBorders>
              <w:top w:val="nil"/>
              <w:left w:val="nil"/>
              <w:bottom w:val="nil"/>
              <w:right w:val="nil"/>
            </w:tcBorders>
          </w:tcPr>
          <w:p w:rsidR="00F023AF" w:rsidRPr="00C4352B" w:rsidRDefault="00F023AF" w:rsidP="00770D1B">
            <w:pPr>
              <w:spacing w:after="40"/>
            </w:pPr>
            <w:r w:rsidRPr="00C4352B">
              <w:t>63.4%</w:t>
            </w:r>
          </w:p>
        </w:tc>
        <w:tc>
          <w:tcPr>
            <w:tcW w:w="1260" w:type="dxa"/>
            <w:tcBorders>
              <w:top w:val="nil"/>
              <w:left w:val="nil"/>
              <w:bottom w:val="nil"/>
              <w:right w:val="nil"/>
            </w:tcBorders>
          </w:tcPr>
          <w:p w:rsidR="00F023AF" w:rsidRPr="00C4352B" w:rsidRDefault="00F023AF" w:rsidP="00770D1B">
            <w:pPr>
              <w:spacing w:after="40"/>
              <w:jc w:val="right"/>
            </w:pPr>
            <w:r w:rsidRPr="00C4352B">
              <w:t>830</w:t>
            </w:r>
          </w:p>
        </w:tc>
        <w:tc>
          <w:tcPr>
            <w:tcW w:w="900" w:type="dxa"/>
            <w:tcBorders>
              <w:top w:val="nil"/>
              <w:left w:val="nil"/>
              <w:bottom w:val="nil"/>
              <w:right w:val="nil"/>
            </w:tcBorders>
          </w:tcPr>
          <w:p w:rsidR="00F023AF" w:rsidRPr="00C4352B" w:rsidRDefault="00F023AF" w:rsidP="00770D1B">
            <w:pPr>
              <w:spacing w:after="40"/>
            </w:pPr>
            <w:r w:rsidRPr="00C4352B">
              <w:t>80.6%</w:t>
            </w:r>
          </w:p>
        </w:tc>
        <w:tc>
          <w:tcPr>
            <w:tcW w:w="1260" w:type="dxa"/>
            <w:tcBorders>
              <w:top w:val="nil"/>
              <w:left w:val="nil"/>
              <w:bottom w:val="nil"/>
              <w:right w:val="nil"/>
            </w:tcBorders>
          </w:tcPr>
          <w:p w:rsidR="00F023AF" w:rsidRPr="00C4352B" w:rsidRDefault="00F023AF" w:rsidP="00770D1B">
            <w:pPr>
              <w:spacing w:after="40"/>
              <w:jc w:val="right"/>
            </w:pPr>
            <w:r w:rsidRPr="00C4352B">
              <w:t>958</w:t>
            </w:r>
          </w:p>
        </w:tc>
        <w:tc>
          <w:tcPr>
            <w:tcW w:w="900" w:type="dxa"/>
            <w:tcBorders>
              <w:top w:val="nil"/>
              <w:left w:val="nil"/>
              <w:bottom w:val="nil"/>
              <w:right w:val="nil"/>
            </w:tcBorders>
          </w:tcPr>
          <w:p w:rsidR="00F023AF" w:rsidRPr="00C4352B" w:rsidRDefault="00F023AF" w:rsidP="00770D1B">
            <w:pPr>
              <w:spacing w:after="40"/>
            </w:pPr>
            <w:r w:rsidRPr="00C4352B">
              <w:t>93.0%</w:t>
            </w:r>
          </w:p>
        </w:tc>
        <w:tc>
          <w:tcPr>
            <w:tcW w:w="1170" w:type="dxa"/>
            <w:tcBorders>
              <w:top w:val="nil"/>
              <w:left w:val="nil"/>
              <w:bottom w:val="nil"/>
              <w:right w:val="nil"/>
            </w:tcBorders>
          </w:tcPr>
          <w:p w:rsidR="00F023AF" w:rsidRPr="00C4352B" w:rsidRDefault="00F023AF" w:rsidP="00770D1B">
            <w:pPr>
              <w:spacing w:after="40"/>
              <w:jc w:val="right"/>
            </w:pPr>
            <w:r w:rsidRPr="00C4352B">
              <w:t>1,009</w:t>
            </w:r>
          </w:p>
        </w:tc>
        <w:tc>
          <w:tcPr>
            <w:tcW w:w="990" w:type="dxa"/>
            <w:tcBorders>
              <w:top w:val="nil"/>
              <w:left w:val="nil"/>
              <w:bottom w:val="nil"/>
              <w:right w:val="nil"/>
            </w:tcBorders>
          </w:tcPr>
          <w:p w:rsidR="00F023AF" w:rsidRPr="00C4352B" w:rsidRDefault="00F023AF" w:rsidP="00770D1B">
            <w:pPr>
              <w:spacing w:after="40"/>
            </w:pPr>
            <w:r w:rsidRPr="00C4352B">
              <w:t>98.0%</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2013</w:t>
            </w:r>
          </w:p>
        </w:tc>
        <w:tc>
          <w:tcPr>
            <w:tcW w:w="1260" w:type="dxa"/>
            <w:tcBorders>
              <w:top w:val="nil"/>
              <w:left w:val="nil"/>
              <w:bottom w:val="nil"/>
              <w:right w:val="nil"/>
            </w:tcBorders>
          </w:tcPr>
          <w:p w:rsidR="00F023AF" w:rsidRPr="00C4352B" w:rsidRDefault="00F023AF" w:rsidP="00770D1B">
            <w:pPr>
              <w:spacing w:after="40"/>
              <w:jc w:val="right"/>
            </w:pPr>
            <w:r w:rsidRPr="00C4352B">
              <w:t>1,189</w:t>
            </w:r>
          </w:p>
        </w:tc>
        <w:tc>
          <w:tcPr>
            <w:tcW w:w="1440" w:type="dxa"/>
            <w:tcBorders>
              <w:top w:val="nil"/>
              <w:left w:val="nil"/>
              <w:bottom w:val="nil"/>
              <w:right w:val="nil"/>
            </w:tcBorders>
          </w:tcPr>
          <w:p w:rsidR="00F023AF" w:rsidRPr="00C4352B" w:rsidRDefault="00F023AF" w:rsidP="00770D1B">
            <w:pPr>
              <w:spacing w:after="40"/>
              <w:jc w:val="right"/>
            </w:pPr>
            <w:r w:rsidRPr="00C4352B">
              <w:t>1.4</w:t>
            </w:r>
          </w:p>
        </w:tc>
        <w:tc>
          <w:tcPr>
            <w:tcW w:w="1350" w:type="dxa"/>
            <w:tcBorders>
              <w:top w:val="nil"/>
              <w:left w:val="nil"/>
              <w:bottom w:val="nil"/>
              <w:right w:val="nil"/>
            </w:tcBorders>
          </w:tcPr>
          <w:p w:rsidR="00F023AF" w:rsidRPr="00C4352B" w:rsidRDefault="00F023AF" w:rsidP="00770D1B">
            <w:pPr>
              <w:spacing w:after="40"/>
              <w:jc w:val="right"/>
            </w:pPr>
            <w:r>
              <w:t>1,140</w:t>
            </w:r>
          </w:p>
        </w:tc>
        <w:tc>
          <w:tcPr>
            <w:tcW w:w="1260" w:type="dxa"/>
            <w:tcBorders>
              <w:top w:val="nil"/>
              <w:left w:val="nil"/>
              <w:bottom w:val="nil"/>
              <w:right w:val="nil"/>
            </w:tcBorders>
          </w:tcPr>
          <w:p w:rsidR="00F023AF" w:rsidRPr="00C4352B" w:rsidRDefault="00F023AF" w:rsidP="00770D1B">
            <w:pPr>
              <w:spacing w:after="40"/>
              <w:jc w:val="right"/>
            </w:pPr>
            <w:r w:rsidRPr="00C4352B">
              <w:t>690</w:t>
            </w:r>
          </w:p>
        </w:tc>
        <w:tc>
          <w:tcPr>
            <w:tcW w:w="900" w:type="dxa"/>
            <w:tcBorders>
              <w:top w:val="nil"/>
              <w:left w:val="nil"/>
              <w:bottom w:val="nil"/>
              <w:right w:val="nil"/>
            </w:tcBorders>
          </w:tcPr>
          <w:p w:rsidR="00F023AF" w:rsidRPr="00C4352B" w:rsidRDefault="00F023AF" w:rsidP="00770D1B">
            <w:pPr>
              <w:spacing w:after="40"/>
            </w:pPr>
            <w:r w:rsidRPr="00C4352B">
              <w:t>58.0%</w:t>
            </w:r>
          </w:p>
        </w:tc>
        <w:tc>
          <w:tcPr>
            <w:tcW w:w="1260" w:type="dxa"/>
            <w:tcBorders>
              <w:top w:val="nil"/>
              <w:left w:val="nil"/>
              <w:bottom w:val="nil"/>
              <w:right w:val="nil"/>
            </w:tcBorders>
          </w:tcPr>
          <w:p w:rsidR="00F023AF" w:rsidRPr="00C4352B" w:rsidRDefault="00F023AF" w:rsidP="00770D1B">
            <w:pPr>
              <w:spacing w:after="40"/>
              <w:jc w:val="right"/>
            </w:pPr>
            <w:r w:rsidRPr="00C4352B">
              <w:t>884</w:t>
            </w:r>
          </w:p>
        </w:tc>
        <w:tc>
          <w:tcPr>
            <w:tcW w:w="900" w:type="dxa"/>
            <w:tcBorders>
              <w:top w:val="nil"/>
              <w:left w:val="nil"/>
              <w:bottom w:val="nil"/>
              <w:right w:val="nil"/>
            </w:tcBorders>
          </w:tcPr>
          <w:p w:rsidR="00F023AF" w:rsidRPr="00C4352B" w:rsidRDefault="00F023AF" w:rsidP="00770D1B">
            <w:pPr>
              <w:spacing w:after="40"/>
            </w:pPr>
            <w:r w:rsidRPr="00C4352B">
              <w:t>74.3%</w:t>
            </w:r>
          </w:p>
        </w:tc>
        <w:tc>
          <w:tcPr>
            <w:tcW w:w="1260" w:type="dxa"/>
            <w:tcBorders>
              <w:top w:val="nil"/>
              <w:left w:val="nil"/>
              <w:bottom w:val="nil"/>
              <w:right w:val="nil"/>
            </w:tcBorders>
          </w:tcPr>
          <w:p w:rsidR="00F023AF" w:rsidRPr="00C4352B" w:rsidRDefault="00F023AF" w:rsidP="00770D1B">
            <w:pPr>
              <w:spacing w:after="40"/>
              <w:jc w:val="right"/>
            </w:pPr>
            <w:r w:rsidRPr="00C4352B">
              <w:t>1,055</w:t>
            </w:r>
          </w:p>
        </w:tc>
        <w:tc>
          <w:tcPr>
            <w:tcW w:w="900" w:type="dxa"/>
            <w:tcBorders>
              <w:top w:val="nil"/>
              <w:left w:val="nil"/>
              <w:bottom w:val="nil"/>
              <w:right w:val="nil"/>
            </w:tcBorders>
          </w:tcPr>
          <w:p w:rsidR="00F023AF" w:rsidRPr="00C4352B" w:rsidRDefault="00F023AF" w:rsidP="00770D1B">
            <w:pPr>
              <w:spacing w:after="40"/>
            </w:pPr>
            <w:r w:rsidRPr="00C4352B">
              <w:t>88.7%</w:t>
            </w:r>
          </w:p>
        </w:tc>
        <w:tc>
          <w:tcPr>
            <w:tcW w:w="1170" w:type="dxa"/>
            <w:tcBorders>
              <w:top w:val="nil"/>
              <w:left w:val="nil"/>
              <w:bottom w:val="nil"/>
              <w:right w:val="nil"/>
            </w:tcBorders>
          </w:tcPr>
          <w:p w:rsidR="00F023AF" w:rsidRPr="00C4352B" w:rsidRDefault="00F023AF" w:rsidP="00770D1B">
            <w:pPr>
              <w:spacing w:after="40"/>
              <w:jc w:val="right"/>
            </w:pPr>
            <w:r w:rsidRPr="00C4352B">
              <w:t>1,122</w:t>
            </w:r>
          </w:p>
        </w:tc>
        <w:tc>
          <w:tcPr>
            <w:tcW w:w="990" w:type="dxa"/>
            <w:tcBorders>
              <w:top w:val="nil"/>
              <w:left w:val="nil"/>
              <w:bottom w:val="nil"/>
              <w:right w:val="nil"/>
            </w:tcBorders>
          </w:tcPr>
          <w:p w:rsidR="00F023AF" w:rsidRPr="00C4352B" w:rsidRDefault="00F023AF" w:rsidP="00770D1B">
            <w:pPr>
              <w:spacing w:after="40"/>
            </w:pPr>
            <w:r w:rsidRPr="00C4352B">
              <w:t>94.4%</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2014</w:t>
            </w:r>
          </w:p>
        </w:tc>
        <w:tc>
          <w:tcPr>
            <w:tcW w:w="1260" w:type="dxa"/>
            <w:tcBorders>
              <w:top w:val="nil"/>
              <w:left w:val="nil"/>
              <w:bottom w:val="nil"/>
              <w:right w:val="nil"/>
            </w:tcBorders>
          </w:tcPr>
          <w:p w:rsidR="00F023AF" w:rsidRPr="00C4352B" w:rsidRDefault="00F023AF" w:rsidP="00770D1B">
            <w:pPr>
              <w:spacing w:after="40"/>
              <w:jc w:val="right"/>
            </w:pPr>
            <w:r w:rsidRPr="00C4352B">
              <w:t>1,547</w:t>
            </w:r>
          </w:p>
        </w:tc>
        <w:tc>
          <w:tcPr>
            <w:tcW w:w="1440" w:type="dxa"/>
            <w:tcBorders>
              <w:top w:val="nil"/>
              <w:left w:val="nil"/>
              <w:bottom w:val="nil"/>
              <w:right w:val="nil"/>
            </w:tcBorders>
          </w:tcPr>
          <w:p w:rsidR="00F023AF" w:rsidRPr="00C4352B" w:rsidRDefault="00F023AF" w:rsidP="00770D1B">
            <w:pPr>
              <w:spacing w:after="40"/>
              <w:jc w:val="right"/>
            </w:pPr>
            <w:r w:rsidRPr="00C4352B">
              <w:t>1.9</w:t>
            </w:r>
          </w:p>
        </w:tc>
        <w:tc>
          <w:tcPr>
            <w:tcW w:w="1350" w:type="dxa"/>
            <w:tcBorders>
              <w:top w:val="nil"/>
              <w:left w:val="nil"/>
              <w:bottom w:val="nil"/>
              <w:right w:val="nil"/>
            </w:tcBorders>
          </w:tcPr>
          <w:p w:rsidR="00F023AF" w:rsidRPr="00C4352B" w:rsidRDefault="00F023AF" w:rsidP="00770D1B">
            <w:pPr>
              <w:spacing w:after="40"/>
              <w:jc w:val="right"/>
            </w:pPr>
            <w:r>
              <w:t>1,208</w:t>
            </w:r>
          </w:p>
        </w:tc>
        <w:tc>
          <w:tcPr>
            <w:tcW w:w="1260" w:type="dxa"/>
            <w:tcBorders>
              <w:top w:val="nil"/>
              <w:left w:val="nil"/>
              <w:bottom w:val="nil"/>
              <w:right w:val="nil"/>
            </w:tcBorders>
          </w:tcPr>
          <w:p w:rsidR="00F023AF" w:rsidRPr="00C4352B" w:rsidRDefault="00F023AF" w:rsidP="00770D1B">
            <w:pPr>
              <w:spacing w:after="40"/>
              <w:jc w:val="right"/>
            </w:pPr>
            <w:r w:rsidRPr="00C4352B">
              <w:t>754</w:t>
            </w:r>
          </w:p>
        </w:tc>
        <w:tc>
          <w:tcPr>
            <w:tcW w:w="900" w:type="dxa"/>
            <w:tcBorders>
              <w:top w:val="nil"/>
              <w:left w:val="nil"/>
              <w:bottom w:val="nil"/>
              <w:right w:val="nil"/>
            </w:tcBorders>
          </w:tcPr>
          <w:p w:rsidR="00F023AF" w:rsidRPr="00C4352B" w:rsidRDefault="00F023AF" w:rsidP="00770D1B">
            <w:pPr>
              <w:spacing w:after="40"/>
            </w:pPr>
            <w:r w:rsidRPr="00C4352B">
              <w:t>48.7%</w:t>
            </w:r>
          </w:p>
        </w:tc>
        <w:tc>
          <w:tcPr>
            <w:tcW w:w="1260" w:type="dxa"/>
            <w:tcBorders>
              <w:top w:val="nil"/>
              <w:left w:val="nil"/>
              <w:bottom w:val="nil"/>
              <w:right w:val="nil"/>
            </w:tcBorders>
          </w:tcPr>
          <w:p w:rsidR="00F023AF" w:rsidRPr="00C4352B" w:rsidRDefault="00F023AF" w:rsidP="00770D1B">
            <w:pPr>
              <w:spacing w:after="40"/>
              <w:jc w:val="right"/>
            </w:pPr>
            <w:r w:rsidRPr="00C4352B">
              <w:t>1,029</w:t>
            </w:r>
          </w:p>
        </w:tc>
        <w:tc>
          <w:tcPr>
            <w:tcW w:w="900" w:type="dxa"/>
            <w:tcBorders>
              <w:top w:val="nil"/>
              <w:left w:val="nil"/>
              <w:bottom w:val="nil"/>
              <w:right w:val="nil"/>
            </w:tcBorders>
          </w:tcPr>
          <w:p w:rsidR="00F023AF" w:rsidRPr="00C4352B" w:rsidRDefault="00F023AF" w:rsidP="00770D1B">
            <w:pPr>
              <w:spacing w:after="40"/>
            </w:pPr>
            <w:r w:rsidRPr="00C4352B">
              <w:t>66.5%</w:t>
            </w:r>
          </w:p>
        </w:tc>
        <w:tc>
          <w:tcPr>
            <w:tcW w:w="1260" w:type="dxa"/>
            <w:tcBorders>
              <w:top w:val="nil"/>
              <w:left w:val="nil"/>
              <w:bottom w:val="nil"/>
              <w:right w:val="nil"/>
            </w:tcBorders>
          </w:tcPr>
          <w:p w:rsidR="00F023AF" w:rsidRPr="00C4352B" w:rsidRDefault="00F023AF" w:rsidP="00770D1B">
            <w:pPr>
              <w:spacing w:after="40"/>
              <w:jc w:val="right"/>
            </w:pPr>
            <w:r w:rsidRPr="00C4352B">
              <w:t>1,270</w:t>
            </w:r>
          </w:p>
        </w:tc>
        <w:tc>
          <w:tcPr>
            <w:tcW w:w="900" w:type="dxa"/>
            <w:tcBorders>
              <w:top w:val="nil"/>
              <w:left w:val="nil"/>
              <w:bottom w:val="nil"/>
              <w:right w:val="nil"/>
            </w:tcBorders>
          </w:tcPr>
          <w:p w:rsidR="00F023AF" w:rsidRPr="00C4352B" w:rsidRDefault="00F023AF" w:rsidP="00770D1B">
            <w:pPr>
              <w:spacing w:after="40"/>
            </w:pPr>
            <w:r w:rsidRPr="00C4352B">
              <w:t>82.1%</w:t>
            </w:r>
          </w:p>
        </w:tc>
        <w:tc>
          <w:tcPr>
            <w:tcW w:w="1170" w:type="dxa"/>
            <w:tcBorders>
              <w:top w:val="nil"/>
              <w:left w:val="nil"/>
              <w:bottom w:val="nil"/>
              <w:right w:val="nil"/>
            </w:tcBorders>
          </w:tcPr>
          <w:p w:rsidR="00F023AF" w:rsidRPr="00C4352B" w:rsidRDefault="00F023AF" w:rsidP="00770D1B">
            <w:pPr>
              <w:spacing w:after="40"/>
              <w:jc w:val="right"/>
            </w:pPr>
            <w:r w:rsidRPr="00C4352B">
              <w:t>1,401</w:t>
            </w:r>
          </w:p>
        </w:tc>
        <w:tc>
          <w:tcPr>
            <w:tcW w:w="990" w:type="dxa"/>
            <w:tcBorders>
              <w:top w:val="nil"/>
              <w:left w:val="nil"/>
              <w:bottom w:val="nil"/>
              <w:right w:val="nil"/>
            </w:tcBorders>
          </w:tcPr>
          <w:p w:rsidR="00F023AF" w:rsidRPr="00C4352B" w:rsidRDefault="00F023AF" w:rsidP="00770D1B">
            <w:pPr>
              <w:spacing w:after="40"/>
            </w:pPr>
            <w:r w:rsidRPr="00C4352B">
              <w:t>90.6%</w:t>
            </w:r>
          </w:p>
        </w:tc>
      </w:tr>
      <w:tr w:rsidR="00F023AF" w:rsidRPr="00C4352B" w:rsidTr="00770D1B">
        <w:trPr>
          <w:trHeight w:val="247"/>
        </w:trPr>
        <w:tc>
          <w:tcPr>
            <w:tcW w:w="750" w:type="dxa"/>
            <w:tcBorders>
              <w:top w:val="nil"/>
              <w:left w:val="nil"/>
              <w:bottom w:val="nil"/>
              <w:right w:val="nil"/>
            </w:tcBorders>
          </w:tcPr>
          <w:p w:rsidR="00F023AF" w:rsidRPr="009E30CC" w:rsidRDefault="00F023AF" w:rsidP="00770D1B">
            <w:pPr>
              <w:autoSpaceDE w:val="0"/>
              <w:autoSpaceDN w:val="0"/>
              <w:adjustRightInd w:val="0"/>
              <w:spacing w:after="40"/>
              <w:jc w:val="right"/>
              <w:rPr>
                <w:color w:val="000000"/>
              </w:rPr>
            </w:pPr>
            <w:r w:rsidRPr="009E30CC">
              <w:rPr>
                <w:color w:val="000000"/>
              </w:rPr>
              <w:t>2015</w:t>
            </w:r>
          </w:p>
        </w:tc>
        <w:tc>
          <w:tcPr>
            <w:tcW w:w="1260" w:type="dxa"/>
            <w:tcBorders>
              <w:top w:val="nil"/>
              <w:left w:val="nil"/>
              <w:bottom w:val="nil"/>
              <w:right w:val="nil"/>
            </w:tcBorders>
          </w:tcPr>
          <w:p w:rsidR="00F023AF" w:rsidRPr="00C4352B" w:rsidRDefault="00F023AF" w:rsidP="00770D1B">
            <w:pPr>
              <w:spacing w:after="40"/>
              <w:jc w:val="right"/>
            </w:pPr>
            <w:r w:rsidRPr="00C4352B">
              <w:t>1,693</w:t>
            </w:r>
          </w:p>
        </w:tc>
        <w:tc>
          <w:tcPr>
            <w:tcW w:w="1440" w:type="dxa"/>
            <w:tcBorders>
              <w:top w:val="nil"/>
              <w:left w:val="nil"/>
              <w:bottom w:val="nil"/>
              <w:right w:val="nil"/>
            </w:tcBorders>
          </w:tcPr>
          <w:p w:rsidR="00F023AF" w:rsidRPr="00C4352B" w:rsidRDefault="00F023AF" w:rsidP="00770D1B">
            <w:pPr>
              <w:spacing w:after="40"/>
              <w:jc w:val="right"/>
            </w:pPr>
            <w:r w:rsidRPr="00C4352B">
              <w:t>1.9</w:t>
            </w:r>
          </w:p>
        </w:tc>
        <w:tc>
          <w:tcPr>
            <w:tcW w:w="1350" w:type="dxa"/>
            <w:tcBorders>
              <w:top w:val="nil"/>
              <w:left w:val="nil"/>
              <w:bottom w:val="nil"/>
              <w:right w:val="nil"/>
            </w:tcBorders>
          </w:tcPr>
          <w:p w:rsidR="00F023AF" w:rsidRPr="00C4352B" w:rsidRDefault="00F023AF" w:rsidP="00770D1B">
            <w:pPr>
              <w:spacing w:after="40"/>
              <w:jc w:val="right"/>
            </w:pPr>
            <w:r>
              <w:t>1,150</w:t>
            </w:r>
          </w:p>
        </w:tc>
        <w:tc>
          <w:tcPr>
            <w:tcW w:w="1260" w:type="dxa"/>
            <w:tcBorders>
              <w:top w:val="nil"/>
              <w:left w:val="nil"/>
              <w:bottom w:val="nil"/>
              <w:right w:val="nil"/>
            </w:tcBorders>
          </w:tcPr>
          <w:p w:rsidR="00F023AF" w:rsidRPr="00C4352B" w:rsidRDefault="00F023AF" w:rsidP="00770D1B">
            <w:pPr>
              <w:spacing w:after="40"/>
              <w:jc w:val="right"/>
            </w:pPr>
            <w:r w:rsidRPr="00C4352B">
              <w:t>698</w:t>
            </w:r>
          </w:p>
        </w:tc>
        <w:tc>
          <w:tcPr>
            <w:tcW w:w="900" w:type="dxa"/>
            <w:tcBorders>
              <w:top w:val="nil"/>
              <w:left w:val="nil"/>
              <w:bottom w:val="nil"/>
              <w:right w:val="nil"/>
            </w:tcBorders>
          </w:tcPr>
          <w:p w:rsidR="00F023AF" w:rsidRPr="00C4352B" w:rsidRDefault="00F023AF" w:rsidP="00770D1B">
            <w:pPr>
              <w:spacing w:after="40"/>
            </w:pPr>
            <w:r w:rsidRPr="00C4352B">
              <w:t>41.2%</w:t>
            </w:r>
          </w:p>
        </w:tc>
        <w:tc>
          <w:tcPr>
            <w:tcW w:w="1260" w:type="dxa"/>
            <w:tcBorders>
              <w:top w:val="nil"/>
              <w:left w:val="nil"/>
              <w:bottom w:val="nil"/>
              <w:right w:val="nil"/>
            </w:tcBorders>
          </w:tcPr>
          <w:p w:rsidR="00F023AF" w:rsidRPr="00C4352B" w:rsidRDefault="00F023AF" w:rsidP="00770D1B">
            <w:pPr>
              <w:spacing w:after="40"/>
              <w:jc w:val="right"/>
            </w:pPr>
            <w:r w:rsidRPr="00C4352B">
              <w:t>980</w:t>
            </w:r>
          </w:p>
        </w:tc>
        <w:tc>
          <w:tcPr>
            <w:tcW w:w="900" w:type="dxa"/>
            <w:tcBorders>
              <w:top w:val="nil"/>
              <w:left w:val="nil"/>
              <w:bottom w:val="nil"/>
              <w:right w:val="nil"/>
            </w:tcBorders>
          </w:tcPr>
          <w:p w:rsidR="00F023AF" w:rsidRPr="00C4352B" w:rsidRDefault="00F023AF" w:rsidP="00770D1B">
            <w:pPr>
              <w:spacing w:after="40"/>
            </w:pPr>
            <w:r w:rsidRPr="00C4352B">
              <w:t>57.9%</w:t>
            </w:r>
          </w:p>
        </w:tc>
        <w:tc>
          <w:tcPr>
            <w:tcW w:w="1260" w:type="dxa"/>
            <w:tcBorders>
              <w:top w:val="nil"/>
              <w:left w:val="nil"/>
              <w:bottom w:val="nil"/>
              <w:right w:val="nil"/>
            </w:tcBorders>
          </w:tcPr>
          <w:p w:rsidR="00F023AF" w:rsidRPr="00C4352B" w:rsidRDefault="00F023AF" w:rsidP="00770D1B">
            <w:pPr>
              <w:spacing w:after="40"/>
              <w:jc w:val="right"/>
            </w:pPr>
            <w:r w:rsidRPr="00C4352B">
              <w:t>1,253</w:t>
            </w:r>
          </w:p>
        </w:tc>
        <w:tc>
          <w:tcPr>
            <w:tcW w:w="900" w:type="dxa"/>
            <w:tcBorders>
              <w:top w:val="nil"/>
              <w:left w:val="nil"/>
              <w:bottom w:val="nil"/>
              <w:right w:val="nil"/>
            </w:tcBorders>
          </w:tcPr>
          <w:p w:rsidR="00F023AF" w:rsidRPr="00C4352B" w:rsidRDefault="00F023AF" w:rsidP="00770D1B">
            <w:pPr>
              <w:spacing w:after="40"/>
            </w:pPr>
            <w:r w:rsidRPr="00C4352B">
              <w:t>74.0%</w:t>
            </w:r>
          </w:p>
        </w:tc>
        <w:tc>
          <w:tcPr>
            <w:tcW w:w="1170" w:type="dxa"/>
            <w:tcBorders>
              <w:top w:val="nil"/>
              <w:left w:val="nil"/>
              <w:bottom w:val="nil"/>
              <w:right w:val="nil"/>
            </w:tcBorders>
          </w:tcPr>
          <w:p w:rsidR="00F023AF" w:rsidRPr="00C4352B" w:rsidRDefault="00F023AF" w:rsidP="00770D1B">
            <w:pPr>
              <w:spacing w:after="40"/>
              <w:jc w:val="right"/>
            </w:pPr>
            <w:r w:rsidRPr="00C4352B">
              <w:t>1,382</w:t>
            </w:r>
          </w:p>
        </w:tc>
        <w:tc>
          <w:tcPr>
            <w:tcW w:w="990" w:type="dxa"/>
            <w:tcBorders>
              <w:top w:val="nil"/>
              <w:left w:val="nil"/>
              <w:bottom w:val="nil"/>
              <w:right w:val="nil"/>
            </w:tcBorders>
          </w:tcPr>
          <w:p w:rsidR="00F023AF" w:rsidRPr="00C4352B" w:rsidRDefault="00F023AF" w:rsidP="00770D1B">
            <w:pPr>
              <w:spacing w:after="40"/>
            </w:pPr>
            <w:r w:rsidRPr="00C4352B">
              <w:t>81.6%</w:t>
            </w:r>
          </w:p>
        </w:tc>
      </w:tr>
    </w:tbl>
    <w:p w:rsidR="00F023AF" w:rsidRPr="00DD60E4" w:rsidRDefault="00F023AF" w:rsidP="00F023AF">
      <w:pPr>
        <w:sectPr w:rsidR="00F023AF" w:rsidRPr="00DD60E4" w:rsidSect="008B05FB">
          <w:pgSz w:w="16839" w:h="11907" w:orient="landscape" w:code="9"/>
          <w:pgMar w:top="1440" w:right="1440" w:bottom="1440" w:left="1440" w:header="720" w:footer="720" w:gutter="0"/>
          <w:cols w:space="720"/>
          <w:docGrid w:linePitch="360"/>
        </w:sectPr>
      </w:pPr>
    </w:p>
    <w:p w:rsidR="00F023AF" w:rsidRPr="00047921" w:rsidRDefault="00F023AF" w:rsidP="00F023AF">
      <w:pPr>
        <w:tabs>
          <w:tab w:val="left" w:pos="2760"/>
        </w:tabs>
      </w:pPr>
    </w:p>
    <w:p w:rsidR="00F023AF" w:rsidRPr="00047921" w:rsidRDefault="00F023AF" w:rsidP="00F023AF">
      <w:pPr>
        <w:jc w:val="center"/>
      </w:pPr>
      <w:r w:rsidRPr="003D75E3">
        <w:rPr>
          <w:noProof/>
          <w:lang w:eastAsia="en-US"/>
        </w:rPr>
        <w:drawing>
          <wp:inline distT="0" distB="0" distL="0" distR="0" wp14:anchorId="6346E666" wp14:editId="3201B444">
            <wp:extent cx="5732145" cy="3367376"/>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2145" cy="3367376"/>
                    </a:xfrm>
                    <a:prstGeom prst="rect">
                      <a:avLst/>
                    </a:prstGeom>
                    <a:noFill/>
                    <a:ln>
                      <a:noFill/>
                    </a:ln>
                  </pic:spPr>
                </pic:pic>
              </a:graphicData>
            </a:graphic>
          </wp:inline>
        </w:drawing>
      </w:r>
    </w:p>
    <w:p w:rsidR="00F023AF" w:rsidRDefault="00F023AF" w:rsidP="00F023AF">
      <w:pPr>
        <w:jc w:val="center"/>
      </w:pPr>
      <w:r w:rsidRPr="00047921">
        <w:t xml:space="preserve">Figure 1a: </w:t>
      </w:r>
      <w:r w:rsidRPr="003F0F8D">
        <w:t xml:space="preserve">Additional </w:t>
      </w:r>
      <w:r>
        <w:t>F</w:t>
      </w:r>
      <w:r w:rsidRPr="003F0F8D">
        <w:t xml:space="preserve">ilings from </w:t>
      </w:r>
      <w:r>
        <w:t>H</w:t>
      </w:r>
      <w:r w:rsidRPr="003F0F8D">
        <w:t xml:space="preserve">ypothetical </w:t>
      </w:r>
      <w:r>
        <w:t>Fe</w:t>
      </w:r>
      <w:r w:rsidRPr="003F0F8D">
        <w:t xml:space="preserve">e </w:t>
      </w:r>
      <w:r>
        <w:t>R</w:t>
      </w:r>
      <w:r w:rsidRPr="003F0F8D">
        <w:t xml:space="preserve">eductions, </w:t>
      </w:r>
      <w:r>
        <w:t>D</w:t>
      </w:r>
      <w:r w:rsidRPr="003F0F8D">
        <w:t xml:space="preserve">eveloped </w:t>
      </w:r>
      <w:r>
        <w:t>C</w:t>
      </w:r>
      <w:r w:rsidRPr="00047921">
        <w:t>ountries, 2015</w:t>
      </w:r>
    </w:p>
    <w:p w:rsidR="00F023AF" w:rsidRDefault="00F023AF" w:rsidP="00F023AF"/>
    <w:p w:rsidR="00F023AF" w:rsidRDefault="00F023AF" w:rsidP="00F023AF"/>
    <w:p w:rsidR="00F023AF" w:rsidRDefault="00F023AF" w:rsidP="00F023AF">
      <w:pPr>
        <w:jc w:val="center"/>
      </w:pPr>
      <w:r w:rsidRPr="003D75E3">
        <w:rPr>
          <w:noProof/>
          <w:lang w:eastAsia="en-US"/>
        </w:rPr>
        <w:drawing>
          <wp:inline distT="0" distB="0" distL="0" distR="0" wp14:anchorId="066D6D0C" wp14:editId="2EFD1EC1">
            <wp:extent cx="5732145" cy="3367376"/>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2145" cy="3367376"/>
                    </a:xfrm>
                    <a:prstGeom prst="rect">
                      <a:avLst/>
                    </a:prstGeom>
                    <a:noFill/>
                    <a:ln>
                      <a:noFill/>
                    </a:ln>
                  </pic:spPr>
                </pic:pic>
              </a:graphicData>
            </a:graphic>
          </wp:inline>
        </w:drawing>
      </w:r>
    </w:p>
    <w:p w:rsidR="00F023AF" w:rsidRDefault="00F023AF" w:rsidP="00F023AF">
      <w:pPr>
        <w:jc w:val="center"/>
      </w:pPr>
      <w:r>
        <w:t>Figure 1b:  Additional Filings from Hypothetical Fee Reductions, Developing C</w:t>
      </w:r>
      <w:r w:rsidRPr="003F0F8D">
        <w:t>ountries, 2015</w:t>
      </w:r>
    </w:p>
    <w:p w:rsidR="00F023AF" w:rsidRDefault="00F023AF" w:rsidP="00F023AF">
      <w:pPr>
        <w:pStyle w:val="ONUME"/>
        <w:numPr>
          <w:ilvl w:val="0"/>
          <w:numId w:val="0"/>
        </w:numPr>
      </w:pPr>
    </w:p>
    <w:p w:rsidR="00F023AF" w:rsidRDefault="00F023AF" w:rsidP="00F023AF">
      <w:pPr>
        <w:pStyle w:val="ONUME"/>
        <w:numPr>
          <w:ilvl w:val="0"/>
          <w:numId w:val="0"/>
        </w:numPr>
        <w:jc w:val="center"/>
      </w:pPr>
      <w:r w:rsidRPr="007E0E5D">
        <w:rPr>
          <w:noProof/>
          <w:lang w:eastAsia="en-US"/>
        </w:rPr>
        <w:drawing>
          <wp:inline distT="0" distB="0" distL="0" distR="0" wp14:anchorId="3F91B133" wp14:editId="5347B842">
            <wp:extent cx="5732145" cy="3595098"/>
            <wp:effectExtent l="0" t="0" r="190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145" cy="3595098"/>
                    </a:xfrm>
                    <a:prstGeom prst="rect">
                      <a:avLst/>
                    </a:prstGeom>
                    <a:noFill/>
                    <a:ln>
                      <a:noFill/>
                    </a:ln>
                  </pic:spPr>
                </pic:pic>
              </a:graphicData>
            </a:graphic>
          </wp:inline>
        </w:drawing>
      </w:r>
    </w:p>
    <w:p w:rsidR="00F023AF" w:rsidRDefault="00F023AF" w:rsidP="00F023AF">
      <w:pPr>
        <w:pStyle w:val="ONUME"/>
        <w:numPr>
          <w:ilvl w:val="0"/>
          <w:numId w:val="0"/>
        </w:numPr>
        <w:jc w:val="center"/>
      </w:pPr>
      <w:r>
        <w:t>Figure 2a:  Income Loss from Hypothetical Fee Reductions, Developed C</w:t>
      </w:r>
      <w:r w:rsidRPr="00854327">
        <w:t>ountries, 2015</w:t>
      </w:r>
    </w:p>
    <w:p w:rsidR="00F023AF" w:rsidRDefault="00F023AF" w:rsidP="00F023AF">
      <w:pPr>
        <w:pStyle w:val="ONUME"/>
        <w:numPr>
          <w:ilvl w:val="0"/>
          <w:numId w:val="0"/>
        </w:numPr>
        <w:jc w:val="center"/>
      </w:pPr>
      <w:r w:rsidRPr="007E0E5D">
        <w:rPr>
          <w:noProof/>
          <w:lang w:eastAsia="en-US"/>
        </w:rPr>
        <w:drawing>
          <wp:inline distT="0" distB="0" distL="0" distR="0" wp14:anchorId="0174A7CD" wp14:editId="7356258E">
            <wp:extent cx="5732145" cy="3595098"/>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2145" cy="3595098"/>
                    </a:xfrm>
                    <a:prstGeom prst="rect">
                      <a:avLst/>
                    </a:prstGeom>
                    <a:noFill/>
                    <a:ln>
                      <a:noFill/>
                    </a:ln>
                  </pic:spPr>
                </pic:pic>
              </a:graphicData>
            </a:graphic>
          </wp:inline>
        </w:drawing>
      </w:r>
    </w:p>
    <w:p w:rsidR="00F023AF" w:rsidRDefault="00F023AF" w:rsidP="00F023AF">
      <w:pPr>
        <w:pStyle w:val="ONUME"/>
        <w:numPr>
          <w:ilvl w:val="0"/>
          <w:numId w:val="0"/>
        </w:numPr>
        <w:jc w:val="center"/>
      </w:pPr>
      <w:r w:rsidRPr="00854327">
        <w:t>Figure 2</w:t>
      </w:r>
      <w:r>
        <w:t>b:  Income Loss from Hypothetical Fee Reductions, Developing C</w:t>
      </w:r>
      <w:r w:rsidRPr="00854327">
        <w:t>ountries, 2015</w:t>
      </w:r>
    </w:p>
    <w:p w:rsidR="00F023AF" w:rsidRDefault="00F023AF" w:rsidP="00F023AF">
      <w:pPr>
        <w:pStyle w:val="ONUME"/>
        <w:keepLines/>
      </w:pPr>
      <w:r w:rsidRPr="003F0F8D">
        <w:t>Figures</w:t>
      </w:r>
      <w:r>
        <w:t> </w:t>
      </w:r>
      <w:r w:rsidRPr="003F0F8D">
        <w:t>2a and</w:t>
      </w:r>
      <w:r>
        <w:t> </w:t>
      </w:r>
      <w:r w:rsidRPr="003F0F8D">
        <w:t xml:space="preserve">2b present the income loss associated with the same hypothetical fee reductions – both in absolute terms (left vertical axis) and relative to total PCT </w:t>
      </w:r>
      <w:r>
        <w:t>income (right vertical axis)</w:t>
      </w:r>
      <w:r>
        <w:rPr>
          <w:rStyle w:val="FootnoteReference"/>
        </w:rPr>
        <w:footnoteReference w:id="6"/>
      </w:r>
      <w:r>
        <w:t xml:space="preserve">.  </w:t>
      </w:r>
      <w:r w:rsidRPr="003F0F8D">
        <w:t>Reflecting lower filing volumes, the same fee discount implies smaller income losses for developing compared to developed countries.</w:t>
      </w:r>
    </w:p>
    <w:p w:rsidR="00F023AF" w:rsidRDefault="00F023AF" w:rsidP="00F023AF">
      <w:pPr>
        <w:pStyle w:val="ONUME"/>
        <w:keepLines/>
      </w:pPr>
      <w:r w:rsidRPr="003F0F8D">
        <w:t>Finally, it is worthwhile to calculate the cost of additional filings in terms of the implied loss of income per predicted additional application.  For developed countries</w:t>
      </w:r>
      <w:r>
        <w:t xml:space="preserve">, this cost ranges from </w:t>
      </w:r>
      <w:r w:rsidRPr="003F0F8D">
        <w:t>27,340</w:t>
      </w:r>
      <w:r>
        <w:t xml:space="preserve"> Swiss francs </w:t>
      </w:r>
      <w:r w:rsidRPr="003F0F8D">
        <w:t>per filing for a fee discount of close to zero to 28,480</w:t>
      </w:r>
      <w:r>
        <w:t xml:space="preserve"> Swiss francs </w:t>
      </w:r>
      <w:r w:rsidRPr="003F0F8D">
        <w:t>per fee filing for a fee discount of 100</w:t>
      </w:r>
      <w:r>
        <w:t> per cent</w:t>
      </w:r>
      <w:r w:rsidRPr="003F0F8D">
        <w:t>.  For developing countries, it ranges from 5,860</w:t>
      </w:r>
      <w:r>
        <w:t xml:space="preserve"> Swiss francs </w:t>
      </w:r>
      <w:r w:rsidRPr="003F0F8D">
        <w:t>per filing for a fee discount of close to zero to 7,010</w:t>
      </w:r>
      <w:r>
        <w:t xml:space="preserve"> Swiss francs </w:t>
      </w:r>
      <w:r w:rsidRPr="003F0F8D">
        <w:t>for a fee discount of 100</w:t>
      </w:r>
      <w:r>
        <w:t> per cent</w:t>
      </w:r>
      <w:r w:rsidRPr="003F0F8D">
        <w:t>.  It turns out that this cost per application does not depend on the existence and value of any eligibility ceiling.  Intuitively, a ceiling reduces the income loss associated with a fee discount, but it also lowers the number of additional filings; the two eff</w:t>
      </w:r>
      <w:r>
        <w:t>ects exactly offset each other</w:t>
      </w:r>
      <w:r>
        <w:rPr>
          <w:rStyle w:val="FootnoteReference"/>
        </w:rPr>
        <w:footnoteReference w:id="7"/>
      </w:r>
      <w:r>
        <w:t>.</w:t>
      </w:r>
      <w:r w:rsidRPr="003F0F8D">
        <w:t xml:space="preserve">  It is also important to point out that the difference in the per application income loss between developed and developing countries is mainly due to the different fee elasticity values for these </w:t>
      </w:r>
      <w:r>
        <w:t>two country groups</w:t>
      </w:r>
      <w:r>
        <w:rPr>
          <w:rStyle w:val="FootnoteReference"/>
        </w:rPr>
        <w:footnoteReference w:id="8"/>
      </w:r>
      <w:r>
        <w:t xml:space="preserve">.  </w:t>
      </w:r>
      <w:r w:rsidRPr="003F0F8D">
        <w:t>Possible estimation biases in the fee elasticity – as outlined above – may thus have an important bearing on this loss estimate</w:t>
      </w:r>
      <w:r>
        <w:t>.</w:t>
      </w:r>
    </w:p>
    <w:p w:rsidR="00F023AF" w:rsidRPr="008B05FB" w:rsidRDefault="00F023AF" w:rsidP="00F023AF">
      <w:pPr>
        <w:pStyle w:val="ONUME"/>
      </w:pPr>
      <w:r w:rsidRPr="00854327">
        <w:t>As a summary, Tables</w:t>
      </w:r>
      <w:r>
        <w:t> </w:t>
      </w:r>
      <w:r w:rsidRPr="00854327">
        <w:t>3a and</w:t>
      </w:r>
      <w:r>
        <w:t> </w:t>
      </w:r>
      <w:r w:rsidRPr="00854327">
        <w:t>3b present the simulated income loss – per application and in total – for fee discounts of</w:t>
      </w:r>
      <w:r>
        <w:t> </w:t>
      </w:r>
      <w:r w:rsidRPr="00854327">
        <w:t>25, 50, and 75</w:t>
      </w:r>
      <w:r>
        <w:t> </w:t>
      </w:r>
      <w:r w:rsidRPr="00854327">
        <w:t>per</w:t>
      </w:r>
      <w:r>
        <w:t xml:space="preserve"> </w:t>
      </w:r>
      <w:r w:rsidRPr="00854327">
        <w:t>cent</w:t>
      </w:r>
      <w:r>
        <w:t>.</w:t>
      </w:r>
    </w:p>
    <w:tbl>
      <w:tblPr>
        <w:tblW w:w="0" w:type="auto"/>
        <w:tblCellMar>
          <w:left w:w="0" w:type="dxa"/>
          <w:right w:w="0" w:type="dxa"/>
        </w:tblCellMar>
        <w:tblLook w:val="04A0" w:firstRow="1" w:lastRow="0" w:firstColumn="1" w:lastColumn="0" w:noHBand="0" w:noVBand="1"/>
      </w:tblPr>
      <w:tblGrid>
        <w:gridCol w:w="1278"/>
        <w:gridCol w:w="1440"/>
        <w:gridCol w:w="1285"/>
        <w:gridCol w:w="1285"/>
        <w:gridCol w:w="1286"/>
        <w:gridCol w:w="1285"/>
        <w:gridCol w:w="1286"/>
      </w:tblGrid>
      <w:tr w:rsidR="00F023AF" w:rsidRPr="00ED7C9F" w:rsidTr="00770D1B">
        <w:tc>
          <w:tcPr>
            <w:tcW w:w="1278" w:type="dxa"/>
            <w:vMerge w:val="restart"/>
            <w:tcMar>
              <w:top w:w="0" w:type="dxa"/>
              <w:left w:w="108" w:type="dxa"/>
              <w:bottom w:w="0" w:type="dxa"/>
              <w:right w:w="108" w:type="dxa"/>
            </w:tcMar>
            <w:vAlign w:val="bottom"/>
            <w:hideMark/>
          </w:tcPr>
          <w:p w:rsidR="00F023AF" w:rsidRPr="00ED7C9F" w:rsidRDefault="00F023AF" w:rsidP="00770D1B">
            <w:pPr>
              <w:jc w:val="center"/>
              <w:rPr>
                <w:sz w:val="20"/>
              </w:rPr>
            </w:pPr>
            <w:r w:rsidRPr="00ED7C9F">
              <w:rPr>
                <w:sz w:val="20"/>
              </w:rPr>
              <w:t>Fee discount (in percent)</w:t>
            </w:r>
          </w:p>
        </w:tc>
        <w:tc>
          <w:tcPr>
            <w:tcW w:w="1440" w:type="dxa"/>
            <w:vMerge w:val="restart"/>
            <w:tcMar>
              <w:top w:w="0" w:type="dxa"/>
              <w:left w:w="108" w:type="dxa"/>
              <w:bottom w:w="0" w:type="dxa"/>
              <w:right w:w="108" w:type="dxa"/>
            </w:tcMar>
            <w:vAlign w:val="bottom"/>
            <w:hideMark/>
          </w:tcPr>
          <w:p w:rsidR="00F023AF" w:rsidRPr="00ED7C9F" w:rsidRDefault="00F023AF" w:rsidP="00770D1B">
            <w:pPr>
              <w:jc w:val="center"/>
              <w:rPr>
                <w:sz w:val="20"/>
              </w:rPr>
            </w:pPr>
            <w:r>
              <w:rPr>
                <w:sz w:val="20"/>
              </w:rPr>
              <w:t>Income loss</w:t>
            </w:r>
            <w:r w:rsidRPr="00ED7C9F">
              <w:rPr>
                <w:sz w:val="20"/>
              </w:rPr>
              <w:t xml:space="preserve"> per application</w:t>
            </w:r>
            <w:r>
              <w:rPr>
                <w:sz w:val="20"/>
              </w:rPr>
              <w:t xml:space="preserve"> (in CHF)</w:t>
            </w:r>
          </w:p>
        </w:tc>
        <w:tc>
          <w:tcPr>
            <w:tcW w:w="6427" w:type="dxa"/>
            <w:gridSpan w:val="5"/>
            <w:tcBorders>
              <w:bottom w:val="single" w:sz="4" w:space="0" w:color="auto"/>
            </w:tcBorders>
            <w:tcMar>
              <w:top w:w="0" w:type="dxa"/>
              <w:left w:w="108" w:type="dxa"/>
              <w:bottom w:w="0" w:type="dxa"/>
              <w:right w:w="108" w:type="dxa"/>
            </w:tcMar>
            <w:vAlign w:val="bottom"/>
            <w:hideMark/>
          </w:tcPr>
          <w:p w:rsidR="00F023AF" w:rsidRPr="00ED7C9F" w:rsidRDefault="00F023AF" w:rsidP="00770D1B">
            <w:pPr>
              <w:jc w:val="center"/>
              <w:rPr>
                <w:sz w:val="20"/>
              </w:rPr>
            </w:pPr>
            <w:r>
              <w:rPr>
                <w:sz w:val="20"/>
              </w:rPr>
              <w:br/>
            </w:r>
            <w:r w:rsidRPr="00ED7C9F">
              <w:rPr>
                <w:sz w:val="20"/>
              </w:rPr>
              <w:t>Income loss (in CHF millions)</w:t>
            </w:r>
          </w:p>
        </w:tc>
      </w:tr>
      <w:tr w:rsidR="00F023AF" w:rsidRPr="00ED7C9F" w:rsidTr="00770D1B">
        <w:tc>
          <w:tcPr>
            <w:tcW w:w="1278" w:type="dxa"/>
            <w:vMerge/>
            <w:tcBorders>
              <w:bottom w:val="single" w:sz="4" w:space="0" w:color="auto"/>
            </w:tcBorders>
            <w:vAlign w:val="center"/>
            <w:hideMark/>
          </w:tcPr>
          <w:p w:rsidR="00F023AF" w:rsidRPr="00ED7C9F" w:rsidRDefault="00F023AF" w:rsidP="00770D1B">
            <w:pPr>
              <w:jc w:val="center"/>
              <w:rPr>
                <w:sz w:val="20"/>
              </w:rPr>
            </w:pPr>
          </w:p>
        </w:tc>
        <w:tc>
          <w:tcPr>
            <w:tcW w:w="1440" w:type="dxa"/>
            <w:vMerge/>
            <w:tcBorders>
              <w:bottom w:val="single" w:sz="4" w:space="0" w:color="auto"/>
            </w:tcBorders>
            <w:vAlign w:val="center"/>
            <w:hideMark/>
          </w:tcPr>
          <w:p w:rsidR="00F023AF" w:rsidRPr="00ED7C9F" w:rsidRDefault="00F023AF" w:rsidP="00770D1B">
            <w:pPr>
              <w:jc w:val="center"/>
              <w:rPr>
                <w:sz w:val="20"/>
              </w:rPr>
            </w:pPr>
          </w:p>
        </w:tc>
        <w:tc>
          <w:tcPr>
            <w:tcW w:w="1285"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5</w:t>
            </w:r>
          </w:p>
        </w:tc>
        <w:tc>
          <w:tcPr>
            <w:tcW w:w="1285"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10</w:t>
            </w:r>
          </w:p>
        </w:tc>
        <w:tc>
          <w:tcPr>
            <w:tcW w:w="1286"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20</w:t>
            </w:r>
          </w:p>
        </w:tc>
        <w:tc>
          <w:tcPr>
            <w:tcW w:w="1285"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30</w:t>
            </w:r>
          </w:p>
        </w:tc>
        <w:tc>
          <w:tcPr>
            <w:tcW w:w="1286" w:type="dxa"/>
            <w:tcBorders>
              <w:top w:val="single" w:sz="4" w:space="0" w:color="auto"/>
              <w:bottom w:val="single" w:sz="4" w:space="0" w:color="auto"/>
            </w:tcBorders>
          </w:tcPr>
          <w:p w:rsidR="00F023AF" w:rsidRPr="00ED7C9F" w:rsidRDefault="00F023AF" w:rsidP="00770D1B">
            <w:pPr>
              <w:jc w:val="center"/>
              <w:rPr>
                <w:sz w:val="20"/>
              </w:rPr>
            </w:pPr>
            <w:r w:rsidRPr="00ED7C9F">
              <w:rPr>
                <w:sz w:val="20"/>
              </w:rPr>
              <w:t>No ceiling</w:t>
            </w:r>
          </w:p>
        </w:tc>
      </w:tr>
      <w:tr w:rsidR="00F023AF" w:rsidRPr="00ED7C9F" w:rsidTr="00770D1B">
        <w:tc>
          <w:tcPr>
            <w:tcW w:w="1278" w:type="dxa"/>
            <w:tcBorders>
              <w:top w:val="single" w:sz="4" w:space="0" w:color="auto"/>
            </w:tcBorders>
            <w:tcMar>
              <w:top w:w="0" w:type="dxa"/>
              <w:left w:w="108" w:type="dxa"/>
              <w:bottom w:w="0" w:type="dxa"/>
              <w:right w:w="108" w:type="dxa"/>
            </w:tcMar>
            <w:hideMark/>
          </w:tcPr>
          <w:p w:rsidR="00F023AF" w:rsidRPr="00ED7C9F" w:rsidRDefault="00F023AF" w:rsidP="00770D1B">
            <w:pPr>
              <w:spacing w:before="40" w:after="40"/>
              <w:jc w:val="center"/>
              <w:rPr>
                <w:sz w:val="20"/>
              </w:rPr>
            </w:pPr>
            <w:r w:rsidRPr="00ED7C9F">
              <w:rPr>
                <w:sz w:val="20"/>
              </w:rPr>
              <w:t>25</w:t>
            </w:r>
          </w:p>
        </w:tc>
        <w:tc>
          <w:tcPr>
            <w:tcW w:w="1440"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27,625</w:t>
            </w:r>
          </w:p>
        </w:tc>
        <w:tc>
          <w:tcPr>
            <w:tcW w:w="1285"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0.78</w:t>
            </w:r>
          </w:p>
        </w:tc>
        <w:tc>
          <w:tcPr>
            <w:tcW w:w="1285"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1.15</w:t>
            </w:r>
          </w:p>
        </w:tc>
        <w:tc>
          <w:tcPr>
            <w:tcW w:w="1286"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1.35</w:t>
            </w:r>
          </w:p>
        </w:tc>
        <w:tc>
          <w:tcPr>
            <w:tcW w:w="1285"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1.74</w:t>
            </w:r>
          </w:p>
        </w:tc>
        <w:tc>
          <w:tcPr>
            <w:tcW w:w="1286" w:type="dxa"/>
            <w:tcBorders>
              <w:top w:val="single" w:sz="4" w:space="0" w:color="auto"/>
            </w:tcBorders>
          </w:tcPr>
          <w:p w:rsidR="00F023AF" w:rsidRPr="00ED7C9F" w:rsidRDefault="00F023AF" w:rsidP="00770D1B">
            <w:pPr>
              <w:spacing w:before="40" w:after="40"/>
              <w:jc w:val="center"/>
              <w:rPr>
                <w:sz w:val="20"/>
              </w:rPr>
            </w:pPr>
            <w:r>
              <w:rPr>
                <w:sz w:val="20"/>
              </w:rPr>
              <w:t>2.26</w:t>
            </w:r>
          </w:p>
        </w:tc>
      </w:tr>
      <w:tr w:rsidR="00F023AF" w:rsidRPr="00ED7C9F" w:rsidTr="00770D1B">
        <w:tc>
          <w:tcPr>
            <w:tcW w:w="1278" w:type="dxa"/>
            <w:tcBorders>
              <w:top w:val="nil"/>
            </w:tcBorders>
            <w:tcMar>
              <w:top w:w="0" w:type="dxa"/>
              <w:left w:w="108" w:type="dxa"/>
              <w:bottom w:w="0" w:type="dxa"/>
              <w:right w:w="108" w:type="dxa"/>
            </w:tcMar>
            <w:hideMark/>
          </w:tcPr>
          <w:p w:rsidR="00F023AF" w:rsidRPr="00ED7C9F" w:rsidRDefault="00F023AF" w:rsidP="00770D1B">
            <w:pPr>
              <w:spacing w:before="40" w:after="40"/>
              <w:jc w:val="center"/>
              <w:rPr>
                <w:sz w:val="20"/>
              </w:rPr>
            </w:pPr>
            <w:r w:rsidRPr="00ED7C9F">
              <w:rPr>
                <w:sz w:val="20"/>
              </w:rPr>
              <w:t>50</w:t>
            </w:r>
          </w:p>
        </w:tc>
        <w:tc>
          <w:tcPr>
            <w:tcW w:w="1440"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27,910</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1.59</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2.31</w:t>
            </w:r>
          </w:p>
        </w:tc>
        <w:tc>
          <w:tcPr>
            <w:tcW w:w="1286"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3.10</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3.52</w:t>
            </w:r>
          </w:p>
        </w:tc>
        <w:tc>
          <w:tcPr>
            <w:tcW w:w="1286" w:type="dxa"/>
            <w:tcBorders>
              <w:top w:val="nil"/>
            </w:tcBorders>
          </w:tcPr>
          <w:p w:rsidR="00F023AF" w:rsidRPr="00ED7C9F" w:rsidRDefault="00F023AF" w:rsidP="00770D1B">
            <w:pPr>
              <w:spacing w:before="40" w:after="40"/>
              <w:jc w:val="center"/>
              <w:rPr>
                <w:sz w:val="20"/>
              </w:rPr>
            </w:pPr>
            <w:r>
              <w:rPr>
                <w:sz w:val="20"/>
              </w:rPr>
              <w:t>4.57</w:t>
            </w:r>
          </w:p>
        </w:tc>
      </w:tr>
      <w:tr w:rsidR="00F023AF" w:rsidRPr="00ED7C9F" w:rsidTr="00770D1B">
        <w:tc>
          <w:tcPr>
            <w:tcW w:w="1278" w:type="dxa"/>
            <w:tcBorders>
              <w:top w:val="nil"/>
            </w:tcBorders>
            <w:tcMar>
              <w:top w:w="0" w:type="dxa"/>
              <w:left w:w="108" w:type="dxa"/>
              <w:bottom w:w="0" w:type="dxa"/>
              <w:right w:w="108" w:type="dxa"/>
            </w:tcMar>
            <w:hideMark/>
          </w:tcPr>
          <w:p w:rsidR="00F023AF" w:rsidRPr="00ED7C9F" w:rsidRDefault="00F023AF" w:rsidP="00770D1B">
            <w:pPr>
              <w:spacing w:before="40" w:after="40"/>
              <w:jc w:val="center"/>
              <w:rPr>
                <w:sz w:val="20"/>
              </w:rPr>
            </w:pPr>
            <w:r w:rsidRPr="00ED7C9F">
              <w:rPr>
                <w:sz w:val="20"/>
              </w:rPr>
              <w:t>75</w:t>
            </w:r>
          </w:p>
        </w:tc>
        <w:tc>
          <w:tcPr>
            <w:tcW w:w="1440"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28,195</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2.40</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3.51</w:t>
            </w:r>
          </w:p>
        </w:tc>
        <w:tc>
          <w:tcPr>
            <w:tcW w:w="1286"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4.70</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5.33</w:t>
            </w:r>
          </w:p>
        </w:tc>
        <w:tc>
          <w:tcPr>
            <w:tcW w:w="1286" w:type="dxa"/>
            <w:tcBorders>
              <w:top w:val="nil"/>
            </w:tcBorders>
          </w:tcPr>
          <w:p w:rsidR="00F023AF" w:rsidRPr="00ED7C9F" w:rsidRDefault="00F023AF" w:rsidP="00770D1B">
            <w:pPr>
              <w:spacing w:before="40" w:after="40"/>
              <w:jc w:val="center"/>
              <w:rPr>
                <w:sz w:val="20"/>
              </w:rPr>
            </w:pPr>
            <w:r>
              <w:rPr>
                <w:sz w:val="20"/>
              </w:rPr>
              <w:t>6.93</w:t>
            </w:r>
          </w:p>
        </w:tc>
      </w:tr>
    </w:tbl>
    <w:p w:rsidR="00F023AF" w:rsidRDefault="00F023AF" w:rsidP="00F023AF">
      <w:pPr>
        <w:pStyle w:val="ONUME"/>
        <w:numPr>
          <w:ilvl w:val="0"/>
          <w:numId w:val="0"/>
        </w:numPr>
        <w:spacing w:after="0"/>
      </w:pPr>
    </w:p>
    <w:p w:rsidR="00F023AF" w:rsidRDefault="00F023AF" w:rsidP="00F023AF">
      <w:pPr>
        <w:pStyle w:val="ONUME"/>
        <w:numPr>
          <w:ilvl w:val="0"/>
          <w:numId w:val="0"/>
        </w:numPr>
        <w:jc w:val="center"/>
        <w:rPr>
          <w:lang w:val="en-GB"/>
        </w:rPr>
      </w:pPr>
      <w:r>
        <w:rPr>
          <w:lang w:val="en-GB"/>
        </w:rPr>
        <w:t>Table 3a:  Simulated Loss of I</w:t>
      </w:r>
      <w:r w:rsidRPr="008B05FB">
        <w:rPr>
          <w:lang w:val="en-GB"/>
        </w:rPr>
        <w:t xml:space="preserve">ncome </w:t>
      </w:r>
      <w:r>
        <w:rPr>
          <w:lang w:val="en-GB"/>
        </w:rPr>
        <w:t xml:space="preserve">for various Levels of Discounts and Ceilings, </w:t>
      </w:r>
      <w:r>
        <w:rPr>
          <w:lang w:val="en-GB"/>
        </w:rPr>
        <w:br/>
        <w:t>Developed C</w:t>
      </w:r>
      <w:r w:rsidRPr="008B05FB">
        <w:rPr>
          <w:lang w:val="en-GB"/>
        </w:rPr>
        <w:t>ountries, 2015</w:t>
      </w:r>
    </w:p>
    <w:p w:rsidR="00F023AF" w:rsidRPr="00F069E2" w:rsidRDefault="00F023AF" w:rsidP="00F023AF">
      <w:pPr>
        <w:rPr>
          <w:b/>
          <w:lang w:val="en-GB"/>
        </w:rPr>
      </w:pPr>
    </w:p>
    <w:tbl>
      <w:tblPr>
        <w:tblW w:w="0" w:type="auto"/>
        <w:tblCellMar>
          <w:left w:w="0" w:type="dxa"/>
          <w:right w:w="0" w:type="dxa"/>
        </w:tblCellMar>
        <w:tblLook w:val="04A0" w:firstRow="1" w:lastRow="0" w:firstColumn="1" w:lastColumn="0" w:noHBand="0" w:noVBand="1"/>
      </w:tblPr>
      <w:tblGrid>
        <w:gridCol w:w="1278"/>
        <w:gridCol w:w="1440"/>
        <w:gridCol w:w="1285"/>
        <w:gridCol w:w="1285"/>
        <w:gridCol w:w="1286"/>
        <w:gridCol w:w="1285"/>
        <w:gridCol w:w="1286"/>
      </w:tblGrid>
      <w:tr w:rsidR="00F023AF" w:rsidRPr="00ED7C9F" w:rsidTr="00770D1B">
        <w:tc>
          <w:tcPr>
            <w:tcW w:w="1278" w:type="dxa"/>
            <w:vMerge w:val="restart"/>
            <w:tcMar>
              <w:top w:w="0" w:type="dxa"/>
              <w:left w:w="108" w:type="dxa"/>
              <w:bottom w:w="0" w:type="dxa"/>
              <w:right w:w="108" w:type="dxa"/>
            </w:tcMar>
            <w:vAlign w:val="bottom"/>
            <w:hideMark/>
          </w:tcPr>
          <w:p w:rsidR="00F023AF" w:rsidRPr="00ED7C9F" w:rsidRDefault="00F023AF" w:rsidP="00770D1B">
            <w:pPr>
              <w:jc w:val="center"/>
              <w:rPr>
                <w:sz w:val="20"/>
              </w:rPr>
            </w:pPr>
            <w:r w:rsidRPr="00ED7C9F">
              <w:rPr>
                <w:sz w:val="20"/>
              </w:rPr>
              <w:t>Fee discount (in percent)</w:t>
            </w:r>
          </w:p>
        </w:tc>
        <w:tc>
          <w:tcPr>
            <w:tcW w:w="1440" w:type="dxa"/>
            <w:vMerge w:val="restart"/>
            <w:tcMar>
              <w:top w:w="0" w:type="dxa"/>
              <w:left w:w="108" w:type="dxa"/>
              <w:bottom w:w="0" w:type="dxa"/>
              <w:right w:w="108" w:type="dxa"/>
            </w:tcMar>
            <w:vAlign w:val="bottom"/>
            <w:hideMark/>
          </w:tcPr>
          <w:p w:rsidR="00F023AF" w:rsidRPr="00ED7C9F" w:rsidRDefault="00F023AF" w:rsidP="00770D1B">
            <w:pPr>
              <w:jc w:val="center"/>
              <w:rPr>
                <w:sz w:val="20"/>
              </w:rPr>
            </w:pPr>
            <w:r>
              <w:rPr>
                <w:sz w:val="20"/>
              </w:rPr>
              <w:t>Income loss</w:t>
            </w:r>
            <w:r w:rsidRPr="00ED7C9F">
              <w:rPr>
                <w:sz w:val="20"/>
              </w:rPr>
              <w:t xml:space="preserve"> per application</w:t>
            </w:r>
            <w:r>
              <w:rPr>
                <w:sz w:val="20"/>
              </w:rPr>
              <w:t xml:space="preserve"> (in CHF)</w:t>
            </w:r>
          </w:p>
        </w:tc>
        <w:tc>
          <w:tcPr>
            <w:tcW w:w="6427" w:type="dxa"/>
            <w:gridSpan w:val="5"/>
            <w:tcBorders>
              <w:bottom w:val="single" w:sz="4" w:space="0" w:color="auto"/>
            </w:tcBorders>
            <w:tcMar>
              <w:top w:w="0" w:type="dxa"/>
              <w:left w:w="108" w:type="dxa"/>
              <w:bottom w:w="0" w:type="dxa"/>
              <w:right w:w="108" w:type="dxa"/>
            </w:tcMar>
            <w:vAlign w:val="bottom"/>
            <w:hideMark/>
          </w:tcPr>
          <w:p w:rsidR="00F023AF" w:rsidRPr="00ED7C9F" w:rsidRDefault="00F023AF" w:rsidP="00770D1B">
            <w:pPr>
              <w:jc w:val="center"/>
              <w:rPr>
                <w:sz w:val="20"/>
              </w:rPr>
            </w:pPr>
            <w:r>
              <w:rPr>
                <w:sz w:val="20"/>
              </w:rPr>
              <w:br/>
            </w:r>
            <w:r w:rsidRPr="00ED7C9F">
              <w:rPr>
                <w:sz w:val="20"/>
              </w:rPr>
              <w:t>Income loss (in CHF millions)</w:t>
            </w:r>
          </w:p>
        </w:tc>
      </w:tr>
      <w:tr w:rsidR="00F023AF" w:rsidRPr="00ED7C9F" w:rsidTr="00770D1B">
        <w:tc>
          <w:tcPr>
            <w:tcW w:w="1278" w:type="dxa"/>
            <w:vMerge/>
            <w:tcBorders>
              <w:bottom w:val="single" w:sz="4" w:space="0" w:color="auto"/>
            </w:tcBorders>
            <w:vAlign w:val="center"/>
            <w:hideMark/>
          </w:tcPr>
          <w:p w:rsidR="00F023AF" w:rsidRPr="00ED7C9F" w:rsidRDefault="00F023AF" w:rsidP="00770D1B">
            <w:pPr>
              <w:jc w:val="center"/>
              <w:rPr>
                <w:sz w:val="20"/>
              </w:rPr>
            </w:pPr>
          </w:p>
        </w:tc>
        <w:tc>
          <w:tcPr>
            <w:tcW w:w="1440" w:type="dxa"/>
            <w:vMerge/>
            <w:tcBorders>
              <w:bottom w:val="single" w:sz="4" w:space="0" w:color="auto"/>
            </w:tcBorders>
            <w:vAlign w:val="center"/>
            <w:hideMark/>
          </w:tcPr>
          <w:p w:rsidR="00F023AF" w:rsidRPr="00ED7C9F" w:rsidRDefault="00F023AF" w:rsidP="00770D1B">
            <w:pPr>
              <w:jc w:val="center"/>
              <w:rPr>
                <w:sz w:val="20"/>
              </w:rPr>
            </w:pPr>
          </w:p>
        </w:tc>
        <w:tc>
          <w:tcPr>
            <w:tcW w:w="1285"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5</w:t>
            </w:r>
          </w:p>
        </w:tc>
        <w:tc>
          <w:tcPr>
            <w:tcW w:w="1285"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10</w:t>
            </w:r>
          </w:p>
        </w:tc>
        <w:tc>
          <w:tcPr>
            <w:tcW w:w="1286"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20</w:t>
            </w:r>
          </w:p>
        </w:tc>
        <w:tc>
          <w:tcPr>
            <w:tcW w:w="1285" w:type="dxa"/>
            <w:tcBorders>
              <w:top w:val="single" w:sz="4" w:space="0" w:color="auto"/>
              <w:bottom w:val="single" w:sz="4" w:space="0" w:color="auto"/>
            </w:tcBorders>
            <w:tcMar>
              <w:top w:w="0" w:type="dxa"/>
              <w:left w:w="108" w:type="dxa"/>
              <w:bottom w:w="0" w:type="dxa"/>
              <w:right w:w="108" w:type="dxa"/>
            </w:tcMar>
            <w:hideMark/>
          </w:tcPr>
          <w:p w:rsidR="00F023AF" w:rsidRPr="00ED7C9F" w:rsidRDefault="00F023AF" w:rsidP="00770D1B">
            <w:pPr>
              <w:jc w:val="center"/>
              <w:rPr>
                <w:sz w:val="20"/>
              </w:rPr>
            </w:pPr>
            <w:r>
              <w:rPr>
                <w:sz w:val="20"/>
              </w:rPr>
              <w:t xml:space="preserve">Ceiling of </w:t>
            </w:r>
            <w:r w:rsidRPr="00ED7C9F">
              <w:rPr>
                <w:sz w:val="20"/>
              </w:rPr>
              <w:t>30</w:t>
            </w:r>
          </w:p>
        </w:tc>
        <w:tc>
          <w:tcPr>
            <w:tcW w:w="1286" w:type="dxa"/>
            <w:tcBorders>
              <w:top w:val="single" w:sz="4" w:space="0" w:color="auto"/>
              <w:bottom w:val="single" w:sz="4" w:space="0" w:color="auto"/>
            </w:tcBorders>
          </w:tcPr>
          <w:p w:rsidR="00F023AF" w:rsidRPr="00ED7C9F" w:rsidRDefault="00F023AF" w:rsidP="00770D1B">
            <w:pPr>
              <w:jc w:val="center"/>
              <w:rPr>
                <w:sz w:val="20"/>
              </w:rPr>
            </w:pPr>
            <w:r w:rsidRPr="00ED7C9F">
              <w:rPr>
                <w:sz w:val="20"/>
              </w:rPr>
              <w:t>No ceiling</w:t>
            </w:r>
          </w:p>
        </w:tc>
      </w:tr>
      <w:tr w:rsidR="00F023AF" w:rsidRPr="00ED7C9F" w:rsidTr="00770D1B">
        <w:tc>
          <w:tcPr>
            <w:tcW w:w="1278" w:type="dxa"/>
            <w:tcBorders>
              <w:top w:val="single" w:sz="4" w:space="0" w:color="auto"/>
            </w:tcBorders>
            <w:tcMar>
              <w:top w:w="0" w:type="dxa"/>
              <w:left w:w="108" w:type="dxa"/>
              <w:bottom w:w="0" w:type="dxa"/>
              <w:right w:w="108" w:type="dxa"/>
            </w:tcMar>
            <w:hideMark/>
          </w:tcPr>
          <w:p w:rsidR="00F023AF" w:rsidRPr="00ED7C9F" w:rsidRDefault="00F023AF" w:rsidP="00770D1B">
            <w:pPr>
              <w:spacing w:before="40" w:after="40"/>
              <w:jc w:val="center"/>
              <w:rPr>
                <w:sz w:val="20"/>
              </w:rPr>
            </w:pPr>
            <w:r w:rsidRPr="00ED7C9F">
              <w:rPr>
                <w:sz w:val="20"/>
              </w:rPr>
              <w:t>25</w:t>
            </w:r>
          </w:p>
        </w:tc>
        <w:tc>
          <w:tcPr>
            <w:tcW w:w="1440"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6,147</w:t>
            </w:r>
          </w:p>
        </w:tc>
        <w:tc>
          <w:tcPr>
            <w:tcW w:w="1285"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0.18</w:t>
            </w:r>
          </w:p>
        </w:tc>
        <w:tc>
          <w:tcPr>
            <w:tcW w:w="1285"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0.25</w:t>
            </w:r>
          </w:p>
        </w:tc>
        <w:tc>
          <w:tcPr>
            <w:tcW w:w="1286"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0.32</w:t>
            </w:r>
          </w:p>
        </w:tc>
        <w:tc>
          <w:tcPr>
            <w:tcW w:w="1285" w:type="dxa"/>
            <w:tcBorders>
              <w:top w:val="single" w:sz="4" w:space="0" w:color="auto"/>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0.35</w:t>
            </w:r>
          </w:p>
        </w:tc>
        <w:tc>
          <w:tcPr>
            <w:tcW w:w="1286" w:type="dxa"/>
            <w:tcBorders>
              <w:top w:val="single" w:sz="4" w:space="0" w:color="auto"/>
            </w:tcBorders>
          </w:tcPr>
          <w:p w:rsidR="00F023AF" w:rsidRPr="00ED7C9F" w:rsidRDefault="00F023AF" w:rsidP="00770D1B">
            <w:pPr>
              <w:spacing w:before="40" w:after="40"/>
              <w:jc w:val="center"/>
              <w:rPr>
                <w:sz w:val="20"/>
              </w:rPr>
            </w:pPr>
            <w:r>
              <w:rPr>
                <w:sz w:val="20"/>
              </w:rPr>
              <w:t>0.43</w:t>
            </w:r>
          </w:p>
        </w:tc>
      </w:tr>
      <w:tr w:rsidR="00F023AF" w:rsidRPr="00ED7C9F" w:rsidTr="00770D1B">
        <w:tc>
          <w:tcPr>
            <w:tcW w:w="1278" w:type="dxa"/>
            <w:tcBorders>
              <w:top w:val="nil"/>
            </w:tcBorders>
            <w:tcMar>
              <w:top w:w="0" w:type="dxa"/>
              <w:left w:w="108" w:type="dxa"/>
              <w:bottom w:w="0" w:type="dxa"/>
              <w:right w:w="108" w:type="dxa"/>
            </w:tcMar>
            <w:hideMark/>
          </w:tcPr>
          <w:p w:rsidR="00F023AF" w:rsidRPr="00ED7C9F" w:rsidRDefault="00F023AF" w:rsidP="00770D1B">
            <w:pPr>
              <w:spacing w:before="40" w:after="40"/>
              <w:jc w:val="center"/>
              <w:rPr>
                <w:sz w:val="20"/>
              </w:rPr>
            </w:pPr>
            <w:r w:rsidRPr="00ED7C9F">
              <w:rPr>
                <w:sz w:val="20"/>
              </w:rPr>
              <w:t>50</w:t>
            </w:r>
          </w:p>
        </w:tc>
        <w:tc>
          <w:tcPr>
            <w:tcW w:w="1440"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6,435</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0.37</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0.52</w:t>
            </w:r>
          </w:p>
        </w:tc>
        <w:tc>
          <w:tcPr>
            <w:tcW w:w="1286"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0.66</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0.73</w:t>
            </w:r>
          </w:p>
        </w:tc>
        <w:tc>
          <w:tcPr>
            <w:tcW w:w="1286" w:type="dxa"/>
            <w:tcBorders>
              <w:top w:val="nil"/>
            </w:tcBorders>
          </w:tcPr>
          <w:p w:rsidR="00F023AF" w:rsidRPr="00ED7C9F" w:rsidRDefault="00F023AF" w:rsidP="00770D1B">
            <w:pPr>
              <w:spacing w:before="40" w:after="40"/>
              <w:jc w:val="center"/>
              <w:rPr>
                <w:sz w:val="20"/>
              </w:rPr>
            </w:pPr>
            <w:r>
              <w:rPr>
                <w:sz w:val="20"/>
              </w:rPr>
              <w:t>0.89</w:t>
            </w:r>
          </w:p>
        </w:tc>
      </w:tr>
      <w:tr w:rsidR="00F023AF" w:rsidRPr="00ED7C9F" w:rsidTr="00770D1B">
        <w:tc>
          <w:tcPr>
            <w:tcW w:w="1278" w:type="dxa"/>
            <w:tcBorders>
              <w:top w:val="nil"/>
            </w:tcBorders>
            <w:tcMar>
              <w:top w:w="0" w:type="dxa"/>
              <w:left w:w="108" w:type="dxa"/>
              <w:bottom w:w="0" w:type="dxa"/>
              <w:right w:w="108" w:type="dxa"/>
            </w:tcMar>
            <w:hideMark/>
          </w:tcPr>
          <w:p w:rsidR="00F023AF" w:rsidRPr="00ED7C9F" w:rsidRDefault="00F023AF" w:rsidP="00770D1B">
            <w:pPr>
              <w:spacing w:before="40" w:after="40"/>
              <w:jc w:val="center"/>
              <w:rPr>
                <w:sz w:val="20"/>
              </w:rPr>
            </w:pPr>
            <w:r w:rsidRPr="00ED7C9F">
              <w:rPr>
                <w:sz w:val="20"/>
              </w:rPr>
              <w:t>75</w:t>
            </w:r>
          </w:p>
        </w:tc>
        <w:tc>
          <w:tcPr>
            <w:tcW w:w="1440"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6,722</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0.58</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0.81</w:t>
            </w:r>
          </w:p>
        </w:tc>
        <w:tc>
          <w:tcPr>
            <w:tcW w:w="1286"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1.04</w:t>
            </w:r>
          </w:p>
        </w:tc>
        <w:tc>
          <w:tcPr>
            <w:tcW w:w="1285" w:type="dxa"/>
            <w:tcBorders>
              <w:top w:val="nil"/>
            </w:tcBorders>
            <w:tcMar>
              <w:top w:w="0" w:type="dxa"/>
              <w:left w:w="108" w:type="dxa"/>
              <w:bottom w:w="0" w:type="dxa"/>
              <w:right w:w="108" w:type="dxa"/>
            </w:tcMar>
          </w:tcPr>
          <w:p w:rsidR="00F023AF" w:rsidRPr="00ED7C9F" w:rsidRDefault="00F023AF" w:rsidP="00770D1B">
            <w:pPr>
              <w:spacing w:before="40" w:after="40"/>
              <w:jc w:val="center"/>
              <w:rPr>
                <w:sz w:val="20"/>
              </w:rPr>
            </w:pPr>
            <w:r>
              <w:rPr>
                <w:sz w:val="20"/>
              </w:rPr>
              <w:t>1.14</w:t>
            </w:r>
          </w:p>
        </w:tc>
        <w:tc>
          <w:tcPr>
            <w:tcW w:w="1286" w:type="dxa"/>
            <w:tcBorders>
              <w:top w:val="nil"/>
            </w:tcBorders>
          </w:tcPr>
          <w:p w:rsidR="00F023AF" w:rsidRPr="00ED7C9F" w:rsidRDefault="00F023AF" w:rsidP="00770D1B">
            <w:pPr>
              <w:spacing w:before="40" w:after="40"/>
              <w:jc w:val="center"/>
              <w:rPr>
                <w:sz w:val="20"/>
              </w:rPr>
            </w:pPr>
            <w:r>
              <w:rPr>
                <w:sz w:val="20"/>
              </w:rPr>
              <w:t>1.40</w:t>
            </w:r>
          </w:p>
        </w:tc>
      </w:tr>
    </w:tbl>
    <w:p w:rsidR="00F023AF" w:rsidRDefault="00F023AF" w:rsidP="00F023AF"/>
    <w:p w:rsidR="00F023AF" w:rsidRDefault="00F023AF" w:rsidP="00F023AF">
      <w:pPr>
        <w:pStyle w:val="ONUME"/>
        <w:numPr>
          <w:ilvl w:val="0"/>
          <w:numId w:val="0"/>
        </w:numPr>
        <w:jc w:val="center"/>
        <w:rPr>
          <w:lang w:val="en-GB"/>
        </w:rPr>
      </w:pPr>
      <w:r>
        <w:rPr>
          <w:lang w:val="en-GB"/>
        </w:rPr>
        <w:t>Table 3b:  Implied Loss of Income for various Levels of Discounts and C</w:t>
      </w:r>
      <w:r w:rsidRPr="008B05FB">
        <w:rPr>
          <w:lang w:val="en-GB"/>
        </w:rPr>
        <w:t xml:space="preserve">eilings, </w:t>
      </w:r>
      <w:r>
        <w:rPr>
          <w:lang w:val="en-GB"/>
        </w:rPr>
        <w:br/>
        <w:t>Developing C</w:t>
      </w:r>
      <w:r w:rsidRPr="008B05FB">
        <w:rPr>
          <w:lang w:val="en-GB"/>
        </w:rPr>
        <w:t>ountries, 2015</w:t>
      </w:r>
    </w:p>
    <w:p w:rsidR="00F023AF" w:rsidRDefault="00F023AF" w:rsidP="00F023AF">
      <w:pPr>
        <w:pStyle w:val="Heading1"/>
        <w:rPr>
          <w:lang w:val="en-GB"/>
        </w:rPr>
      </w:pPr>
      <w:r>
        <w:rPr>
          <w:lang w:val="en-GB"/>
        </w:rPr>
        <w:t>Concluding Comment</w:t>
      </w:r>
    </w:p>
    <w:p w:rsidR="00F023AF" w:rsidRDefault="00F023AF" w:rsidP="00F023AF">
      <w:pPr>
        <w:pStyle w:val="ONUME"/>
        <w:rPr>
          <w:lang w:val="en-GB"/>
        </w:rPr>
      </w:pPr>
      <w:r w:rsidRPr="008B05FB">
        <w:rPr>
          <w:lang w:val="en-GB"/>
        </w:rPr>
        <w:t>The main contribution of this second supplementary study is to provide simulations on the effects of hypothetical fee reductions in the presence of eligible application ceilings.  As one would expect, the introduction of such a ceiling limits the number of additional filings and the income losses induced by such reductions.  Figures 1a, 1b, 2a, and 2b offer quantitative guidance to this effect.</w:t>
      </w:r>
    </w:p>
    <w:p w:rsidR="00F023AF" w:rsidRDefault="00F023AF" w:rsidP="00F023AF">
      <w:pPr>
        <w:pStyle w:val="ONUME"/>
        <w:rPr>
          <w:lang w:val="en-GB"/>
        </w:rPr>
      </w:pPr>
      <w:r w:rsidRPr="008B05FB">
        <w:rPr>
          <w:lang w:val="en-GB"/>
        </w:rPr>
        <w:t>However, the simulated figures come with important caveats.  First, the introduction of a ceiling implies a steeper fee reduction for some university applicants compared to others.  Applying the average fee elasticities across all university applicants from the two country groups may bias the estimated fee responsiveness.  Second, the log-linear functional form underlying the fee elasticity estimate may render simulations of steep fee reductions that go beyond the historical variation in the data especially unreliable</w:t>
      </w:r>
      <w:r>
        <w:rPr>
          <w:rStyle w:val="FootnoteReference"/>
          <w:lang w:val="en-GB"/>
        </w:rPr>
        <w:footnoteReference w:id="9"/>
      </w:r>
      <w:r>
        <w:rPr>
          <w:lang w:val="en-GB"/>
        </w:rPr>
        <w:t>.</w:t>
      </w:r>
    </w:p>
    <w:p w:rsidR="00F023AF" w:rsidRDefault="00F023AF" w:rsidP="00F023AF">
      <w:pPr>
        <w:pStyle w:val="ONUME"/>
        <w:ind w:left="5533"/>
        <w:rPr>
          <w:i/>
          <w:lang w:val="en-GB"/>
        </w:rPr>
      </w:pPr>
      <w:r w:rsidRPr="000C519D">
        <w:rPr>
          <w:i/>
          <w:lang w:val="en-GB"/>
        </w:rPr>
        <w:t>The Working Group is invited to take note of the contents of the present document.</w:t>
      </w:r>
    </w:p>
    <w:p w:rsidR="00F023AF" w:rsidRPr="000C519D" w:rsidRDefault="00F023AF" w:rsidP="00F023AF">
      <w:pPr>
        <w:pStyle w:val="ONUME"/>
        <w:numPr>
          <w:ilvl w:val="0"/>
          <w:numId w:val="0"/>
        </w:numPr>
        <w:ind w:left="5533"/>
        <w:rPr>
          <w:i/>
          <w:lang w:val="en-GB"/>
        </w:rPr>
      </w:pPr>
    </w:p>
    <w:p w:rsidR="00F023AF" w:rsidRPr="000C519D" w:rsidRDefault="00F023AF" w:rsidP="00F023AF">
      <w:pPr>
        <w:pStyle w:val="ONUME"/>
        <w:numPr>
          <w:ilvl w:val="0"/>
          <w:numId w:val="0"/>
        </w:numPr>
        <w:ind w:left="5533"/>
        <w:rPr>
          <w:lang w:val="en-GB"/>
        </w:rPr>
      </w:pPr>
      <w:r w:rsidRPr="000C519D">
        <w:rPr>
          <w:lang w:val="en-GB"/>
        </w:rPr>
        <w:t>[End of document]</w:t>
      </w:r>
    </w:p>
    <w:p w:rsidR="00F023AF" w:rsidRDefault="00F023AF" w:rsidP="00F023AF">
      <w:pPr>
        <w:pStyle w:val="ONUME"/>
        <w:numPr>
          <w:ilvl w:val="0"/>
          <w:numId w:val="0"/>
        </w:numPr>
      </w:pPr>
    </w:p>
    <w:p w:rsidR="00F023AF" w:rsidRDefault="00F023AF" w:rsidP="00F023AF">
      <w:pPr>
        <w:pStyle w:val="ONUME"/>
        <w:numPr>
          <w:ilvl w:val="0"/>
          <w:numId w:val="0"/>
        </w:numPr>
      </w:pPr>
    </w:p>
    <w:p w:rsidR="002928D3" w:rsidRDefault="002928D3" w:rsidP="00F023AF"/>
    <w:sectPr w:rsidR="002928D3" w:rsidSect="00F023AF">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AF" w:rsidRDefault="00F023AF">
      <w:r>
        <w:separator/>
      </w:r>
    </w:p>
  </w:endnote>
  <w:endnote w:type="continuationSeparator" w:id="0">
    <w:p w:rsidR="00F023AF" w:rsidRDefault="00F023AF" w:rsidP="003B38C1">
      <w:r>
        <w:separator/>
      </w:r>
    </w:p>
    <w:p w:rsidR="00F023AF" w:rsidRPr="003B38C1" w:rsidRDefault="00F023AF" w:rsidP="003B38C1">
      <w:pPr>
        <w:spacing w:after="60"/>
        <w:rPr>
          <w:sz w:val="17"/>
        </w:rPr>
      </w:pPr>
      <w:r>
        <w:rPr>
          <w:sz w:val="17"/>
        </w:rPr>
        <w:t>[Endnote continued from previous page]</w:t>
      </w:r>
    </w:p>
  </w:endnote>
  <w:endnote w:type="continuationNotice" w:id="1">
    <w:p w:rsidR="00F023AF" w:rsidRPr="003B38C1" w:rsidRDefault="00F023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F" w:rsidRDefault="00F023AF">
    <w:pPr>
      <w:pStyle w:val="Footer"/>
      <w:jc w:val="right"/>
    </w:pPr>
  </w:p>
  <w:p w:rsidR="00F023AF" w:rsidRDefault="00F02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AF" w:rsidRDefault="00F023AF">
      <w:r>
        <w:separator/>
      </w:r>
    </w:p>
  </w:footnote>
  <w:footnote w:type="continuationSeparator" w:id="0">
    <w:p w:rsidR="00F023AF" w:rsidRDefault="00F023AF" w:rsidP="008B60B2">
      <w:r>
        <w:separator/>
      </w:r>
    </w:p>
    <w:p w:rsidR="00F023AF" w:rsidRPr="00ED77FB" w:rsidRDefault="00F023AF" w:rsidP="008B60B2">
      <w:pPr>
        <w:spacing w:after="60"/>
        <w:rPr>
          <w:sz w:val="17"/>
          <w:szCs w:val="17"/>
        </w:rPr>
      </w:pPr>
      <w:r w:rsidRPr="00ED77FB">
        <w:rPr>
          <w:sz w:val="17"/>
          <w:szCs w:val="17"/>
        </w:rPr>
        <w:t>[Footnote continued from previous page]</w:t>
      </w:r>
    </w:p>
  </w:footnote>
  <w:footnote w:type="continuationNotice" w:id="1">
    <w:p w:rsidR="00F023AF" w:rsidRPr="00ED77FB" w:rsidRDefault="00F023AF" w:rsidP="008B60B2">
      <w:pPr>
        <w:spacing w:before="60"/>
        <w:jc w:val="right"/>
        <w:rPr>
          <w:sz w:val="17"/>
          <w:szCs w:val="17"/>
        </w:rPr>
      </w:pPr>
      <w:r w:rsidRPr="00ED77FB">
        <w:rPr>
          <w:sz w:val="17"/>
          <w:szCs w:val="17"/>
        </w:rPr>
        <w:t>[Footnote continued on next page]</w:t>
      </w:r>
    </w:p>
  </w:footnote>
  <w:footnote w:id="2">
    <w:p w:rsidR="00F023AF" w:rsidRDefault="00F023AF" w:rsidP="00F023AF">
      <w:pPr>
        <w:pStyle w:val="FootnoteText"/>
      </w:pPr>
      <w:r>
        <w:rPr>
          <w:rStyle w:val="FootnoteReference"/>
        </w:rPr>
        <w:footnoteRef/>
      </w:r>
      <w:r>
        <w:t xml:space="preserve"> </w:t>
      </w:r>
      <w:r>
        <w:tab/>
      </w:r>
      <w:r w:rsidRPr="00227C2A">
        <w:t>In particular, the econometric estimation only relied on 78 PRO patent families originating in developing countries, of which 90 per</w:t>
      </w:r>
      <w:r>
        <w:t xml:space="preserve"> </w:t>
      </w:r>
      <w:r w:rsidRPr="00227C2A">
        <w:t>cent had a PCT equivalent</w:t>
      </w:r>
    </w:p>
  </w:footnote>
  <w:footnote w:id="3">
    <w:p w:rsidR="00F023AF" w:rsidRDefault="00F023AF" w:rsidP="00F023AF">
      <w:pPr>
        <w:pStyle w:val="FootnoteText"/>
      </w:pPr>
      <w:r>
        <w:rPr>
          <w:rStyle w:val="FootnoteReference"/>
        </w:rPr>
        <w:footnoteRef/>
      </w:r>
      <w:r>
        <w:t xml:space="preserve"> </w:t>
      </w:r>
      <w:r>
        <w:tab/>
      </w:r>
      <w:r w:rsidRPr="004B08C2">
        <w:t xml:space="preserve">As in PCT/WG/8/11, this document defines developing countries as the ones listed in </w:t>
      </w:r>
      <w:r w:rsidRPr="004B08C2">
        <w:rPr>
          <w:i/>
        </w:rPr>
        <w:t>Official Notices (PCT Gazette)</w:t>
      </w:r>
      <w:r w:rsidRPr="004B08C2">
        <w:t xml:space="preserve"> – 12 February 2015</w:t>
      </w:r>
      <w:proofErr w:type="gramStart"/>
      <w:r w:rsidRPr="004B08C2">
        <w:t>;</w:t>
      </w:r>
      <w:r>
        <w:t xml:space="preserve"> </w:t>
      </w:r>
      <w:r w:rsidRPr="004B08C2">
        <w:t xml:space="preserve"> all</w:t>
      </w:r>
      <w:proofErr w:type="gramEnd"/>
      <w:r w:rsidRPr="004B08C2">
        <w:t xml:space="preserve"> other countries are defined as developed countries.  It relies on PCT filing data from 2011 to 2015.  </w:t>
      </w:r>
    </w:p>
  </w:footnote>
  <w:footnote w:id="4">
    <w:p w:rsidR="00F023AF" w:rsidRDefault="00F023AF" w:rsidP="00F023AF">
      <w:pPr>
        <w:pStyle w:val="FootnoteText"/>
      </w:pPr>
      <w:r>
        <w:rPr>
          <w:rStyle w:val="FootnoteReference"/>
        </w:rPr>
        <w:footnoteRef/>
      </w:r>
      <w:r>
        <w:t xml:space="preserve"> </w:t>
      </w:r>
      <w:r>
        <w:tab/>
      </w:r>
      <w:r w:rsidRPr="004B08C2">
        <w:t>Estimating different fee elasticities for different sub-groups of applicants (e.g., according to annual filing volumes) is not straightforward, partly because some applicants change groups from one year to the next and partly because further dividing the group of university applicants from developing countries would reduce statistical inference.</w:t>
      </w:r>
    </w:p>
  </w:footnote>
  <w:footnote w:id="5">
    <w:p w:rsidR="00F023AF" w:rsidRDefault="00F023AF" w:rsidP="00F023AF">
      <w:pPr>
        <w:pStyle w:val="FootnoteText"/>
      </w:pPr>
      <w:r>
        <w:rPr>
          <w:rStyle w:val="FootnoteReference"/>
        </w:rPr>
        <w:footnoteRef/>
      </w:r>
      <w:r>
        <w:t xml:space="preserve"> </w:t>
      </w:r>
      <w:r>
        <w:tab/>
      </w:r>
      <w:r w:rsidRPr="00DC009E">
        <w:t>Note that the filing figures presented in this document differ from those presented in PCT/WG/8/11, for two reasons.  First, the data are more up-to-date and thus reflect additional information received by the International Bureau, including information on ownership changes.  Second, the definition of university applicants differs.  In particular, in the previous supplementary study, a PCT application was considered to be a university filing if at least one of the applicants was a university; in this document, a PCT application is considered to be a university filing if at least one of the applicants is a university and none of the co-applicants (if any) is a corporate entity.  This reflects current practice of only extending fee discounts to applications for which all applicants meet the relevant eligibility criteria.  Of course, this is without prejudice to any future fee reduction eligibility criteria.</w:t>
      </w:r>
    </w:p>
  </w:footnote>
  <w:footnote w:id="6">
    <w:p w:rsidR="00F023AF" w:rsidRDefault="00F023AF" w:rsidP="00F023AF">
      <w:pPr>
        <w:pStyle w:val="FootnoteText"/>
      </w:pPr>
      <w:r>
        <w:rPr>
          <w:rStyle w:val="FootnoteReference"/>
        </w:rPr>
        <w:footnoteRef/>
      </w:r>
      <w:r>
        <w:t xml:space="preserve"> </w:t>
      </w:r>
      <w:r>
        <w:tab/>
        <w:t>Note that the fee income data used in this document accounts for fee discounts for electronic filing.  This explains why the average annual fees shown in Tables 2a and 2b and the income losses if Figures 2a and 2b are somewhat lower than in Table 4 in document PCT/WG/8/11, which did not account for such discounts.</w:t>
      </w:r>
    </w:p>
  </w:footnote>
  <w:footnote w:id="7">
    <w:p w:rsidR="00F023AF" w:rsidRDefault="00F023AF" w:rsidP="00F023AF">
      <w:pPr>
        <w:pStyle w:val="FootnoteText"/>
      </w:pPr>
      <w:r>
        <w:rPr>
          <w:rStyle w:val="FootnoteReference"/>
        </w:rPr>
        <w:footnoteRef/>
      </w:r>
      <w:r>
        <w:t xml:space="preserve"> </w:t>
      </w:r>
      <w:r>
        <w:tab/>
        <w:t xml:space="preserve">Mathematically, if </w:t>
      </w:r>
      <w:r>
        <w:rPr>
          <w:i/>
        </w:rPr>
        <w:t>E</w:t>
      </w:r>
      <w:r>
        <w:t xml:space="preserve"> denotes the number of applications eligible for a fee discount, </w:t>
      </w:r>
      <w:r>
        <w:rPr>
          <w:i/>
        </w:rPr>
        <w:t>f</w:t>
      </w:r>
      <w:r>
        <w:t xml:space="preserve"> the percentage fee reduction, </w:t>
      </w:r>
      <w:r>
        <w:rPr>
          <w:i/>
        </w:rPr>
        <w:t>ε</w:t>
      </w:r>
      <w:r>
        <w:t xml:space="preserve"> the estimated fee elasticity, and </w:t>
      </w:r>
      <w:r>
        <w:rPr>
          <w:i/>
        </w:rPr>
        <w:t>a</w:t>
      </w:r>
      <w:r>
        <w:t xml:space="preserve"> the average fee, the number of additional filings, </w:t>
      </w:r>
      <w:r>
        <w:rPr>
          <w:i/>
        </w:rPr>
        <w:t>X</w:t>
      </w:r>
      <w:r>
        <w:t xml:space="preserve">, generated by the fee discount is given by </w:t>
      </w:r>
      <w:r>
        <w:rPr>
          <w:i/>
        </w:rPr>
        <w:t>X</w:t>
      </w:r>
      <w:r>
        <w:t>=</w:t>
      </w:r>
      <w:r>
        <w:rPr>
          <w:i/>
        </w:rPr>
        <w:t>f*E*</w:t>
      </w:r>
      <w:r w:rsidRPr="0023144A">
        <w:rPr>
          <w:i/>
        </w:rPr>
        <w:t xml:space="preserve"> </w:t>
      </w:r>
      <w:r>
        <w:rPr>
          <w:i/>
        </w:rPr>
        <w:t>ε</w:t>
      </w:r>
      <w:r>
        <w:t xml:space="preserve"> and the (net) income loss, </w:t>
      </w:r>
      <w:r>
        <w:rPr>
          <w:i/>
        </w:rPr>
        <w:t>I</w:t>
      </w:r>
      <w:r>
        <w:t>, by I=</w:t>
      </w:r>
      <w:r>
        <w:rPr>
          <w:i/>
        </w:rPr>
        <w:t>f</w:t>
      </w:r>
      <w:r>
        <w:t>*</w:t>
      </w:r>
      <w:r>
        <w:rPr>
          <w:i/>
        </w:rPr>
        <w:t>a</w:t>
      </w:r>
      <w:r>
        <w:t>*</w:t>
      </w:r>
      <w:r>
        <w:rPr>
          <w:i/>
        </w:rPr>
        <w:t>E</w:t>
      </w:r>
      <w:r>
        <w:t xml:space="preserve"> – (1-</w:t>
      </w:r>
      <w:r>
        <w:rPr>
          <w:i/>
        </w:rPr>
        <w:t>f</w:t>
      </w:r>
      <w:r>
        <w:t>)*</w:t>
      </w:r>
      <w:r>
        <w:rPr>
          <w:i/>
        </w:rPr>
        <w:t>a</w:t>
      </w:r>
      <w:r>
        <w:t>*</w:t>
      </w:r>
      <w:r>
        <w:rPr>
          <w:i/>
        </w:rPr>
        <w:t>X</w:t>
      </w:r>
      <w:r>
        <w:t xml:space="preserve">.  It is then easy to show that the income loss per application amounts to </w:t>
      </w:r>
      <w:r>
        <w:rPr>
          <w:i/>
        </w:rPr>
        <w:t>I</w:t>
      </w:r>
      <w:r>
        <w:t>/</w:t>
      </w:r>
      <w:r>
        <w:rPr>
          <w:i/>
        </w:rPr>
        <w:t>X</w:t>
      </w:r>
      <w:r>
        <w:t>=</w:t>
      </w:r>
      <w:r>
        <w:rPr>
          <w:i/>
        </w:rPr>
        <w:t>a</w:t>
      </w:r>
      <w:r>
        <w:t>*(1-(1-</w:t>
      </w:r>
      <w:r>
        <w:rPr>
          <w:i/>
        </w:rPr>
        <w:t>f</w:t>
      </w:r>
      <w:r>
        <w:t>)*</w:t>
      </w:r>
      <w:r w:rsidRPr="0023144A">
        <w:rPr>
          <w:i/>
        </w:rPr>
        <w:t xml:space="preserve"> </w:t>
      </w:r>
      <w:r>
        <w:rPr>
          <w:i/>
        </w:rPr>
        <w:t>ε</w:t>
      </w:r>
      <w:r>
        <w:t>)/</w:t>
      </w:r>
      <w:r w:rsidRPr="0023144A">
        <w:rPr>
          <w:i/>
        </w:rPr>
        <w:t xml:space="preserve"> </w:t>
      </w:r>
      <w:r>
        <w:rPr>
          <w:i/>
        </w:rPr>
        <w:t>ε</w:t>
      </w:r>
      <w:r>
        <w:t xml:space="preserve">, which is independent of the number of eligible filings </w:t>
      </w:r>
      <w:r>
        <w:rPr>
          <w:i/>
        </w:rPr>
        <w:t>E</w:t>
      </w:r>
      <w:r>
        <w:t>.</w:t>
      </w:r>
    </w:p>
  </w:footnote>
  <w:footnote w:id="8">
    <w:p w:rsidR="00F023AF" w:rsidRDefault="00F023AF" w:rsidP="00F023AF">
      <w:pPr>
        <w:pStyle w:val="FootnoteText"/>
      </w:pPr>
      <w:r>
        <w:rPr>
          <w:rStyle w:val="FootnoteReference"/>
        </w:rPr>
        <w:footnoteRef/>
      </w:r>
      <w:r>
        <w:t xml:space="preserve"> </w:t>
      </w:r>
      <w:r>
        <w:tab/>
        <w:t>As shown in the previous footnote, the income loss per application depends on the average fee in the baseline scenario and the elasticity value.  As the average fee between the two country groups is similar, the main difference in the income loss is due to the value of the elasticity.</w:t>
      </w:r>
    </w:p>
  </w:footnote>
  <w:footnote w:id="9">
    <w:p w:rsidR="00F023AF" w:rsidRDefault="00F023AF" w:rsidP="00F023AF">
      <w:pPr>
        <w:pStyle w:val="FootnoteText"/>
      </w:pPr>
      <w:r>
        <w:rPr>
          <w:rStyle w:val="FootnoteReference"/>
        </w:rPr>
        <w:footnoteRef/>
      </w:r>
      <w:r>
        <w:t xml:space="preserve"> </w:t>
      </w:r>
      <w:r>
        <w:tab/>
        <w:t>As described in document PCT/WG/8/11, another limitation is that econometric model underlying the fee elasticity estimate captures the choice applicants face between the Paris and the PCT routes towards international patent filing; it ignores that the level of the PCT fee might affect applicants’ decision on whether to file for patent protection internationally to begin with.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3AF" w:rsidRDefault="00F023AF" w:rsidP="00E74A2A">
    <w:pPr>
      <w:pStyle w:val="Header"/>
      <w:jc w:val="right"/>
    </w:pPr>
    <w:r>
      <w:t>PCT/WG/10/2</w:t>
    </w:r>
  </w:p>
  <w:p w:rsidR="00F023AF" w:rsidRDefault="00F023AF" w:rsidP="00E74A2A">
    <w:pPr>
      <w:pStyle w:val="Header"/>
      <w:jc w:val="right"/>
    </w:pPr>
    <w:proofErr w:type="gramStart"/>
    <w:r>
      <w:t>page</w:t>
    </w:r>
    <w:proofErr w:type="gramEnd"/>
    <w:r>
      <w:t xml:space="preserve"> </w:t>
    </w:r>
    <w:r>
      <w:fldChar w:fldCharType="begin"/>
    </w:r>
    <w:r>
      <w:instrText xml:space="preserve"> PAGE   \* MERGEFORMAT </w:instrText>
    </w:r>
    <w:r>
      <w:fldChar w:fldCharType="separate"/>
    </w:r>
    <w:r w:rsidR="008D276B">
      <w:rPr>
        <w:noProof/>
      </w:rPr>
      <w:t>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023AF" w:rsidP="00477D6B">
    <w:pPr>
      <w:jc w:val="right"/>
    </w:pPr>
    <w:bookmarkStart w:id="6" w:name="Code2"/>
    <w:bookmarkEnd w:id="6"/>
    <w:r>
      <w:t>PCT/WG/10/2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D276B">
      <w:rPr>
        <w:noProof/>
      </w:rPr>
      <w:t>11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7A60D81"/>
    <w:multiLevelType w:val="hybridMultilevel"/>
    <w:tmpl w:val="6EDA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AF"/>
    <w:rsid w:val="00043CAA"/>
    <w:rsid w:val="00075432"/>
    <w:rsid w:val="000968ED"/>
    <w:rsid w:val="000F5E56"/>
    <w:rsid w:val="001362EE"/>
    <w:rsid w:val="001832A6"/>
    <w:rsid w:val="0021217E"/>
    <w:rsid w:val="002634C4"/>
    <w:rsid w:val="002928D3"/>
    <w:rsid w:val="002F1FE6"/>
    <w:rsid w:val="002F4E68"/>
    <w:rsid w:val="00312F7F"/>
    <w:rsid w:val="0033339D"/>
    <w:rsid w:val="00350E06"/>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B2CC1"/>
    <w:rsid w:val="008B60B2"/>
    <w:rsid w:val="008D276B"/>
    <w:rsid w:val="0090731E"/>
    <w:rsid w:val="00916EE2"/>
    <w:rsid w:val="009614C5"/>
    <w:rsid w:val="00966A22"/>
    <w:rsid w:val="0096722F"/>
    <w:rsid w:val="00980843"/>
    <w:rsid w:val="009E2791"/>
    <w:rsid w:val="009E3F6F"/>
    <w:rsid w:val="009F499F"/>
    <w:rsid w:val="00A0469D"/>
    <w:rsid w:val="00A42DAF"/>
    <w:rsid w:val="00A45BD8"/>
    <w:rsid w:val="00A869B7"/>
    <w:rsid w:val="00AC205C"/>
    <w:rsid w:val="00AF0A6B"/>
    <w:rsid w:val="00B05A69"/>
    <w:rsid w:val="00B9734B"/>
    <w:rsid w:val="00BA30E2"/>
    <w:rsid w:val="00C11BFE"/>
    <w:rsid w:val="00C5068F"/>
    <w:rsid w:val="00CD04F1"/>
    <w:rsid w:val="00D45252"/>
    <w:rsid w:val="00D71B4D"/>
    <w:rsid w:val="00D93D55"/>
    <w:rsid w:val="00E15015"/>
    <w:rsid w:val="00E335FE"/>
    <w:rsid w:val="00EC4E49"/>
    <w:rsid w:val="00ED77FB"/>
    <w:rsid w:val="00EE45FA"/>
    <w:rsid w:val="00F023AF"/>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3AF"/>
    <w:rPr>
      <w:rFonts w:ascii="Tahoma" w:hAnsi="Tahoma" w:cs="Tahoma"/>
      <w:sz w:val="16"/>
      <w:szCs w:val="16"/>
    </w:rPr>
  </w:style>
  <w:style w:type="character" w:customStyle="1" w:styleId="BalloonTextChar">
    <w:name w:val="Balloon Text Char"/>
    <w:basedOn w:val="DefaultParagraphFont"/>
    <w:link w:val="BalloonText"/>
    <w:rsid w:val="00F023AF"/>
    <w:rPr>
      <w:rFonts w:ascii="Tahoma" w:eastAsia="SimSun" w:hAnsi="Tahoma" w:cs="Tahoma"/>
      <w:sz w:val="16"/>
      <w:szCs w:val="16"/>
      <w:lang w:eastAsia="zh-CN"/>
    </w:rPr>
  </w:style>
  <w:style w:type="character" w:customStyle="1" w:styleId="ONUMEChar">
    <w:name w:val="ONUM E Char"/>
    <w:basedOn w:val="DefaultParagraphFont"/>
    <w:link w:val="ONUME"/>
    <w:rsid w:val="00F023AF"/>
    <w:rPr>
      <w:rFonts w:ascii="Arial" w:eastAsia="SimSun" w:hAnsi="Arial" w:cs="Arial"/>
      <w:sz w:val="22"/>
      <w:lang w:eastAsia="zh-CN"/>
    </w:rPr>
  </w:style>
  <w:style w:type="character" w:styleId="FootnoteReference">
    <w:name w:val="footnote reference"/>
    <w:basedOn w:val="DefaultParagraphFont"/>
    <w:rsid w:val="00F023AF"/>
    <w:rPr>
      <w:vertAlign w:val="superscript"/>
    </w:rPr>
  </w:style>
  <w:style w:type="paragraph" w:styleId="ListParagraph">
    <w:name w:val="List Paragraph"/>
    <w:basedOn w:val="Normal"/>
    <w:uiPriority w:val="34"/>
    <w:qFormat/>
    <w:rsid w:val="00F023AF"/>
    <w:pPr>
      <w:ind w:left="720"/>
      <w:contextualSpacing/>
    </w:pPr>
  </w:style>
  <w:style w:type="character" w:customStyle="1" w:styleId="FooterChar">
    <w:name w:val="Footer Char"/>
    <w:basedOn w:val="DefaultParagraphFont"/>
    <w:link w:val="Footer"/>
    <w:uiPriority w:val="99"/>
    <w:rsid w:val="00F023A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3AF"/>
    <w:rPr>
      <w:rFonts w:ascii="Tahoma" w:hAnsi="Tahoma" w:cs="Tahoma"/>
      <w:sz w:val="16"/>
      <w:szCs w:val="16"/>
    </w:rPr>
  </w:style>
  <w:style w:type="character" w:customStyle="1" w:styleId="BalloonTextChar">
    <w:name w:val="Balloon Text Char"/>
    <w:basedOn w:val="DefaultParagraphFont"/>
    <w:link w:val="BalloonText"/>
    <w:rsid w:val="00F023AF"/>
    <w:rPr>
      <w:rFonts w:ascii="Tahoma" w:eastAsia="SimSun" w:hAnsi="Tahoma" w:cs="Tahoma"/>
      <w:sz w:val="16"/>
      <w:szCs w:val="16"/>
      <w:lang w:eastAsia="zh-CN"/>
    </w:rPr>
  </w:style>
  <w:style w:type="character" w:customStyle="1" w:styleId="ONUMEChar">
    <w:name w:val="ONUM E Char"/>
    <w:basedOn w:val="DefaultParagraphFont"/>
    <w:link w:val="ONUME"/>
    <w:rsid w:val="00F023AF"/>
    <w:rPr>
      <w:rFonts w:ascii="Arial" w:eastAsia="SimSun" w:hAnsi="Arial" w:cs="Arial"/>
      <w:sz w:val="22"/>
      <w:lang w:eastAsia="zh-CN"/>
    </w:rPr>
  </w:style>
  <w:style w:type="character" w:styleId="FootnoteReference">
    <w:name w:val="footnote reference"/>
    <w:basedOn w:val="DefaultParagraphFont"/>
    <w:rsid w:val="00F023AF"/>
    <w:rPr>
      <w:vertAlign w:val="superscript"/>
    </w:rPr>
  </w:style>
  <w:style w:type="paragraph" w:styleId="ListParagraph">
    <w:name w:val="List Paragraph"/>
    <w:basedOn w:val="Normal"/>
    <w:uiPriority w:val="34"/>
    <w:qFormat/>
    <w:rsid w:val="00F023AF"/>
    <w:pPr>
      <w:ind w:left="720"/>
      <w:contextualSpacing/>
    </w:pPr>
  </w:style>
  <w:style w:type="character" w:customStyle="1" w:styleId="FooterChar">
    <w:name w:val="Footer Char"/>
    <w:basedOn w:val="DefaultParagraphFont"/>
    <w:link w:val="Footer"/>
    <w:uiPriority w:val="99"/>
    <w:rsid w:val="00F023A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7973-15FA-4B29-95D7-26C3D06C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4</TotalTime>
  <Pages>11</Pages>
  <Words>2511</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dc:title>
  <dc:subject>Second Supplement to "Estimating a PCT Fee Elasticity" Study</dc:subject>
  <dc:creator>MARLOW Thomas</dc:creator>
  <cp:lastModifiedBy>MARLOW Thomas</cp:lastModifiedBy>
  <cp:revision>4</cp:revision>
  <cp:lastPrinted>2017-01-09T09:20:00Z</cp:lastPrinted>
  <dcterms:created xsi:type="dcterms:W3CDTF">2017-01-06T10:04:00Z</dcterms:created>
  <dcterms:modified xsi:type="dcterms:W3CDTF">2017-01-11T14:20:00Z</dcterms:modified>
</cp:coreProperties>
</file>