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CCE3"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7960681E" wp14:editId="028744E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074DBF6" w14:textId="132F49D9"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A213F0">
        <w:rPr>
          <w:rFonts w:ascii="Arial Black" w:hAnsi="Arial Black"/>
          <w:caps/>
          <w:sz w:val="15"/>
          <w:szCs w:val="15"/>
        </w:rPr>
        <w:t>9</w:t>
      </w:r>
    </w:p>
    <w:p w14:paraId="1E272863" w14:textId="69EE732F"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A213F0">
        <w:rPr>
          <w:rFonts w:ascii="Arial Black" w:hAnsi="Arial Black"/>
          <w:caps/>
          <w:sz w:val="15"/>
          <w:szCs w:val="15"/>
        </w:rPr>
        <w:t xml:space="preserve"> English Only</w:t>
      </w:r>
    </w:p>
    <w:bookmarkEnd w:id="1"/>
    <w:p w14:paraId="5F452466" w14:textId="31685F7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A213F0">
        <w:rPr>
          <w:rFonts w:ascii="Arial Black" w:hAnsi="Arial Black"/>
          <w:caps/>
          <w:sz w:val="15"/>
          <w:szCs w:val="15"/>
        </w:rPr>
        <w:t xml:space="preserve"> October </w:t>
      </w:r>
      <w:r w:rsidR="00D358DB">
        <w:rPr>
          <w:rFonts w:ascii="Arial Black" w:hAnsi="Arial Black"/>
          <w:caps/>
          <w:sz w:val="15"/>
          <w:szCs w:val="15"/>
        </w:rPr>
        <w:t>8</w:t>
      </w:r>
      <w:r w:rsidR="00A213F0">
        <w:rPr>
          <w:rFonts w:ascii="Arial Black" w:hAnsi="Arial Black"/>
          <w:caps/>
          <w:sz w:val="15"/>
          <w:szCs w:val="15"/>
        </w:rPr>
        <w:t>, 2025</w:t>
      </w:r>
    </w:p>
    <w:bookmarkEnd w:id="2"/>
    <w:p w14:paraId="7A923880"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568E8E1F"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35EF0C69" w14:textId="01DF2DD8"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A213F0">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2EBBE71F" w14:textId="56F1CF0F" w:rsidR="008B2CC1" w:rsidRPr="003845C1" w:rsidRDefault="00A213F0" w:rsidP="00DD7B7F">
      <w:pPr>
        <w:spacing w:after="360"/>
        <w:outlineLvl w:val="0"/>
        <w:rPr>
          <w:caps/>
          <w:sz w:val="24"/>
        </w:rPr>
      </w:pPr>
      <w:bookmarkStart w:id="3" w:name="TitleOfDoc"/>
      <w:r>
        <w:rPr>
          <w:caps/>
          <w:sz w:val="24"/>
        </w:rPr>
        <w:t>Processing Sequence Listings</w:t>
      </w:r>
    </w:p>
    <w:p w14:paraId="799E54F8" w14:textId="15A14BC4" w:rsidR="002928D3" w:rsidRPr="00F9165B" w:rsidRDefault="00A213F0" w:rsidP="001D4107">
      <w:pPr>
        <w:spacing w:after="1040"/>
        <w:rPr>
          <w:i/>
        </w:rPr>
      </w:pPr>
      <w:bookmarkStart w:id="4" w:name="Prepared"/>
      <w:bookmarkEnd w:id="3"/>
      <w:bookmarkEnd w:id="4"/>
      <w:r>
        <w:rPr>
          <w:i/>
        </w:rPr>
        <w:t>Document prepared by the International Bureau</w:t>
      </w:r>
    </w:p>
    <w:p w14:paraId="4A2E9D96" w14:textId="4E8D2FDE" w:rsidR="002326AB" w:rsidRDefault="009451BB" w:rsidP="009451BB">
      <w:pPr>
        <w:pStyle w:val="Heading1"/>
      </w:pPr>
      <w:r>
        <w:t>Summary</w:t>
      </w:r>
    </w:p>
    <w:p w14:paraId="3A902455" w14:textId="25CEB5DC" w:rsidR="009451BB" w:rsidRDefault="009451BB" w:rsidP="009451BB">
      <w:pPr>
        <w:pStyle w:val="ONUME"/>
      </w:pPr>
      <w:r>
        <w:t xml:space="preserve">WIPO Standard ST.26 defines a set of recommendations which specify the required format for sequence listings filed as part of an international applications on or after July 1, 2022.  </w:t>
      </w:r>
      <w:r w:rsidR="007A50F6">
        <w:t>Following a</w:t>
      </w:r>
      <w:r>
        <w:t xml:space="preserve"> successful transition to use of the new Standard, the International Bureau is proposing further development of the Standard and associated tools, including the WIPO Sequence Suite, for more efficient processing of sequence listings. </w:t>
      </w:r>
    </w:p>
    <w:p w14:paraId="46CEB369" w14:textId="149BA9AF" w:rsidR="009451BB" w:rsidRDefault="009451BB" w:rsidP="009451BB">
      <w:pPr>
        <w:pStyle w:val="ONUME"/>
      </w:pPr>
      <w:r>
        <w:t xml:space="preserve">The International Bureau is continuously looking for ways to simplify processing of sequence listings and ensure that the results are high quality to support the requirements of patent applicants, International Authorities, designated Offices and database providers.  The work on streamlining document types and their application has been finalized, and the implementation is underway.  The Committee on WIPO Standards (CWS) will consider a proposal on substantive changes to WIPO Standard ST.26 to expand disclosure requirements and allow the inclusion of short sequences at </w:t>
      </w:r>
      <w:r w:rsidR="007A50F6">
        <w:t>its</w:t>
      </w:r>
      <w:r>
        <w:t xml:space="preserve"> forthcoming session in November 2025.</w:t>
      </w:r>
    </w:p>
    <w:p w14:paraId="02C59785" w14:textId="29883C59" w:rsidR="009451BB" w:rsidRDefault="009451BB" w:rsidP="009451BB">
      <w:pPr>
        <w:pStyle w:val="Heading1"/>
      </w:pPr>
      <w:r>
        <w:t>Background</w:t>
      </w:r>
    </w:p>
    <w:p w14:paraId="71526AA8" w14:textId="1E323B02" w:rsidR="009451BB" w:rsidRDefault="009451BB" w:rsidP="009451BB">
      <w:pPr>
        <w:pStyle w:val="ONUME"/>
      </w:pPr>
      <w:r>
        <w:t xml:space="preserve">WIPO Standard ST.26 recommends an XML format for the presentation of nucleotide and amino acid sequences in patent </w:t>
      </w:r>
      <w:r w:rsidR="008D1D56">
        <w:t>applications.  It</w:t>
      </w:r>
      <w:r>
        <w:t xml:space="preserve"> entered into force on July 1, 2022.  Amendments to the PCT Regulations and modifications to the Administrative Instructions under the PCT, including relevant </w:t>
      </w:r>
      <w:r w:rsidR="008D1D56">
        <w:t>F</w:t>
      </w:r>
      <w:r>
        <w:t xml:space="preserve">orms, also entered into force at the same time, requiring sequence disclosures to be presented in compliance with WIPO Standard ST.26 in any international application filed on or after that date.  This document provides updates on the recent developments and presents certain challenges and possible ways to improve the current practices for processing of sequence listings. </w:t>
      </w:r>
    </w:p>
    <w:p w14:paraId="01D2A8B9" w14:textId="0509C85F" w:rsidR="009451BB" w:rsidRDefault="009451BB" w:rsidP="009451BB">
      <w:pPr>
        <w:pStyle w:val="Heading1"/>
      </w:pPr>
      <w:r>
        <w:lastRenderedPageBreak/>
        <w:t>WIPO Sequence Suite</w:t>
      </w:r>
      <w:r>
        <w:tab/>
      </w:r>
    </w:p>
    <w:p w14:paraId="099F64CD" w14:textId="77777777" w:rsidR="009451BB" w:rsidRDefault="009451BB" w:rsidP="009451BB">
      <w:pPr>
        <w:pStyle w:val="ONUME"/>
      </w:pPr>
      <w:r>
        <w:t>The International Bureau has developed and makes available a software suite known as WIPO Sequence Suite which is comprised of the following two components:</w:t>
      </w:r>
    </w:p>
    <w:p w14:paraId="42EACAAA" w14:textId="77777777" w:rsidR="009451BB" w:rsidRDefault="009451BB" w:rsidP="009451BB">
      <w:pPr>
        <w:pStyle w:val="ONUME"/>
        <w:numPr>
          <w:ilvl w:val="1"/>
          <w:numId w:val="5"/>
        </w:numPr>
      </w:pPr>
      <w:r>
        <w:t>WIPO Sequence:  a standalone desktop application, available for Windows, Linux and MacOS, to assist applicants to author and validate sequence listings in compliance with WIPO Standard ST.26;  and</w:t>
      </w:r>
    </w:p>
    <w:p w14:paraId="446DC373" w14:textId="02B34844" w:rsidR="009451BB" w:rsidRDefault="009451BB" w:rsidP="009451BB">
      <w:pPr>
        <w:pStyle w:val="ONUME"/>
        <w:numPr>
          <w:ilvl w:val="1"/>
          <w:numId w:val="5"/>
        </w:numPr>
      </w:pPr>
      <w:r>
        <w:t>WIPO Sequence Validator:  a web service deployed internally at patent Office environments to check filed sequence listings for compliance with WIPO Standard ST.26.</w:t>
      </w:r>
    </w:p>
    <w:p w14:paraId="41EFEC51" w14:textId="77777777" w:rsidR="009451BB" w:rsidRDefault="009451BB" w:rsidP="009451BB">
      <w:pPr>
        <w:pStyle w:val="ONUME"/>
      </w:pPr>
      <w:r>
        <w:t xml:space="preserve">Development and testing of the WIPO Sequence Suite is prioritized and undertaken in coordination with the Sequence Listings Task Force. </w:t>
      </w:r>
    </w:p>
    <w:p w14:paraId="2C49BB97" w14:textId="51002289" w:rsidR="009451BB" w:rsidRDefault="009451BB" w:rsidP="009451BB">
      <w:pPr>
        <w:pStyle w:val="ONUME"/>
      </w:pPr>
      <w:r>
        <w:t>The latest version of the WIPO Sequence Validator released in 2025 is 3.0.1, offering significantly improved performance over the previous versions</w:t>
      </w:r>
      <w:r w:rsidR="008D1D56">
        <w:t>.  T</w:t>
      </w:r>
      <w:r>
        <w:t>he release of the next version</w:t>
      </w:r>
      <w:r w:rsidR="008D1D56">
        <w:t> </w:t>
      </w:r>
      <w:r>
        <w:t xml:space="preserve">3.1.0 is underway to address a technical bug in the </w:t>
      </w:r>
      <w:r w:rsidR="008D1D56">
        <w:t>implementation of version 3.0.1</w:t>
      </w:r>
      <w:r>
        <w:t xml:space="preserve">. </w:t>
      </w:r>
    </w:p>
    <w:p w14:paraId="13902EBD" w14:textId="5E048B76" w:rsidR="009451BB" w:rsidRDefault="009451BB" w:rsidP="009451BB">
      <w:pPr>
        <w:pStyle w:val="ONUME"/>
      </w:pPr>
      <w:bookmarkStart w:id="5" w:name="_Hlk210840190"/>
      <w:r>
        <w:t>WIPO Sequence version 3.0.0 was released in July 2025 to a pilot group (</w:t>
      </w:r>
      <w:r w:rsidR="008A692A">
        <w:t>“</w:t>
      </w:r>
      <w:r>
        <w:t>WIPO Sequence Insiders</w:t>
      </w:r>
      <w:r w:rsidR="008A692A">
        <w:t>”</w:t>
      </w:r>
      <w:r>
        <w:t>)</w:t>
      </w:r>
      <w:r w:rsidR="008F7709">
        <w:t xml:space="preserve"> for testing</w:t>
      </w:r>
      <w:r>
        <w:t>.  This version includes an upgraded database and technology stack, new warnings to indicate the presence of skipped sequences in a project and improved revalidation performance</w:t>
      </w:r>
      <w:r w:rsidR="0017014C">
        <w:t>.</w:t>
      </w:r>
      <w:r>
        <w:t xml:space="preserve"> </w:t>
      </w:r>
      <w:r w:rsidR="0017014C">
        <w:t xml:space="preserve"> </w:t>
      </w:r>
      <w:r w:rsidR="009C147D">
        <w:t>In addition, c</w:t>
      </w:r>
      <w:r>
        <w:t xml:space="preserve">ertain verification rules have been grouped to declutter the verification report.  </w:t>
      </w:r>
      <w:r w:rsidR="009C147D">
        <w:t>Following</w:t>
      </w:r>
      <w:r>
        <w:t xml:space="preserve"> feedback from the WIPO Sequence Insider</w:t>
      </w:r>
      <w:r w:rsidR="0017014C">
        <w:t>s</w:t>
      </w:r>
      <w:r>
        <w:t xml:space="preserve"> group, the International Bureau </w:t>
      </w:r>
      <w:r w:rsidR="009C147D">
        <w:t xml:space="preserve">has decided to postpone </w:t>
      </w:r>
      <w:r w:rsidR="008F7709">
        <w:t xml:space="preserve">the </w:t>
      </w:r>
      <w:r w:rsidR="009C147D">
        <w:t xml:space="preserve">release </w:t>
      </w:r>
      <w:r w:rsidR="008F7709">
        <w:t xml:space="preserve">to the general public of the next version.  In parallel, the International Bureau is improving version 3.0.0 to provide several performance improvements and new features.  This improved version, which will be version 3.1.0, is expected to be released to the general public in the first quarter of 2026 after it has been tested by </w:t>
      </w:r>
      <w:r>
        <w:t>the WIPO Sequence Insider</w:t>
      </w:r>
      <w:r w:rsidR="00637CE6">
        <w:t>s</w:t>
      </w:r>
      <w:r>
        <w:t xml:space="preserve"> group</w:t>
      </w:r>
      <w:bookmarkEnd w:id="5"/>
      <w:r>
        <w:t>.</w:t>
      </w:r>
    </w:p>
    <w:p w14:paraId="23AE535E" w14:textId="5945F534" w:rsidR="009451BB" w:rsidRDefault="009451BB" w:rsidP="009451BB">
      <w:pPr>
        <w:pStyle w:val="Heading1"/>
      </w:pPr>
      <w:r>
        <w:t xml:space="preserve">Development of WIPO Standard ST.26 </w:t>
      </w:r>
    </w:p>
    <w:p w14:paraId="15A4B038" w14:textId="6F67174A" w:rsidR="009451BB" w:rsidRDefault="009451BB" w:rsidP="009451BB">
      <w:pPr>
        <w:pStyle w:val="ONUME"/>
      </w:pPr>
      <w:r>
        <w:t xml:space="preserve">The latest version of WIPO Standard ST.26, version 1.7, came into force on July 1, 2024, and should be used for all international, national and regional applications filed on or after that date.  The changes compared to version 1.6 are essentially clarifications and the addition of several new examples in the guidance document.  A proposal for revision of WIPO Standard ST.26 as version 2.0, together with a draft implementation plan, has been submitted for approval at the thirteenth session of the CWS, to be held in November 2025 (see document CWS/13/16).  The proposal includes two substantive revisions: </w:t>
      </w:r>
      <w:r w:rsidR="00637CE6">
        <w:t xml:space="preserve"> </w:t>
      </w:r>
      <w:r>
        <w:t>(i) amendments aimed at lifting the minimum sequence length requirement which indicates that short sequences cannot be included within a compliant sequence listing, and (ii) amendments aimed at requiring a subset of nucleotide analogs and peptide analogs to be represented by the corresponding unmodified residue symbols.  If the proposal is adopted, certain modifications will be required to be made to Annex C of the Administrative Instructions under the PCT as well as to the PCT International Seach and Preliminary Examination Guidelines.</w:t>
      </w:r>
    </w:p>
    <w:p w14:paraId="6A08FFBA" w14:textId="34A68E24" w:rsidR="009451BB" w:rsidRDefault="009451BB" w:rsidP="009451BB">
      <w:pPr>
        <w:pStyle w:val="Heading1"/>
      </w:pPr>
      <w:r>
        <w:t>Data Package Format for the Electronic Exchange of Priority Documents</w:t>
      </w:r>
    </w:p>
    <w:p w14:paraId="764762ED" w14:textId="5478B63C" w:rsidR="009451BB" w:rsidRDefault="009451BB" w:rsidP="009451BB">
      <w:pPr>
        <w:pStyle w:val="ONUME"/>
      </w:pPr>
      <w:r>
        <w:t xml:space="preserve">At its twelfth session, held from September 16 to 19, 2024, the CWS adopted new WIPO Standard ST.92 on the data package format for the electronic exchange of priority documents. This Standard aims to improve the processing of priority documents by allowing the electronic exchange of structured text formats and especially sequence listings in the XML format of WIPO Standard ST.26, instead of only PDF files.  It was tentatively agreed to aim for implementation of the new Standard by July 1, 2027.  This will involve IT development work by the International Bureau for PCT systems and the WIPO Digital Access Service for Priority Documents (DAS), as well as by national or regional Offices.  A proposal for revision of WIPO Standard ST.92 as </w:t>
      </w:r>
      <w:r>
        <w:lastRenderedPageBreak/>
        <w:t xml:space="preserve">version 2.0, </w:t>
      </w:r>
      <w:r w:rsidR="00F9591E">
        <w:t xml:space="preserve">which </w:t>
      </w:r>
      <w:r>
        <w:t>extends the recommendations to allow the exchange of priority documents for both industrial designs and trademarks</w:t>
      </w:r>
      <w:r w:rsidR="00F9591E">
        <w:t>,</w:t>
      </w:r>
      <w:r>
        <w:t xml:space="preserve"> has been submitted for consideration and approval at the thirteenth session of the CWS, to be held in November 2025 (see document CWS/13/20).    Once the CWS has approved the proposed revision of the Standard, IP Offices (IPOs) should consider their implementation plans.  </w:t>
      </w:r>
    </w:p>
    <w:p w14:paraId="2BAB0E91" w14:textId="5EDC4E56" w:rsidR="009451BB" w:rsidRDefault="009451BB" w:rsidP="009451BB">
      <w:pPr>
        <w:pStyle w:val="ONUME"/>
      </w:pPr>
      <w:r>
        <w:t xml:space="preserve">In May 2025, the Secretariat issued Circular </w:t>
      </w:r>
      <w:hyperlink r:id="rId9" w:history="1">
        <w:r w:rsidRPr="00D12F34">
          <w:rPr>
            <w:rStyle w:val="Hyperlink"/>
            <w:color w:val="auto"/>
          </w:rPr>
          <w:t>C.</w:t>
        </w:r>
        <w:r w:rsidR="00F9591E" w:rsidRPr="00D12F34">
          <w:rPr>
            <w:rStyle w:val="Hyperlink"/>
            <w:color w:val="auto"/>
          </w:rPr>
          <w:t xml:space="preserve"> </w:t>
        </w:r>
        <w:r w:rsidRPr="00D12F34">
          <w:rPr>
            <w:rStyle w:val="Hyperlink"/>
            <w:color w:val="auto"/>
          </w:rPr>
          <w:t>CWS 195</w:t>
        </w:r>
      </w:hyperlink>
      <w:r>
        <w:t xml:space="preserve"> </w:t>
      </w:r>
      <w:r w:rsidR="008A692A">
        <w:t>“</w:t>
      </w:r>
      <w:r>
        <w:t>Survey on WIPO Standard ST.92 Implementation Plan</w:t>
      </w:r>
      <w:r w:rsidR="008A692A">
        <w:t>”</w:t>
      </w:r>
      <w:r>
        <w:t>, inviting IPOs to provide their feedback regarding the proposed implementation plan of WIPO Standard ST.92 and the sunset date of July 1, 2027.  They were also invited to provide their plan to exchange priority documents through WIPO DAS</w:t>
      </w:r>
      <w:r w:rsidR="00F9591E">
        <w:t xml:space="preserve"> </w:t>
      </w:r>
      <w:r>
        <w:t xml:space="preserve">during the transition period.  Responses were provided by 37 </w:t>
      </w:r>
      <w:r w:rsidR="00280583">
        <w:t>IPOs,</w:t>
      </w:r>
      <w:r>
        <w:t xml:space="preserve"> and a detailed analysis and summary of the survey results are found in document CWS/13/20.  Considering the feedback received by IPOs, the Digital Transformation Task Force propose</w:t>
      </w:r>
      <w:r w:rsidR="00280583">
        <w:t>s</w:t>
      </w:r>
      <w:r>
        <w:t xml:space="preserve"> a new </w:t>
      </w:r>
      <w:r w:rsidR="008A692A">
        <w:t>“</w:t>
      </w:r>
      <w:r>
        <w:t>sunset date</w:t>
      </w:r>
      <w:r w:rsidR="008A692A">
        <w:t>”</w:t>
      </w:r>
      <w:r>
        <w:t xml:space="preserve"> of July 1, 2028</w:t>
      </w:r>
      <w:r w:rsidR="00280583">
        <w:t>,</w:t>
      </w:r>
      <w:r>
        <w:t xml:space="preserve"> for consideration by the CWS.  The International Bureau plans to upgrade WIPO DAS to accept and provide priority documents compliant with the new Standard.  The timeline for completion of this upgrade is estimated at six months.  The upgrade will enable WIPO DAS to accept and provide priority documents compliant with WIPO Standard ST.92, in parallel with the current format, until the end of the transition period on June 30, 2028, if the new proposed date is approved by the CWS at its thirteenth session.  </w:t>
      </w:r>
      <w:r w:rsidR="00B621ED">
        <w:t>From</w:t>
      </w:r>
      <w:r>
        <w:t xml:space="preserve"> the agreed sunset date, WIPO DAS plans to accept and provide priority documents only compliant with WIPO Standard ST.92.  Further technical details on the implementation of the proposed Standard in WIPO DAS should be discussed separately among the Offices </w:t>
      </w:r>
      <w:r w:rsidR="00280583">
        <w:t>participating in</w:t>
      </w:r>
      <w:r>
        <w:t xml:space="preserve"> WIPO DAS. </w:t>
      </w:r>
    </w:p>
    <w:p w14:paraId="5C5A9CE0" w14:textId="7E32AC61" w:rsidR="009451BB" w:rsidRDefault="009451BB" w:rsidP="009451BB">
      <w:pPr>
        <w:pStyle w:val="Heading1"/>
      </w:pPr>
      <w:r>
        <w:t>Processing of Sequence Listings Under the PCT</w:t>
      </w:r>
    </w:p>
    <w:p w14:paraId="1B41332A" w14:textId="77777777" w:rsidR="009451BB" w:rsidRDefault="009451BB" w:rsidP="009451BB">
      <w:pPr>
        <w:pStyle w:val="ONUME"/>
      </w:pPr>
      <w:r>
        <w:t>Since July 2022, the International Bureau has received approximately 40,000 international applications which contain a sequence listing.  For most, the processing was simple and in line with expectations, but certain issues, some of which are presented below need further review and analysis.</w:t>
      </w:r>
    </w:p>
    <w:p w14:paraId="2F549A6A" w14:textId="77777777" w:rsidR="009451BB" w:rsidRDefault="009451BB" w:rsidP="00CE6957">
      <w:pPr>
        <w:pStyle w:val="Heading2"/>
      </w:pPr>
      <w:r>
        <w:t>Sequence Listings under Rule 13</w:t>
      </w:r>
      <w:r w:rsidRPr="0006574A">
        <w:rPr>
          <w:i/>
          <w:caps w:val="0"/>
        </w:rPr>
        <w:t>ter</w:t>
      </w:r>
    </w:p>
    <w:p w14:paraId="5BB4AB46" w14:textId="2C086735" w:rsidR="009451BB" w:rsidRDefault="009451BB" w:rsidP="009451BB">
      <w:pPr>
        <w:pStyle w:val="ONUME"/>
      </w:pPr>
      <w:r>
        <w:t>The use of Rule 13</w:t>
      </w:r>
      <w:r w:rsidRPr="009451BB">
        <w:rPr>
          <w:i/>
          <w:iCs/>
        </w:rPr>
        <w:t>ter</w:t>
      </w:r>
      <w:r>
        <w:t xml:space="preserve"> to request a sequence listing for the purpose of international search has decreased following the introduction of WIPO Standard ST.26, but not as much as had been expected.  It had been hoped that international applications disclosing sequences requiring a sequence listing would all contain a WIPO Standard ST.26-compliant sequence listing, validated prior to submission and considered suitable for international search.  However, presently around 13 per cent of international applications with a sequence listing include a submission under Rule 13</w:t>
      </w:r>
      <w:r w:rsidRPr="00B04DC0">
        <w:rPr>
          <w:i/>
          <w:iCs/>
        </w:rPr>
        <w:t>ter</w:t>
      </w:r>
      <w:r>
        <w:t>.  This includes:</w:t>
      </w:r>
    </w:p>
    <w:p w14:paraId="3D1B834F" w14:textId="358ECF9B" w:rsidR="009451BB" w:rsidRDefault="009451BB" w:rsidP="009451BB">
      <w:pPr>
        <w:pStyle w:val="ONUME"/>
        <w:numPr>
          <w:ilvl w:val="1"/>
          <w:numId w:val="5"/>
        </w:numPr>
      </w:pPr>
      <w:r>
        <w:t>cases where the sequence listing included in the international application as filed was presumably found to be defective, requiring a standard-compliant listing for search;</w:t>
      </w:r>
      <w:r w:rsidR="00B621ED">
        <w:t xml:space="preserve"> </w:t>
      </w:r>
      <w:r>
        <w:t>and</w:t>
      </w:r>
    </w:p>
    <w:p w14:paraId="6389303C" w14:textId="77777777" w:rsidR="009451BB" w:rsidRDefault="009451BB" w:rsidP="009451BB">
      <w:pPr>
        <w:pStyle w:val="ONUME"/>
        <w:numPr>
          <w:ilvl w:val="1"/>
          <w:numId w:val="5"/>
        </w:numPr>
      </w:pPr>
      <w:r>
        <w:t xml:space="preserve">cases where no listing had originally been submitted, but the international application disclosed sequences that should have been included in a listing.  </w:t>
      </w:r>
    </w:p>
    <w:p w14:paraId="210C5307" w14:textId="77777777" w:rsidR="009451BB" w:rsidRDefault="009451BB" w:rsidP="009451BB">
      <w:pPr>
        <w:pStyle w:val="ONUME"/>
      </w:pPr>
      <w:r>
        <w:t>Table 1 below presents a snapshot taken in September 2025 of the number of international applications filed on or after July 1, 2022, for which the International Bureau had received a sequence listing of some type, broken down by receiving Office.  The second to fourth columns show:</w:t>
      </w:r>
    </w:p>
    <w:p w14:paraId="70D9F63A" w14:textId="77777777" w:rsidR="009451BB" w:rsidRDefault="009451BB" w:rsidP="009451BB">
      <w:pPr>
        <w:pStyle w:val="ONUME"/>
        <w:numPr>
          <w:ilvl w:val="1"/>
          <w:numId w:val="5"/>
        </w:numPr>
      </w:pPr>
      <w:r>
        <w:t>the number of international applications with any type of sequence listing on file;</w:t>
      </w:r>
    </w:p>
    <w:p w14:paraId="74C8023B" w14:textId="77777777" w:rsidR="009451BB" w:rsidRDefault="009451BB" w:rsidP="009451BB">
      <w:pPr>
        <w:pStyle w:val="ONUME"/>
        <w:numPr>
          <w:ilvl w:val="1"/>
          <w:numId w:val="5"/>
        </w:numPr>
      </w:pPr>
      <w:r>
        <w:t>the number of international applications including a Rule 13</w:t>
      </w:r>
      <w:r w:rsidRPr="009451BB">
        <w:rPr>
          <w:i/>
          <w:iCs/>
        </w:rPr>
        <w:t xml:space="preserve">ter </w:t>
      </w:r>
      <w:r>
        <w:t>sequence listing in addition to a listing that had been included in the international application as filed;  and</w:t>
      </w:r>
    </w:p>
    <w:p w14:paraId="380A98AE" w14:textId="77777777" w:rsidR="009451BB" w:rsidRDefault="009451BB" w:rsidP="009451BB">
      <w:pPr>
        <w:pStyle w:val="ONUME"/>
        <w:numPr>
          <w:ilvl w:val="1"/>
          <w:numId w:val="5"/>
        </w:numPr>
      </w:pPr>
      <w:r>
        <w:t>the number of international applications including a Rule 13</w:t>
      </w:r>
      <w:r w:rsidRPr="009451BB">
        <w:rPr>
          <w:i/>
          <w:iCs/>
        </w:rPr>
        <w:t>ter</w:t>
      </w:r>
      <w:r>
        <w:t xml:space="preserve"> sequence listing where the international application as filed contained no sequence listing.</w:t>
      </w:r>
    </w:p>
    <w:p w14:paraId="5BF715A4" w14:textId="506B94C4" w:rsidR="009451BB" w:rsidRPr="009451BB" w:rsidRDefault="009451BB" w:rsidP="009451BB">
      <w:pPr>
        <w:pStyle w:val="ONUME"/>
        <w:numPr>
          <w:ilvl w:val="0"/>
          <w:numId w:val="0"/>
        </w:numPr>
        <w:rPr>
          <w:i/>
          <w:iCs/>
        </w:rPr>
      </w:pPr>
      <w:r w:rsidRPr="009451BB">
        <w:rPr>
          <w:i/>
          <w:iCs/>
        </w:rPr>
        <w:t>Table 1:  Number of International Applications with Sequence Listings by Receiving Office</w:t>
      </w:r>
    </w:p>
    <w:tbl>
      <w:tblPr>
        <w:tblStyle w:val="TableGrid"/>
        <w:tblW w:w="0" w:type="auto"/>
        <w:tblLook w:val="04A0" w:firstRow="1" w:lastRow="0" w:firstColumn="1" w:lastColumn="0" w:noHBand="0" w:noVBand="1"/>
        <w:tblCaption w:val="Number of International Applications with Sequence Listings by Receiving Office"/>
        <w:tblDescription w:val="This table shows the numbers of sequence listing by receiving Office, the number requiring Rule 13ter listings as an addition to a filed sequence listing, and the number where a Rule 13ter listing was submitted without any sequence listing originally filed."/>
      </w:tblPr>
      <w:tblGrid>
        <w:gridCol w:w="1256"/>
        <w:gridCol w:w="1291"/>
        <w:gridCol w:w="2835"/>
        <w:gridCol w:w="2977"/>
      </w:tblGrid>
      <w:tr w:rsidR="009451BB" w:rsidRPr="00F11746" w14:paraId="4550613F" w14:textId="77777777" w:rsidTr="007606CB">
        <w:trPr>
          <w:trHeight w:val="288"/>
          <w:tblHeader/>
        </w:trPr>
        <w:tc>
          <w:tcPr>
            <w:tcW w:w="1256" w:type="dxa"/>
            <w:noWrap/>
          </w:tcPr>
          <w:p w14:paraId="3106257F" w14:textId="77777777" w:rsidR="009451BB" w:rsidRPr="00F11746" w:rsidRDefault="009451BB" w:rsidP="007606CB">
            <w:pPr>
              <w:jc w:val="center"/>
              <w:rPr>
                <w:b/>
                <w:bCs/>
                <w:color w:val="000000"/>
                <w:szCs w:val="22"/>
              </w:rPr>
            </w:pPr>
            <w:r w:rsidRPr="00F11746">
              <w:rPr>
                <w:b/>
                <w:bCs/>
                <w:color w:val="000000"/>
                <w:szCs w:val="22"/>
              </w:rPr>
              <w:t>Receiving Office</w:t>
            </w:r>
          </w:p>
        </w:tc>
        <w:tc>
          <w:tcPr>
            <w:tcW w:w="1291" w:type="dxa"/>
            <w:noWrap/>
          </w:tcPr>
          <w:p w14:paraId="53D948B6" w14:textId="77777777" w:rsidR="009451BB" w:rsidRPr="00F11746" w:rsidRDefault="009451BB" w:rsidP="007606CB">
            <w:pPr>
              <w:jc w:val="center"/>
              <w:rPr>
                <w:b/>
                <w:bCs/>
                <w:color w:val="000000"/>
                <w:szCs w:val="22"/>
              </w:rPr>
            </w:pPr>
            <w:r w:rsidRPr="00F11746">
              <w:rPr>
                <w:b/>
                <w:bCs/>
                <w:color w:val="000000"/>
                <w:szCs w:val="22"/>
              </w:rPr>
              <w:t>Total</w:t>
            </w:r>
            <w:r>
              <w:rPr>
                <w:b/>
                <w:bCs/>
                <w:color w:val="000000"/>
                <w:szCs w:val="22"/>
              </w:rPr>
              <w:t xml:space="preserve"> with listings</w:t>
            </w:r>
          </w:p>
        </w:tc>
        <w:tc>
          <w:tcPr>
            <w:tcW w:w="2835" w:type="dxa"/>
            <w:noWrap/>
          </w:tcPr>
          <w:p w14:paraId="51C74436" w14:textId="77777777" w:rsidR="009451BB" w:rsidRPr="00F11746" w:rsidRDefault="009451BB" w:rsidP="007606CB">
            <w:pPr>
              <w:jc w:val="center"/>
              <w:rPr>
                <w:b/>
                <w:bCs/>
                <w:color w:val="000000"/>
                <w:szCs w:val="22"/>
              </w:rPr>
            </w:pPr>
            <w:r>
              <w:rPr>
                <w:b/>
                <w:bCs/>
                <w:color w:val="000000"/>
                <w:szCs w:val="22"/>
              </w:rPr>
              <w:t>Rule 13</w:t>
            </w:r>
            <w:r>
              <w:rPr>
                <w:b/>
                <w:bCs/>
                <w:i/>
                <w:iCs/>
                <w:color w:val="000000"/>
                <w:szCs w:val="22"/>
              </w:rPr>
              <w:t>ter</w:t>
            </w:r>
            <w:r>
              <w:rPr>
                <w:b/>
                <w:bCs/>
                <w:color w:val="000000"/>
                <w:szCs w:val="22"/>
              </w:rPr>
              <w:t xml:space="preserve"> in addition to listing as filed</w:t>
            </w:r>
          </w:p>
        </w:tc>
        <w:tc>
          <w:tcPr>
            <w:tcW w:w="2977" w:type="dxa"/>
            <w:noWrap/>
          </w:tcPr>
          <w:p w14:paraId="64909A24" w14:textId="77777777" w:rsidR="009451BB" w:rsidRDefault="009451BB" w:rsidP="007606CB">
            <w:pPr>
              <w:jc w:val="center"/>
              <w:rPr>
                <w:b/>
                <w:bCs/>
                <w:color w:val="000000"/>
                <w:szCs w:val="22"/>
              </w:rPr>
            </w:pPr>
            <w:r>
              <w:rPr>
                <w:b/>
                <w:bCs/>
                <w:color w:val="000000"/>
                <w:szCs w:val="22"/>
              </w:rPr>
              <w:t>Rule 13</w:t>
            </w:r>
            <w:r>
              <w:rPr>
                <w:b/>
                <w:bCs/>
                <w:i/>
                <w:iCs/>
                <w:color w:val="000000"/>
                <w:szCs w:val="22"/>
              </w:rPr>
              <w:t>ter</w:t>
            </w:r>
            <w:r w:rsidRPr="00F11746">
              <w:rPr>
                <w:b/>
                <w:bCs/>
                <w:color w:val="000000"/>
                <w:szCs w:val="22"/>
              </w:rPr>
              <w:t xml:space="preserve"> </w:t>
            </w:r>
            <w:r>
              <w:rPr>
                <w:b/>
                <w:bCs/>
                <w:color w:val="000000"/>
                <w:szCs w:val="22"/>
              </w:rPr>
              <w:t xml:space="preserve">submitted </w:t>
            </w:r>
          </w:p>
          <w:p w14:paraId="1A763EB5" w14:textId="77777777" w:rsidR="009451BB" w:rsidRPr="00F11746" w:rsidRDefault="009451BB" w:rsidP="007606CB">
            <w:pPr>
              <w:jc w:val="center"/>
              <w:rPr>
                <w:b/>
                <w:bCs/>
                <w:color w:val="000000"/>
                <w:szCs w:val="22"/>
              </w:rPr>
            </w:pPr>
            <w:r>
              <w:rPr>
                <w:b/>
                <w:bCs/>
                <w:color w:val="000000"/>
                <w:szCs w:val="22"/>
              </w:rPr>
              <w:t>l</w:t>
            </w:r>
            <w:r w:rsidRPr="00F11746">
              <w:rPr>
                <w:b/>
                <w:bCs/>
                <w:color w:val="000000"/>
                <w:szCs w:val="22"/>
              </w:rPr>
              <w:t>ater only</w:t>
            </w:r>
          </w:p>
        </w:tc>
      </w:tr>
      <w:tr w:rsidR="009451BB" w:rsidRPr="00F11746" w14:paraId="6E1DDB9D" w14:textId="77777777" w:rsidTr="007606CB">
        <w:trPr>
          <w:trHeight w:val="288"/>
        </w:trPr>
        <w:tc>
          <w:tcPr>
            <w:tcW w:w="1256" w:type="dxa"/>
            <w:noWrap/>
            <w:hideMark/>
          </w:tcPr>
          <w:p w14:paraId="37AF9045" w14:textId="77777777" w:rsidR="009451BB" w:rsidRPr="00F11746" w:rsidRDefault="009451BB" w:rsidP="007606CB">
            <w:pPr>
              <w:jc w:val="center"/>
              <w:rPr>
                <w:color w:val="000000"/>
                <w:szCs w:val="22"/>
              </w:rPr>
            </w:pPr>
            <w:r w:rsidRPr="00DB5BB5">
              <w:t>AT</w:t>
            </w:r>
          </w:p>
        </w:tc>
        <w:tc>
          <w:tcPr>
            <w:tcW w:w="1291" w:type="dxa"/>
            <w:noWrap/>
            <w:hideMark/>
          </w:tcPr>
          <w:p w14:paraId="653E6D7F" w14:textId="77777777" w:rsidR="009451BB" w:rsidRPr="00F11746" w:rsidRDefault="009451BB" w:rsidP="007606CB">
            <w:pPr>
              <w:jc w:val="right"/>
              <w:rPr>
                <w:color w:val="000000"/>
                <w:szCs w:val="22"/>
              </w:rPr>
            </w:pPr>
            <w:r w:rsidRPr="00DB5BB5">
              <w:t xml:space="preserve"> 4 </w:t>
            </w:r>
          </w:p>
        </w:tc>
        <w:tc>
          <w:tcPr>
            <w:tcW w:w="2835" w:type="dxa"/>
            <w:noWrap/>
            <w:hideMark/>
          </w:tcPr>
          <w:p w14:paraId="26FB9773" w14:textId="77777777" w:rsidR="009451BB" w:rsidRPr="00F11746" w:rsidRDefault="009451BB" w:rsidP="007606CB">
            <w:pPr>
              <w:jc w:val="right"/>
              <w:rPr>
                <w:color w:val="000000"/>
                <w:szCs w:val="22"/>
              </w:rPr>
            </w:pPr>
          </w:p>
        </w:tc>
        <w:tc>
          <w:tcPr>
            <w:tcW w:w="2977" w:type="dxa"/>
            <w:noWrap/>
            <w:hideMark/>
          </w:tcPr>
          <w:p w14:paraId="1CEDE95A" w14:textId="77777777" w:rsidR="009451BB" w:rsidRPr="00F11746" w:rsidRDefault="009451BB" w:rsidP="007606CB">
            <w:pPr>
              <w:jc w:val="right"/>
              <w:rPr>
                <w:color w:val="000000"/>
                <w:szCs w:val="22"/>
              </w:rPr>
            </w:pPr>
          </w:p>
        </w:tc>
      </w:tr>
      <w:tr w:rsidR="009451BB" w:rsidRPr="00F11746" w14:paraId="19C918B2" w14:textId="77777777" w:rsidTr="007606CB">
        <w:trPr>
          <w:trHeight w:val="288"/>
        </w:trPr>
        <w:tc>
          <w:tcPr>
            <w:tcW w:w="1256" w:type="dxa"/>
            <w:noWrap/>
            <w:hideMark/>
          </w:tcPr>
          <w:p w14:paraId="0A7EFF8A" w14:textId="77777777" w:rsidR="009451BB" w:rsidRPr="00F11746" w:rsidRDefault="009451BB" w:rsidP="007606CB">
            <w:pPr>
              <w:jc w:val="center"/>
              <w:rPr>
                <w:color w:val="000000"/>
                <w:szCs w:val="22"/>
              </w:rPr>
            </w:pPr>
            <w:r w:rsidRPr="00DB5BB5">
              <w:t>AU</w:t>
            </w:r>
          </w:p>
        </w:tc>
        <w:tc>
          <w:tcPr>
            <w:tcW w:w="1291" w:type="dxa"/>
            <w:noWrap/>
            <w:hideMark/>
          </w:tcPr>
          <w:p w14:paraId="451DFB05" w14:textId="77777777" w:rsidR="009451BB" w:rsidRPr="00F11746" w:rsidRDefault="009451BB" w:rsidP="007606CB">
            <w:pPr>
              <w:jc w:val="right"/>
              <w:rPr>
                <w:color w:val="000000"/>
                <w:szCs w:val="22"/>
              </w:rPr>
            </w:pPr>
            <w:r w:rsidRPr="00DB5BB5">
              <w:t xml:space="preserve"> 350 </w:t>
            </w:r>
          </w:p>
        </w:tc>
        <w:tc>
          <w:tcPr>
            <w:tcW w:w="2835" w:type="dxa"/>
            <w:noWrap/>
            <w:hideMark/>
          </w:tcPr>
          <w:p w14:paraId="2A33B6E6" w14:textId="77777777" w:rsidR="009451BB" w:rsidRPr="00F11746" w:rsidRDefault="009451BB" w:rsidP="007606CB">
            <w:pPr>
              <w:jc w:val="right"/>
              <w:rPr>
                <w:color w:val="000000"/>
                <w:szCs w:val="22"/>
              </w:rPr>
            </w:pPr>
          </w:p>
        </w:tc>
        <w:tc>
          <w:tcPr>
            <w:tcW w:w="2977" w:type="dxa"/>
            <w:noWrap/>
            <w:hideMark/>
          </w:tcPr>
          <w:p w14:paraId="1CFC655B" w14:textId="77777777" w:rsidR="009451BB" w:rsidRPr="00F11746" w:rsidRDefault="009451BB" w:rsidP="007606CB">
            <w:pPr>
              <w:jc w:val="right"/>
              <w:rPr>
                <w:color w:val="000000"/>
                <w:szCs w:val="22"/>
              </w:rPr>
            </w:pPr>
            <w:r w:rsidRPr="00DB5BB5">
              <w:t xml:space="preserve"> 3 </w:t>
            </w:r>
          </w:p>
        </w:tc>
      </w:tr>
      <w:tr w:rsidR="009451BB" w:rsidRPr="00F11746" w14:paraId="099B445C" w14:textId="77777777" w:rsidTr="007606CB">
        <w:trPr>
          <w:trHeight w:val="288"/>
        </w:trPr>
        <w:tc>
          <w:tcPr>
            <w:tcW w:w="1256" w:type="dxa"/>
            <w:noWrap/>
            <w:hideMark/>
          </w:tcPr>
          <w:p w14:paraId="52C526D3" w14:textId="77777777" w:rsidR="009451BB" w:rsidRPr="00F11746" w:rsidRDefault="009451BB" w:rsidP="007606CB">
            <w:pPr>
              <w:jc w:val="center"/>
              <w:rPr>
                <w:color w:val="000000"/>
                <w:szCs w:val="22"/>
              </w:rPr>
            </w:pPr>
            <w:r w:rsidRPr="00DB5BB5">
              <w:t>BR</w:t>
            </w:r>
          </w:p>
        </w:tc>
        <w:tc>
          <w:tcPr>
            <w:tcW w:w="1291" w:type="dxa"/>
            <w:noWrap/>
            <w:hideMark/>
          </w:tcPr>
          <w:p w14:paraId="706F5566" w14:textId="77777777" w:rsidR="009451BB" w:rsidRPr="00F11746" w:rsidRDefault="009451BB" w:rsidP="007606CB">
            <w:pPr>
              <w:jc w:val="right"/>
              <w:rPr>
                <w:color w:val="000000"/>
                <w:szCs w:val="22"/>
              </w:rPr>
            </w:pPr>
            <w:r w:rsidRPr="00DB5BB5">
              <w:t xml:space="preserve"> 66 </w:t>
            </w:r>
          </w:p>
        </w:tc>
        <w:tc>
          <w:tcPr>
            <w:tcW w:w="2835" w:type="dxa"/>
            <w:noWrap/>
            <w:hideMark/>
          </w:tcPr>
          <w:p w14:paraId="7A2C27B5" w14:textId="77777777" w:rsidR="009451BB" w:rsidRPr="00F11746" w:rsidRDefault="009451BB" w:rsidP="007606CB">
            <w:pPr>
              <w:jc w:val="right"/>
              <w:rPr>
                <w:color w:val="000000"/>
                <w:szCs w:val="22"/>
              </w:rPr>
            </w:pPr>
          </w:p>
        </w:tc>
        <w:tc>
          <w:tcPr>
            <w:tcW w:w="2977" w:type="dxa"/>
            <w:noWrap/>
            <w:hideMark/>
          </w:tcPr>
          <w:p w14:paraId="0AFC3C20" w14:textId="77777777" w:rsidR="009451BB" w:rsidRPr="00F11746" w:rsidRDefault="009451BB" w:rsidP="007606CB">
            <w:pPr>
              <w:jc w:val="right"/>
              <w:rPr>
                <w:color w:val="000000"/>
                <w:szCs w:val="22"/>
              </w:rPr>
            </w:pPr>
            <w:r w:rsidRPr="00DB5BB5">
              <w:t xml:space="preserve"> 2 </w:t>
            </w:r>
          </w:p>
        </w:tc>
      </w:tr>
      <w:tr w:rsidR="009451BB" w:rsidRPr="00F11746" w14:paraId="7F000E7E" w14:textId="77777777" w:rsidTr="007606CB">
        <w:trPr>
          <w:trHeight w:val="288"/>
        </w:trPr>
        <w:tc>
          <w:tcPr>
            <w:tcW w:w="1256" w:type="dxa"/>
            <w:noWrap/>
            <w:hideMark/>
          </w:tcPr>
          <w:p w14:paraId="249A41C2" w14:textId="77777777" w:rsidR="009451BB" w:rsidRPr="00F11746" w:rsidRDefault="009451BB" w:rsidP="007606CB">
            <w:pPr>
              <w:jc w:val="center"/>
              <w:rPr>
                <w:color w:val="000000"/>
                <w:szCs w:val="22"/>
              </w:rPr>
            </w:pPr>
            <w:r w:rsidRPr="00DB5BB5">
              <w:t>CA</w:t>
            </w:r>
          </w:p>
        </w:tc>
        <w:tc>
          <w:tcPr>
            <w:tcW w:w="1291" w:type="dxa"/>
            <w:noWrap/>
            <w:hideMark/>
          </w:tcPr>
          <w:p w14:paraId="4CD97C21" w14:textId="77777777" w:rsidR="009451BB" w:rsidRPr="00F11746" w:rsidRDefault="009451BB" w:rsidP="007606CB">
            <w:pPr>
              <w:jc w:val="right"/>
              <w:rPr>
                <w:color w:val="000000"/>
                <w:szCs w:val="22"/>
              </w:rPr>
            </w:pPr>
            <w:r w:rsidRPr="00DB5BB5">
              <w:t xml:space="preserve"> 362 </w:t>
            </w:r>
          </w:p>
        </w:tc>
        <w:tc>
          <w:tcPr>
            <w:tcW w:w="2835" w:type="dxa"/>
            <w:noWrap/>
            <w:hideMark/>
          </w:tcPr>
          <w:p w14:paraId="4E7BD0DC" w14:textId="77777777" w:rsidR="009451BB" w:rsidRPr="00F11746" w:rsidRDefault="009451BB" w:rsidP="007606CB">
            <w:pPr>
              <w:jc w:val="right"/>
              <w:rPr>
                <w:color w:val="000000"/>
                <w:szCs w:val="22"/>
              </w:rPr>
            </w:pPr>
            <w:r w:rsidRPr="00DB5BB5">
              <w:t xml:space="preserve"> 5 </w:t>
            </w:r>
          </w:p>
        </w:tc>
        <w:tc>
          <w:tcPr>
            <w:tcW w:w="2977" w:type="dxa"/>
            <w:noWrap/>
            <w:hideMark/>
          </w:tcPr>
          <w:p w14:paraId="7F085DB6" w14:textId="77777777" w:rsidR="009451BB" w:rsidRPr="00F11746" w:rsidRDefault="009451BB" w:rsidP="007606CB">
            <w:pPr>
              <w:jc w:val="right"/>
              <w:rPr>
                <w:color w:val="000000"/>
                <w:szCs w:val="22"/>
              </w:rPr>
            </w:pPr>
            <w:r w:rsidRPr="00DB5BB5">
              <w:t xml:space="preserve"> 47 </w:t>
            </w:r>
          </w:p>
        </w:tc>
      </w:tr>
      <w:tr w:rsidR="009451BB" w:rsidRPr="00F11746" w14:paraId="1E4DCC27" w14:textId="77777777" w:rsidTr="007606CB">
        <w:trPr>
          <w:trHeight w:val="288"/>
        </w:trPr>
        <w:tc>
          <w:tcPr>
            <w:tcW w:w="1256" w:type="dxa"/>
            <w:noWrap/>
            <w:hideMark/>
          </w:tcPr>
          <w:p w14:paraId="4038EFE2" w14:textId="77777777" w:rsidR="009451BB" w:rsidRPr="00F11746" w:rsidRDefault="009451BB" w:rsidP="007606CB">
            <w:pPr>
              <w:jc w:val="center"/>
              <w:rPr>
                <w:color w:val="000000"/>
                <w:szCs w:val="22"/>
              </w:rPr>
            </w:pPr>
            <w:r w:rsidRPr="00DB5BB5">
              <w:t>CL</w:t>
            </w:r>
          </w:p>
        </w:tc>
        <w:tc>
          <w:tcPr>
            <w:tcW w:w="1291" w:type="dxa"/>
            <w:noWrap/>
            <w:hideMark/>
          </w:tcPr>
          <w:p w14:paraId="63579188" w14:textId="77777777" w:rsidR="009451BB" w:rsidRPr="00F11746" w:rsidRDefault="009451BB" w:rsidP="007606CB">
            <w:pPr>
              <w:jc w:val="right"/>
              <w:rPr>
                <w:color w:val="000000"/>
                <w:szCs w:val="22"/>
              </w:rPr>
            </w:pPr>
            <w:r w:rsidRPr="00DB5BB5">
              <w:t xml:space="preserve"> 10 </w:t>
            </w:r>
          </w:p>
        </w:tc>
        <w:tc>
          <w:tcPr>
            <w:tcW w:w="2835" w:type="dxa"/>
            <w:noWrap/>
            <w:hideMark/>
          </w:tcPr>
          <w:p w14:paraId="317705D8" w14:textId="77777777" w:rsidR="009451BB" w:rsidRPr="00F11746" w:rsidRDefault="009451BB" w:rsidP="007606CB">
            <w:pPr>
              <w:jc w:val="right"/>
              <w:rPr>
                <w:color w:val="000000"/>
                <w:szCs w:val="22"/>
              </w:rPr>
            </w:pPr>
          </w:p>
        </w:tc>
        <w:tc>
          <w:tcPr>
            <w:tcW w:w="2977" w:type="dxa"/>
            <w:noWrap/>
            <w:hideMark/>
          </w:tcPr>
          <w:p w14:paraId="3E27F77A" w14:textId="77777777" w:rsidR="009451BB" w:rsidRPr="00F11746" w:rsidRDefault="009451BB" w:rsidP="007606CB">
            <w:pPr>
              <w:jc w:val="right"/>
              <w:rPr>
                <w:color w:val="000000"/>
                <w:szCs w:val="22"/>
              </w:rPr>
            </w:pPr>
            <w:r w:rsidRPr="00DB5BB5">
              <w:t xml:space="preserve"> 1 </w:t>
            </w:r>
          </w:p>
        </w:tc>
      </w:tr>
      <w:tr w:rsidR="009451BB" w:rsidRPr="00F11746" w14:paraId="220C7C34" w14:textId="77777777" w:rsidTr="007606CB">
        <w:trPr>
          <w:trHeight w:val="288"/>
        </w:trPr>
        <w:tc>
          <w:tcPr>
            <w:tcW w:w="1256" w:type="dxa"/>
            <w:noWrap/>
            <w:hideMark/>
          </w:tcPr>
          <w:p w14:paraId="299DBCED" w14:textId="77777777" w:rsidR="009451BB" w:rsidRPr="00F11746" w:rsidRDefault="009451BB" w:rsidP="007606CB">
            <w:pPr>
              <w:jc w:val="center"/>
              <w:rPr>
                <w:color w:val="000000"/>
                <w:szCs w:val="22"/>
              </w:rPr>
            </w:pPr>
            <w:r w:rsidRPr="00DB5BB5">
              <w:t>CN</w:t>
            </w:r>
          </w:p>
        </w:tc>
        <w:tc>
          <w:tcPr>
            <w:tcW w:w="1291" w:type="dxa"/>
            <w:noWrap/>
            <w:hideMark/>
          </w:tcPr>
          <w:p w14:paraId="236591E3" w14:textId="77777777" w:rsidR="009451BB" w:rsidRPr="00F11746" w:rsidRDefault="009451BB" w:rsidP="007606CB">
            <w:pPr>
              <w:jc w:val="right"/>
              <w:rPr>
                <w:color w:val="000000"/>
                <w:szCs w:val="22"/>
              </w:rPr>
            </w:pPr>
            <w:r w:rsidRPr="00DB5BB5">
              <w:t xml:space="preserve"> 9,041 </w:t>
            </w:r>
          </w:p>
        </w:tc>
        <w:tc>
          <w:tcPr>
            <w:tcW w:w="2835" w:type="dxa"/>
            <w:noWrap/>
            <w:hideMark/>
          </w:tcPr>
          <w:p w14:paraId="0A9A7760" w14:textId="77777777" w:rsidR="009451BB" w:rsidRPr="00F11746" w:rsidRDefault="009451BB" w:rsidP="007606CB">
            <w:pPr>
              <w:jc w:val="right"/>
              <w:rPr>
                <w:color w:val="000000"/>
                <w:szCs w:val="22"/>
              </w:rPr>
            </w:pPr>
            <w:r w:rsidRPr="00DB5BB5">
              <w:t xml:space="preserve"> 10 </w:t>
            </w:r>
          </w:p>
        </w:tc>
        <w:tc>
          <w:tcPr>
            <w:tcW w:w="2977" w:type="dxa"/>
            <w:noWrap/>
            <w:hideMark/>
          </w:tcPr>
          <w:p w14:paraId="62E26368" w14:textId="77777777" w:rsidR="009451BB" w:rsidRPr="00F11746" w:rsidRDefault="009451BB" w:rsidP="007606CB">
            <w:pPr>
              <w:jc w:val="right"/>
              <w:rPr>
                <w:color w:val="000000"/>
                <w:szCs w:val="22"/>
              </w:rPr>
            </w:pPr>
            <w:r w:rsidRPr="00DB5BB5">
              <w:t xml:space="preserve"> 93 </w:t>
            </w:r>
          </w:p>
        </w:tc>
      </w:tr>
      <w:tr w:rsidR="009451BB" w:rsidRPr="00F11746" w14:paraId="1050FF56" w14:textId="77777777" w:rsidTr="007606CB">
        <w:trPr>
          <w:trHeight w:val="288"/>
        </w:trPr>
        <w:tc>
          <w:tcPr>
            <w:tcW w:w="1256" w:type="dxa"/>
            <w:noWrap/>
            <w:hideMark/>
          </w:tcPr>
          <w:p w14:paraId="54058E30" w14:textId="77777777" w:rsidR="009451BB" w:rsidRPr="00F11746" w:rsidRDefault="009451BB" w:rsidP="007606CB">
            <w:pPr>
              <w:jc w:val="center"/>
              <w:rPr>
                <w:color w:val="000000"/>
                <w:szCs w:val="22"/>
              </w:rPr>
            </w:pPr>
            <w:r w:rsidRPr="00DB5BB5">
              <w:t>CU</w:t>
            </w:r>
          </w:p>
        </w:tc>
        <w:tc>
          <w:tcPr>
            <w:tcW w:w="1291" w:type="dxa"/>
            <w:noWrap/>
            <w:hideMark/>
          </w:tcPr>
          <w:p w14:paraId="742CA339" w14:textId="77777777" w:rsidR="009451BB" w:rsidRPr="00F11746" w:rsidRDefault="009451BB" w:rsidP="007606CB">
            <w:pPr>
              <w:jc w:val="right"/>
              <w:rPr>
                <w:color w:val="000000"/>
                <w:szCs w:val="22"/>
              </w:rPr>
            </w:pPr>
            <w:r w:rsidRPr="00DB5BB5">
              <w:t xml:space="preserve"> 12 </w:t>
            </w:r>
          </w:p>
        </w:tc>
        <w:tc>
          <w:tcPr>
            <w:tcW w:w="2835" w:type="dxa"/>
            <w:noWrap/>
            <w:hideMark/>
          </w:tcPr>
          <w:p w14:paraId="6F7EAF1A" w14:textId="77777777" w:rsidR="009451BB" w:rsidRPr="00F11746" w:rsidRDefault="009451BB" w:rsidP="007606CB">
            <w:pPr>
              <w:jc w:val="right"/>
              <w:rPr>
                <w:color w:val="000000"/>
                <w:szCs w:val="22"/>
              </w:rPr>
            </w:pPr>
            <w:r w:rsidRPr="00DB5BB5">
              <w:t xml:space="preserve"> 2 </w:t>
            </w:r>
          </w:p>
        </w:tc>
        <w:tc>
          <w:tcPr>
            <w:tcW w:w="2977" w:type="dxa"/>
            <w:noWrap/>
            <w:hideMark/>
          </w:tcPr>
          <w:p w14:paraId="6A1059C6" w14:textId="77777777" w:rsidR="009451BB" w:rsidRPr="00F11746" w:rsidRDefault="009451BB" w:rsidP="007606CB">
            <w:pPr>
              <w:jc w:val="right"/>
              <w:rPr>
                <w:color w:val="000000"/>
                <w:szCs w:val="22"/>
              </w:rPr>
            </w:pPr>
          </w:p>
        </w:tc>
      </w:tr>
      <w:tr w:rsidR="009451BB" w:rsidRPr="00F11746" w14:paraId="12B4B3BB" w14:textId="77777777" w:rsidTr="007606CB">
        <w:trPr>
          <w:trHeight w:val="288"/>
        </w:trPr>
        <w:tc>
          <w:tcPr>
            <w:tcW w:w="1256" w:type="dxa"/>
            <w:noWrap/>
            <w:hideMark/>
          </w:tcPr>
          <w:p w14:paraId="0E604A21" w14:textId="77777777" w:rsidR="009451BB" w:rsidRPr="00F11746" w:rsidRDefault="009451BB" w:rsidP="007606CB">
            <w:pPr>
              <w:jc w:val="center"/>
              <w:rPr>
                <w:color w:val="000000"/>
                <w:szCs w:val="22"/>
              </w:rPr>
            </w:pPr>
            <w:r w:rsidRPr="00DB5BB5">
              <w:t>CZ</w:t>
            </w:r>
          </w:p>
        </w:tc>
        <w:tc>
          <w:tcPr>
            <w:tcW w:w="1291" w:type="dxa"/>
            <w:noWrap/>
            <w:hideMark/>
          </w:tcPr>
          <w:p w14:paraId="1F089D32" w14:textId="77777777" w:rsidR="009451BB" w:rsidRPr="00F11746" w:rsidRDefault="009451BB" w:rsidP="007606CB">
            <w:pPr>
              <w:jc w:val="right"/>
              <w:rPr>
                <w:color w:val="000000"/>
                <w:szCs w:val="22"/>
              </w:rPr>
            </w:pPr>
            <w:r w:rsidRPr="00DB5BB5">
              <w:t xml:space="preserve"> 31 </w:t>
            </w:r>
          </w:p>
        </w:tc>
        <w:tc>
          <w:tcPr>
            <w:tcW w:w="2835" w:type="dxa"/>
            <w:noWrap/>
            <w:hideMark/>
          </w:tcPr>
          <w:p w14:paraId="28834C66" w14:textId="77777777" w:rsidR="009451BB" w:rsidRPr="00F11746" w:rsidRDefault="009451BB" w:rsidP="007606CB">
            <w:pPr>
              <w:jc w:val="right"/>
              <w:rPr>
                <w:color w:val="000000"/>
                <w:szCs w:val="22"/>
              </w:rPr>
            </w:pPr>
          </w:p>
        </w:tc>
        <w:tc>
          <w:tcPr>
            <w:tcW w:w="2977" w:type="dxa"/>
            <w:noWrap/>
            <w:hideMark/>
          </w:tcPr>
          <w:p w14:paraId="5016B899" w14:textId="77777777" w:rsidR="009451BB" w:rsidRPr="00F11746" w:rsidRDefault="009451BB" w:rsidP="007606CB">
            <w:pPr>
              <w:jc w:val="right"/>
              <w:rPr>
                <w:color w:val="000000"/>
                <w:szCs w:val="22"/>
              </w:rPr>
            </w:pPr>
            <w:r w:rsidRPr="00DB5BB5">
              <w:t xml:space="preserve"> 4 </w:t>
            </w:r>
          </w:p>
        </w:tc>
      </w:tr>
      <w:tr w:rsidR="009451BB" w:rsidRPr="00F11746" w14:paraId="3F4FAFA3" w14:textId="77777777" w:rsidTr="007606CB">
        <w:trPr>
          <w:trHeight w:val="288"/>
        </w:trPr>
        <w:tc>
          <w:tcPr>
            <w:tcW w:w="1256" w:type="dxa"/>
            <w:noWrap/>
            <w:hideMark/>
          </w:tcPr>
          <w:p w14:paraId="395FC0DC" w14:textId="77777777" w:rsidR="009451BB" w:rsidRPr="00F11746" w:rsidRDefault="009451BB" w:rsidP="007606CB">
            <w:pPr>
              <w:jc w:val="center"/>
              <w:rPr>
                <w:color w:val="000000"/>
                <w:szCs w:val="22"/>
              </w:rPr>
            </w:pPr>
            <w:r w:rsidRPr="00DB5BB5">
              <w:t>DE</w:t>
            </w:r>
          </w:p>
        </w:tc>
        <w:tc>
          <w:tcPr>
            <w:tcW w:w="1291" w:type="dxa"/>
            <w:noWrap/>
            <w:hideMark/>
          </w:tcPr>
          <w:p w14:paraId="29768D0B" w14:textId="77777777" w:rsidR="009451BB" w:rsidRPr="00F11746" w:rsidRDefault="009451BB" w:rsidP="007606CB">
            <w:pPr>
              <w:jc w:val="right"/>
              <w:rPr>
                <w:color w:val="000000"/>
                <w:szCs w:val="22"/>
              </w:rPr>
            </w:pPr>
            <w:r w:rsidRPr="00DB5BB5">
              <w:t xml:space="preserve"> 10 </w:t>
            </w:r>
          </w:p>
        </w:tc>
        <w:tc>
          <w:tcPr>
            <w:tcW w:w="2835" w:type="dxa"/>
            <w:noWrap/>
            <w:hideMark/>
          </w:tcPr>
          <w:p w14:paraId="440D9FA9" w14:textId="77777777" w:rsidR="009451BB" w:rsidRPr="00F11746" w:rsidRDefault="009451BB" w:rsidP="007606CB">
            <w:pPr>
              <w:jc w:val="right"/>
              <w:rPr>
                <w:color w:val="000000"/>
                <w:szCs w:val="22"/>
              </w:rPr>
            </w:pPr>
          </w:p>
        </w:tc>
        <w:tc>
          <w:tcPr>
            <w:tcW w:w="2977" w:type="dxa"/>
            <w:noWrap/>
            <w:hideMark/>
          </w:tcPr>
          <w:p w14:paraId="59B2E6DE" w14:textId="77777777" w:rsidR="009451BB" w:rsidRPr="00F11746" w:rsidRDefault="009451BB" w:rsidP="007606CB">
            <w:pPr>
              <w:jc w:val="right"/>
              <w:rPr>
                <w:color w:val="000000"/>
                <w:szCs w:val="22"/>
              </w:rPr>
            </w:pPr>
          </w:p>
        </w:tc>
      </w:tr>
      <w:tr w:rsidR="009451BB" w:rsidRPr="00F11746" w14:paraId="45CDD4B0" w14:textId="77777777" w:rsidTr="007606CB">
        <w:trPr>
          <w:trHeight w:val="288"/>
        </w:trPr>
        <w:tc>
          <w:tcPr>
            <w:tcW w:w="1256" w:type="dxa"/>
            <w:noWrap/>
            <w:hideMark/>
          </w:tcPr>
          <w:p w14:paraId="6F11C3A6" w14:textId="77777777" w:rsidR="009451BB" w:rsidRPr="00F11746" w:rsidRDefault="009451BB" w:rsidP="007606CB">
            <w:pPr>
              <w:jc w:val="center"/>
              <w:rPr>
                <w:color w:val="000000"/>
                <w:szCs w:val="22"/>
              </w:rPr>
            </w:pPr>
            <w:r w:rsidRPr="00DB5BB5">
              <w:t>DK</w:t>
            </w:r>
          </w:p>
        </w:tc>
        <w:tc>
          <w:tcPr>
            <w:tcW w:w="1291" w:type="dxa"/>
            <w:noWrap/>
            <w:hideMark/>
          </w:tcPr>
          <w:p w14:paraId="178BA36E" w14:textId="77777777" w:rsidR="009451BB" w:rsidRPr="00F11746" w:rsidRDefault="009451BB" w:rsidP="007606CB">
            <w:pPr>
              <w:jc w:val="right"/>
              <w:rPr>
                <w:color w:val="000000"/>
                <w:szCs w:val="22"/>
              </w:rPr>
            </w:pPr>
            <w:r w:rsidRPr="00DB5BB5">
              <w:t xml:space="preserve"> 8 </w:t>
            </w:r>
          </w:p>
        </w:tc>
        <w:tc>
          <w:tcPr>
            <w:tcW w:w="2835" w:type="dxa"/>
            <w:noWrap/>
            <w:hideMark/>
          </w:tcPr>
          <w:p w14:paraId="63096AA1" w14:textId="77777777" w:rsidR="009451BB" w:rsidRPr="00F11746" w:rsidRDefault="009451BB" w:rsidP="007606CB">
            <w:pPr>
              <w:jc w:val="right"/>
              <w:rPr>
                <w:color w:val="000000"/>
                <w:szCs w:val="22"/>
              </w:rPr>
            </w:pPr>
          </w:p>
        </w:tc>
        <w:tc>
          <w:tcPr>
            <w:tcW w:w="2977" w:type="dxa"/>
            <w:noWrap/>
            <w:hideMark/>
          </w:tcPr>
          <w:p w14:paraId="7B4CA11D" w14:textId="77777777" w:rsidR="009451BB" w:rsidRPr="00F11746" w:rsidRDefault="009451BB" w:rsidP="007606CB">
            <w:pPr>
              <w:jc w:val="right"/>
              <w:rPr>
                <w:color w:val="000000"/>
                <w:szCs w:val="22"/>
              </w:rPr>
            </w:pPr>
            <w:r w:rsidRPr="00DB5BB5">
              <w:t xml:space="preserve"> 1 </w:t>
            </w:r>
          </w:p>
        </w:tc>
      </w:tr>
      <w:tr w:rsidR="009451BB" w:rsidRPr="00F11746" w14:paraId="7A60CFA7" w14:textId="77777777" w:rsidTr="007606CB">
        <w:trPr>
          <w:trHeight w:val="288"/>
        </w:trPr>
        <w:tc>
          <w:tcPr>
            <w:tcW w:w="1256" w:type="dxa"/>
            <w:noWrap/>
            <w:hideMark/>
          </w:tcPr>
          <w:p w14:paraId="04654739" w14:textId="77777777" w:rsidR="009451BB" w:rsidRPr="00F11746" w:rsidRDefault="009451BB" w:rsidP="007606CB">
            <w:pPr>
              <w:jc w:val="center"/>
              <w:rPr>
                <w:color w:val="000000"/>
                <w:szCs w:val="22"/>
              </w:rPr>
            </w:pPr>
            <w:r w:rsidRPr="00DB5BB5">
              <w:t>EP</w:t>
            </w:r>
          </w:p>
        </w:tc>
        <w:tc>
          <w:tcPr>
            <w:tcW w:w="1291" w:type="dxa"/>
            <w:noWrap/>
            <w:hideMark/>
          </w:tcPr>
          <w:p w14:paraId="3C69FCAC" w14:textId="77777777" w:rsidR="009451BB" w:rsidRPr="00F11746" w:rsidRDefault="009451BB" w:rsidP="007606CB">
            <w:pPr>
              <w:jc w:val="right"/>
              <w:rPr>
                <w:color w:val="000000"/>
                <w:szCs w:val="22"/>
              </w:rPr>
            </w:pPr>
            <w:r w:rsidRPr="00DB5BB5">
              <w:t xml:space="preserve"> 6,150 </w:t>
            </w:r>
          </w:p>
        </w:tc>
        <w:tc>
          <w:tcPr>
            <w:tcW w:w="2835" w:type="dxa"/>
            <w:noWrap/>
            <w:hideMark/>
          </w:tcPr>
          <w:p w14:paraId="490F1758" w14:textId="77777777" w:rsidR="009451BB" w:rsidRPr="00F11746" w:rsidRDefault="009451BB" w:rsidP="007606CB">
            <w:pPr>
              <w:jc w:val="right"/>
              <w:rPr>
                <w:color w:val="000000"/>
                <w:szCs w:val="22"/>
              </w:rPr>
            </w:pPr>
            <w:r w:rsidRPr="00DB5BB5">
              <w:t xml:space="preserve"> 125 </w:t>
            </w:r>
          </w:p>
        </w:tc>
        <w:tc>
          <w:tcPr>
            <w:tcW w:w="2977" w:type="dxa"/>
            <w:noWrap/>
            <w:hideMark/>
          </w:tcPr>
          <w:p w14:paraId="62FF6209" w14:textId="77777777" w:rsidR="009451BB" w:rsidRPr="00F11746" w:rsidRDefault="009451BB" w:rsidP="007606CB">
            <w:pPr>
              <w:jc w:val="right"/>
              <w:rPr>
                <w:color w:val="000000"/>
                <w:szCs w:val="22"/>
              </w:rPr>
            </w:pPr>
            <w:r w:rsidRPr="00DB5BB5">
              <w:t xml:space="preserve"> 399 </w:t>
            </w:r>
          </w:p>
        </w:tc>
      </w:tr>
      <w:tr w:rsidR="009451BB" w:rsidRPr="00F11746" w14:paraId="507DB4A3" w14:textId="77777777" w:rsidTr="007606CB">
        <w:trPr>
          <w:trHeight w:val="288"/>
        </w:trPr>
        <w:tc>
          <w:tcPr>
            <w:tcW w:w="1256" w:type="dxa"/>
            <w:noWrap/>
            <w:hideMark/>
          </w:tcPr>
          <w:p w14:paraId="6F0B3872" w14:textId="77777777" w:rsidR="009451BB" w:rsidRPr="00F11746" w:rsidRDefault="009451BB" w:rsidP="007606CB">
            <w:pPr>
              <w:jc w:val="center"/>
              <w:rPr>
                <w:color w:val="000000"/>
                <w:szCs w:val="22"/>
              </w:rPr>
            </w:pPr>
            <w:r w:rsidRPr="00DB5BB5">
              <w:t>ES</w:t>
            </w:r>
          </w:p>
        </w:tc>
        <w:tc>
          <w:tcPr>
            <w:tcW w:w="1291" w:type="dxa"/>
            <w:noWrap/>
            <w:hideMark/>
          </w:tcPr>
          <w:p w14:paraId="1C815425" w14:textId="77777777" w:rsidR="009451BB" w:rsidRPr="00F11746" w:rsidRDefault="009451BB" w:rsidP="007606CB">
            <w:pPr>
              <w:jc w:val="right"/>
              <w:rPr>
                <w:color w:val="000000"/>
                <w:szCs w:val="22"/>
              </w:rPr>
            </w:pPr>
            <w:r w:rsidRPr="00DB5BB5">
              <w:t xml:space="preserve"> 74 </w:t>
            </w:r>
          </w:p>
        </w:tc>
        <w:tc>
          <w:tcPr>
            <w:tcW w:w="2835" w:type="dxa"/>
            <w:noWrap/>
            <w:hideMark/>
          </w:tcPr>
          <w:p w14:paraId="2885C41E" w14:textId="77777777" w:rsidR="009451BB" w:rsidRPr="00F11746" w:rsidRDefault="009451BB" w:rsidP="007606CB">
            <w:pPr>
              <w:jc w:val="right"/>
              <w:rPr>
                <w:color w:val="000000"/>
                <w:szCs w:val="22"/>
              </w:rPr>
            </w:pPr>
            <w:r w:rsidRPr="00DB5BB5">
              <w:t xml:space="preserve"> 4 </w:t>
            </w:r>
          </w:p>
        </w:tc>
        <w:tc>
          <w:tcPr>
            <w:tcW w:w="2977" w:type="dxa"/>
            <w:noWrap/>
            <w:hideMark/>
          </w:tcPr>
          <w:p w14:paraId="2EC180FA" w14:textId="77777777" w:rsidR="009451BB" w:rsidRPr="00F11746" w:rsidRDefault="009451BB" w:rsidP="007606CB">
            <w:pPr>
              <w:jc w:val="right"/>
              <w:rPr>
                <w:color w:val="000000"/>
                <w:szCs w:val="22"/>
              </w:rPr>
            </w:pPr>
            <w:r w:rsidRPr="00DB5BB5">
              <w:t xml:space="preserve"> 3 </w:t>
            </w:r>
          </w:p>
        </w:tc>
      </w:tr>
      <w:tr w:rsidR="009451BB" w:rsidRPr="00F11746" w14:paraId="3F424AAB" w14:textId="77777777" w:rsidTr="007606CB">
        <w:trPr>
          <w:trHeight w:val="288"/>
        </w:trPr>
        <w:tc>
          <w:tcPr>
            <w:tcW w:w="1256" w:type="dxa"/>
            <w:noWrap/>
            <w:hideMark/>
          </w:tcPr>
          <w:p w14:paraId="0187A570" w14:textId="77777777" w:rsidR="009451BB" w:rsidRPr="00F11746" w:rsidRDefault="009451BB" w:rsidP="007606CB">
            <w:pPr>
              <w:jc w:val="center"/>
              <w:rPr>
                <w:color w:val="000000"/>
                <w:szCs w:val="22"/>
              </w:rPr>
            </w:pPr>
            <w:r w:rsidRPr="00DB5BB5">
              <w:t>FI</w:t>
            </w:r>
          </w:p>
        </w:tc>
        <w:tc>
          <w:tcPr>
            <w:tcW w:w="1291" w:type="dxa"/>
            <w:noWrap/>
            <w:hideMark/>
          </w:tcPr>
          <w:p w14:paraId="4BE27375" w14:textId="77777777" w:rsidR="009451BB" w:rsidRPr="00F11746" w:rsidRDefault="009451BB" w:rsidP="007606CB">
            <w:pPr>
              <w:jc w:val="right"/>
              <w:rPr>
                <w:color w:val="000000"/>
                <w:szCs w:val="22"/>
              </w:rPr>
            </w:pPr>
            <w:r w:rsidRPr="00DB5BB5">
              <w:t xml:space="preserve"> 36 </w:t>
            </w:r>
          </w:p>
        </w:tc>
        <w:tc>
          <w:tcPr>
            <w:tcW w:w="2835" w:type="dxa"/>
            <w:noWrap/>
            <w:hideMark/>
          </w:tcPr>
          <w:p w14:paraId="49742B11" w14:textId="77777777" w:rsidR="009451BB" w:rsidRPr="00F11746" w:rsidRDefault="009451BB" w:rsidP="007606CB">
            <w:pPr>
              <w:jc w:val="right"/>
              <w:rPr>
                <w:color w:val="000000"/>
                <w:szCs w:val="22"/>
              </w:rPr>
            </w:pPr>
            <w:r w:rsidRPr="00DB5BB5">
              <w:t xml:space="preserve"> 1 </w:t>
            </w:r>
          </w:p>
        </w:tc>
        <w:tc>
          <w:tcPr>
            <w:tcW w:w="2977" w:type="dxa"/>
            <w:noWrap/>
            <w:hideMark/>
          </w:tcPr>
          <w:p w14:paraId="08A50F22" w14:textId="77777777" w:rsidR="009451BB" w:rsidRPr="00F11746" w:rsidRDefault="009451BB" w:rsidP="007606CB">
            <w:pPr>
              <w:jc w:val="right"/>
              <w:rPr>
                <w:color w:val="000000"/>
                <w:szCs w:val="22"/>
              </w:rPr>
            </w:pPr>
          </w:p>
        </w:tc>
      </w:tr>
      <w:tr w:rsidR="009451BB" w:rsidRPr="00F11746" w14:paraId="39526440" w14:textId="77777777" w:rsidTr="007606CB">
        <w:trPr>
          <w:trHeight w:val="288"/>
        </w:trPr>
        <w:tc>
          <w:tcPr>
            <w:tcW w:w="1256" w:type="dxa"/>
            <w:noWrap/>
            <w:hideMark/>
          </w:tcPr>
          <w:p w14:paraId="6D374840" w14:textId="77777777" w:rsidR="009451BB" w:rsidRPr="00F11746" w:rsidRDefault="009451BB" w:rsidP="007606CB">
            <w:pPr>
              <w:jc w:val="center"/>
              <w:rPr>
                <w:color w:val="000000"/>
                <w:szCs w:val="22"/>
              </w:rPr>
            </w:pPr>
            <w:r w:rsidRPr="00DB5BB5">
              <w:t>FR</w:t>
            </w:r>
          </w:p>
        </w:tc>
        <w:tc>
          <w:tcPr>
            <w:tcW w:w="1291" w:type="dxa"/>
            <w:noWrap/>
            <w:hideMark/>
          </w:tcPr>
          <w:p w14:paraId="7CDBC00C" w14:textId="77777777" w:rsidR="009451BB" w:rsidRPr="00F11746" w:rsidRDefault="009451BB" w:rsidP="007606CB">
            <w:pPr>
              <w:jc w:val="right"/>
              <w:rPr>
                <w:color w:val="000000"/>
                <w:szCs w:val="22"/>
              </w:rPr>
            </w:pPr>
            <w:r w:rsidRPr="00DB5BB5">
              <w:t xml:space="preserve"> 55 </w:t>
            </w:r>
          </w:p>
        </w:tc>
        <w:tc>
          <w:tcPr>
            <w:tcW w:w="2835" w:type="dxa"/>
            <w:noWrap/>
            <w:hideMark/>
          </w:tcPr>
          <w:p w14:paraId="156395DB" w14:textId="77777777" w:rsidR="009451BB" w:rsidRPr="00F11746" w:rsidRDefault="009451BB" w:rsidP="007606CB">
            <w:pPr>
              <w:jc w:val="right"/>
              <w:rPr>
                <w:color w:val="000000"/>
                <w:szCs w:val="22"/>
              </w:rPr>
            </w:pPr>
            <w:r w:rsidRPr="00DB5BB5">
              <w:t xml:space="preserve"> 3 </w:t>
            </w:r>
          </w:p>
        </w:tc>
        <w:tc>
          <w:tcPr>
            <w:tcW w:w="2977" w:type="dxa"/>
            <w:noWrap/>
            <w:hideMark/>
          </w:tcPr>
          <w:p w14:paraId="2878B206" w14:textId="77777777" w:rsidR="009451BB" w:rsidRPr="00F11746" w:rsidRDefault="009451BB" w:rsidP="007606CB">
            <w:pPr>
              <w:jc w:val="right"/>
              <w:rPr>
                <w:color w:val="000000"/>
                <w:szCs w:val="22"/>
              </w:rPr>
            </w:pPr>
            <w:r w:rsidRPr="00DB5BB5">
              <w:t xml:space="preserve"> 1 </w:t>
            </w:r>
          </w:p>
        </w:tc>
      </w:tr>
      <w:tr w:rsidR="009451BB" w:rsidRPr="00F11746" w14:paraId="0227A7FE" w14:textId="77777777" w:rsidTr="007606CB">
        <w:trPr>
          <w:trHeight w:val="288"/>
        </w:trPr>
        <w:tc>
          <w:tcPr>
            <w:tcW w:w="1256" w:type="dxa"/>
            <w:noWrap/>
            <w:hideMark/>
          </w:tcPr>
          <w:p w14:paraId="28DCBD73" w14:textId="77777777" w:rsidR="009451BB" w:rsidRPr="00F11746" w:rsidRDefault="009451BB" w:rsidP="007606CB">
            <w:pPr>
              <w:jc w:val="center"/>
              <w:rPr>
                <w:color w:val="000000"/>
                <w:szCs w:val="22"/>
              </w:rPr>
            </w:pPr>
            <w:r w:rsidRPr="00DB5BB5">
              <w:t>GB</w:t>
            </w:r>
          </w:p>
        </w:tc>
        <w:tc>
          <w:tcPr>
            <w:tcW w:w="1291" w:type="dxa"/>
            <w:noWrap/>
            <w:hideMark/>
          </w:tcPr>
          <w:p w14:paraId="375CA238" w14:textId="77777777" w:rsidR="009451BB" w:rsidRPr="00F11746" w:rsidRDefault="009451BB" w:rsidP="007606CB">
            <w:pPr>
              <w:jc w:val="right"/>
              <w:rPr>
                <w:color w:val="000000"/>
                <w:szCs w:val="22"/>
              </w:rPr>
            </w:pPr>
            <w:r w:rsidRPr="00DB5BB5">
              <w:t xml:space="preserve"> 680 </w:t>
            </w:r>
          </w:p>
        </w:tc>
        <w:tc>
          <w:tcPr>
            <w:tcW w:w="2835" w:type="dxa"/>
            <w:noWrap/>
            <w:hideMark/>
          </w:tcPr>
          <w:p w14:paraId="77C81615" w14:textId="77777777" w:rsidR="009451BB" w:rsidRPr="00F11746" w:rsidRDefault="009451BB" w:rsidP="007606CB">
            <w:pPr>
              <w:jc w:val="right"/>
              <w:rPr>
                <w:color w:val="000000"/>
                <w:szCs w:val="22"/>
              </w:rPr>
            </w:pPr>
            <w:r w:rsidRPr="00DB5BB5">
              <w:t xml:space="preserve"> 23 </w:t>
            </w:r>
          </w:p>
        </w:tc>
        <w:tc>
          <w:tcPr>
            <w:tcW w:w="2977" w:type="dxa"/>
            <w:noWrap/>
            <w:hideMark/>
          </w:tcPr>
          <w:p w14:paraId="5204185E" w14:textId="77777777" w:rsidR="009451BB" w:rsidRPr="00F11746" w:rsidRDefault="009451BB" w:rsidP="007606CB">
            <w:pPr>
              <w:jc w:val="right"/>
              <w:rPr>
                <w:color w:val="000000"/>
                <w:szCs w:val="22"/>
              </w:rPr>
            </w:pPr>
            <w:r w:rsidRPr="00DB5BB5">
              <w:t xml:space="preserve"> 89 </w:t>
            </w:r>
          </w:p>
        </w:tc>
      </w:tr>
      <w:tr w:rsidR="009451BB" w:rsidRPr="00F11746" w14:paraId="24D742AA" w14:textId="77777777" w:rsidTr="007606CB">
        <w:trPr>
          <w:trHeight w:val="288"/>
        </w:trPr>
        <w:tc>
          <w:tcPr>
            <w:tcW w:w="1256" w:type="dxa"/>
            <w:noWrap/>
            <w:hideMark/>
          </w:tcPr>
          <w:p w14:paraId="46646695" w14:textId="77777777" w:rsidR="009451BB" w:rsidRPr="00F11746" w:rsidRDefault="009451BB" w:rsidP="007606CB">
            <w:pPr>
              <w:jc w:val="center"/>
              <w:rPr>
                <w:color w:val="000000"/>
                <w:szCs w:val="22"/>
              </w:rPr>
            </w:pPr>
            <w:r w:rsidRPr="00DB5BB5">
              <w:t>GR</w:t>
            </w:r>
          </w:p>
        </w:tc>
        <w:tc>
          <w:tcPr>
            <w:tcW w:w="1291" w:type="dxa"/>
            <w:noWrap/>
            <w:hideMark/>
          </w:tcPr>
          <w:p w14:paraId="14C03B86" w14:textId="77777777" w:rsidR="009451BB" w:rsidRPr="00F11746" w:rsidRDefault="009451BB" w:rsidP="007606CB">
            <w:pPr>
              <w:jc w:val="right"/>
              <w:rPr>
                <w:color w:val="000000"/>
                <w:szCs w:val="22"/>
              </w:rPr>
            </w:pPr>
            <w:r w:rsidRPr="00DB5BB5">
              <w:t xml:space="preserve"> 5 </w:t>
            </w:r>
          </w:p>
        </w:tc>
        <w:tc>
          <w:tcPr>
            <w:tcW w:w="2835" w:type="dxa"/>
            <w:noWrap/>
            <w:hideMark/>
          </w:tcPr>
          <w:p w14:paraId="2DB8428C" w14:textId="77777777" w:rsidR="009451BB" w:rsidRPr="00F11746" w:rsidRDefault="009451BB" w:rsidP="007606CB">
            <w:pPr>
              <w:jc w:val="right"/>
              <w:rPr>
                <w:color w:val="000000"/>
                <w:szCs w:val="22"/>
              </w:rPr>
            </w:pPr>
          </w:p>
        </w:tc>
        <w:tc>
          <w:tcPr>
            <w:tcW w:w="2977" w:type="dxa"/>
            <w:noWrap/>
            <w:hideMark/>
          </w:tcPr>
          <w:p w14:paraId="10DDB78C" w14:textId="77777777" w:rsidR="009451BB" w:rsidRPr="00F11746" w:rsidRDefault="009451BB" w:rsidP="007606CB">
            <w:pPr>
              <w:jc w:val="right"/>
              <w:rPr>
                <w:color w:val="000000"/>
                <w:szCs w:val="22"/>
              </w:rPr>
            </w:pPr>
          </w:p>
        </w:tc>
      </w:tr>
      <w:tr w:rsidR="009451BB" w:rsidRPr="00F11746" w14:paraId="6EA721E3" w14:textId="77777777" w:rsidTr="007606CB">
        <w:trPr>
          <w:trHeight w:val="288"/>
        </w:trPr>
        <w:tc>
          <w:tcPr>
            <w:tcW w:w="1256" w:type="dxa"/>
            <w:noWrap/>
            <w:hideMark/>
          </w:tcPr>
          <w:p w14:paraId="71252E33" w14:textId="77777777" w:rsidR="009451BB" w:rsidRPr="00F11746" w:rsidRDefault="009451BB" w:rsidP="007606CB">
            <w:pPr>
              <w:jc w:val="center"/>
              <w:rPr>
                <w:color w:val="000000"/>
                <w:szCs w:val="22"/>
              </w:rPr>
            </w:pPr>
            <w:r w:rsidRPr="00DB5BB5">
              <w:t>HU</w:t>
            </w:r>
          </w:p>
        </w:tc>
        <w:tc>
          <w:tcPr>
            <w:tcW w:w="1291" w:type="dxa"/>
            <w:noWrap/>
            <w:hideMark/>
          </w:tcPr>
          <w:p w14:paraId="3A6A4E71" w14:textId="77777777" w:rsidR="009451BB" w:rsidRPr="00F11746" w:rsidRDefault="009451BB" w:rsidP="007606CB">
            <w:pPr>
              <w:jc w:val="right"/>
              <w:rPr>
                <w:color w:val="000000"/>
                <w:szCs w:val="22"/>
              </w:rPr>
            </w:pPr>
            <w:r w:rsidRPr="00DB5BB5">
              <w:t xml:space="preserve"> 17 </w:t>
            </w:r>
          </w:p>
        </w:tc>
        <w:tc>
          <w:tcPr>
            <w:tcW w:w="2835" w:type="dxa"/>
            <w:noWrap/>
            <w:hideMark/>
          </w:tcPr>
          <w:p w14:paraId="1B501EE4" w14:textId="77777777" w:rsidR="009451BB" w:rsidRPr="00F11746" w:rsidRDefault="009451BB" w:rsidP="007606CB">
            <w:pPr>
              <w:jc w:val="right"/>
              <w:rPr>
                <w:color w:val="000000"/>
                <w:szCs w:val="22"/>
              </w:rPr>
            </w:pPr>
          </w:p>
        </w:tc>
        <w:tc>
          <w:tcPr>
            <w:tcW w:w="2977" w:type="dxa"/>
            <w:noWrap/>
            <w:hideMark/>
          </w:tcPr>
          <w:p w14:paraId="6BBDE27F" w14:textId="77777777" w:rsidR="009451BB" w:rsidRPr="00F11746" w:rsidRDefault="009451BB" w:rsidP="007606CB">
            <w:pPr>
              <w:jc w:val="right"/>
              <w:rPr>
                <w:color w:val="000000"/>
                <w:szCs w:val="22"/>
              </w:rPr>
            </w:pPr>
            <w:r w:rsidRPr="00DB5BB5">
              <w:t xml:space="preserve"> 1 </w:t>
            </w:r>
          </w:p>
        </w:tc>
      </w:tr>
      <w:tr w:rsidR="009451BB" w:rsidRPr="00F11746" w14:paraId="50F839AE" w14:textId="77777777" w:rsidTr="007606CB">
        <w:trPr>
          <w:trHeight w:val="288"/>
        </w:trPr>
        <w:tc>
          <w:tcPr>
            <w:tcW w:w="1256" w:type="dxa"/>
            <w:noWrap/>
            <w:hideMark/>
          </w:tcPr>
          <w:p w14:paraId="1CCBF621" w14:textId="77777777" w:rsidR="009451BB" w:rsidRPr="00F11746" w:rsidRDefault="009451BB" w:rsidP="007606CB">
            <w:pPr>
              <w:jc w:val="center"/>
              <w:rPr>
                <w:color w:val="000000"/>
                <w:szCs w:val="22"/>
              </w:rPr>
            </w:pPr>
            <w:r w:rsidRPr="00DB5BB5">
              <w:t>IB</w:t>
            </w:r>
          </w:p>
        </w:tc>
        <w:tc>
          <w:tcPr>
            <w:tcW w:w="1291" w:type="dxa"/>
            <w:noWrap/>
            <w:hideMark/>
          </w:tcPr>
          <w:p w14:paraId="57AE22C8" w14:textId="77777777" w:rsidR="009451BB" w:rsidRPr="00F11746" w:rsidRDefault="009451BB" w:rsidP="007606CB">
            <w:pPr>
              <w:jc w:val="right"/>
              <w:rPr>
                <w:color w:val="000000"/>
                <w:szCs w:val="22"/>
              </w:rPr>
            </w:pPr>
            <w:r w:rsidRPr="00DB5BB5">
              <w:t xml:space="preserve"> 1,591 </w:t>
            </w:r>
          </w:p>
        </w:tc>
        <w:tc>
          <w:tcPr>
            <w:tcW w:w="2835" w:type="dxa"/>
            <w:noWrap/>
            <w:hideMark/>
          </w:tcPr>
          <w:p w14:paraId="4E7947D8" w14:textId="77777777" w:rsidR="009451BB" w:rsidRPr="00F11746" w:rsidRDefault="009451BB" w:rsidP="007606CB">
            <w:pPr>
              <w:jc w:val="right"/>
              <w:rPr>
                <w:color w:val="000000"/>
                <w:szCs w:val="22"/>
              </w:rPr>
            </w:pPr>
            <w:r w:rsidRPr="00DB5BB5">
              <w:t xml:space="preserve"> 70 </w:t>
            </w:r>
          </w:p>
        </w:tc>
        <w:tc>
          <w:tcPr>
            <w:tcW w:w="2977" w:type="dxa"/>
            <w:noWrap/>
            <w:hideMark/>
          </w:tcPr>
          <w:p w14:paraId="1DC6069B" w14:textId="77777777" w:rsidR="009451BB" w:rsidRPr="00F11746" w:rsidRDefault="009451BB" w:rsidP="007606CB">
            <w:pPr>
              <w:jc w:val="right"/>
              <w:rPr>
                <w:color w:val="000000"/>
                <w:szCs w:val="22"/>
              </w:rPr>
            </w:pPr>
            <w:r w:rsidRPr="00DB5BB5">
              <w:t xml:space="preserve"> 134 </w:t>
            </w:r>
          </w:p>
        </w:tc>
      </w:tr>
      <w:tr w:rsidR="009451BB" w:rsidRPr="00F11746" w14:paraId="4A7591C2" w14:textId="77777777" w:rsidTr="007606CB">
        <w:trPr>
          <w:trHeight w:val="288"/>
        </w:trPr>
        <w:tc>
          <w:tcPr>
            <w:tcW w:w="1256" w:type="dxa"/>
            <w:noWrap/>
            <w:hideMark/>
          </w:tcPr>
          <w:p w14:paraId="5DC9AC17" w14:textId="77777777" w:rsidR="009451BB" w:rsidRPr="00F11746" w:rsidRDefault="009451BB" w:rsidP="007606CB">
            <w:pPr>
              <w:jc w:val="center"/>
              <w:rPr>
                <w:color w:val="000000"/>
                <w:szCs w:val="22"/>
              </w:rPr>
            </w:pPr>
            <w:r w:rsidRPr="00DB5BB5">
              <w:t>ID</w:t>
            </w:r>
          </w:p>
        </w:tc>
        <w:tc>
          <w:tcPr>
            <w:tcW w:w="1291" w:type="dxa"/>
            <w:noWrap/>
            <w:hideMark/>
          </w:tcPr>
          <w:p w14:paraId="1CDBCD11" w14:textId="77777777" w:rsidR="009451BB" w:rsidRPr="00F11746" w:rsidRDefault="009451BB" w:rsidP="007606CB">
            <w:pPr>
              <w:jc w:val="right"/>
              <w:rPr>
                <w:color w:val="000000"/>
                <w:szCs w:val="22"/>
              </w:rPr>
            </w:pPr>
            <w:r w:rsidRPr="00DB5BB5">
              <w:t xml:space="preserve"> 1 </w:t>
            </w:r>
          </w:p>
        </w:tc>
        <w:tc>
          <w:tcPr>
            <w:tcW w:w="2835" w:type="dxa"/>
            <w:noWrap/>
            <w:hideMark/>
          </w:tcPr>
          <w:p w14:paraId="3756CF6E" w14:textId="77777777" w:rsidR="009451BB" w:rsidRPr="00F11746" w:rsidRDefault="009451BB" w:rsidP="007606CB">
            <w:pPr>
              <w:jc w:val="right"/>
              <w:rPr>
                <w:color w:val="000000"/>
                <w:szCs w:val="22"/>
              </w:rPr>
            </w:pPr>
            <w:r w:rsidRPr="00DB5BB5">
              <w:t xml:space="preserve"> 1 </w:t>
            </w:r>
          </w:p>
        </w:tc>
        <w:tc>
          <w:tcPr>
            <w:tcW w:w="2977" w:type="dxa"/>
            <w:noWrap/>
            <w:hideMark/>
          </w:tcPr>
          <w:p w14:paraId="18608907" w14:textId="77777777" w:rsidR="009451BB" w:rsidRPr="00F11746" w:rsidRDefault="009451BB" w:rsidP="007606CB">
            <w:pPr>
              <w:jc w:val="right"/>
              <w:rPr>
                <w:color w:val="000000"/>
                <w:szCs w:val="22"/>
              </w:rPr>
            </w:pPr>
          </w:p>
        </w:tc>
      </w:tr>
      <w:tr w:rsidR="009451BB" w:rsidRPr="00F11746" w14:paraId="5C2634BA" w14:textId="77777777" w:rsidTr="007606CB">
        <w:trPr>
          <w:trHeight w:val="288"/>
        </w:trPr>
        <w:tc>
          <w:tcPr>
            <w:tcW w:w="1256" w:type="dxa"/>
            <w:noWrap/>
            <w:hideMark/>
          </w:tcPr>
          <w:p w14:paraId="1B658C81" w14:textId="77777777" w:rsidR="009451BB" w:rsidRPr="00F11746" w:rsidRDefault="009451BB" w:rsidP="007606CB">
            <w:pPr>
              <w:jc w:val="center"/>
              <w:rPr>
                <w:color w:val="000000"/>
                <w:szCs w:val="22"/>
              </w:rPr>
            </w:pPr>
            <w:r w:rsidRPr="00DB5BB5">
              <w:t>IL</w:t>
            </w:r>
          </w:p>
        </w:tc>
        <w:tc>
          <w:tcPr>
            <w:tcW w:w="1291" w:type="dxa"/>
            <w:noWrap/>
            <w:hideMark/>
          </w:tcPr>
          <w:p w14:paraId="21CC0037" w14:textId="77777777" w:rsidR="009451BB" w:rsidRPr="00F11746" w:rsidRDefault="009451BB" w:rsidP="007606CB">
            <w:pPr>
              <w:jc w:val="right"/>
              <w:rPr>
                <w:color w:val="000000"/>
                <w:szCs w:val="22"/>
              </w:rPr>
            </w:pPr>
            <w:r w:rsidRPr="00DB5BB5">
              <w:t xml:space="preserve"> 392 </w:t>
            </w:r>
          </w:p>
        </w:tc>
        <w:tc>
          <w:tcPr>
            <w:tcW w:w="2835" w:type="dxa"/>
            <w:noWrap/>
            <w:hideMark/>
          </w:tcPr>
          <w:p w14:paraId="2A30FF2B" w14:textId="77777777" w:rsidR="009451BB" w:rsidRPr="00F11746" w:rsidRDefault="009451BB" w:rsidP="007606CB">
            <w:pPr>
              <w:jc w:val="right"/>
              <w:rPr>
                <w:color w:val="000000"/>
                <w:szCs w:val="22"/>
              </w:rPr>
            </w:pPr>
            <w:r w:rsidRPr="00DB5BB5">
              <w:t xml:space="preserve"> 42 </w:t>
            </w:r>
          </w:p>
        </w:tc>
        <w:tc>
          <w:tcPr>
            <w:tcW w:w="2977" w:type="dxa"/>
            <w:noWrap/>
            <w:hideMark/>
          </w:tcPr>
          <w:p w14:paraId="34B9EF83" w14:textId="77777777" w:rsidR="009451BB" w:rsidRPr="00F11746" w:rsidRDefault="009451BB" w:rsidP="007606CB">
            <w:pPr>
              <w:jc w:val="right"/>
              <w:rPr>
                <w:color w:val="000000"/>
                <w:szCs w:val="22"/>
              </w:rPr>
            </w:pPr>
            <w:r w:rsidRPr="00DB5BB5">
              <w:t xml:space="preserve"> 4 </w:t>
            </w:r>
          </w:p>
        </w:tc>
      </w:tr>
      <w:tr w:rsidR="009451BB" w:rsidRPr="00F11746" w14:paraId="0A2BB3EF" w14:textId="77777777" w:rsidTr="007606CB">
        <w:trPr>
          <w:trHeight w:val="288"/>
        </w:trPr>
        <w:tc>
          <w:tcPr>
            <w:tcW w:w="1256" w:type="dxa"/>
            <w:noWrap/>
            <w:hideMark/>
          </w:tcPr>
          <w:p w14:paraId="40C1AFFE" w14:textId="77777777" w:rsidR="009451BB" w:rsidRPr="00F11746" w:rsidRDefault="009451BB" w:rsidP="007606CB">
            <w:pPr>
              <w:jc w:val="center"/>
              <w:rPr>
                <w:color w:val="000000"/>
                <w:szCs w:val="22"/>
              </w:rPr>
            </w:pPr>
            <w:r w:rsidRPr="00DB5BB5">
              <w:t>IN</w:t>
            </w:r>
          </w:p>
        </w:tc>
        <w:tc>
          <w:tcPr>
            <w:tcW w:w="1291" w:type="dxa"/>
            <w:noWrap/>
            <w:hideMark/>
          </w:tcPr>
          <w:p w14:paraId="618976BE" w14:textId="77777777" w:rsidR="009451BB" w:rsidRPr="00F11746" w:rsidRDefault="009451BB" w:rsidP="007606CB">
            <w:pPr>
              <w:jc w:val="right"/>
              <w:rPr>
                <w:color w:val="000000"/>
                <w:szCs w:val="22"/>
              </w:rPr>
            </w:pPr>
            <w:r w:rsidRPr="00DB5BB5">
              <w:t xml:space="preserve"> 109 </w:t>
            </w:r>
          </w:p>
        </w:tc>
        <w:tc>
          <w:tcPr>
            <w:tcW w:w="2835" w:type="dxa"/>
            <w:noWrap/>
            <w:hideMark/>
          </w:tcPr>
          <w:p w14:paraId="719D3E32" w14:textId="77777777" w:rsidR="009451BB" w:rsidRPr="00F11746" w:rsidRDefault="009451BB" w:rsidP="007606CB">
            <w:pPr>
              <w:jc w:val="right"/>
              <w:rPr>
                <w:color w:val="000000"/>
                <w:szCs w:val="22"/>
              </w:rPr>
            </w:pPr>
            <w:r w:rsidRPr="00DB5BB5">
              <w:t xml:space="preserve"> 2 </w:t>
            </w:r>
          </w:p>
        </w:tc>
        <w:tc>
          <w:tcPr>
            <w:tcW w:w="2977" w:type="dxa"/>
            <w:noWrap/>
            <w:hideMark/>
          </w:tcPr>
          <w:p w14:paraId="386808F0" w14:textId="77777777" w:rsidR="009451BB" w:rsidRPr="00F11746" w:rsidRDefault="009451BB" w:rsidP="007606CB">
            <w:pPr>
              <w:jc w:val="right"/>
              <w:rPr>
                <w:color w:val="000000"/>
                <w:szCs w:val="22"/>
              </w:rPr>
            </w:pPr>
            <w:r w:rsidRPr="00DB5BB5">
              <w:t xml:space="preserve"> 11 </w:t>
            </w:r>
          </w:p>
        </w:tc>
      </w:tr>
      <w:tr w:rsidR="009451BB" w:rsidRPr="00F11746" w14:paraId="324F9ED9" w14:textId="77777777" w:rsidTr="007606CB">
        <w:trPr>
          <w:trHeight w:val="288"/>
        </w:trPr>
        <w:tc>
          <w:tcPr>
            <w:tcW w:w="1256" w:type="dxa"/>
            <w:noWrap/>
            <w:hideMark/>
          </w:tcPr>
          <w:p w14:paraId="49A29C02" w14:textId="77777777" w:rsidR="009451BB" w:rsidRPr="00F11746" w:rsidRDefault="009451BB" w:rsidP="007606CB">
            <w:pPr>
              <w:jc w:val="center"/>
              <w:rPr>
                <w:color w:val="000000"/>
                <w:szCs w:val="22"/>
              </w:rPr>
            </w:pPr>
            <w:r w:rsidRPr="00DB5BB5">
              <w:t>IT</w:t>
            </w:r>
          </w:p>
        </w:tc>
        <w:tc>
          <w:tcPr>
            <w:tcW w:w="1291" w:type="dxa"/>
            <w:noWrap/>
            <w:hideMark/>
          </w:tcPr>
          <w:p w14:paraId="7E47DDCD" w14:textId="77777777" w:rsidR="009451BB" w:rsidRPr="00F11746" w:rsidRDefault="009451BB" w:rsidP="007606CB">
            <w:pPr>
              <w:jc w:val="right"/>
              <w:rPr>
                <w:color w:val="000000"/>
                <w:szCs w:val="22"/>
              </w:rPr>
            </w:pPr>
            <w:r w:rsidRPr="00DB5BB5">
              <w:t xml:space="preserve"> 23 </w:t>
            </w:r>
          </w:p>
        </w:tc>
        <w:tc>
          <w:tcPr>
            <w:tcW w:w="2835" w:type="dxa"/>
            <w:noWrap/>
            <w:hideMark/>
          </w:tcPr>
          <w:p w14:paraId="261502F3" w14:textId="77777777" w:rsidR="009451BB" w:rsidRPr="00F11746" w:rsidRDefault="009451BB" w:rsidP="007606CB">
            <w:pPr>
              <w:jc w:val="right"/>
              <w:rPr>
                <w:color w:val="000000"/>
                <w:szCs w:val="22"/>
              </w:rPr>
            </w:pPr>
            <w:r w:rsidRPr="00DB5BB5">
              <w:t xml:space="preserve"> 1 </w:t>
            </w:r>
          </w:p>
        </w:tc>
        <w:tc>
          <w:tcPr>
            <w:tcW w:w="2977" w:type="dxa"/>
            <w:noWrap/>
            <w:hideMark/>
          </w:tcPr>
          <w:p w14:paraId="0F1EF953" w14:textId="77777777" w:rsidR="009451BB" w:rsidRPr="00F11746" w:rsidRDefault="009451BB" w:rsidP="007606CB">
            <w:pPr>
              <w:jc w:val="right"/>
              <w:rPr>
                <w:color w:val="000000"/>
                <w:szCs w:val="22"/>
              </w:rPr>
            </w:pPr>
            <w:r w:rsidRPr="00DB5BB5">
              <w:t xml:space="preserve"> 3 </w:t>
            </w:r>
          </w:p>
        </w:tc>
      </w:tr>
      <w:tr w:rsidR="009451BB" w:rsidRPr="00F11746" w14:paraId="7CB82F70" w14:textId="77777777" w:rsidTr="007606CB">
        <w:trPr>
          <w:trHeight w:val="288"/>
        </w:trPr>
        <w:tc>
          <w:tcPr>
            <w:tcW w:w="1256" w:type="dxa"/>
            <w:noWrap/>
            <w:hideMark/>
          </w:tcPr>
          <w:p w14:paraId="338DBF6D" w14:textId="77777777" w:rsidR="009451BB" w:rsidRPr="00F11746" w:rsidRDefault="009451BB" w:rsidP="007606CB">
            <w:pPr>
              <w:jc w:val="center"/>
              <w:rPr>
                <w:color w:val="000000"/>
                <w:szCs w:val="22"/>
              </w:rPr>
            </w:pPr>
            <w:r w:rsidRPr="00DB5BB5">
              <w:t>JP</w:t>
            </w:r>
          </w:p>
        </w:tc>
        <w:tc>
          <w:tcPr>
            <w:tcW w:w="1291" w:type="dxa"/>
            <w:noWrap/>
            <w:hideMark/>
          </w:tcPr>
          <w:p w14:paraId="5FF59535" w14:textId="77777777" w:rsidR="009451BB" w:rsidRPr="00F11746" w:rsidRDefault="009451BB" w:rsidP="007606CB">
            <w:pPr>
              <w:jc w:val="right"/>
              <w:rPr>
                <w:color w:val="000000"/>
                <w:szCs w:val="22"/>
              </w:rPr>
            </w:pPr>
            <w:r w:rsidRPr="00DB5BB5">
              <w:t xml:space="preserve"> 2,431 </w:t>
            </w:r>
          </w:p>
        </w:tc>
        <w:tc>
          <w:tcPr>
            <w:tcW w:w="2835" w:type="dxa"/>
            <w:noWrap/>
            <w:hideMark/>
          </w:tcPr>
          <w:p w14:paraId="6B69FF92" w14:textId="77777777" w:rsidR="009451BB" w:rsidRPr="00F11746" w:rsidRDefault="009451BB" w:rsidP="007606CB">
            <w:pPr>
              <w:jc w:val="right"/>
              <w:rPr>
                <w:color w:val="000000"/>
                <w:szCs w:val="22"/>
              </w:rPr>
            </w:pPr>
            <w:r w:rsidRPr="00DB5BB5">
              <w:t xml:space="preserve"> 1 </w:t>
            </w:r>
          </w:p>
        </w:tc>
        <w:tc>
          <w:tcPr>
            <w:tcW w:w="2977" w:type="dxa"/>
            <w:noWrap/>
            <w:hideMark/>
          </w:tcPr>
          <w:p w14:paraId="5C7E84C4" w14:textId="77777777" w:rsidR="009451BB" w:rsidRPr="00F11746" w:rsidRDefault="009451BB" w:rsidP="007606CB">
            <w:pPr>
              <w:jc w:val="right"/>
              <w:rPr>
                <w:color w:val="000000"/>
                <w:szCs w:val="22"/>
              </w:rPr>
            </w:pPr>
            <w:r w:rsidRPr="00DB5BB5">
              <w:t xml:space="preserve"> 1 </w:t>
            </w:r>
          </w:p>
        </w:tc>
      </w:tr>
      <w:tr w:rsidR="009451BB" w:rsidRPr="00F11746" w14:paraId="10CCB99A" w14:textId="77777777" w:rsidTr="007606CB">
        <w:trPr>
          <w:trHeight w:val="288"/>
        </w:trPr>
        <w:tc>
          <w:tcPr>
            <w:tcW w:w="1256" w:type="dxa"/>
            <w:noWrap/>
            <w:hideMark/>
          </w:tcPr>
          <w:p w14:paraId="4100CC88" w14:textId="77777777" w:rsidR="009451BB" w:rsidRPr="00F11746" w:rsidRDefault="009451BB" w:rsidP="007606CB">
            <w:pPr>
              <w:jc w:val="center"/>
              <w:rPr>
                <w:color w:val="000000"/>
                <w:szCs w:val="22"/>
              </w:rPr>
            </w:pPr>
            <w:r w:rsidRPr="00DB5BB5">
              <w:t>KR</w:t>
            </w:r>
          </w:p>
        </w:tc>
        <w:tc>
          <w:tcPr>
            <w:tcW w:w="1291" w:type="dxa"/>
            <w:noWrap/>
            <w:hideMark/>
          </w:tcPr>
          <w:p w14:paraId="56B34629" w14:textId="77777777" w:rsidR="009451BB" w:rsidRPr="00F11746" w:rsidRDefault="009451BB" w:rsidP="007606CB">
            <w:pPr>
              <w:jc w:val="right"/>
              <w:rPr>
                <w:color w:val="000000"/>
                <w:szCs w:val="22"/>
              </w:rPr>
            </w:pPr>
            <w:r w:rsidRPr="00DB5BB5">
              <w:t xml:space="preserve"> 2,762 </w:t>
            </w:r>
          </w:p>
        </w:tc>
        <w:tc>
          <w:tcPr>
            <w:tcW w:w="2835" w:type="dxa"/>
            <w:noWrap/>
            <w:hideMark/>
          </w:tcPr>
          <w:p w14:paraId="36977B0C" w14:textId="77777777" w:rsidR="009451BB" w:rsidRPr="00F11746" w:rsidRDefault="009451BB" w:rsidP="007606CB">
            <w:pPr>
              <w:jc w:val="right"/>
              <w:rPr>
                <w:color w:val="000000"/>
                <w:szCs w:val="22"/>
              </w:rPr>
            </w:pPr>
            <w:r w:rsidRPr="00DB5BB5">
              <w:t xml:space="preserve"> 1 </w:t>
            </w:r>
          </w:p>
        </w:tc>
        <w:tc>
          <w:tcPr>
            <w:tcW w:w="2977" w:type="dxa"/>
            <w:noWrap/>
            <w:hideMark/>
          </w:tcPr>
          <w:p w14:paraId="6C584144" w14:textId="77777777" w:rsidR="009451BB" w:rsidRPr="00F11746" w:rsidRDefault="009451BB" w:rsidP="007606CB">
            <w:pPr>
              <w:jc w:val="right"/>
              <w:rPr>
                <w:color w:val="000000"/>
                <w:szCs w:val="22"/>
              </w:rPr>
            </w:pPr>
          </w:p>
        </w:tc>
      </w:tr>
      <w:tr w:rsidR="009451BB" w:rsidRPr="00F11746" w14:paraId="099C2125" w14:textId="77777777" w:rsidTr="007606CB">
        <w:trPr>
          <w:trHeight w:val="288"/>
        </w:trPr>
        <w:tc>
          <w:tcPr>
            <w:tcW w:w="1256" w:type="dxa"/>
            <w:noWrap/>
            <w:hideMark/>
          </w:tcPr>
          <w:p w14:paraId="18F91201" w14:textId="77777777" w:rsidR="009451BB" w:rsidRPr="00F11746" w:rsidRDefault="009451BB" w:rsidP="007606CB">
            <w:pPr>
              <w:jc w:val="center"/>
              <w:rPr>
                <w:color w:val="000000"/>
                <w:szCs w:val="22"/>
              </w:rPr>
            </w:pPr>
            <w:r w:rsidRPr="00DB5BB5">
              <w:t>MX</w:t>
            </w:r>
          </w:p>
        </w:tc>
        <w:tc>
          <w:tcPr>
            <w:tcW w:w="1291" w:type="dxa"/>
            <w:noWrap/>
            <w:hideMark/>
          </w:tcPr>
          <w:p w14:paraId="263467AA" w14:textId="77777777" w:rsidR="009451BB" w:rsidRPr="00F11746" w:rsidRDefault="009451BB" w:rsidP="007606CB">
            <w:pPr>
              <w:jc w:val="right"/>
              <w:rPr>
                <w:color w:val="000000"/>
                <w:szCs w:val="22"/>
              </w:rPr>
            </w:pPr>
            <w:r w:rsidRPr="00DB5BB5">
              <w:t xml:space="preserve"> 3 </w:t>
            </w:r>
          </w:p>
        </w:tc>
        <w:tc>
          <w:tcPr>
            <w:tcW w:w="2835" w:type="dxa"/>
            <w:noWrap/>
            <w:hideMark/>
          </w:tcPr>
          <w:p w14:paraId="43799A2F" w14:textId="77777777" w:rsidR="009451BB" w:rsidRPr="00F11746" w:rsidRDefault="009451BB" w:rsidP="007606CB">
            <w:pPr>
              <w:jc w:val="right"/>
              <w:rPr>
                <w:color w:val="000000"/>
                <w:szCs w:val="22"/>
              </w:rPr>
            </w:pPr>
            <w:r w:rsidRPr="00DB5BB5">
              <w:t xml:space="preserve"> 1 </w:t>
            </w:r>
          </w:p>
        </w:tc>
        <w:tc>
          <w:tcPr>
            <w:tcW w:w="2977" w:type="dxa"/>
            <w:noWrap/>
            <w:hideMark/>
          </w:tcPr>
          <w:p w14:paraId="2B1CC41C" w14:textId="77777777" w:rsidR="009451BB" w:rsidRPr="00F11746" w:rsidRDefault="009451BB" w:rsidP="007606CB">
            <w:pPr>
              <w:jc w:val="right"/>
              <w:rPr>
                <w:color w:val="000000"/>
                <w:szCs w:val="22"/>
              </w:rPr>
            </w:pPr>
          </w:p>
        </w:tc>
      </w:tr>
      <w:tr w:rsidR="009451BB" w:rsidRPr="00F11746" w14:paraId="427BBE54" w14:textId="77777777" w:rsidTr="007606CB">
        <w:trPr>
          <w:trHeight w:val="288"/>
        </w:trPr>
        <w:tc>
          <w:tcPr>
            <w:tcW w:w="1256" w:type="dxa"/>
            <w:noWrap/>
            <w:hideMark/>
          </w:tcPr>
          <w:p w14:paraId="45B03A0B" w14:textId="77777777" w:rsidR="009451BB" w:rsidRPr="00F11746" w:rsidRDefault="009451BB" w:rsidP="007606CB">
            <w:pPr>
              <w:jc w:val="center"/>
              <w:rPr>
                <w:color w:val="000000"/>
                <w:szCs w:val="22"/>
              </w:rPr>
            </w:pPr>
            <w:r w:rsidRPr="00DB5BB5">
              <w:t>MY</w:t>
            </w:r>
          </w:p>
        </w:tc>
        <w:tc>
          <w:tcPr>
            <w:tcW w:w="1291" w:type="dxa"/>
            <w:noWrap/>
            <w:hideMark/>
          </w:tcPr>
          <w:p w14:paraId="14AF9B47" w14:textId="77777777" w:rsidR="009451BB" w:rsidRPr="00F11746" w:rsidRDefault="009451BB" w:rsidP="007606CB">
            <w:pPr>
              <w:jc w:val="right"/>
              <w:rPr>
                <w:color w:val="000000"/>
                <w:szCs w:val="22"/>
              </w:rPr>
            </w:pPr>
            <w:r w:rsidRPr="00DB5BB5">
              <w:t xml:space="preserve"> 5 </w:t>
            </w:r>
          </w:p>
        </w:tc>
        <w:tc>
          <w:tcPr>
            <w:tcW w:w="2835" w:type="dxa"/>
            <w:noWrap/>
            <w:hideMark/>
          </w:tcPr>
          <w:p w14:paraId="2FE4C01F" w14:textId="77777777" w:rsidR="009451BB" w:rsidRPr="00F11746" w:rsidRDefault="009451BB" w:rsidP="007606CB">
            <w:pPr>
              <w:jc w:val="right"/>
              <w:rPr>
                <w:color w:val="000000"/>
                <w:szCs w:val="22"/>
              </w:rPr>
            </w:pPr>
          </w:p>
        </w:tc>
        <w:tc>
          <w:tcPr>
            <w:tcW w:w="2977" w:type="dxa"/>
            <w:noWrap/>
            <w:hideMark/>
          </w:tcPr>
          <w:p w14:paraId="75AB2A1E" w14:textId="77777777" w:rsidR="009451BB" w:rsidRPr="00F11746" w:rsidRDefault="009451BB" w:rsidP="007606CB">
            <w:pPr>
              <w:jc w:val="right"/>
              <w:rPr>
                <w:color w:val="000000"/>
                <w:szCs w:val="22"/>
              </w:rPr>
            </w:pPr>
          </w:p>
        </w:tc>
      </w:tr>
      <w:tr w:rsidR="009451BB" w:rsidRPr="00F11746" w14:paraId="3BE2D546" w14:textId="77777777" w:rsidTr="007606CB">
        <w:trPr>
          <w:trHeight w:val="288"/>
        </w:trPr>
        <w:tc>
          <w:tcPr>
            <w:tcW w:w="1256" w:type="dxa"/>
            <w:noWrap/>
            <w:hideMark/>
          </w:tcPr>
          <w:p w14:paraId="2041790E" w14:textId="77777777" w:rsidR="009451BB" w:rsidRPr="00F11746" w:rsidRDefault="009451BB" w:rsidP="007606CB">
            <w:pPr>
              <w:jc w:val="center"/>
              <w:rPr>
                <w:color w:val="000000"/>
                <w:szCs w:val="22"/>
              </w:rPr>
            </w:pPr>
            <w:r w:rsidRPr="00DB5BB5">
              <w:t>NL</w:t>
            </w:r>
          </w:p>
        </w:tc>
        <w:tc>
          <w:tcPr>
            <w:tcW w:w="1291" w:type="dxa"/>
            <w:noWrap/>
            <w:hideMark/>
          </w:tcPr>
          <w:p w14:paraId="0ACDCE14" w14:textId="77777777" w:rsidR="009451BB" w:rsidRPr="00F11746" w:rsidRDefault="009451BB" w:rsidP="007606CB">
            <w:pPr>
              <w:jc w:val="right"/>
              <w:rPr>
                <w:color w:val="000000"/>
                <w:szCs w:val="22"/>
              </w:rPr>
            </w:pPr>
            <w:r w:rsidRPr="00DB5BB5">
              <w:t xml:space="preserve"> 122 </w:t>
            </w:r>
          </w:p>
        </w:tc>
        <w:tc>
          <w:tcPr>
            <w:tcW w:w="2835" w:type="dxa"/>
            <w:noWrap/>
            <w:hideMark/>
          </w:tcPr>
          <w:p w14:paraId="14678D64" w14:textId="77777777" w:rsidR="009451BB" w:rsidRPr="00F11746" w:rsidRDefault="009451BB" w:rsidP="007606CB">
            <w:pPr>
              <w:jc w:val="right"/>
              <w:rPr>
                <w:color w:val="000000"/>
                <w:szCs w:val="22"/>
              </w:rPr>
            </w:pPr>
          </w:p>
        </w:tc>
        <w:tc>
          <w:tcPr>
            <w:tcW w:w="2977" w:type="dxa"/>
            <w:noWrap/>
            <w:hideMark/>
          </w:tcPr>
          <w:p w14:paraId="63A7EAAD" w14:textId="77777777" w:rsidR="009451BB" w:rsidRPr="00F11746" w:rsidRDefault="009451BB" w:rsidP="007606CB">
            <w:pPr>
              <w:jc w:val="right"/>
              <w:rPr>
                <w:color w:val="000000"/>
                <w:szCs w:val="22"/>
              </w:rPr>
            </w:pPr>
            <w:r w:rsidRPr="00DB5BB5">
              <w:t xml:space="preserve"> 61 </w:t>
            </w:r>
          </w:p>
        </w:tc>
      </w:tr>
      <w:tr w:rsidR="009451BB" w:rsidRPr="00F11746" w14:paraId="746CE839" w14:textId="77777777" w:rsidTr="007606CB">
        <w:trPr>
          <w:trHeight w:val="288"/>
        </w:trPr>
        <w:tc>
          <w:tcPr>
            <w:tcW w:w="1256" w:type="dxa"/>
            <w:noWrap/>
            <w:hideMark/>
          </w:tcPr>
          <w:p w14:paraId="081CC3E3" w14:textId="77777777" w:rsidR="009451BB" w:rsidRPr="00F11746" w:rsidRDefault="009451BB" w:rsidP="007606CB">
            <w:pPr>
              <w:jc w:val="center"/>
              <w:rPr>
                <w:color w:val="000000"/>
                <w:szCs w:val="22"/>
              </w:rPr>
            </w:pPr>
            <w:r w:rsidRPr="00DB5BB5">
              <w:t>NO</w:t>
            </w:r>
          </w:p>
        </w:tc>
        <w:tc>
          <w:tcPr>
            <w:tcW w:w="1291" w:type="dxa"/>
            <w:noWrap/>
            <w:hideMark/>
          </w:tcPr>
          <w:p w14:paraId="52938CB1" w14:textId="77777777" w:rsidR="009451BB" w:rsidRPr="00F11746" w:rsidRDefault="009451BB" w:rsidP="007606CB">
            <w:pPr>
              <w:jc w:val="right"/>
              <w:rPr>
                <w:color w:val="000000"/>
                <w:szCs w:val="22"/>
              </w:rPr>
            </w:pPr>
            <w:r w:rsidRPr="00DB5BB5">
              <w:t xml:space="preserve"> 4 </w:t>
            </w:r>
          </w:p>
        </w:tc>
        <w:tc>
          <w:tcPr>
            <w:tcW w:w="2835" w:type="dxa"/>
            <w:noWrap/>
            <w:hideMark/>
          </w:tcPr>
          <w:p w14:paraId="0189491B" w14:textId="77777777" w:rsidR="009451BB" w:rsidRPr="00F11746" w:rsidRDefault="009451BB" w:rsidP="007606CB">
            <w:pPr>
              <w:jc w:val="right"/>
              <w:rPr>
                <w:color w:val="000000"/>
                <w:szCs w:val="22"/>
              </w:rPr>
            </w:pPr>
          </w:p>
        </w:tc>
        <w:tc>
          <w:tcPr>
            <w:tcW w:w="2977" w:type="dxa"/>
            <w:noWrap/>
            <w:hideMark/>
          </w:tcPr>
          <w:p w14:paraId="0AC64C61" w14:textId="77777777" w:rsidR="009451BB" w:rsidRPr="00F11746" w:rsidRDefault="009451BB" w:rsidP="007606CB">
            <w:pPr>
              <w:jc w:val="right"/>
              <w:rPr>
                <w:color w:val="000000"/>
                <w:szCs w:val="22"/>
              </w:rPr>
            </w:pPr>
            <w:r w:rsidRPr="00DB5BB5">
              <w:t xml:space="preserve"> 1 </w:t>
            </w:r>
          </w:p>
        </w:tc>
      </w:tr>
      <w:tr w:rsidR="009451BB" w:rsidRPr="00F11746" w14:paraId="21BCAF81" w14:textId="77777777" w:rsidTr="007606CB">
        <w:trPr>
          <w:trHeight w:val="288"/>
        </w:trPr>
        <w:tc>
          <w:tcPr>
            <w:tcW w:w="1256" w:type="dxa"/>
            <w:noWrap/>
            <w:hideMark/>
          </w:tcPr>
          <w:p w14:paraId="1115C6E3" w14:textId="77777777" w:rsidR="009451BB" w:rsidRPr="00F11746" w:rsidRDefault="009451BB" w:rsidP="007606CB">
            <w:pPr>
              <w:jc w:val="center"/>
              <w:rPr>
                <w:color w:val="000000"/>
                <w:szCs w:val="22"/>
              </w:rPr>
            </w:pPr>
            <w:r w:rsidRPr="00DB5BB5">
              <w:t>NZ</w:t>
            </w:r>
          </w:p>
        </w:tc>
        <w:tc>
          <w:tcPr>
            <w:tcW w:w="1291" w:type="dxa"/>
            <w:noWrap/>
            <w:hideMark/>
          </w:tcPr>
          <w:p w14:paraId="0B7BAB30" w14:textId="77777777" w:rsidR="009451BB" w:rsidRPr="00F11746" w:rsidRDefault="009451BB" w:rsidP="007606CB">
            <w:pPr>
              <w:jc w:val="right"/>
              <w:rPr>
                <w:color w:val="000000"/>
                <w:szCs w:val="22"/>
              </w:rPr>
            </w:pPr>
            <w:r w:rsidRPr="00DB5BB5">
              <w:t xml:space="preserve"> 20 </w:t>
            </w:r>
          </w:p>
        </w:tc>
        <w:tc>
          <w:tcPr>
            <w:tcW w:w="2835" w:type="dxa"/>
            <w:noWrap/>
            <w:hideMark/>
          </w:tcPr>
          <w:p w14:paraId="2263172C" w14:textId="77777777" w:rsidR="009451BB" w:rsidRPr="00F11746" w:rsidRDefault="009451BB" w:rsidP="007606CB">
            <w:pPr>
              <w:jc w:val="right"/>
              <w:rPr>
                <w:color w:val="000000"/>
                <w:szCs w:val="22"/>
              </w:rPr>
            </w:pPr>
          </w:p>
        </w:tc>
        <w:tc>
          <w:tcPr>
            <w:tcW w:w="2977" w:type="dxa"/>
            <w:noWrap/>
            <w:hideMark/>
          </w:tcPr>
          <w:p w14:paraId="4E7CB871" w14:textId="77777777" w:rsidR="009451BB" w:rsidRPr="00F11746" w:rsidRDefault="009451BB" w:rsidP="007606CB">
            <w:pPr>
              <w:jc w:val="right"/>
              <w:rPr>
                <w:color w:val="000000"/>
                <w:szCs w:val="22"/>
              </w:rPr>
            </w:pPr>
            <w:r w:rsidRPr="00DB5BB5">
              <w:t xml:space="preserve"> 1 </w:t>
            </w:r>
          </w:p>
        </w:tc>
      </w:tr>
      <w:tr w:rsidR="009451BB" w:rsidRPr="00F11746" w14:paraId="04014ED8" w14:textId="77777777" w:rsidTr="007606CB">
        <w:trPr>
          <w:trHeight w:val="288"/>
        </w:trPr>
        <w:tc>
          <w:tcPr>
            <w:tcW w:w="1256" w:type="dxa"/>
            <w:noWrap/>
            <w:hideMark/>
          </w:tcPr>
          <w:p w14:paraId="5EA5A348" w14:textId="77777777" w:rsidR="009451BB" w:rsidRPr="00F11746" w:rsidRDefault="009451BB" w:rsidP="007606CB">
            <w:pPr>
              <w:jc w:val="center"/>
              <w:rPr>
                <w:color w:val="000000"/>
                <w:szCs w:val="22"/>
              </w:rPr>
            </w:pPr>
            <w:r w:rsidRPr="00DB5BB5">
              <w:t>PE</w:t>
            </w:r>
          </w:p>
        </w:tc>
        <w:tc>
          <w:tcPr>
            <w:tcW w:w="1291" w:type="dxa"/>
            <w:noWrap/>
            <w:hideMark/>
          </w:tcPr>
          <w:p w14:paraId="1375DC92" w14:textId="77777777" w:rsidR="009451BB" w:rsidRPr="00F11746" w:rsidRDefault="009451BB" w:rsidP="007606CB">
            <w:pPr>
              <w:jc w:val="right"/>
              <w:rPr>
                <w:color w:val="000000"/>
                <w:szCs w:val="22"/>
              </w:rPr>
            </w:pPr>
            <w:r w:rsidRPr="00DB5BB5">
              <w:t xml:space="preserve"> 3 </w:t>
            </w:r>
          </w:p>
        </w:tc>
        <w:tc>
          <w:tcPr>
            <w:tcW w:w="2835" w:type="dxa"/>
            <w:noWrap/>
            <w:hideMark/>
          </w:tcPr>
          <w:p w14:paraId="2B9B9798" w14:textId="77777777" w:rsidR="009451BB" w:rsidRPr="00F11746" w:rsidRDefault="009451BB" w:rsidP="007606CB">
            <w:pPr>
              <w:jc w:val="right"/>
              <w:rPr>
                <w:color w:val="000000"/>
                <w:szCs w:val="22"/>
              </w:rPr>
            </w:pPr>
          </w:p>
        </w:tc>
        <w:tc>
          <w:tcPr>
            <w:tcW w:w="2977" w:type="dxa"/>
            <w:noWrap/>
            <w:hideMark/>
          </w:tcPr>
          <w:p w14:paraId="0B1371CC" w14:textId="77777777" w:rsidR="009451BB" w:rsidRPr="00F11746" w:rsidRDefault="009451BB" w:rsidP="007606CB">
            <w:pPr>
              <w:jc w:val="right"/>
              <w:rPr>
                <w:color w:val="000000"/>
                <w:szCs w:val="22"/>
              </w:rPr>
            </w:pPr>
          </w:p>
        </w:tc>
      </w:tr>
      <w:tr w:rsidR="009451BB" w:rsidRPr="00F11746" w14:paraId="1F3C404B" w14:textId="77777777" w:rsidTr="007606CB">
        <w:trPr>
          <w:trHeight w:val="288"/>
        </w:trPr>
        <w:tc>
          <w:tcPr>
            <w:tcW w:w="1256" w:type="dxa"/>
            <w:noWrap/>
            <w:hideMark/>
          </w:tcPr>
          <w:p w14:paraId="413A5CA1" w14:textId="77777777" w:rsidR="009451BB" w:rsidRPr="00F11746" w:rsidRDefault="009451BB" w:rsidP="007606CB">
            <w:pPr>
              <w:jc w:val="center"/>
              <w:rPr>
                <w:color w:val="000000"/>
                <w:szCs w:val="22"/>
              </w:rPr>
            </w:pPr>
            <w:r w:rsidRPr="00DB5BB5">
              <w:t>PH</w:t>
            </w:r>
          </w:p>
        </w:tc>
        <w:tc>
          <w:tcPr>
            <w:tcW w:w="1291" w:type="dxa"/>
            <w:noWrap/>
            <w:hideMark/>
          </w:tcPr>
          <w:p w14:paraId="7700741C" w14:textId="77777777" w:rsidR="009451BB" w:rsidRPr="00F11746" w:rsidRDefault="009451BB" w:rsidP="007606CB">
            <w:pPr>
              <w:jc w:val="right"/>
              <w:rPr>
                <w:color w:val="000000"/>
                <w:szCs w:val="22"/>
              </w:rPr>
            </w:pPr>
            <w:r w:rsidRPr="00DB5BB5">
              <w:t xml:space="preserve"> 2 </w:t>
            </w:r>
          </w:p>
        </w:tc>
        <w:tc>
          <w:tcPr>
            <w:tcW w:w="2835" w:type="dxa"/>
            <w:noWrap/>
            <w:hideMark/>
          </w:tcPr>
          <w:p w14:paraId="67735E64" w14:textId="77777777" w:rsidR="009451BB" w:rsidRPr="00F11746" w:rsidRDefault="009451BB" w:rsidP="007606CB">
            <w:pPr>
              <w:jc w:val="right"/>
              <w:rPr>
                <w:color w:val="000000"/>
                <w:szCs w:val="22"/>
              </w:rPr>
            </w:pPr>
          </w:p>
        </w:tc>
        <w:tc>
          <w:tcPr>
            <w:tcW w:w="2977" w:type="dxa"/>
            <w:noWrap/>
            <w:hideMark/>
          </w:tcPr>
          <w:p w14:paraId="4FF904DC" w14:textId="77777777" w:rsidR="009451BB" w:rsidRPr="00F11746" w:rsidRDefault="009451BB" w:rsidP="007606CB">
            <w:pPr>
              <w:jc w:val="right"/>
              <w:rPr>
                <w:color w:val="000000"/>
                <w:szCs w:val="22"/>
              </w:rPr>
            </w:pPr>
          </w:p>
        </w:tc>
      </w:tr>
      <w:tr w:rsidR="009451BB" w:rsidRPr="00F11746" w14:paraId="53C4AA5C" w14:textId="77777777" w:rsidTr="007606CB">
        <w:trPr>
          <w:trHeight w:val="288"/>
        </w:trPr>
        <w:tc>
          <w:tcPr>
            <w:tcW w:w="1256" w:type="dxa"/>
            <w:noWrap/>
            <w:hideMark/>
          </w:tcPr>
          <w:p w14:paraId="657B44F3" w14:textId="77777777" w:rsidR="009451BB" w:rsidRPr="00F11746" w:rsidRDefault="009451BB" w:rsidP="007606CB">
            <w:pPr>
              <w:jc w:val="center"/>
              <w:rPr>
                <w:color w:val="000000"/>
                <w:szCs w:val="22"/>
              </w:rPr>
            </w:pPr>
            <w:r w:rsidRPr="00DB5BB5">
              <w:t>PL</w:t>
            </w:r>
          </w:p>
        </w:tc>
        <w:tc>
          <w:tcPr>
            <w:tcW w:w="1291" w:type="dxa"/>
            <w:noWrap/>
            <w:hideMark/>
          </w:tcPr>
          <w:p w14:paraId="451117F6" w14:textId="77777777" w:rsidR="009451BB" w:rsidRPr="00F11746" w:rsidRDefault="009451BB" w:rsidP="007606CB">
            <w:pPr>
              <w:jc w:val="right"/>
              <w:rPr>
                <w:color w:val="000000"/>
                <w:szCs w:val="22"/>
              </w:rPr>
            </w:pPr>
            <w:r w:rsidRPr="00DB5BB5">
              <w:t xml:space="preserve"> 50 </w:t>
            </w:r>
          </w:p>
        </w:tc>
        <w:tc>
          <w:tcPr>
            <w:tcW w:w="2835" w:type="dxa"/>
            <w:noWrap/>
            <w:hideMark/>
          </w:tcPr>
          <w:p w14:paraId="3BD1119B" w14:textId="77777777" w:rsidR="009451BB" w:rsidRPr="00F11746" w:rsidRDefault="009451BB" w:rsidP="007606CB">
            <w:pPr>
              <w:jc w:val="right"/>
              <w:rPr>
                <w:color w:val="000000"/>
                <w:szCs w:val="22"/>
              </w:rPr>
            </w:pPr>
            <w:r w:rsidRPr="00DB5BB5">
              <w:t xml:space="preserve"> 7 </w:t>
            </w:r>
          </w:p>
        </w:tc>
        <w:tc>
          <w:tcPr>
            <w:tcW w:w="2977" w:type="dxa"/>
            <w:noWrap/>
            <w:hideMark/>
          </w:tcPr>
          <w:p w14:paraId="5E9D4DF5" w14:textId="77777777" w:rsidR="009451BB" w:rsidRPr="00F11746" w:rsidRDefault="009451BB" w:rsidP="007606CB">
            <w:pPr>
              <w:jc w:val="right"/>
              <w:rPr>
                <w:color w:val="000000"/>
                <w:szCs w:val="22"/>
              </w:rPr>
            </w:pPr>
            <w:r w:rsidRPr="00DB5BB5">
              <w:t xml:space="preserve"> 5 </w:t>
            </w:r>
          </w:p>
        </w:tc>
      </w:tr>
      <w:tr w:rsidR="009451BB" w:rsidRPr="00F11746" w14:paraId="05B79F5F" w14:textId="77777777" w:rsidTr="007606CB">
        <w:trPr>
          <w:trHeight w:val="288"/>
        </w:trPr>
        <w:tc>
          <w:tcPr>
            <w:tcW w:w="1256" w:type="dxa"/>
            <w:noWrap/>
            <w:hideMark/>
          </w:tcPr>
          <w:p w14:paraId="3AC87D04" w14:textId="77777777" w:rsidR="009451BB" w:rsidRPr="00F11746" w:rsidRDefault="009451BB" w:rsidP="007606CB">
            <w:pPr>
              <w:jc w:val="center"/>
              <w:rPr>
                <w:color w:val="000000"/>
                <w:szCs w:val="22"/>
              </w:rPr>
            </w:pPr>
            <w:r w:rsidRPr="00DB5BB5">
              <w:t>PT</w:t>
            </w:r>
          </w:p>
        </w:tc>
        <w:tc>
          <w:tcPr>
            <w:tcW w:w="1291" w:type="dxa"/>
            <w:noWrap/>
            <w:hideMark/>
          </w:tcPr>
          <w:p w14:paraId="3870C404" w14:textId="77777777" w:rsidR="009451BB" w:rsidRPr="00F11746" w:rsidRDefault="009451BB" w:rsidP="007606CB">
            <w:pPr>
              <w:jc w:val="right"/>
              <w:rPr>
                <w:color w:val="000000"/>
                <w:szCs w:val="22"/>
              </w:rPr>
            </w:pPr>
            <w:r w:rsidRPr="00DB5BB5">
              <w:t xml:space="preserve"> 7 </w:t>
            </w:r>
          </w:p>
        </w:tc>
        <w:tc>
          <w:tcPr>
            <w:tcW w:w="2835" w:type="dxa"/>
            <w:noWrap/>
            <w:hideMark/>
          </w:tcPr>
          <w:p w14:paraId="591CA4D1" w14:textId="77777777" w:rsidR="009451BB" w:rsidRPr="00F11746" w:rsidRDefault="009451BB" w:rsidP="007606CB">
            <w:pPr>
              <w:jc w:val="right"/>
              <w:rPr>
                <w:color w:val="000000"/>
                <w:szCs w:val="22"/>
              </w:rPr>
            </w:pPr>
          </w:p>
        </w:tc>
        <w:tc>
          <w:tcPr>
            <w:tcW w:w="2977" w:type="dxa"/>
            <w:noWrap/>
            <w:hideMark/>
          </w:tcPr>
          <w:p w14:paraId="3AEBDE30" w14:textId="77777777" w:rsidR="009451BB" w:rsidRPr="00F11746" w:rsidRDefault="009451BB" w:rsidP="007606CB">
            <w:pPr>
              <w:jc w:val="right"/>
              <w:rPr>
                <w:color w:val="000000"/>
                <w:szCs w:val="22"/>
              </w:rPr>
            </w:pPr>
          </w:p>
        </w:tc>
      </w:tr>
      <w:tr w:rsidR="009451BB" w:rsidRPr="00F11746" w14:paraId="58F194E0" w14:textId="77777777" w:rsidTr="007606CB">
        <w:trPr>
          <w:trHeight w:val="288"/>
        </w:trPr>
        <w:tc>
          <w:tcPr>
            <w:tcW w:w="1256" w:type="dxa"/>
            <w:noWrap/>
            <w:hideMark/>
          </w:tcPr>
          <w:p w14:paraId="7069C15F" w14:textId="77777777" w:rsidR="009451BB" w:rsidRPr="00F11746" w:rsidRDefault="009451BB" w:rsidP="007606CB">
            <w:pPr>
              <w:jc w:val="center"/>
              <w:rPr>
                <w:color w:val="000000"/>
                <w:szCs w:val="22"/>
              </w:rPr>
            </w:pPr>
            <w:r w:rsidRPr="00DB5BB5">
              <w:t>QA</w:t>
            </w:r>
          </w:p>
        </w:tc>
        <w:tc>
          <w:tcPr>
            <w:tcW w:w="1291" w:type="dxa"/>
            <w:noWrap/>
            <w:hideMark/>
          </w:tcPr>
          <w:p w14:paraId="242C4CC1" w14:textId="77777777" w:rsidR="009451BB" w:rsidRPr="00F11746" w:rsidRDefault="009451BB" w:rsidP="007606CB">
            <w:pPr>
              <w:jc w:val="right"/>
              <w:rPr>
                <w:color w:val="000000"/>
                <w:szCs w:val="22"/>
              </w:rPr>
            </w:pPr>
            <w:r w:rsidRPr="00DB5BB5">
              <w:t xml:space="preserve"> 2 </w:t>
            </w:r>
          </w:p>
        </w:tc>
        <w:tc>
          <w:tcPr>
            <w:tcW w:w="2835" w:type="dxa"/>
            <w:noWrap/>
            <w:hideMark/>
          </w:tcPr>
          <w:p w14:paraId="528949AD" w14:textId="77777777" w:rsidR="009451BB" w:rsidRPr="00F11746" w:rsidRDefault="009451BB" w:rsidP="007606CB">
            <w:pPr>
              <w:jc w:val="right"/>
              <w:rPr>
                <w:color w:val="000000"/>
                <w:szCs w:val="22"/>
              </w:rPr>
            </w:pPr>
          </w:p>
        </w:tc>
        <w:tc>
          <w:tcPr>
            <w:tcW w:w="2977" w:type="dxa"/>
            <w:noWrap/>
            <w:hideMark/>
          </w:tcPr>
          <w:p w14:paraId="77DC4936" w14:textId="77777777" w:rsidR="009451BB" w:rsidRPr="00F11746" w:rsidRDefault="009451BB" w:rsidP="007606CB">
            <w:pPr>
              <w:jc w:val="right"/>
              <w:rPr>
                <w:color w:val="000000"/>
                <w:szCs w:val="22"/>
              </w:rPr>
            </w:pPr>
          </w:p>
        </w:tc>
      </w:tr>
      <w:tr w:rsidR="009451BB" w:rsidRPr="00F11746" w14:paraId="193C5EA7" w14:textId="77777777" w:rsidTr="007606CB">
        <w:trPr>
          <w:trHeight w:val="288"/>
        </w:trPr>
        <w:tc>
          <w:tcPr>
            <w:tcW w:w="1256" w:type="dxa"/>
            <w:noWrap/>
            <w:hideMark/>
          </w:tcPr>
          <w:p w14:paraId="46E943BF" w14:textId="77777777" w:rsidR="009451BB" w:rsidRPr="00F11746" w:rsidRDefault="009451BB" w:rsidP="007606CB">
            <w:pPr>
              <w:jc w:val="center"/>
              <w:rPr>
                <w:color w:val="000000"/>
                <w:szCs w:val="22"/>
              </w:rPr>
            </w:pPr>
            <w:r w:rsidRPr="00DB5BB5">
              <w:t>RU</w:t>
            </w:r>
          </w:p>
        </w:tc>
        <w:tc>
          <w:tcPr>
            <w:tcW w:w="1291" w:type="dxa"/>
            <w:noWrap/>
            <w:hideMark/>
          </w:tcPr>
          <w:p w14:paraId="7DD8BF37" w14:textId="77777777" w:rsidR="009451BB" w:rsidRPr="00F11746" w:rsidRDefault="009451BB" w:rsidP="007606CB">
            <w:pPr>
              <w:jc w:val="right"/>
              <w:rPr>
                <w:color w:val="000000"/>
                <w:szCs w:val="22"/>
              </w:rPr>
            </w:pPr>
            <w:r w:rsidRPr="00DB5BB5">
              <w:t xml:space="preserve"> 56 </w:t>
            </w:r>
          </w:p>
        </w:tc>
        <w:tc>
          <w:tcPr>
            <w:tcW w:w="2835" w:type="dxa"/>
            <w:noWrap/>
            <w:hideMark/>
          </w:tcPr>
          <w:p w14:paraId="7F2C9018" w14:textId="77777777" w:rsidR="009451BB" w:rsidRPr="00F11746" w:rsidRDefault="009451BB" w:rsidP="007606CB">
            <w:pPr>
              <w:jc w:val="right"/>
              <w:rPr>
                <w:color w:val="000000"/>
                <w:szCs w:val="22"/>
              </w:rPr>
            </w:pPr>
            <w:r w:rsidRPr="00DB5BB5">
              <w:t xml:space="preserve"> 3 </w:t>
            </w:r>
          </w:p>
        </w:tc>
        <w:tc>
          <w:tcPr>
            <w:tcW w:w="2977" w:type="dxa"/>
            <w:noWrap/>
            <w:hideMark/>
          </w:tcPr>
          <w:p w14:paraId="6BA0F74E" w14:textId="77777777" w:rsidR="009451BB" w:rsidRPr="00F11746" w:rsidRDefault="009451BB" w:rsidP="007606CB">
            <w:pPr>
              <w:jc w:val="right"/>
              <w:rPr>
                <w:color w:val="000000"/>
                <w:szCs w:val="22"/>
              </w:rPr>
            </w:pPr>
          </w:p>
        </w:tc>
      </w:tr>
      <w:tr w:rsidR="009451BB" w:rsidRPr="00F11746" w14:paraId="1CFCBF3A" w14:textId="77777777" w:rsidTr="007606CB">
        <w:trPr>
          <w:trHeight w:val="288"/>
        </w:trPr>
        <w:tc>
          <w:tcPr>
            <w:tcW w:w="1256" w:type="dxa"/>
            <w:noWrap/>
            <w:hideMark/>
          </w:tcPr>
          <w:p w14:paraId="3C07F520" w14:textId="77777777" w:rsidR="009451BB" w:rsidRPr="00F11746" w:rsidRDefault="009451BB" w:rsidP="007606CB">
            <w:pPr>
              <w:jc w:val="center"/>
              <w:rPr>
                <w:color w:val="000000"/>
                <w:szCs w:val="22"/>
              </w:rPr>
            </w:pPr>
            <w:r w:rsidRPr="00DB5BB5">
              <w:t>SE</w:t>
            </w:r>
          </w:p>
        </w:tc>
        <w:tc>
          <w:tcPr>
            <w:tcW w:w="1291" w:type="dxa"/>
            <w:noWrap/>
            <w:hideMark/>
          </w:tcPr>
          <w:p w14:paraId="185398E8" w14:textId="77777777" w:rsidR="009451BB" w:rsidRPr="00F11746" w:rsidRDefault="009451BB" w:rsidP="007606CB">
            <w:pPr>
              <w:jc w:val="right"/>
              <w:rPr>
                <w:color w:val="000000"/>
                <w:szCs w:val="22"/>
              </w:rPr>
            </w:pPr>
            <w:r w:rsidRPr="00DB5BB5">
              <w:t xml:space="preserve"> 35 </w:t>
            </w:r>
          </w:p>
        </w:tc>
        <w:tc>
          <w:tcPr>
            <w:tcW w:w="2835" w:type="dxa"/>
            <w:noWrap/>
            <w:hideMark/>
          </w:tcPr>
          <w:p w14:paraId="5A1DAC4F" w14:textId="77777777" w:rsidR="009451BB" w:rsidRPr="00F11746" w:rsidRDefault="009451BB" w:rsidP="007606CB">
            <w:pPr>
              <w:jc w:val="right"/>
              <w:rPr>
                <w:color w:val="000000"/>
                <w:szCs w:val="22"/>
              </w:rPr>
            </w:pPr>
            <w:r w:rsidRPr="00DB5BB5">
              <w:t xml:space="preserve"> 1 </w:t>
            </w:r>
          </w:p>
        </w:tc>
        <w:tc>
          <w:tcPr>
            <w:tcW w:w="2977" w:type="dxa"/>
            <w:noWrap/>
            <w:hideMark/>
          </w:tcPr>
          <w:p w14:paraId="3F683D19" w14:textId="77777777" w:rsidR="009451BB" w:rsidRPr="00F11746" w:rsidRDefault="009451BB" w:rsidP="007606CB">
            <w:pPr>
              <w:jc w:val="right"/>
              <w:rPr>
                <w:color w:val="000000"/>
                <w:szCs w:val="22"/>
              </w:rPr>
            </w:pPr>
            <w:r w:rsidRPr="00DB5BB5">
              <w:t xml:space="preserve"> 2 </w:t>
            </w:r>
          </w:p>
        </w:tc>
      </w:tr>
      <w:tr w:rsidR="009451BB" w:rsidRPr="00F11746" w14:paraId="5DCB63DB" w14:textId="77777777" w:rsidTr="007606CB">
        <w:trPr>
          <w:trHeight w:val="288"/>
        </w:trPr>
        <w:tc>
          <w:tcPr>
            <w:tcW w:w="1256" w:type="dxa"/>
            <w:noWrap/>
            <w:hideMark/>
          </w:tcPr>
          <w:p w14:paraId="2740D110" w14:textId="77777777" w:rsidR="009451BB" w:rsidRPr="00F11746" w:rsidRDefault="009451BB" w:rsidP="007606CB">
            <w:pPr>
              <w:jc w:val="center"/>
              <w:rPr>
                <w:color w:val="000000"/>
                <w:szCs w:val="22"/>
              </w:rPr>
            </w:pPr>
            <w:r w:rsidRPr="00DB5BB5">
              <w:t>SG</w:t>
            </w:r>
          </w:p>
        </w:tc>
        <w:tc>
          <w:tcPr>
            <w:tcW w:w="1291" w:type="dxa"/>
            <w:noWrap/>
            <w:hideMark/>
          </w:tcPr>
          <w:p w14:paraId="7CA1271A" w14:textId="77777777" w:rsidR="009451BB" w:rsidRPr="00F11746" w:rsidRDefault="009451BB" w:rsidP="007606CB">
            <w:pPr>
              <w:jc w:val="right"/>
              <w:rPr>
                <w:color w:val="000000"/>
                <w:szCs w:val="22"/>
              </w:rPr>
            </w:pPr>
            <w:r w:rsidRPr="00DB5BB5">
              <w:t xml:space="preserve"> 242 </w:t>
            </w:r>
          </w:p>
        </w:tc>
        <w:tc>
          <w:tcPr>
            <w:tcW w:w="2835" w:type="dxa"/>
            <w:noWrap/>
            <w:hideMark/>
          </w:tcPr>
          <w:p w14:paraId="4D661DE9" w14:textId="77777777" w:rsidR="009451BB" w:rsidRPr="00F11746" w:rsidRDefault="009451BB" w:rsidP="007606CB">
            <w:pPr>
              <w:jc w:val="right"/>
              <w:rPr>
                <w:color w:val="000000"/>
                <w:szCs w:val="22"/>
              </w:rPr>
            </w:pPr>
            <w:r w:rsidRPr="00DB5BB5">
              <w:t xml:space="preserve"> 1 </w:t>
            </w:r>
          </w:p>
        </w:tc>
        <w:tc>
          <w:tcPr>
            <w:tcW w:w="2977" w:type="dxa"/>
            <w:noWrap/>
            <w:hideMark/>
          </w:tcPr>
          <w:p w14:paraId="61964B16" w14:textId="77777777" w:rsidR="009451BB" w:rsidRPr="00F11746" w:rsidRDefault="009451BB" w:rsidP="007606CB">
            <w:pPr>
              <w:jc w:val="right"/>
              <w:rPr>
                <w:color w:val="000000"/>
                <w:szCs w:val="22"/>
              </w:rPr>
            </w:pPr>
            <w:r w:rsidRPr="00DB5BB5">
              <w:t xml:space="preserve"> 4 </w:t>
            </w:r>
          </w:p>
        </w:tc>
      </w:tr>
      <w:tr w:rsidR="009451BB" w:rsidRPr="00F11746" w14:paraId="014C345D" w14:textId="77777777" w:rsidTr="007606CB">
        <w:trPr>
          <w:trHeight w:val="288"/>
        </w:trPr>
        <w:tc>
          <w:tcPr>
            <w:tcW w:w="1256" w:type="dxa"/>
            <w:noWrap/>
            <w:hideMark/>
          </w:tcPr>
          <w:p w14:paraId="5EC2B2BB" w14:textId="77777777" w:rsidR="009451BB" w:rsidRPr="00F11746" w:rsidRDefault="009451BB" w:rsidP="007606CB">
            <w:pPr>
              <w:jc w:val="center"/>
              <w:rPr>
                <w:color w:val="000000"/>
                <w:szCs w:val="22"/>
              </w:rPr>
            </w:pPr>
            <w:r w:rsidRPr="00DB5BB5">
              <w:t>SK</w:t>
            </w:r>
          </w:p>
        </w:tc>
        <w:tc>
          <w:tcPr>
            <w:tcW w:w="1291" w:type="dxa"/>
            <w:noWrap/>
            <w:hideMark/>
          </w:tcPr>
          <w:p w14:paraId="6E4F9888" w14:textId="77777777" w:rsidR="009451BB" w:rsidRPr="00F11746" w:rsidRDefault="009451BB" w:rsidP="007606CB">
            <w:pPr>
              <w:jc w:val="right"/>
              <w:rPr>
                <w:color w:val="000000"/>
                <w:szCs w:val="22"/>
              </w:rPr>
            </w:pPr>
            <w:r w:rsidRPr="00DB5BB5">
              <w:t xml:space="preserve"> 3 </w:t>
            </w:r>
          </w:p>
        </w:tc>
        <w:tc>
          <w:tcPr>
            <w:tcW w:w="2835" w:type="dxa"/>
            <w:noWrap/>
            <w:hideMark/>
          </w:tcPr>
          <w:p w14:paraId="7E9B891F" w14:textId="77777777" w:rsidR="009451BB" w:rsidRPr="00F11746" w:rsidRDefault="009451BB" w:rsidP="007606CB">
            <w:pPr>
              <w:jc w:val="right"/>
              <w:rPr>
                <w:color w:val="000000"/>
                <w:szCs w:val="22"/>
              </w:rPr>
            </w:pPr>
          </w:p>
        </w:tc>
        <w:tc>
          <w:tcPr>
            <w:tcW w:w="2977" w:type="dxa"/>
            <w:noWrap/>
            <w:hideMark/>
          </w:tcPr>
          <w:p w14:paraId="2FE863DF" w14:textId="77777777" w:rsidR="009451BB" w:rsidRPr="00F11746" w:rsidRDefault="009451BB" w:rsidP="007606CB">
            <w:pPr>
              <w:jc w:val="right"/>
              <w:rPr>
                <w:color w:val="000000"/>
                <w:szCs w:val="22"/>
              </w:rPr>
            </w:pPr>
            <w:r w:rsidRPr="00DB5BB5">
              <w:t xml:space="preserve"> 1 </w:t>
            </w:r>
          </w:p>
        </w:tc>
      </w:tr>
      <w:tr w:rsidR="009451BB" w:rsidRPr="00F11746" w14:paraId="35357C53" w14:textId="77777777" w:rsidTr="007606CB">
        <w:trPr>
          <w:trHeight w:val="288"/>
        </w:trPr>
        <w:tc>
          <w:tcPr>
            <w:tcW w:w="1256" w:type="dxa"/>
            <w:noWrap/>
            <w:hideMark/>
          </w:tcPr>
          <w:p w14:paraId="638178CC" w14:textId="77777777" w:rsidR="009451BB" w:rsidRPr="00F11746" w:rsidRDefault="009451BB" w:rsidP="007606CB">
            <w:pPr>
              <w:jc w:val="center"/>
              <w:rPr>
                <w:color w:val="000000"/>
                <w:szCs w:val="22"/>
              </w:rPr>
            </w:pPr>
            <w:r w:rsidRPr="00DB5BB5">
              <w:t>TH</w:t>
            </w:r>
          </w:p>
        </w:tc>
        <w:tc>
          <w:tcPr>
            <w:tcW w:w="1291" w:type="dxa"/>
            <w:noWrap/>
            <w:hideMark/>
          </w:tcPr>
          <w:p w14:paraId="79041FF8" w14:textId="77777777" w:rsidR="009451BB" w:rsidRPr="00F11746" w:rsidRDefault="009451BB" w:rsidP="007606CB">
            <w:pPr>
              <w:jc w:val="right"/>
              <w:rPr>
                <w:color w:val="000000"/>
                <w:szCs w:val="22"/>
              </w:rPr>
            </w:pPr>
            <w:r w:rsidRPr="00DB5BB5">
              <w:t xml:space="preserve"> 17 </w:t>
            </w:r>
          </w:p>
        </w:tc>
        <w:tc>
          <w:tcPr>
            <w:tcW w:w="2835" w:type="dxa"/>
            <w:noWrap/>
            <w:hideMark/>
          </w:tcPr>
          <w:p w14:paraId="2E4B6E0C" w14:textId="77777777" w:rsidR="009451BB" w:rsidRPr="00F11746" w:rsidRDefault="009451BB" w:rsidP="007606CB">
            <w:pPr>
              <w:jc w:val="right"/>
              <w:rPr>
                <w:color w:val="000000"/>
                <w:szCs w:val="22"/>
              </w:rPr>
            </w:pPr>
            <w:r w:rsidRPr="00DB5BB5">
              <w:t xml:space="preserve"> 2 </w:t>
            </w:r>
          </w:p>
        </w:tc>
        <w:tc>
          <w:tcPr>
            <w:tcW w:w="2977" w:type="dxa"/>
            <w:noWrap/>
            <w:hideMark/>
          </w:tcPr>
          <w:p w14:paraId="1EC98D11" w14:textId="77777777" w:rsidR="009451BB" w:rsidRPr="00F11746" w:rsidRDefault="009451BB" w:rsidP="007606CB">
            <w:pPr>
              <w:jc w:val="right"/>
              <w:rPr>
                <w:color w:val="000000"/>
                <w:szCs w:val="22"/>
              </w:rPr>
            </w:pPr>
            <w:r w:rsidRPr="00DB5BB5">
              <w:t xml:space="preserve"> 5 </w:t>
            </w:r>
          </w:p>
        </w:tc>
      </w:tr>
      <w:tr w:rsidR="009451BB" w:rsidRPr="00F11746" w14:paraId="288EF9E6" w14:textId="77777777" w:rsidTr="007606CB">
        <w:trPr>
          <w:trHeight w:val="288"/>
        </w:trPr>
        <w:tc>
          <w:tcPr>
            <w:tcW w:w="1256" w:type="dxa"/>
            <w:noWrap/>
            <w:hideMark/>
          </w:tcPr>
          <w:p w14:paraId="5FEF4A00" w14:textId="77777777" w:rsidR="009451BB" w:rsidRPr="00F11746" w:rsidRDefault="009451BB" w:rsidP="007606CB">
            <w:pPr>
              <w:jc w:val="center"/>
              <w:rPr>
                <w:color w:val="000000"/>
                <w:szCs w:val="22"/>
              </w:rPr>
            </w:pPr>
            <w:r w:rsidRPr="00DB5BB5">
              <w:t>TR</w:t>
            </w:r>
          </w:p>
        </w:tc>
        <w:tc>
          <w:tcPr>
            <w:tcW w:w="1291" w:type="dxa"/>
            <w:noWrap/>
            <w:hideMark/>
          </w:tcPr>
          <w:p w14:paraId="79F6D7A2" w14:textId="77777777" w:rsidR="009451BB" w:rsidRPr="00F11746" w:rsidRDefault="009451BB" w:rsidP="007606CB">
            <w:pPr>
              <w:jc w:val="right"/>
              <w:rPr>
                <w:color w:val="000000"/>
                <w:szCs w:val="22"/>
              </w:rPr>
            </w:pPr>
            <w:r w:rsidRPr="00DB5BB5">
              <w:t xml:space="preserve"> 52 </w:t>
            </w:r>
          </w:p>
        </w:tc>
        <w:tc>
          <w:tcPr>
            <w:tcW w:w="2835" w:type="dxa"/>
            <w:noWrap/>
            <w:hideMark/>
          </w:tcPr>
          <w:p w14:paraId="0DBB68CD" w14:textId="77777777" w:rsidR="009451BB" w:rsidRPr="00F11746" w:rsidRDefault="009451BB" w:rsidP="007606CB">
            <w:pPr>
              <w:jc w:val="right"/>
              <w:rPr>
                <w:color w:val="000000"/>
                <w:szCs w:val="22"/>
              </w:rPr>
            </w:pPr>
          </w:p>
        </w:tc>
        <w:tc>
          <w:tcPr>
            <w:tcW w:w="2977" w:type="dxa"/>
            <w:noWrap/>
            <w:hideMark/>
          </w:tcPr>
          <w:p w14:paraId="69B03931" w14:textId="77777777" w:rsidR="009451BB" w:rsidRPr="00F11746" w:rsidRDefault="009451BB" w:rsidP="007606CB">
            <w:pPr>
              <w:jc w:val="right"/>
              <w:rPr>
                <w:color w:val="000000"/>
                <w:szCs w:val="22"/>
              </w:rPr>
            </w:pPr>
            <w:r w:rsidRPr="00DB5BB5">
              <w:t xml:space="preserve"> 8 </w:t>
            </w:r>
          </w:p>
        </w:tc>
      </w:tr>
      <w:tr w:rsidR="009451BB" w:rsidRPr="00F11746" w14:paraId="712915C9" w14:textId="77777777" w:rsidTr="007606CB">
        <w:trPr>
          <w:trHeight w:val="288"/>
        </w:trPr>
        <w:tc>
          <w:tcPr>
            <w:tcW w:w="1256" w:type="dxa"/>
            <w:noWrap/>
            <w:hideMark/>
          </w:tcPr>
          <w:p w14:paraId="1015B204" w14:textId="77777777" w:rsidR="009451BB" w:rsidRPr="00F11746" w:rsidRDefault="009451BB" w:rsidP="007606CB">
            <w:pPr>
              <w:jc w:val="center"/>
              <w:rPr>
                <w:color w:val="000000"/>
                <w:szCs w:val="22"/>
              </w:rPr>
            </w:pPr>
            <w:r w:rsidRPr="00DB5BB5">
              <w:t>UG</w:t>
            </w:r>
          </w:p>
        </w:tc>
        <w:tc>
          <w:tcPr>
            <w:tcW w:w="1291" w:type="dxa"/>
            <w:noWrap/>
            <w:hideMark/>
          </w:tcPr>
          <w:p w14:paraId="2B5B058B" w14:textId="77777777" w:rsidR="009451BB" w:rsidRPr="00F11746" w:rsidRDefault="009451BB" w:rsidP="007606CB">
            <w:pPr>
              <w:jc w:val="right"/>
              <w:rPr>
                <w:color w:val="000000"/>
                <w:szCs w:val="22"/>
              </w:rPr>
            </w:pPr>
            <w:r w:rsidRPr="00DB5BB5">
              <w:t xml:space="preserve"> 1 </w:t>
            </w:r>
          </w:p>
        </w:tc>
        <w:tc>
          <w:tcPr>
            <w:tcW w:w="2835" w:type="dxa"/>
            <w:noWrap/>
            <w:hideMark/>
          </w:tcPr>
          <w:p w14:paraId="5DF060EA" w14:textId="77777777" w:rsidR="009451BB" w:rsidRPr="00F11746" w:rsidRDefault="009451BB" w:rsidP="007606CB">
            <w:pPr>
              <w:jc w:val="right"/>
              <w:rPr>
                <w:color w:val="000000"/>
                <w:szCs w:val="22"/>
              </w:rPr>
            </w:pPr>
          </w:p>
        </w:tc>
        <w:tc>
          <w:tcPr>
            <w:tcW w:w="2977" w:type="dxa"/>
            <w:noWrap/>
            <w:hideMark/>
          </w:tcPr>
          <w:p w14:paraId="69C2CC6B" w14:textId="77777777" w:rsidR="009451BB" w:rsidRPr="00F11746" w:rsidRDefault="009451BB" w:rsidP="007606CB">
            <w:pPr>
              <w:jc w:val="right"/>
              <w:rPr>
                <w:color w:val="000000"/>
                <w:szCs w:val="22"/>
              </w:rPr>
            </w:pPr>
          </w:p>
        </w:tc>
      </w:tr>
      <w:tr w:rsidR="009451BB" w:rsidRPr="00F11746" w14:paraId="32B28B17" w14:textId="77777777" w:rsidTr="007606CB">
        <w:trPr>
          <w:trHeight w:val="288"/>
        </w:trPr>
        <w:tc>
          <w:tcPr>
            <w:tcW w:w="1256" w:type="dxa"/>
            <w:noWrap/>
          </w:tcPr>
          <w:p w14:paraId="5035B5F5" w14:textId="77777777" w:rsidR="009451BB" w:rsidRPr="00F11746" w:rsidRDefault="009451BB" w:rsidP="007606CB">
            <w:pPr>
              <w:jc w:val="center"/>
              <w:rPr>
                <w:color w:val="000000"/>
                <w:szCs w:val="22"/>
              </w:rPr>
            </w:pPr>
            <w:r w:rsidRPr="00DB5BB5">
              <w:t>US</w:t>
            </w:r>
          </w:p>
        </w:tc>
        <w:tc>
          <w:tcPr>
            <w:tcW w:w="1291" w:type="dxa"/>
            <w:noWrap/>
          </w:tcPr>
          <w:p w14:paraId="37924E3F" w14:textId="77777777" w:rsidR="009451BB" w:rsidRPr="00F11746" w:rsidRDefault="009451BB" w:rsidP="007606CB">
            <w:pPr>
              <w:jc w:val="right"/>
              <w:rPr>
                <w:color w:val="000000"/>
                <w:szCs w:val="22"/>
              </w:rPr>
            </w:pPr>
            <w:r w:rsidRPr="00DB5BB5">
              <w:t xml:space="preserve"> 15,119 </w:t>
            </w:r>
          </w:p>
        </w:tc>
        <w:tc>
          <w:tcPr>
            <w:tcW w:w="2835" w:type="dxa"/>
            <w:noWrap/>
          </w:tcPr>
          <w:p w14:paraId="02D0A35A" w14:textId="77777777" w:rsidR="009451BB" w:rsidRPr="00F11746" w:rsidRDefault="009451BB" w:rsidP="007606CB">
            <w:pPr>
              <w:jc w:val="right"/>
              <w:rPr>
                <w:color w:val="000000"/>
                <w:szCs w:val="22"/>
              </w:rPr>
            </w:pPr>
            <w:r w:rsidRPr="00DB5BB5">
              <w:t xml:space="preserve"> 1,164 </w:t>
            </w:r>
          </w:p>
        </w:tc>
        <w:tc>
          <w:tcPr>
            <w:tcW w:w="2977" w:type="dxa"/>
            <w:noWrap/>
          </w:tcPr>
          <w:p w14:paraId="19176CB8" w14:textId="77777777" w:rsidR="009451BB" w:rsidRPr="00F11746" w:rsidRDefault="009451BB" w:rsidP="007606CB">
            <w:pPr>
              <w:jc w:val="right"/>
              <w:rPr>
                <w:color w:val="000000"/>
                <w:szCs w:val="22"/>
              </w:rPr>
            </w:pPr>
            <w:r w:rsidRPr="00DB5BB5">
              <w:t xml:space="preserve"> 2,696 </w:t>
            </w:r>
          </w:p>
        </w:tc>
      </w:tr>
      <w:tr w:rsidR="009451BB" w:rsidRPr="00F11746" w14:paraId="53ADAD41" w14:textId="77777777" w:rsidTr="007606CB">
        <w:trPr>
          <w:trHeight w:val="288"/>
        </w:trPr>
        <w:tc>
          <w:tcPr>
            <w:tcW w:w="1256" w:type="dxa"/>
            <w:noWrap/>
          </w:tcPr>
          <w:p w14:paraId="068EBD56" w14:textId="77777777" w:rsidR="009451BB" w:rsidRPr="00F11746" w:rsidRDefault="009451BB" w:rsidP="007606CB">
            <w:pPr>
              <w:jc w:val="center"/>
              <w:rPr>
                <w:color w:val="000000"/>
                <w:szCs w:val="22"/>
              </w:rPr>
            </w:pPr>
            <w:r w:rsidRPr="00DB5BB5">
              <w:t>ZA</w:t>
            </w:r>
          </w:p>
        </w:tc>
        <w:tc>
          <w:tcPr>
            <w:tcW w:w="1291" w:type="dxa"/>
            <w:noWrap/>
          </w:tcPr>
          <w:p w14:paraId="2D0246C3" w14:textId="77777777" w:rsidR="009451BB" w:rsidRPr="00F11746" w:rsidRDefault="009451BB" w:rsidP="007606CB">
            <w:pPr>
              <w:jc w:val="right"/>
              <w:rPr>
                <w:color w:val="000000"/>
                <w:szCs w:val="22"/>
              </w:rPr>
            </w:pPr>
            <w:r w:rsidRPr="00DB5BB5">
              <w:t xml:space="preserve"> 2 </w:t>
            </w:r>
          </w:p>
        </w:tc>
        <w:tc>
          <w:tcPr>
            <w:tcW w:w="2835" w:type="dxa"/>
            <w:noWrap/>
          </w:tcPr>
          <w:p w14:paraId="4B617B5C" w14:textId="77777777" w:rsidR="009451BB" w:rsidRPr="00F11746" w:rsidRDefault="009451BB" w:rsidP="007606CB">
            <w:pPr>
              <w:jc w:val="right"/>
              <w:rPr>
                <w:color w:val="000000"/>
                <w:szCs w:val="22"/>
              </w:rPr>
            </w:pPr>
          </w:p>
        </w:tc>
        <w:tc>
          <w:tcPr>
            <w:tcW w:w="2977" w:type="dxa"/>
            <w:noWrap/>
          </w:tcPr>
          <w:p w14:paraId="75C64E10" w14:textId="77777777" w:rsidR="009451BB" w:rsidRPr="00F11746" w:rsidRDefault="009451BB" w:rsidP="007606CB">
            <w:pPr>
              <w:jc w:val="right"/>
              <w:rPr>
                <w:color w:val="000000"/>
                <w:szCs w:val="22"/>
              </w:rPr>
            </w:pPr>
          </w:p>
        </w:tc>
      </w:tr>
    </w:tbl>
    <w:p w14:paraId="4D06B866" w14:textId="77777777" w:rsidR="009451BB" w:rsidRDefault="009451BB" w:rsidP="00CE6957">
      <w:pPr>
        <w:pStyle w:val="ONUME"/>
        <w:numPr>
          <w:ilvl w:val="0"/>
          <w:numId w:val="0"/>
        </w:numPr>
        <w:spacing w:after="0"/>
      </w:pPr>
    </w:p>
    <w:p w14:paraId="534EEF0E" w14:textId="77777777" w:rsidR="00CE6957" w:rsidRDefault="00CE6957" w:rsidP="00CE6957">
      <w:pPr>
        <w:pStyle w:val="ONUME"/>
      </w:pPr>
      <w:r>
        <w:t>The reasons for Rule 13</w:t>
      </w:r>
      <w:r w:rsidRPr="00B04DC0">
        <w:rPr>
          <w:i/>
          <w:iCs/>
        </w:rPr>
        <w:t>ter</w:t>
      </w:r>
      <w:r>
        <w:t xml:space="preserve"> submissions require further analysis, but the variations are a factor of the International Searching Authority as well as the origin of the listing.  It is more common in some States than others for applicants to file international applications disclosing sequences that are required by Rule 5.2(a) to be included in a sequence listing without furnishing such a listing as part of the international application.  Some International Authorities check the sequence listings contained in the application more thoroughly than others and are more likely to invite the applicant to submit a standard-compliant listing under Rule 13</w:t>
      </w:r>
      <w:r w:rsidRPr="00B04DC0">
        <w:rPr>
          <w:i/>
          <w:iCs/>
        </w:rPr>
        <w:t>ter</w:t>
      </w:r>
      <w:r>
        <w:t xml:space="preserve"> for the purpose of international search if a defect is found in a listing or if the application body contains sequences that are not included in a listing.</w:t>
      </w:r>
    </w:p>
    <w:p w14:paraId="1635C2C8" w14:textId="04EB829D" w:rsidR="00CE6957" w:rsidRDefault="00CE6957" w:rsidP="00CE6957">
      <w:pPr>
        <w:pStyle w:val="Heading2"/>
      </w:pPr>
      <w:r>
        <w:t xml:space="preserve">Document Types Related to Sequence Listings </w:t>
      </w:r>
    </w:p>
    <w:p w14:paraId="277E2C34" w14:textId="28EE683B" w:rsidR="00CE6957" w:rsidRDefault="00CE6957" w:rsidP="00CE6957">
      <w:pPr>
        <w:pStyle w:val="ONUME"/>
      </w:pPr>
      <w:r>
        <w:t>Table 2 below shows the revised document types related to sequence listings currently available and the corresponding number of usages of each document type for applications filed since July 2022, along with the changes that are currently under implementation.  The purpose of revising the document types is to make it easier for applicants or formalities examiners to understand and select the correct document types for special cases and reduce the human error that may occur due to confusion between multiple similar document types or accidentally click</w:t>
      </w:r>
      <w:r w:rsidR="00B04DC0">
        <w:t>ing</w:t>
      </w:r>
      <w:r>
        <w:t xml:space="preserve"> on the incorrect document type from the dropdown list.  The document types </w:t>
      </w:r>
      <w:r w:rsidR="008A692A">
        <w:t>“</w:t>
      </w:r>
      <w:r>
        <w:t>Sequence Listing - Correction - Rule 13</w:t>
      </w:r>
      <w:r w:rsidRPr="00637CE6">
        <w:t>ter</w:t>
      </w:r>
      <w:r w:rsidR="008A692A">
        <w:t>”</w:t>
      </w:r>
      <w:r>
        <w:t xml:space="preserve">, </w:t>
      </w:r>
      <w:r w:rsidR="008A692A">
        <w:t>“</w:t>
      </w:r>
      <w:r>
        <w:t>Sequence Listing - Rectification - Rule 13</w:t>
      </w:r>
      <w:r w:rsidRPr="00637CE6">
        <w:t>ter</w:t>
      </w:r>
      <w:r w:rsidR="008A692A">
        <w:t>”</w:t>
      </w:r>
      <w:r>
        <w:t xml:space="preserve"> and </w:t>
      </w:r>
      <w:r w:rsidR="008A692A">
        <w:t>“</w:t>
      </w:r>
      <w:r>
        <w:t>Sequence Listing under Rule 13</w:t>
      </w:r>
      <w:r w:rsidRPr="00637CE6">
        <w:t>ter</w:t>
      </w:r>
      <w:r>
        <w:t xml:space="preserve"> Rectified by the International Preliminary Examining Authority (Rule 91)</w:t>
      </w:r>
      <w:r w:rsidR="008A692A">
        <w:t>”</w:t>
      </w:r>
      <w:r>
        <w:t xml:space="preserve"> are considered as unnecessary since </w:t>
      </w:r>
      <w:r w:rsidR="00B04DC0">
        <w:t>they are</w:t>
      </w:r>
      <w:r>
        <w:t xml:space="preserve"> not part of the international application as such</w:t>
      </w:r>
      <w:r w:rsidR="00B04DC0">
        <w:t xml:space="preserve">; </w:t>
      </w:r>
      <w:r>
        <w:t xml:space="preserve"> if a Rule 13</w:t>
      </w:r>
      <w:r w:rsidRPr="00B04DC0">
        <w:rPr>
          <w:i/>
          <w:iCs/>
        </w:rPr>
        <w:t>ter</w:t>
      </w:r>
      <w:r>
        <w:t xml:space="preserve"> listing is wrong for any reason, it could simply be replaced with a new one rather than specifying whether the change is due to a correction or a rectification. </w:t>
      </w:r>
      <w:r w:rsidR="00B04DC0">
        <w:t xml:space="preserve"> </w:t>
      </w:r>
      <w:r>
        <w:t xml:space="preserve">The document type </w:t>
      </w:r>
      <w:r w:rsidR="008A692A">
        <w:t>“</w:t>
      </w:r>
      <w:r>
        <w:t>Seq List statement 13</w:t>
      </w:r>
      <w:r w:rsidRPr="00637CE6">
        <w:t>ter</w:t>
      </w:r>
      <w:r w:rsidR="008A692A">
        <w:t>”</w:t>
      </w:r>
      <w:r>
        <w:t xml:space="preserve"> is a duplication with the document type </w:t>
      </w:r>
      <w:r w:rsidR="008A692A">
        <w:t>“</w:t>
      </w:r>
      <w:r>
        <w:t>Sequence Listing Statement</w:t>
      </w:r>
      <w:r w:rsidR="008A692A">
        <w:t>”</w:t>
      </w:r>
      <w:r>
        <w:t xml:space="preserve">, and the document types </w:t>
      </w:r>
      <w:r w:rsidR="008A692A">
        <w:t>“</w:t>
      </w:r>
      <w:r>
        <w:t>Seq. List. Info</w:t>
      </w:r>
      <w:r w:rsidR="008A692A">
        <w:t>”</w:t>
      </w:r>
      <w:r>
        <w:t xml:space="preserve"> and </w:t>
      </w:r>
      <w:r w:rsidR="008A692A">
        <w:t>“</w:t>
      </w:r>
      <w:r>
        <w:t>Sequence List Tables</w:t>
      </w:r>
      <w:r w:rsidR="008A692A">
        <w:t>”</w:t>
      </w:r>
      <w:r>
        <w:t xml:space="preserve"> are no longer applicable.  The description of certain </w:t>
      </w:r>
      <w:r w:rsidR="00B04DC0">
        <w:t>d</w:t>
      </w:r>
      <w:r>
        <w:t xml:space="preserve">ocument types is currently also under review to make it clear and easy for users. </w:t>
      </w:r>
    </w:p>
    <w:p w14:paraId="77B9ECBD" w14:textId="77777777" w:rsidR="00CE6957" w:rsidRPr="00CE6957" w:rsidRDefault="00CE6957" w:rsidP="00CE6957">
      <w:pPr>
        <w:pStyle w:val="ONUME"/>
        <w:numPr>
          <w:ilvl w:val="0"/>
          <w:numId w:val="0"/>
        </w:numPr>
        <w:rPr>
          <w:rFonts w:ascii="Times New Roman" w:eastAsia="Times New Roman" w:hAnsi="Times New Roman" w:cs="Times New Roman"/>
          <w:i/>
          <w:iCs/>
          <w:sz w:val="20"/>
          <w:lang w:eastAsia="fr-CH"/>
        </w:rPr>
      </w:pPr>
      <w:r w:rsidRPr="00CE6957">
        <w:rPr>
          <w:i/>
          <w:iCs/>
        </w:rPr>
        <w:t>Table 2:  Use of Sequence Listings Document Types</w:t>
      </w:r>
    </w:p>
    <w:tbl>
      <w:tblPr>
        <w:tblW w:w="8270" w:type="dxa"/>
        <w:tblLook w:val="04A0" w:firstRow="1" w:lastRow="0" w:firstColumn="1" w:lastColumn="0" w:noHBand="0" w:noVBand="1"/>
        <w:tblCaption w:val="Use of Sequence Listings Document Types"/>
        <w:tblDescription w:val="Table lists the revised document types related to sequence listings and the number of usages of each document type for applications filed since July 2022."/>
      </w:tblPr>
      <w:tblGrid>
        <w:gridCol w:w="6740"/>
        <w:gridCol w:w="1530"/>
      </w:tblGrid>
      <w:tr w:rsidR="00CE6957" w:rsidRPr="00855738" w14:paraId="7C5031B7" w14:textId="77777777" w:rsidTr="00CE6957">
        <w:trPr>
          <w:trHeight w:val="360"/>
          <w:tblHeader/>
        </w:trPr>
        <w:tc>
          <w:tcPr>
            <w:tcW w:w="6740" w:type="dxa"/>
            <w:tcBorders>
              <w:top w:val="single" w:sz="8" w:space="0" w:color="auto"/>
              <w:left w:val="single" w:sz="8" w:space="0" w:color="auto"/>
              <w:bottom w:val="single" w:sz="8" w:space="0" w:color="auto"/>
              <w:right w:val="single" w:sz="8" w:space="0" w:color="auto"/>
            </w:tcBorders>
            <w:vAlign w:val="center"/>
            <w:hideMark/>
          </w:tcPr>
          <w:p w14:paraId="32BC050C" w14:textId="77777777" w:rsidR="00CE6957" w:rsidRPr="007606CB" w:rsidRDefault="00CE6957" w:rsidP="007606CB">
            <w:pPr>
              <w:jc w:val="center"/>
              <w:rPr>
                <w:rFonts w:eastAsia="Times New Roman"/>
                <w:b/>
                <w:bCs/>
                <w:color w:val="000000"/>
                <w:szCs w:val="22"/>
                <w:lang w:eastAsia="en-US"/>
              </w:rPr>
            </w:pPr>
            <w:r w:rsidRPr="007606CB">
              <w:rPr>
                <w:rFonts w:eastAsia="Times New Roman"/>
                <w:b/>
                <w:bCs/>
                <w:color w:val="000000"/>
                <w:szCs w:val="22"/>
                <w:lang w:eastAsia="en-US"/>
              </w:rPr>
              <w:t>Revised Document type</w:t>
            </w:r>
            <w:r w:rsidRPr="007606CB">
              <w:rPr>
                <w:rFonts w:eastAsia="Times New Roman"/>
                <w:b/>
                <w:bCs/>
                <w:color w:val="008080"/>
                <w:szCs w:val="22"/>
                <w:u w:val="single"/>
                <w:lang w:eastAsia="en-US"/>
              </w:rPr>
              <w:t xml:space="preserve"> </w:t>
            </w:r>
          </w:p>
        </w:tc>
        <w:tc>
          <w:tcPr>
            <w:tcW w:w="1530" w:type="dxa"/>
            <w:tcBorders>
              <w:top w:val="single" w:sz="8" w:space="0" w:color="auto"/>
              <w:left w:val="nil"/>
              <w:bottom w:val="single" w:sz="8" w:space="0" w:color="auto"/>
              <w:right w:val="single" w:sz="8" w:space="0" w:color="auto"/>
            </w:tcBorders>
            <w:noWrap/>
            <w:vAlign w:val="center"/>
            <w:hideMark/>
          </w:tcPr>
          <w:p w14:paraId="721A76E5" w14:textId="77777777" w:rsidR="00CE6957" w:rsidRPr="007606CB" w:rsidRDefault="00CE6957" w:rsidP="007606CB">
            <w:pPr>
              <w:jc w:val="center"/>
              <w:rPr>
                <w:rFonts w:eastAsia="Times New Roman"/>
                <w:b/>
                <w:bCs/>
                <w:color w:val="000000"/>
                <w:szCs w:val="22"/>
                <w:lang w:eastAsia="en-US"/>
              </w:rPr>
            </w:pPr>
            <w:r w:rsidRPr="007606CB">
              <w:rPr>
                <w:rFonts w:eastAsia="Times New Roman"/>
                <w:b/>
                <w:bCs/>
                <w:color w:val="000000"/>
                <w:szCs w:val="22"/>
                <w:lang w:eastAsia="en-US"/>
              </w:rPr>
              <w:t>Number</w:t>
            </w:r>
          </w:p>
        </w:tc>
      </w:tr>
      <w:tr w:rsidR="00CE6957" w:rsidRPr="00855738" w14:paraId="77D17A82"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2B902381"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en-US"/>
              </w:rPr>
              <w:t>Sequence Listing</w:t>
            </w:r>
          </w:p>
        </w:tc>
        <w:tc>
          <w:tcPr>
            <w:tcW w:w="1530" w:type="dxa"/>
            <w:tcBorders>
              <w:top w:val="nil"/>
              <w:left w:val="nil"/>
              <w:bottom w:val="single" w:sz="8" w:space="0" w:color="auto"/>
              <w:right w:val="single" w:sz="8" w:space="0" w:color="auto"/>
            </w:tcBorders>
            <w:noWrap/>
            <w:vAlign w:val="center"/>
            <w:hideMark/>
          </w:tcPr>
          <w:p w14:paraId="53AEE69A"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37,559</w:t>
            </w:r>
          </w:p>
        </w:tc>
      </w:tr>
      <w:tr w:rsidR="00CE6957" w:rsidRPr="00855738" w14:paraId="10963AF4"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3A55C1E4"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en-US"/>
              </w:rPr>
              <w:t>Sequence Listing 13</w:t>
            </w:r>
            <w:r w:rsidRPr="00637CE6">
              <w:rPr>
                <w:rFonts w:eastAsia="Times New Roman"/>
                <w:color w:val="000000"/>
                <w:szCs w:val="22"/>
                <w:lang w:eastAsia="en-US"/>
              </w:rPr>
              <w:t>ter</w:t>
            </w:r>
          </w:p>
        </w:tc>
        <w:tc>
          <w:tcPr>
            <w:tcW w:w="1530" w:type="dxa"/>
            <w:tcBorders>
              <w:top w:val="nil"/>
              <w:left w:val="nil"/>
              <w:bottom w:val="single" w:sz="8" w:space="0" w:color="auto"/>
              <w:right w:val="single" w:sz="8" w:space="0" w:color="auto"/>
            </w:tcBorders>
            <w:noWrap/>
            <w:vAlign w:val="center"/>
            <w:hideMark/>
          </w:tcPr>
          <w:p w14:paraId="06FC1AA1"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4,677</w:t>
            </w:r>
          </w:p>
        </w:tc>
      </w:tr>
      <w:tr w:rsidR="00CE6957" w:rsidRPr="00855738" w14:paraId="698883C4"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6E605969" w14:textId="77777777" w:rsidR="00CE6957" w:rsidRPr="00CE6957" w:rsidRDefault="00CE6957" w:rsidP="007606CB">
            <w:pPr>
              <w:rPr>
                <w:rFonts w:eastAsia="Times New Roman"/>
                <w:color w:val="ED0000"/>
                <w:szCs w:val="22"/>
                <w:lang w:eastAsia="en-US"/>
              </w:rPr>
            </w:pPr>
            <w:r w:rsidRPr="00CE6957">
              <w:rPr>
                <w:rFonts w:eastAsia="Times New Roman"/>
                <w:strike/>
                <w:color w:val="ED0000"/>
                <w:szCs w:val="22"/>
                <w:lang w:eastAsia="en-US"/>
              </w:rPr>
              <w:t>Seq List statement 13</w:t>
            </w:r>
            <w:r w:rsidRPr="00637CE6">
              <w:rPr>
                <w:rFonts w:eastAsia="Times New Roman"/>
                <w:strike/>
                <w:color w:val="ED0000"/>
                <w:szCs w:val="22"/>
                <w:lang w:eastAsia="en-US"/>
              </w:rPr>
              <w:t>ter</w:t>
            </w:r>
          </w:p>
        </w:tc>
        <w:tc>
          <w:tcPr>
            <w:tcW w:w="1530" w:type="dxa"/>
            <w:tcBorders>
              <w:top w:val="nil"/>
              <w:left w:val="nil"/>
              <w:bottom w:val="single" w:sz="8" w:space="0" w:color="auto"/>
              <w:right w:val="single" w:sz="8" w:space="0" w:color="auto"/>
            </w:tcBorders>
            <w:noWrap/>
            <w:vAlign w:val="center"/>
            <w:hideMark/>
          </w:tcPr>
          <w:p w14:paraId="015308E2"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4,220</w:t>
            </w:r>
          </w:p>
        </w:tc>
      </w:tr>
      <w:tr w:rsidR="00CE6957" w:rsidRPr="00855738" w14:paraId="6C11A347"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3533E2DA"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 Certified Copy Placeholder Page</w:t>
            </w:r>
          </w:p>
        </w:tc>
        <w:tc>
          <w:tcPr>
            <w:tcW w:w="1530" w:type="dxa"/>
            <w:tcBorders>
              <w:top w:val="nil"/>
              <w:left w:val="nil"/>
              <w:bottom w:val="single" w:sz="8" w:space="0" w:color="auto"/>
              <w:right w:val="single" w:sz="8" w:space="0" w:color="auto"/>
            </w:tcBorders>
            <w:noWrap/>
            <w:vAlign w:val="center"/>
            <w:hideMark/>
          </w:tcPr>
          <w:p w14:paraId="229292AC"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896</w:t>
            </w:r>
          </w:p>
        </w:tc>
      </w:tr>
      <w:tr w:rsidR="00CE6957" w:rsidRPr="00855738" w14:paraId="4FF9F43C"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7BB1CFFA"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Statement</w:t>
            </w:r>
          </w:p>
        </w:tc>
        <w:tc>
          <w:tcPr>
            <w:tcW w:w="1530" w:type="dxa"/>
            <w:tcBorders>
              <w:top w:val="nil"/>
              <w:left w:val="nil"/>
              <w:bottom w:val="single" w:sz="8" w:space="0" w:color="auto"/>
              <w:right w:val="single" w:sz="8" w:space="0" w:color="auto"/>
            </w:tcBorders>
            <w:noWrap/>
            <w:vAlign w:val="center"/>
            <w:hideMark/>
          </w:tcPr>
          <w:p w14:paraId="6F84AD51"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637</w:t>
            </w:r>
          </w:p>
        </w:tc>
      </w:tr>
      <w:tr w:rsidR="00CE6957" w:rsidRPr="00855738" w14:paraId="750345EC"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431B8CB8"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as originally filed (replaced under Rule 12, 26 or 91)</w:t>
            </w:r>
          </w:p>
        </w:tc>
        <w:tc>
          <w:tcPr>
            <w:tcW w:w="1530" w:type="dxa"/>
            <w:tcBorders>
              <w:top w:val="nil"/>
              <w:left w:val="nil"/>
              <w:bottom w:val="single" w:sz="8" w:space="0" w:color="auto"/>
              <w:right w:val="single" w:sz="8" w:space="0" w:color="auto"/>
            </w:tcBorders>
            <w:noWrap/>
            <w:vAlign w:val="center"/>
            <w:hideMark/>
          </w:tcPr>
          <w:p w14:paraId="12F25067"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295</w:t>
            </w:r>
          </w:p>
        </w:tc>
      </w:tr>
      <w:tr w:rsidR="00CE6957" w:rsidRPr="00855738" w14:paraId="1376B594"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199E6C04" w14:textId="77777777" w:rsidR="00CE6957" w:rsidRPr="00CE6957" w:rsidRDefault="00CE6957" w:rsidP="007606CB">
            <w:pPr>
              <w:rPr>
                <w:rFonts w:eastAsia="Times New Roman"/>
                <w:color w:val="ED0000"/>
                <w:szCs w:val="22"/>
                <w:lang w:eastAsia="en-US"/>
              </w:rPr>
            </w:pPr>
            <w:r w:rsidRPr="00CE6957">
              <w:rPr>
                <w:rFonts w:eastAsia="Times New Roman"/>
                <w:strike/>
                <w:color w:val="ED0000"/>
                <w:szCs w:val="22"/>
                <w:lang w:eastAsia="en-US"/>
              </w:rPr>
              <w:t>Seq. List. Info</w:t>
            </w:r>
          </w:p>
        </w:tc>
        <w:tc>
          <w:tcPr>
            <w:tcW w:w="1530" w:type="dxa"/>
            <w:tcBorders>
              <w:top w:val="nil"/>
              <w:left w:val="nil"/>
              <w:bottom w:val="single" w:sz="8" w:space="0" w:color="auto"/>
              <w:right w:val="single" w:sz="8" w:space="0" w:color="auto"/>
            </w:tcBorders>
            <w:noWrap/>
            <w:vAlign w:val="center"/>
            <w:hideMark/>
          </w:tcPr>
          <w:p w14:paraId="6DA2A3E7"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239</w:t>
            </w:r>
          </w:p>
        </w:tc>
      </w:tr>
      <w:tr w:rsidR="00CE6957" w:rsidRPr="00855738" w14:paraId="1A998BA0"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4C20AE87"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Corrected under Rule 26</w:t>
            </w:r>
          </w:p>
        </w:tc>
        <w:tc>
          <w:tcPr>
            <w:tcW w:w="1530" w:type="dxa"/>
            <w:tcBorders>
              <w:top w:val="nil"/>
              <w:left w:val="nil"/>
              <w:bottom w:val="single" w:sz="8" w:space="0" w:color="auto"/>
              <w:right w:val="single" w:sz="8" w:space="0" w:color="auto"/>
            </w:tcBorders>
            <w:noWrap/>
            <w:vAlign w:val="center"/>
            <w:hideMark/>
          </w:tcPr>
          <w:p w14:paraId="1CD460FD"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180</w:t>
            </w:r>
          </w:p>
        </w:tc>
      </w:tr>
      <w:tr w:rsidR="00CE6957" w:rsidRPr="00855738" w14:paraId="345E8D0F"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0F8E3811"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Rectified by the International Searching Authority (Rule 91)</w:t>
            </w:r>
          </w:p>
        </w:tc>
        <w:tc>
          <w:tcPr>
            <w:tcW w:w="1530" w:type="dxa"/>
            <w:tcBorders>
              <w:top w:val="nil"/>
              <w:left w:val="nil"/>
              <w:bottom w:val="single" w:sz="8" w:space="0" w:color="auto"/>
              <w:right w:val="single" w:sz="8" w:space="0" w:color="auto"/>
            </w:tcBorders>
            <w:noWrap/>
            <w:vAlign w:val="center"/>
            <w:hideMark/>
          </w:tcPr>
          <w:p w14:paraId="5E09ADD4"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85</w:t>
            </w:r>
          </w:p>
        </w:tc>
      </w:tr>
      <w:tr w:rsidR="00CE6957" w:rsidRPr="00855738" w14:paraId="5C865442"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2A5659A2"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Purported Sequence Listing (not in compliance with ST.26)</w:t>
            </w:r>
          </w:p>
        </w:tc>
        <w:tc>
          <w:tcPr>
            <w:tcW w:w="1530" w:type="dxa"/>
            <w:tcBorders>
              <w:top w:val="nil"/>
              <w:left w:val="nil"/>
              <w:bottom w:val="single" w:sz="8" w:space="0" w:color="auto"/>
              <w:right w:val="single" w:sz="8" w:space="0" w:color="auto"/>
            </w:tcBorders>
            <w:noWrap/>
            <w:vAlign w:val="center"/>
            <w:hideMark/>
          </w:tcPr>
          <w:p w14:paraId="4DB965E1"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71</w:t>
            </w:r>
          </w:p>
        </w:tc>
      </w:tr>
      <w:tr w:rsidR="00CE6957" w:rsidRPr="00855738" w14:paraId="63261858"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285B5AEB" w14:textId="77777777" w:rsidR="00CE6957" w:rsidRPr="00CE6957" w:rsidRDefault="00CE6957" w:rsidP="007606CB">
            <w:pPr>
              <w:rPr>
                <w:rFonts w:eastAsia="Times New Roman"/>
                <w:color w:val="ED0000"/>
                <w:szCs w:val="22"/>
                <w:lang w:eastAsia="en-US"/>
              </w:rPr>
            </w:pPr>
            <w:r w:rsidRPr="00CE6957">
              <w:rPr>
                <w:rFonts w:eastAsia="Times New Roman"/>
                <w:strike/>
                <w:color w:val="ED0000"/>
                <w:szCs w:val="22"/>
                <w:lang w:eastAsia="en-US"/>
              </w:rPr>
              <w:t>Sequence Listing - Rectification - Rule 13</w:t>
            </w:r>
            <w:r w:rsidRPr="00637CE6">
              <w:rPr>
                <w:rFonts w:eastAsia="Times New Roman"/>
                <w:strike/>
                <w:color w:val="ED0000"/>
                <w:szCs w:val="22"/>
                <w:lang w:eastAsia="en-US"/>
              </w:rPr>
              <w:t>ter</w:t>
            </w:r>
          </w:p>
        </w:tc>
        <w:tc>
          <w:tcPr>
            <w:tcW w:w="1530" w:type="dxa"/>
            <w:tcBorders>
              <w:top w:val="nil"/>
              <w:left w:val="nil"/>
              <w:bottom w:val="single" w:sz="8" w:space="0" w:color="auto"/>
              <w:right w:val="single" w:sz="8" w:space="0" w:color="auto"/>
            </w:tcBorders>
            <w:noWrap/>
            <w:vAlign w:val="center"/>
            <w:hideMark/>
          </w:tcPr>
          <w:p w14:paraId="53BBB546"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70</w:t>
            </w:r>
          </w:p>
        </w:tc>
      </w:tr>
      <w:tr w:rsidR="00CE6957" w:rsidRPr="00855738" w14:paraId="490CED26"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4780C09C"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Incorp. By Ref. (Rule 20.6)</w:t>
            </w:r>
          </w:p>
        </w:tc>
        <w:tc>
          <w:tcPr>
            <w:tcW w:w="1530" w:type="dxa"/>
            <w:tcBorders>
              <w:top w:val="nil"/>
              <w:left w:val="nil"/>
              <w:bottom w:val="single" w:sz="8" w:space="0" w:color="auto"/>
              <w:right w:val="single" w:sz="8" w:space="0" w:color="auto"/>
            </w:tcBorders>
            <w:noWrap/>
            <w:vAlign w:val="center"/>
            <w:hideMark/>
          </w:tcPr>
          <w:p w14:paraId="3169F5F1"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24</w:t>
            </w:r>
          </w:p>
        </w:tc>
      </w:tr>
      <w:tr w:rsidR="00CE6957" w:rsidRPr="00855738" w14:paraId="61313723"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0FF2B967"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 Translation for the purposes of international publication</w:t>
            </w:r>
          </w:p>
        </w:tc>
        <w:tc>
          <w:tcPr>
            <w:tcW w:w="1530" w:type="dxa"/>
            <w:tcBorders>
              <w:top w:val="nil"/>
              <w:left w:val="nil"/>
              <w:bottom w:val="single" w:sz="8" w:space="0" w:color="auto"/>
              <w:right w:val="single" w:sz="8" w:space="0" w:color="auto"/>
            </w:tcBorders>
            <w:noWrap/>
            <w:vAlign w:val="center"/>
            <w:hideMark/>
          </w:tcPr>
          <w:p w14:paraId="6DBF5BCA"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24</w:t>
            </w:r>
          </w:p>
        </w:tc>
      </w:tr>
      <w:tr w:rsidR="00CE6957" w:rsidRPr="00855738" w14:paraId="5240C6A0"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381D2324"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 Translation for the purposes of international search</w:t>
            </w:r>
          </w:p>
        </w:tc>
        <w:tc>
          <w:tcPr>
            <w:tcW w:w="1530" w:type="dxa"/>
            <w:tcBorders>
              <w:top w:val="nil"/>
              <w:left w:val="nil"/>
              <w:bottom w:val="single" w:sz="8" w:space="0" w:color="auto"/>
              <w:right w:val="single" w:sz="8" w:space="0" w:color="auto"/>
            </w:tcBorders>
            <w:noWrap/>
            <w:vAlign w:val="center"/>
            <w:hideMark/>
          </w:tcPr>
          <w:p w14:paraId="50D9E55B"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11</w:t>
            </w:r>
          </w:p>
        </w:tc>
      </w:tr>
      <w:tr w:rsidR="00CE6957" w:rsidRPr="00855738" w14:paraId="563DB401"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1A10B78D"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Validation Report</w:t>
            </w:r>
          </w:p>
        </w:tc>
        <w:tc>
          <w:tcPr>
            <w:tcW w:w="1530" w:type="dxa"/>
            <w:tcBorders>
              <w:top w:val="nil"/>
              <w:left w:val="nil"/>
              <w:bottom w:val="single" w:sz="8" w:space="0" w:color="auto"/>
              <w:right w:val="single" w:sz="8" w:space="0" w:color="auto"/>
            </w:tcBorders>
            <w:noWrap/>
            <w:vAlign w:val="center"/>
            <w:hideMark/>
          </w:tcPr>
          <w:p w14:paraId="0E5E6462"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10</w:t>
            </w:r>
          </w:p>
        </w:tc>
      </w:tr>
      <w:tr w:rsidR="00CE6957" w:rsidRPr="00855738" w14:paraId="0AAC96AE"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182F713E"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Amendment Art.34</w:t>
            </w:r>
          </w:p>
        </w:tc>
        <w:tc>
          <w:tcPr>
            <w:tcW w:w="1530" w:type="dxa"/>
            <w:tcBorders>
              <w:top w:val="nil"/>
              <w:left w:val="nil"/>
              <w:bottom w:val="single" w:sz="8" w:space="0" w:color="auto"/>
              <w:right w:val="single" w:sz="8" w:space="0" w:color="auto"/>
            </w:tcBorders>
            <w:noWrap/>
            <w:vAlign w:val="center"/>
            <w:hideMark/>
          </w:tcPr>
          <w:p w14:paraId="6F181A0F"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10</w:t>
            </w:r>
          </w:p>
        </w:tc>
      </w:tr>
      <w:tr w:rsidR="00CE6957" w:rsidRPr="00855738" w14:paraId="01F1CCC3"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1A1D53FA"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 IPRP II Annex</w:t>
            </w:r>
          </w:p>
        </w:tc>
        <w:tc>
          <w:tcPr>
            <w:tcW w:w="1530" w:type="dxa"/>
            <w:tcBorders>
              <w:top w:val="nil"/>
              <w:left w:val="nil"/>
              <w:bottom w:val="single" w:sz="8" w:space="0" w:color="auto"/>
              <w:right w:val="single" w:sz="8" w:space="0" w:color="auto"/>
            </w:tcBorders>
            <w:noWrap/>
            <w:vAlign w:val="center"/>
            <w:hideMark/>
          </w:tcPr>
          <w:p w14:paraId="722B4B39"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8</w:t>
            </w:r>
          </w:p>
        </w:tc>
      </w:tr>
      <w:tr w:rsidR="00CE6957" w:rsidRPr="00855738" w14:paraId="08499DC1"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3448FC7A" w14:textId="77777777" w:rsidR="00CE6957" w:rsidRPr="00CE6957" w:rsidRDefault="00CE6957" w:rsidP="007606CB">
            <w:pPr>
              <w:rPr>
                <w:rFonts w:eastAsia="Times New Roman"/>
                <w:color w:val="ED0000"/>
                <w:szCs w:val="22"/>
                <w:lang w:eastAsia="en-US"/>
              </w:rPr>
            </w:pPr>
            <w:r w:rsidRPr="00CE6957">
              <w:rPr>
                <w:rFonts w:eastAsia="Times New Roman"/>
                <w:strike/>
                <w:color w:val="ED0000"/>
                <w:szCs w:val="22"/>
                <w:lang w:eastAsia="en-US"/>
              </w:rPr>
              <w:t>Sequence Listing - Correction - Rule 13</w:t>
            </w:r>
            <w:r w:rsidRPr="0006574A">
              <w:rPr>
                <w:rFonts w:eastAsia="Times New Roman"/>
                <w:i/>
                <w:iCs/>
                <w:strike/>
                <w:color w:val="ED0000"/>
                <w:szCs w:val="22"/>
                <w:lang w:eastAsia="en-US"/>
              </w:rPr>
              <w:t>ter</w:t>
            </w:r>
          </w:p>
        </w:tc>
        <w:tc>
          <w:tcPr>
            <w:tcW w:w="1530" w:type="dxa"/>
            <w:tcBorders>
              <w:top w:val="nil"/>
              <w:left w:val="nil"/>
              <w:bottom w:val="single" w:sz="8" w:space="0" w:color="auto"/>
              <w:right w:val="single" w:sz="8" w:space="0" w:color="auto"/>
            </w:tcBorders>
            <w:noWrap/>
            <w:vAlign w:val="center"/>
            <w:hideMark/>
          </w:tcPr>
          <w:p w14:paraId="6F0AB188"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7</w:t>
            </w:r>
          </w:p>
        </w:tc>
      </w:tr>
      <w:tr w:rsidR="00CE6957" w:rsidRPr="00855738" w14:paraId="4115DACE"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0B35A598"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 later submitted (Rule 20.5)</w:t>
            </w:r>
          </w:p>
        </w:tc>
        <w:tc>
          <w:tcPr>
            <w:tcW w:w="1530" w:type="dxa"/>
            <w:tcBorders>
              <w:top w:val="nil"/>
              <w:left w:val="nil"/>
              <w:bottom w:val="single" w:sz="8" w:space="0" w:color="auto"/>
              <w:right w:val="single" w:sz="8" w:space="0" w:color="auto"/>
            </w:tcBorders>
            <w:noWrap/>
            <w:vAlign w:val="center"/>
            <w:hideMark/>
          </w:tcPr>
          <w:p w14:paraId="241E7FB4"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4</w:t>
            </w:r>
          </w:p>
        </w:tc>
      </w:tr>
      <w:tr w:rsidR="00CE6957" w:rsidRPr="00855738" w14:paraId="437F789D"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7E77F66F"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 later submitted (Rule 20.5bis)</w:t>
            </w:r>
          </w:p>
        </w:tc>
        <w:tc>
          <w:tcPr>
            <w:tcW w:w="1530" w:type="dxa"/>
            <w:tcBorders>
              <w:top w:val="nil"/>
              <w:left w:val="nil"/>
              <w:bottom w:val="single" w:sz="8" w:space="0" w:color="auto"/>
              <w:right w:val="single" w:sz="8" w:space="0" w:color="auto"/>
            </w:tcBorders>
            <w:noWrap/>
            <w:vAlign w:val="center"/>
            <w:hideMark/>
          </w:tcPr>
          <w:p w14:paraId="5B360C37"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2</w:t>
            </w:r>
          </w:p>
        </w:tc>
      </w:tr>
      <w:tr w:rsidR="00CE6957" w:rsidRPr="00855738" w14:paraId="5B509BAD"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0C4308B0"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fr-CH"/>
              </w:rPr>
              <w:t>Sequence Listing Rectified by the International Preliminary Examining Authority (Rule 91)</w:t>
            </w:r>
          </w:p>
        </w:tc>
        <w:tc>
          <w:tcPr>
            <w:tcW w:w="1530" w:type="dxa"/>
            <w:tcBorders>
              <w:top w:val="nil"/>
              <w:left w:val="nil"/>
              <w:bottom w:val="single" w:sz="8" w:space="0" w:color="auto"/>
              <w:right w:val="single" w:sz="8" w:space="0" w:color="auto"/>
            </w:tcBorders>
            <w:noWrap/>
            <w:vAlign w:val="center"/>
            <w:hideMark/>
          </w:tcPr>
          <w:p w14:paraId="02B0FFC3"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1</w:t>
            </w:r>
          </w:p>
        </w:tc>
      </w:tr>
      <w:tr w:rsidR="00CE6957" w:rsidRPr="00855738" w14:paraId="1E1C79F0"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3E7132C3" w14:textId="77777777" w:rsidR="00CE6957" w:rsidRPr="00CE6957" w:rsidRDefault="00CE6957" w:rsidP="007606CB">
            <w:pPr>
              <w:rPr>
                <w:rFonts w:eastAsia="Times New Roman"/>
                <w:color w:val="ED0000"/>
                <w:szCs w:val="22"/>
                <w:lang w:eastAsia="en-US"/>
              </w:rPr>
            </w:pPr>
            <w:r w:rsidRPr="00CE6957">
              <w:rPr>
                <w:rFonts w:eastAsia="Times New Roman"/>
                <w:strike/>
                <w:color w:val="ED0000"/>
                <w:szCs w:val="22"/>
                <w:lang w:eastAsia="en-US"/>
              </w:rPr>
              <w:t>Sequence List Tables</w:t>
            </w:r>
          </w:p>
        </w:tc>
        <w:tc>
          <w:tcPr>
            <w:tcW w:w="1530" w:type="dxa"/>
            <w:tcBorders>
              <w:top w:val="nil"/>
              <w:left w:val="nil"/>
              <w:bottom w:val="single" w:sz="8" w:space="0" w:color="auto"/>
              <w:right w:val="single" w:sz="8" w:space="0" w:color="auto"/>
            </w:tcBorders>
            <w:noWrap/>
            <w:vAlign w:val="center"/>
            <w:hideMark/>
          </w:tcPr>
          <w:p w14:paraId="17B53770"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 xml:space="preserve"> -   </w:t>
            </w:r>
          </w:p>
        </w:tc>
      </w:tr>
      <w:tr w:rsidR="00CE6957" w:rsidRPr="00855738" w14:paraId="5379F6EC" w14:textId="77777777" w:rsidTr="007606CB">
        <w:trPr>
          <w:trHeight w:val="375"/>
        </w:trPr>
        <w:tc>
          <w:tcPr>
            <w:tcW w:w="6740" w:type="dxa"/>
            <w:tcBorders>
              <w:top w:val="nil"/>
              <w:left w:val="single" w:sz="8" w:space="0" w:color="auto"/>
              <w:bottom w:val="single" w:sz="8" w:space="0" w:color="auto"/>
              <w:right w:val="single" w:sz="8" w:space="0" w:color="auto"/>
            </w:tcBorders>
            <w:vAlign w:val="center"/>
            <w:hideMark/>
          </w:tcPr>
          <w:p w14:paraId="457EB325" w14:textId="77777777" w:rsidR="00CE6957" w:rsidRPr="00CE6957" w:rsidRDefault="00CE6957" w:rsidP="007606CB">
            <w:pPr>
              <w:rPr>
                <w:rFonts w:eastAsia="Times New Roman"/>
                <w:color w:val="ED0000"/>
                <w:szCs w:val="22"/>
                <w:lang w:eastAsia="en-US"/>
              </w:rPr>
            </w:pPr>
            <w:r w:rsidRPr="00CE6957">
              <w:rPr>
                <w:rFonts w:eastAsia="Times New Roman"/>
                <w:strike/>
                <w:color w:val="ED0000"/>
                <w:szCs w:val="22"/>
                <w:lang w:eastAsia="en-US"/>
              </w:rPr>
              <w:t>Sequence Listing under Rule 13</w:t>
            </w:r>
            <w:r w:rsidRPr="0006574A">
              <w:rPr>
                <w:rFonts w:eastAsia="Times New Roman"/>
                <w:i/>
                <w:iCs/>
                <w:strike/>
                <w:color w:val="ED0000"/>
                <w:szCs w:val="22"/>
                <w:lang w:eastAsia="en-US"/>
              </w:rPr>
              <w:t>ter</w:t>
            </w:r>
            <w:r w:rsidRPr="00CE6957">
              <w:rPr>
                <w:rFonts w:eastAsia="Times New Roman"/>
                <w:strike/>
                <w:color w:val="ED0000"/>
                <w:szCs w:val="22"/>
                <w:lang w:eastAsia="en-US"/>
              </w:rPr>
              <w:t xml:space="preserve"> Rectified by the International Preliminary Examining Authority (Rule 91)</w:t>
            </w:r>
          </w:p>
        </w:tc>
        <w:tc>
          <w:tcPr>
            <w:tcW w:w="1530" w:type="dxa"/>
            <w:tcBorders>
              <w:top w:val="nil"/>
              <w:left w:val="nil"/>
              <w:bottom w:val="single" w:sz="8" w:space="0" w:color="auto"/>
              <w:right w:val="single" w:sz="8" w:space="0" w:color="auto"/>
            </w:tcBorders>
            <w:noWrap/>
            <w:vAlign w:val="center"/>
            <w:hideMark/>
          </w:tcPr>
          <w:p w14:paraId="28AB6CCF"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 xml:space="preserve"> -   </w:t>
            </w:r>
          </w:p>
        </w:tc>
      </w:tr>
      <w:tr w:rsidR="00CE6957" w:rsidRPr="00855738" w14:paraId="683E910F" w14:textId="77777777" w:rsidTr="007606CB">
        <w:trPr>
          <w:trHeight w:val="360"/>
        </w:trPr>
        <w:tc>
          <w:tcPr>
            <w:tcW w:w="6740" w:type="dxa"/>
            <w:tcBorders>
              <w:top w:val="nil"/>
              <w:left w:val="single" w:sz="8" w:space="0" w:color="auto"/>
              <w:bottom w:val="single" w:sz="8" w:space="0" w:color="auto"/>
              <w:right w:val="single" w:sz="8" w:space="0" w:color="auto"/>
            </w:tcBorders>
            <w:vAlign w:val="center"/>
            <w:hideMark/>
          </w:tcPr>
          <w:p w14:paraId="09029EA5" w14:textId="77777777" w:rsidR="00CE6957" w:rsidRPr="007606CB" w:rsidRDefault="00CE6957" w:rsidP="007606CB">
            <w:pPr>
              <w:rPr>
                <w:rFonts w:eastAsia="Times New Roman"/>
                <w:color w:val="000000"/>
                <w:szCs w:val="22"/>
                <w:lang w:eastAsia="en-US"/>
              </w:rPr>
            </w:pPr>
            <w:r w:rsidRPr="007606CB">
              <w:rPr>
                <w:rFonts w:eastAsia="Times New Roman"/>
                <w:color w:val="000000"/>
                <w:szCs w:val="22"/>
                <w:lang w:eastAsia="en-US"/>
              </w:rPr>
              <w:t>Sequence Listing - Translation for the purposes of Supplementary International Search</w:t>
            </w:r>
          </w:p>
        </w:tc>
        <w:tc>
          <w:tcPr>
            <w:tcW w:w="1530" w:type="dxa"/>
            <w:tcBorders>
              <w:top w:val="nil"/>
              <w:left w:val="nil"/>
              <w:bottom w:val="single" w:sz="8" w:space="0" w:color="auto"/>
              <w:right w:val="single" w:sz="8" w:space="0" w:color="auto"/>
            </w:tcBorders>
            <w:noWrap/>
            <w:vAlign w:val="center"/>
            <w:hideMark/>
          </w:tcPr>
          <w:p w14:paraId="448CCA6D" w14:textId="77777777" w:rsidR="00CE6957" w:rsidRPr="007606CB" w:rsidRDefault="00CE6957" w:rsidP="007606CB">
            <w:pPr>
              <w:jc w:val="right"/>
              <w:rPr>
                <w:rFonts w:eastAsia="Times New Roman"/>
                <w:color w:val="000000"/>
                <w:szCs w:val="22"/>
                <w:lang w:eastAsia="en-US"/>
              </w:rPr>
            </w:pPr>
            <w:r w:rsidRPr="007606CB">
              <w:rPr>
                <w:rFonts w:eastAsia="Times New Roman"/>
                <w:color w:val="000000"/>
                <w:szCs w:val="22"/>
                <w:lang w:eastAsia="en-US"/>
              </w:rPr>
              <w:t xml:space="preserve"> -   </w:t>
            </w:r>
          </w:p>
        </w:tc>
      </w:tr>
    </w:tbl>
    <w:p w14:paraId="42B54F4B" w14:textId="20F75E70" w:rsidR="00CE6957" w:rsidRDefault="00CE6957" w:rsidP="00CE6957">
      <w:pPr>
        <w:pStyle w:val="Heading1"/>
      </w:pPr>
      <w:r>
        <w:t>Corrections of Bibliographic Data</w:t>
      </w:r>
    </w:p>
    <w:p w14:paraId="4AFD374B" w14:textId="47EF6AC1" w:rsidR="00CE6957" w:rsidRDefault="00CE6957" w:rsidP="00CE6957">
      <w:pPr>
        <w:pStyle w:val="ONUME"/>
      </w:pPr>
      <w:bookmarkStart w:id="6" w:name="_Ref210835081"/>
      <w:r>
        <w:t>Currently some receiving Offices check the bibliographic data in the sequence listings and invite the applicant to submit corrections under Rule 26.  Since July 2022, the International Bureau received 180 sequence listings corrected due to defects in applicant</w:t>
      </w:r>
      <w:r w:rsidR="008A692A">
        <w:t>’</w:t>
      </w:r>
      <w:r>
        <w:t xml:space="preserve">s name, priority date, invention title etc. </w:t>
      </w:r>
      <w:r w:rsidR="0006574A">
        <w:t xml:space="preserve"> </w:t>
      </w:r>
      <w:r w:rsidR="0006574A" w:rsidRPr="0006574A">
        <w:t>The bibliographic data section is included as a guide to help identify cases where the wrong listing has been submitted, rather than being a definitive source of information.  According to paragraph 28 of Annex C of the Administrative Instructions, the receiving Office may draw attention to discrepancies but should not require correction.  The processing should proceed on the basis of the relevant data as set out in the request.</w:t>
      </w:r>
      <w:r w:rsidR="0006574A">
        <w:t xml:space="preserve">  </w:t>
      </w:r>
      <w:r>
        <w:t>In order to reduce the number of such type of corrections, the bibliographic data in the sequence listings could be either simplified or not necessarily checked by the receiving Offices.</w:t>
      </w:r>
      <w:bookmarkEnd w:id="6"/>
    </w:p>
    <w:p w14:paraId="24EB87AC" w14:textId="4298984A" w:rsidR="00CE6957" w:rsidRDefault="00CE6957" w:rsidP="00CE6957">
      <w:pPr>
        <w:pStyle w:val="Heading1"/>
      </w:pPr>
      <w:r>
        <w:t>Translation of Sequence Listings</w:t>
      </w:r>
    </w:p>
    <w:p w14:paraId="611E8DBE" w14:textId="1831FC5D" w:rsidR="00CE6957" w:rsidRDefault="00CE6957" w:rsidP="00CE6957">
      <w:pPr>
        <w:pStyle w:val="ONUME"/>
      </w:pPr>
      <w:r>
        <w:t xml:space="preserve">As applicants can submit sequence listings containing free text qualifier values in up to two languages (English and/or one other), and examiners at International Searching Authorities are mostly proficient in the language of filing, whether or not that is the language of publication, translations of sequence listings are rarely submitted during the international phase. </w:t>
      </w:r>
      <w:r w:rsidR="0006574A">
        <w:t xml:space="preserve"> </w:t>
      </w:r>
      <w:r>
        <w:t>Since July</w:t>
      </w:r>
      <w:r w:rsidR="0006574A">
        <w:t> </w:t>
      </w:r>
      <w:r>
        <w:t xml:space="preserve">2022, the International Bureau has received around 30 documents indicated as sequence listing translations for publication or for search purposes. </w:t>
      </w:r>
      <w:r w:rsidR="0006574A">
        <w:t xml:space="preserve"> </w:t>
      </w:r>
      <w:r>
        <w:t xml:space="preserve">However, a review of samples of sequence listings suggest that the language options are not always being used as intended.  In some cases (including documents provided as corrections, including the corrections mentioned in paragraph </w:t>
      </w:r>
      <w:r w:rsidR="0006574A">
        <w:fldChar w:fldCharType="begin"/>
      </w:r>
      <w:r w:rsidR="0006574A">
        <w:instrText xml:space="preserve"> REF _Ref210835081 \r \h </w:instrText>
      </w:r>
      <w:r w:rsidR="0006574A">
        <w:fldChar w:fldCharType="separate"/>
      </w:r>
      <w:r w:rsidR="00D358DB">
        <w:t>16</w:t>
      </w:r>
      <w:r w:rsidR="0006574A">
        <w:fldChar w:fldCharType="end"/>
      </w:r>
      <w:r>
        <w:t xml:space="preserve"> above), the translation of the sequence listing consisted of only the general information part, which is not required (see paragraphs 17(b) and 28 of Annex C to the PCT Administrative Instructions), rather than the free text.  Furthermore, it is not clear that the qualifier values are being provided in the correct language</w:t>
      </w:r>
      <w:r w:rsidR="0006574A">
        <w:t>(</w:t>
      </w:r>
      <w:r>
        <w:t>s</w:t>
      </w:r>
      <w:r w:rsidR="0006574A">
        <w:t>)</w:t>
      </w:r>
      <w:r>
        <w:t xml:space="preserve"> and, where it is indicated that both English and a second language are being used, that the qualifier values are equivalent.  The International Bureau hopes to perform a more systematic analysis of the use of language options within sequence listings during the international phase.  To improve such analysis, the International Bureau would also welcome information from Offices in their capacity as designated Offices on the extent to which translations are required for national phase processing, the reasons for which translations are required and any issues that have been found with receiving and processing such translations. </w:t>
      </w:r>
    </w:p>
    <w:p w14:paraId="6C308D5C" w14:textId="658EBB96" w:rsidR="00CE6957" w:rsidRPr="00CE6957" w:rsidRDefault="00CE6957" w:rsidP="00CE6957">
      <w:pPr>
        <w:pStyle w:val="ONUME"/>
        <w:ind w:left="5533"/>
        <w:rPr>
          <w:i/>
        </w:rPr>
      </w:pPr>
      <w:r w:rsidRPr="00CE6957">
        <w:rPr>
          <w:i/>
        </w:rPr>
        <w:t>The Meeting is invited to note the contents of document PCT/MIA/32/9 and provide any comments for further review and analysis of processing of sequence listings under the PCT.</w:t>
      </w:r>
    </w:p>
    <w:p w14:paraId="02817980" w14:textId="6286DFC3" w:rsidR="00CE6957" w:rsidRDefault="00CE6957" w:rsidP="00CE6957">
      <w:pPr>
        <w:pStyle w:val="Endofdocument-Annex"/>
      </w:pPr>
      <w:r>
        <w:t>[End of document]</w:t>
      </w:r>
    </w:p>
    <w:sectPr w:rsidR="00CE6957" w:rsidSect="00A213F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8DAD" w14:textId="77777777" w:rsidR="00A213F0" w:rsidRDefault="00A213F0">
      <w:r>
        <w:separator/>
      </w:r>
    </w:p>
  </w:endnote>
  <w:endnote w:type="continuationSeparator" w:id="0">
    <w:p w14:paraId="2DECA1BF" w14:textId="77777777" w:rsidR="00A213F0" w:rsidRDefault="00A213F0" w:rsidP="003B38C1">
      <w:r>
        <w:separator/>
      </w:r>
    </w:p>
    <w:p w14:paraId="6A05E24B" w14:textId="77777777" w:rsidR="00A213F0" w:rsidRPr="003B38C1" w:rsidRDefault="00A213F0" w:rsidP="003B38C1">
      <w:pPr>
        <w:spacing w:after="60"/>
        <w:rPr>
          <w:sz w:val="17"/>
        </w:rPr>
      </w:pPr>
      <w:r>
        <w:rPr>
          <w:sz w:val="17"/>
        </w:rPr>
        <w:t>[Endnote continued from previous page]</w:t>
      </w:r>
    </w:p>
  </w:endnote>
  <w:endnote w:type="continuationNotice" w:id="1">
    <w:p w14:paraId="3D67AB7F" w14:textId="77777777" w:rsidR="00A213F0" w:rsidRPr="003B38C1" w:rsidRDefault="00A213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5334" w14:textId="77777777" w:rsidR="00A213F0" w:rsidRDefault="00A213F0">
      <w:r>
        <w:separator/>
      </w:r>
    </w:p>
  </w:footnote>
  <w:footnote w:type="continuationSeparator" w:id="0">
    <w:p w14:paraId="487383ED" w14:textId="77777777" w:rsidR="00A213F0" w:rsidRDefault="00A213F0" w:rsidP="008B60B2">
      <w:r>
        <w:separator/>
      </w:r>
    </w:p>
    <w:p w14:paraId="1298F6F6" w14:textId="77777777" w:rsidR="00A213F0" w:rsidRPr="00ED77FB" w:rsidRDefault="00A213F0" w:rsidP="008B60B2">
      <w:pPr>
        <w:spacing w:after="60"/>
        <w:rPr>
          <w:sz w:val="17"/>
          <w:szCs w:val="17"/>
        </w:rPr>
      </w:pPr>
      <w:r w:rsidRPr="00ED77FB">
        <w:rPr>
          <w:sz w:val="17"/>
          <w:szCs w:val="17"/>
        </w:rPr>
        <w:t>[Footnote continued from previous page]</w:t>
      </w:r>
    </w:p>
  </w:footnote>
  <w:footnote w:type="continuationNotice" w:id="1">
    <w:p w14:paraId="6D3F385B" w14:textId="77777777" w:rsidR="00A213F0" w:rsidRPr="00ED77FB" w:rsidRDefault="00A213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DB07" w14:textId="67E46575" w:rsidR="00D07C78" w:rsidRPr="002326AB" w:rsidRDefault="00A213F0" w:rsidP="00477D6B">
    <w:pPr>
      <w:jc w:val="right"/>
      <w:rPr>
        <w:caps/>
      </w:rPr>
    </w:pPr>
    <w:bookmarkStart w:id="7" w:name="Code2"/>
    <w:bookmarkEnd w:id="7"/>
    <w:r>
      <w:rPr>
        <w:caps/>
      </w:rPr>
      <w:t>PCT/MIA/32/9</w:t>
    </w:r>
  </w:p>
  <w:p w14:paraId="52C06FFD"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3B950B96" w14:textId="77777777" w:rsidR="00D07C78" w:rsidRDefault="00D07C78" w:rsidP="0006574A"/>
  <w:p w14:paraId="5FEA48B1"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F0"/>
    <w:rsid w:val="00043CAA"/>
    <w:rsid w:val="00056816"/>
    <w:rsid w:val="0006574A"/>
    <w:rsid w:val="00075432"/>
    <w:rsid w:val="000968ED"/>
    <w:rsid w:val="000A3D97"/>
    <w:rsid w:val="000F5E56"/>
    <w:rsid w:val="001362EE"/>
    <w:rsid w:val="001647D5"/>
    <w:rsid w:val="0017014C"/>
    <w:rsid w:val="001832A6"/>
    <w:rsid w:val="001D4107"/>
    <w:rsid w:val="00203D24"/>
    <w:rsid w:val="0021217E"/>
    <w:rsid w:val="00214CDB"/>
    <w:rsid w:val="002326AB"/>
    <w:rsid w:val="00243430"/>
    <w:rsid w:val="002634C4"/>
    <w:rsid w:val="00280583"/>
    <w:rsid w:val="002928D3"/>
    <w:rsid w:val="002F1FE6"/>
    <w:rsid w:val="002F4E68"/>
    <w:rsid w:val="00312F7F"/>
    <w:rsid w:val="00361450"/>
    <w:rsid w:val="003673CF"/>
    <w:rsid w:val="00376782"/>
    <w:rsid w:val="003845C1"/>
    <w:rsid w:val="003A6F89"/>
    <w:rsid w:val="003B38C1"/>
    <w:rsid w:val="003C34E9"/>
    <w:rsid w:val="00423E3E"/>
    <w:rsid w:val="00427AF4"/>
    <w:rsid w:val="004647DA"/>
    <w:rsid w:val="00474062"/>
    <w:rsid w:val="004741E6"/>
    <w:rsid w:val="00477D6B"/>
    <w:rsid w:val="005019FF"/>
    <w:rsid w:val="0053057A"/>
    <w:rsid w:val="00556076"/>
    <w:rsid w:val="00560A29"/>
    <w:rsid w:val="005C6649"/>
    <w:rsid w:val="00605827"/>
    <w:rsid w:val="00625124"/>
    <w:rsid w:val="00637CE6"/>
    <w:rsid w:val="00646050"/>
    <w:rsid w:val="006713CA"/>
    <w:rsid w:val="00676C5C"/>
    <w:rsid w:val="00684315"/>
    <w:rsid w:val="00720EFD"/>
    <w:rsid w:val="007854AF"/>
    <w:rsid w:val="00793A7C"/>
    <w:rsid w:val="007A398A"/>
    <w:rsid w:val="007A50F6"/>
    <w:rsid w:val="007D1613"/>
    <w:rsid w:val="007E4C0E"/>
    <w:rsid w:val="00853BD0"/>
    <w:rsid w:val="008A134B"/>
    <w:rsid w:val="008A692A"/>
    <w:rsid w:val="008B2CC1"/>
    <w:rsid w:val="008B60B2"/>
    <w:rsid w:val="008D1D56"/>
    <w:rsid w:val="008F7709"/>
    <w:rsid w:val="0090731E"/>
    <w:rsid w:val="00916EE2"/>
    <w:rsid w:val="00931B09"/>
    <w:rsid w:val="009451BB"/>
    <w:rsid w:val="00966A22"/>
    <w:rsid w:val="0096722F"/>
    <w:rsid w:val="00980843"/>
    <w:rsid w:val="009838C3"/>
    <w:rsid w:val="009C147D"/>
    <w:rsid w:val="009E2791"/>
    <w:rsid w:val="009E3F6F"/>
    <w:rsid w:val="009F499F"/>
    <w:rsid w:val="00A15916"/>
    <w:rsid w:val="00A213F0"/>
    <w:rsid w:val="00A37342"/>
    <w:rsid w:val="00A42DAF"/>
    <w:rsid w:val="00A45BD8"/>
    <w:rsid w:val="00A77909"/>
    <w:rsid w:val="00A869B7"/>
    <w:rsid w:val="00A90F0A"/>
    <w:rsid w:val="00AC205C"/>
    <w:rsid w:val="00AF0A6B"/>
    <w:rsid w:val="00B04DC0"/>
    <w:rsid w:val="00B05A69"/>
    <w:rsid w:val="00B10DC0"/>
    <w:rsid w:val="00B621ED"/>
    <w:rsid w:val="00B75281"/>
    <w:rsid w:val="00B92F1F"/>
    <w:rsid w:val="00B9734B"/>
    <w:rsid w:val="00BA30E2"/>
    <w:rsid w:val="00C11BFE"/>
    <w:rsid w:val="00C5068F"/>
    <w:rsid w:val="00C86D74"/>
    <w:rsid w:val="00CD04F1"/>
    <w:rsid w:val="00CE6957"/>
    <w:rsid w:val="00CF681A"/>
    <w:rsid w:val="00D07C78"/>
    <w:rsid w:val="00D12F34"/>
    <w:rsid w:val="00D358DB"/>
    <w:rsid w:val="00D45252"/>
    <w:rsid w:val="00D71B4D"/>
    <w:rsid w:val="00D87CB5"/>
    <w:rsid w:val="00D93D55"/>
    <w:rsid w:val="00DD7B7F"/>
    <w:rsid w:val="00E15015"/>
    <w:rsid w:val="00E335FE"/>
    <w:rsid w:val="00E60D2F"/>
    <w:rsid w:val="00EA7D6E"/>
    <w:rsid w:val="00EB2F76"/>
    <w:rsid w:val="00EC4E49"/>
    <w:rsid w:val="00ED77FB"/>
    <w:rsid w:val="00EE45FA"/>
    <w:rsid w:val="00F043DE"/>
    <w:rsid w:val="00F66152"/>
    <w:rsid w:val="00F9165B"/>
    <w:rsid w:val="00F9591E"/>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389B"/>
  <w15:docId w15:val="{DD4D9C20-02D2-42F6-A81C-43322C6A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9451BB"/>
    <w:rPr>
      <w:color w:val="0000FF" w:themeColor="hyperlink"/>
      <w:u w:val="single"/>
    </w:rPr>
  </w:style>
  <w:style w:type="character" w:styleId="UnresolvedMention">
    <w:name w:val="Unresolved Mention"/>
    <w:basedOn w:val="DefaultParagraphFont"/>
    <w:uiPriority w:val="99"/>
    <w:semiHidden/>
    <w:unhideWhenUsed/>
    <w:rsid w:val="009451BB"/>
    <w:rPr>
      <w:color w:val="605E5C"/>
      <w:shd w:val="clear" w:color="auto" w:fill="E1DFDD"/>
    </w:rPr>
  </w:style>
  <w:style w:type="table" w:styleId="TableGrid">
    <w:name w:val="Table Grid"/>
    <w:basedOn w:val="TableNormal"/>
    <w:rsid w:val="0094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CE695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documents/d/cws/docs-en-circulars-files-cws-19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163</TotalTime>
  <Pages>7</Pages>
  <Words>2650</Words>
  <Characters>14589</Characters>
  <Application>Microsoft Office Word</Application>
  <DocSecurity>0</DocSecurity>
  <Lines>1042</Lines>
  <Paragraphs>718</Paragraphs>
  <ScaleCrop>false</ScaleCrop>
  <HeadingPairs>
    <vt:vector size="2" baseType="variant">
      <vt:variant>
        <vt:lpstr>Title</vt:lpstr>
      </vt:variant>
      <vt:variant>
        <vt:i4>1</vt:i4>
      </vt:variant>
    </vt:vector>
  </HeadingPairs>
  <TitlesOfParts>
    <vt:vector size="1" baseType="lpstr">
      <vt:lpstr>PCT/MIA/32/9</vt:lpstr>
    </vt:vector>
  </TitlesOfParts>
  <Company>WIPO</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PCT/MIA/32/9</dc:title>
  <dc:subject>Processing Sequence Listings</dc:subject>
  <dc:creator>MARLOW Thomas</dc:creator>
  <cp:keywords/>
  <cp:lastModifiedBy>MARLOW Thomas</cp:lastModifiedBy>
  <cp:revision>10</cp:revision>
  <cp:lastPrinted>2025-10-08T13:42:00Z</cp:lastPrinted>
  <dcterms:created xsi:type="dcterms:W3CDTF">2025-10-08T13:22:00Z</dcterms:created>
  <dcterms:modified xsi:type="dcterms:W3CDTF">2025-10-08T17:21:00Z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