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27E4"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305A25D4" wp14:editId="0D69F6FB">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1F82C5F" w14:textId="53A84701"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D87CB5">
        <w:rPr>
          <w:rFonts w:ascii="Arial Black" w:hAnsi="Arial Black"/>
          <w:caps/>
          <w:sz w:val="15"/>
          <w:szCs w:val="15"/>
        </w:rPr>
        <w:t>2</w:t>
      </w:r>
      <w:r>
        <w:rPr>
          <w:rFonts w:ascii="Arial Black" w:hAnsi="Arial Black"/>
          <w:caps/>
          <w:sz w:val="15"/>
          <w:szCs w:val="15"/>
        </w:rPr>
        <w:t>/</w:t>
      </w:r>
      <w:bookmarkStart w:id="0" w:name="Code"/>
      <w:bookmarkEnd w:id="0"/>
      <w:r w:rsidR="00EB2381">
        <w:rPr>
          <w:rFonts w:ascii="Arial Black" w:hAnsi="Arial Black"/>
          <w:caps/>
          <w:sz w:val="15"/>
          <w:szCs w:val="15"/>
        </w:rPr>
        <w:t>4</w:t>
      </w:r>
    </w:p>
    <w:p w14:paraId="18CB0A7C" w14:textId="2260DD53"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131336">
        <w:rPr>
          <w:rFonts w:ascii="Arial Black" w:hAnsi="Arial Black"/>
          <w:caps/>
          <w:sz w:val="15"/>
          <w:szCs w:val="15"/>
        </w:rPr>
        <w:t xml:space="preserve">  English Only</w:t>
      </w:r>
    </w:p>
    <w:bookmarkEnd w:id="1"/>
    <w:p w14:paraId="405E05F2" w14:textId="79B8D0BE"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131336">
        <w:rPr>
          <w:rFonts w:ascii="Arial Black" w:hAnsi="Arial Black"/>
          <w:caps/>
          <w:sz w:val="15"/>
          <w:szCs w:val="15"/>
        </w:rPr>
        <w:t xml:space="preserve">  September </w:t>
      </w:r>
      <w:r w:rsidR="00EB2381">
        <w:rPr>
          <w:rFonts w:ascii="Arial Black" w:hAnsi="Arial Black"/>
          <w:caps/>
          <w:sz w:val="15"/>
          <w:szCs w:val="15"/>
        </w:rPr>
        <w:t>26</w:t>
      </w:r>
      <w:r w:rsidR="00131336">
        <w:rPr>
          <w:rFonts w:ascii="Arial Black" w:hAnsi="Arial Black"/>
          <w:caps/>
          <w:sz w:val="15"/>
          <w:szCs w:val="15"/>
        </w:rPr>
        <w:t>, 2025</w:t>
      </w:r>
    </w:p>
    <w:bookmarkEnd w:id="2"/>
    <w:p w14:paraId="7216F904"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765C0211" w14:textId="77777777" w:rsidR="00214CDB" w:rsidRDefault="004741E6" w:rsidP="00214CDB">
      <w:pPr>
        <w:outlineLvl w:val="1"/>
        <w:rPr>
          <w:b/>
          <w:sz w:val="24"/>
          <w:szCs w:val="24"/>
        </w:rPr>
      </w:pPr>
      <w:r w:rsidRPr="004741E6">
        <w:rPr>
          <w:b/>
          <w:sz w:val="24"/>
          <w:szCs w:val="24"/>
        </w:rPr>
        <w:t>Thirty-</w:t>
      </w:r>
      <w:r w:rsidR="00376782">
        <w:rPr>
          <w:b/>
          <w:sz w:val="24"/>
          <w:szCs w:val="24"/>
        </w:rPr>
        <w:t>Second</w:t>
      </w:r>
      <w:r w:rsidRPr="004741E6">
        <w:rPr>
          <w:b/>
          <w:sz w:val="24"/>
          <w:szCs w:val="24"/>
        </w:rPr>
        <w:t xml:space="preserve"> </w:t>
      </w:r>
      <w:r w:rsidR="00214CDB">
        <w:rPr>
          <w:b/>
          <w:sz w:val="24"/>
          <w:szCs w:val="24"/>
        </w:rPr>
        <w:t>Session</w:t>
      </w:r>
    </w:p>
    <w:p w14:paraId="42C82A81" w14:textId="66532DD9" w:rsidR="00A77909" w:rsidRPr="0077710A" w:rsidRDefault="00376782" w:rsidP="00A77909">
      <w:pPr>
        <w:spacing w:after="720"/>
        <w:outlineLvl w:val="1"/>
        <w:rPr>
          <w:b/>
          <w:sz w:val="24"/>
          <w:szCs w:val="24"/>
        </w:rPr>
      </w:pPr>
      <w:r>
        <w:rPr>
          <w:b/>
          <w:sz w:val="24"/>
          <w:szCs w:val="24"/>
        </w:rPr>
        <w:t>Geneva</w:t>
      </w:r>
      <w:r w:rsidR="004741E6" w:rsidRPr="004741E6">
        <w:rPr>
          <w:b/>
          <w:sz w:val="24"/>
          <w:szCs w:val="24"/>
        </w:rPr>
        <w:t xml:space="preserve">, October </w:t>
      </w:r>
      <w:r>
        <w:rPr>
          <w:b/>
          <w:sz w:val="24"/>
          <w:szCs w:val="24"/>
        </w:rPr>
        <w:t>29</w:t>
      </w:r>
      <w:r w:rsidR="004741E6" w:rsidRPr="004741E6">
        <w:rPr>
          <w:b/>
          <w:sz w:val="24"/>
          <w:szCs w:val="24"/>
        </w:rPr>
        <w:t xml:space="preserve"> </w:t>
      </w:r>
      <w:r w:rsidR="00DD3138">
        <w:rPr>
          <w:b/>
          <w:sz w:val="24"/>
          <w:szCs w:val="24"/>
        </w:rPr>
        <w:t>to</w:t>
      </w:r>
      <w:r w:rsidR="004741E6" w:rsidRPr="004741E6">
        <w:rPr>
          <w:b/>
          <w:sz w:val="24"/>
          <w:szCs w:val="24"/>
        </w:rPr>
        <w:t xml:space="preserve"> </w:t>
      </w:r>
      <w:r>
        <w:rPr>
          <w:b/>
          <w:sz w:val="24"/>
          <w:szCs w:val="24"/>
        </w:rPr>
        <w:t>31</w:t>
      </w:r>
      <w:r w:rsidR="004741E6" w:rsidRPr="004741E6">
        <w:rPr>
          <w:b/>
          <w:sz w:val="24"/>
          <w:szCs w:val="24"/>
        </w:rPr>
        <w:t>, 202</w:t>
      </w:r>
      <w:r>
        <w:rPr>
          <w:b/>
          <w:sz w:val="24"/>
          <w:szCs w:val="24"/>
        </w:rPr>
        <w:t>5</w:t>
      </w:r>
    </w:p>
    <w:p w14:paraId="14137919" w14:textId="58217281" w:rsidR="008B2CC1" w:rsidRPr="003845C1" w:rsidRDefault="00131336" w:rsidP="00DD7B7F">
      <w:pPr>
        <w:spacing w:after="360"/>
        <w:outlineLvl w:val="0"/>
        <w:rPr>
          <w:caps/>
          <w:sz w:val="24"/>
        </w:rPr>
      </w:pPr>
      <w:bookmarkStart w:id="3" w:name="TitleOfDoc"/>
      <w:r>
        <w:rPr>
          <w:caps/>
          <w:sz w:val="24"/>
        </w:rPr>
        <w:t>Further Amendments to the PCT Regulations Following the Changes to the Definition of Relevant Prior Art</w:t>
      </w:r>
    </w:p>
    <w:p w14:paraId="4A196C94" w14:textId="1632ADD6" w:rsidR="002928D3" w:rsidRPr="00F9165B" w:rsidRDefault="00131336" w:rsidP="001D4107">
      <w:pPr>
        <w:spacing w:after="1040"/>
        <w:rPr>
          <w:i/>
        </w:rPr>
      </w:pPr>
      <w:bookmarkStart w:id="4" w:name="Prepared"/>
      <w:bookmarkEnd w:id="3"/>
      <w:bookmarkEnd w:id="4"/>
      <w:r>
        <w:rPr>
          <w:i/>
        </w:rPr>
        <w:t>Document submitted by the Canadian Intellectual Property Office</w:t>
      </w:r>
    </w:p>
    <w:p w14:paraId="4C6741F5" w14:textId="68CCA9B9" w:rsidR="002326AB" w:rsidRDefault="00A44201" w:rsidP="00A44201">
      <w:pPr>
        <w:pStyle w:val="Heading1"/>
      </w:pPr>
      <w:r>
        <w:t>Summary</w:t>
      </w:r>
    </w:p>
    <w:p w14:paraId="7932FD96" w14:textId="7678A0F7" w:rsidR="00A44201" w:rsidRDefault="00A44201" w:rsidP="00A44201">
      <w:pPr>
        <w:pStyle w:val="ONUME"/>
      </w:pPr>
      <w:r w:rsidRPr="00A44201">
        <w:t xml:space="preserve">This document discusses possible further amendments to the PCT Regulations concerning the use of category </w:t>
      </w:r>
      <w:r w:rsidR="00A3308C">
        <w:t>“</w:t>
      </w:r>
      <w:r w:rsidRPr="00A44201">
        <w:t>O</w:t>
      </w:r>
      <w:r w:rsidR="00A3308C">
        <w:t>”</w:t>
      </w:r>
      <w:r w:rsidRPr="00A44201">
        <w:t xml:space="preserve"> documents following the implementation of the changes to the definition of relevant prior art for international search and preliminary examination to enter into force on January 1, 2026.  The document also discusses modifications to the Administrative Instructions, PCT Forms and International Search and Preliminary Examination (ISPE) Guidelines that would be necessary if the proposed rule amendments are adopted</w:t>
      </w:r>
      <w:r>
        <w:t>.</w:t>
      </w:r>
    </w:p>
    <w:p w14:paraId="462F3039" w14:textId="42CDFB7F" w:rsidR="00A44201" w:rsidRDefault="00A44201" w:rsidP="00A44201">
      <w:pPr>
        <w:pStyle w:val="Heading1"/>
      </w:pPr>
      <w:r>
        <w:t>Background</w:t>
      </w:r>
    </w:p>
    <w:p w14:paraId="01FFFCE4" w14:textId="2B7A22F7" w:rsidR="00A44201" w:rsidRDefault="00A44201" w:rsidP="00A44201">
      <w:pPr>
        <w:pStyle w:val="ONUME"/>
      </w:pPr>
      <w:r>
        <w:t xml:space="preserve">On January 1, 2026, amendments to Rules 33.1(a), 64.1 and 64.2 will come into force to change the definition of relevant prior art to include non-written disclosures </w:t>
      </w:r>
      <w:r w:rsidR="00645634">
        <w:t xml:space="preserve">(see document </w:t>
      </w:r>
      <w:r>
        <w:t>PCT/A/56/2</w:t>
      </w:r>
      <w:r w:rsidR="00645634">
        <w:t>, Annex II, and document PCT/A/55/4, paragraph 32)</w:t>
      </w:r>
      <w:r>
        <w:t xml:space="preserve">. </w:t>
      </w:r>
      <w:r w:rsidR="00E34EE1">
        <w:t xml:space="preserve"> The International Bureau will consult on</w:t>
      </w:r>
      <w:r>
        <w:t xml:space="preserve"> modifications to the International Search and Preliminary Examination (ISPE) Guidelines </w:t>
      </w:r>
      <w:r w:rsidR="00E34EE1">
        <w:t xml:space="preserve">to implement these amendments through a PCT Circular, including </w:t>
      </w:r>
      <w:r>
        <w:t xml:space="preserve">the use of category </w:t>
      </w:r>
      <w:r w:rsidR="00A3308C">
        <w:t>“</w:t>
      </w:r>
      <w:r>
        <w:t>O</w:t>
      </w:r>
      <w:r w:rsidR="00A3308C">
        <w:t>”</w:t>
      </w:r>
      <w:r>
        <w:t xml:space="preserve"> documents. </w:t>
      </w:r>
    </w:p>
    <w:p w14:paraId="714D2712" w14:textId="750089A0" w:rsidR="00A44201" w:rsidRDefault="00DD3138" w:rsidP="00A44201">
      <w:pPr>
        <w:pStyle w:val="ONUME"/>
      </w:pPr>
      <w:r>
        <w:t xml:space="preserve">At its thirty-first session on October 16 and 17, 2024, the Meeting discussed the implementation of the changes to the definition of relevant prior art (see document PCT/MIA/31/2).  This discussion is summarized in paragraphs 9 to 15 </w:t>
      </w:r>
      <w:r w:rsidR="00A44201">
        <w:t>of the Summary by the Chair</w:t>
      </w:r>
      <w:r>
        <w:t xml:space="preserve">, document PCT/MIA/31/11.  With regard to the agreement to work on possible further amendments to the PCT Regulations concerning the use of category </w:t>
      </w:r>
      <w:r w:rsidR="00A3308C">
        <w:t>“</w:t>
      </w:r>
      <w:r>
        <w:t>O</w:t>
      </w:r>
      <w:r w:rsidR="00A3308C">
        <w:t>”</w:t>
      </w:r>
      <w:r>
        <w:t xml:space="preserve"> documents in paragraph 15(d) of the Summary, the Canadian Intellectual Property Office (</w:t>
      </w:r>
      <w:r w:rsidR="00A44201">
        <w:t>CIPO</w:t>
      </w:r>
      <w:r>
        <w:t>)</w:t>
      </w:r>
      <w:r w:rsidR="00A44201">
        <w:t xml:space="preserve"> has reviewed the PCT </w:t>
      </w:r>
      <w:r>
        <w:t>R</w:t>
      </w:r>
      <w:r w:rsidR="00A44201">
        <w:t xml:space="preserve">egulations, Administrative Instructions, </w:t>
      </w:r>
      <w:r w:rsidR="007971C9">
        <w:t xml:space="preserve">the </w:t>
      </w:r>
      <w:r w:rsidR="00A44201">
        <w:t>Forms</w:t>
      </w:r>
      <w:r w:rsidR="007971C9">
        <w:t xml:space="preserve"> annexed to the </w:t>
      </w:r>
      <w:r w:rsidR="007971C9">
        <w:lastRenderedPageBreak/>
        <w:t>Administrative Instructions</w:t>
      </w:r>
      <w:r w:rsidR="00A44201">
        <w:t xml:space="preserve"> and </w:t>
      </w:r>
      <w:r w:rsidR="007971C9">
        <w:t xml:space="preserve">the </w:t>
      </w:r>
      <w:r w:rsidR="00A44201">
        <w:t>ISPE Guidelines in detail</w:t>
      </w:r>
      <w:r w:rsidR="007971C9">
        <w:t>.  The</w:t>
      </w:r>
      <w:r w:rsidR="00A44201">
        <w:t xml:space="preserve"> analysis </w:t>
      </w:r>
      <w:r w:rsidR="007971C9">
        <w:t>from this review is set out below</w:t>
      </w:r>
      <w:r w:rsidR="00A44201">
        <w:t>.</w:t>
      </w:r>
    </w:p>
    <w:p w14:paraId="6BA6FE19" w14:textId="626A1A66" w:rsidR="00A44201" w:rsidRDefault="00A44201" w:rsidP="007971C9">
      <w:pPr>
        <w:pStyle w:val="Heading1"/>
      </w:pPr>
      <w:r>
        <w:t>PCT Regulations</w:t>
      </w:r>
    </w:p>
    <w:p w14:paraId="5671478F" w14:textId="6638CCBE" w:rsidR="00A44201" w:rsidRDefault="007971C9" w:rsidP="00A44201">
      <w:pPr>
        <w:pStyle w:val="ONUME"/>
      </w:pPr>
      <w:r>
        <w:t>The definition</w:t>
      </w:r>
      <w:r w:rsidR="009454C9">
        <w:t>s</w:t>
      </w:r>
      <w:r>
        <w:t xml:space="preserve"> of relevant prior art for </w:t>
      </w:r>
      <w:r w:rsidR="009454C9">
        <w:t xml:space="preserve">the international search in </w:t>
      </w:r>
      <w:r w:rsidR="00A44201">
        <w:t xml:space="preserve">Rule 33.1(a) </w:t>
      </w:r>
      <w:r w:rsidR="009454C9">
        <w:t>and of relevant prior art for the international preliminary examination in Rule 64.1 with effect from January 1, 2026, are as follows</w:t>
      </w:r>
      <w:r w:rsidR="00A44201">
        <w:t>:</w:t>
      </w:r>
    </w:p>
    <w:p w14:paraId="52D314E3" w14:textId="73F19769" w:rsidR="00A44201" w:rsidRPr="00F47E36" w:rsidRDefault="00A44201" w:rsidP="00F47E36">
      <w:pPr>
        <w:pStyle w:val="ONUME"/>
        <w:numPr>
          <w:ilvl w:val="0"/>
          <w:numId w:val="0"/>
        </w:numPr>
        <w:ind w:left="567"/>
        <w:rPr>
          <w:i/>
          <w:iCs/>
        </w:rPr>
      </w:pPr>
      <w:r w:rsidRPr="00F47E36">
        <w:rPr>
          <w:i/>
          <w:iCs/>
        </w:rPr>
        <w:t xml:space="preserve">33.1 Relevant Prior Art for the International Search </w:t>
      </w:r>
    </w:p>
    <w:p w14:paraId="38D7046A" w14:textId="4A7EF157" w:rsidR="00A44201" w:rsidRDefault="00A44201" w:rsidP="00F47E36">
      <w:pPr>
        <w:pStyle w:val="ONUME"/>
        <w:numPr>
          <w:ilvl w:val="0"/>
          <w:numId w:val="0"/>
        </w:numPr>
        <w:ind w:left="567" w:firstLine="567"/>
      </w:pPr>
      <w:r>
        <w:t>(a)</w:t>
      </w:r>
      <w:r w:rsidR="00F47E36">
        <w:t xml:space="preserve"> </w:t>
      </w:r>
      <w:r>
        <w:t xml:space="preserve"> For the purposes of Article 15(2), relevant prior art shall consist of everything which has been made available to the public anywhere in the world by </w:t>
      </w:r>
      <w:r w:rsidRPr="00EE60A1">
        <w:rPr>
          <w:b/>
          <w:bCs/>
        </w:rPr>
        <w:t>any means</w:t>
      </w:r>
      <w:r>
        <w:t xml:space="preserve">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 </w:t>
      </w:r>
    </w:p>
    <w:p w14:paraId="2BD12F39" w14:textId="77777777" w:rsidR="00A44201" w:rsidRPr="00F47E36" w:rsidRDefault="00A44201" w:rsidP="00F47E36">
      <w:pPr>
        <w:pStyle w:val="ONUME"/>
        <w:numPr>
          <w:ilvl w:val="0"/>
          <w:numId w:val="0"/>
        </w:numPr>
        <w:ind w:left="567"/>
        <w:rPr>
          <w:i/>
          <w:iCs/>
        </w:rPr>
      </w:pPr>
      <w:r w:rsidRPr="00F47E36">
        <w:rPr>
          <w:i/>
          <w:iCs/>
        </w:rPr>
        <w:t xml:space="preserve">64.1 Prior Art </w:t>
      </w:r>
    </w:p>
    <w:p w14:paraId="130D79F2" w14:textId="717EEEE7" w:rsidR="00A44201" w:rsidRDefault="00A44201" w:rsidP="00F47E36">
      <w:pPr>
        <w:pStyle w:val="ONUME"/>
        <w:numPr>
          <w:ilvl w:val="0"/>
          <w:numId w:val="0"/>
        </w:numPr>
        <w:ind w:left="567" w:firstLine="567"/>
      </w:pPr>
      <w:r>
        <w:t xml:space="preserve">(a) </w:t>
      </w:r>
      <w:r w:rsidR="00A3308C">
        <w:t xml:space="preserve"> </w:t>
      </w:r>
      <w:r>
        <w:t xml:space="preserve">For the purposes of Article 33(2) and (3), everything made available to the public anywhere in the world by </w:t>
      </w:r>
      <w:r w:rsidRPr="00EE60A1">
        <w:rPr>
          <w:b/>
          <w:bCs/>
        </w:rPr>
        <w:t>any means</w:t>
      </w:r>
      <w:r>
        <w:t xml:space="preserve"> shall be considered prior art provided that such making available occurred prior to the relevant date.</w:t>
      </w:r>
    </w:p>
    <w:p w14:paraId="070C0366" w14:textId="681B1B9D" w:rsidR="00A44201" w:rsidRDefault="00A44201" w:rsidP="00A44201">
      <w:pPr>
        <w:pStyle w:val="ONUME"/>
      </w:pPr>
      <w:r>
        <w:t xml:space="preserve">Rule 33.1(b), which is the basis for including </w:t>
      </w:r>
      <w:r w:rsidR="00A3308C">
        <w:t>“</w:t>
      </w:r>
      <w:r>
        <w:t>O</w:t>
      </w:r>
      <w:r w:rsidR="00A3308C">
        <w:t>”</w:t>
      </w:r>
      <w:r>
        <w:t xml:space="preserve"> documents in the </w:t>
      </w:r>
      <w:r w:rsidR="00F47E36">
        <w:t>international search report</w:t>
      </w:r>
      <w:r>
        <w:t>, has not changed and continues to read:</w:t>
      </w:r>
    </w:p>
    <w:p w14:paraId="72EB024B" w14:textId="590B30B2" w:rsidR="00A44201" w:rsidRDefault="00A44201" w:rsidP="00F47E36">
      <w:pPr>
        <w:pStyle w:val="ONUME"/>
        <w:numPr>
          <w:ilvl w:val="0"/>
          <w:numId w:val="0"/>
        </w:numPr>
        <w:ind w:left="567" w:firstLine="567"/>
      </w:pPr>
      <w:r>
        <w:t xml:space="preserve">(b) </w:t>
      </w:r>
      <w:r w:rsidR="00F47E36">
        <w:t xml:space="preserve"> </w:t>
      </w:r>
      <w:r>
        <w:t xml:space="preserve">[No change] When any </w:t>
      </w:r>
      <w:r w:rsidRPr="00EE60A1">
        <w:rPr>
          <w:u w:val="single"/>
        </w:rPr>
        <w:t>written disclosure</w:t>
      </w:r>
      <w:r>
        <w:t xml:space="preserve"> refers to an oral disclosure, use, exhibition, or other means whereby the contents of the </w:t>
      </w:r>
      <w:r w:rsidRPr="00EE60A1">
        <w:rPr>
          <w:u w:val="single"/>
        </w:rPr>
        <w:t>written disclosure</w:t>
      </w:r>
      <w:r>
        <w:t xml:space="preserve"> were made available to the public, and such making available to the public occurred on a date prior to the international filing date, </w:t>
      </w:r>
      <w:r w:rsidRPr="00EE60A1">
        <w:rPr>
          <w:b/>
          <w:bCs/>
        </w:rPr>
        <w:t xml:space="preserve">the international search report </w:t>
      </w:r>
      <w:r w:rsidRPr="00EE60A1">
        <w:rPr>
          <w:b/>
          <w:bCs/>
          <w:u w:val="single"/>
        </w:rPr>
        <w:t>shall</w:t>
      </w:r>
      <w:r w:rsidRPr="00EE60A1">
        <w:rPr>
          <w:b/>
          <w:bCs/>
        </w:rPr>
        <w:t xml:space="preserve"> separately mention that fact and the date on which it occurred if the making available to the public of the written disclosure occurred on a date which is the same as, or later than, the international filing date</w:t>
      </w:r>
      <w:r>
        <w:t>.</w:t>
      </w:r>
    </w:p>
    <w:p w14:paraId="3CC3F7D3" w14:textId="49F32BB0" w:rsidR="00A44201" w:rsidRDefault="00A44201" w:rsidP="00A44201">
      <w:pPr>
        <w:pStyle w:val="ONUME"/>
      </w:pPr>
      <w:r>
        <w:t>Rule 64.2 refers to non-written disclosures and has removed the part about the non-written disclosure not being considered as part of the prior art</w:t>
      </w:r>
      <w:r w:rsidR="00EE60A1">
        <w:t xml:space="preserve"> with effect January 1, 2026</w:t>
      </w:r>
      <w:r>
        <w:t xml:space="preserve">. </w:t>
      </w:r>
      <w:r w:rsidR="00EE60A1">
        <w:t xml:space="preserve"> </w:t>
      </w:r>
      <w:r>
        <w:t xml:space="preserve">It </w:t>
      </w:r>
      <w:r w:rsidR="00D65EFA">
        <w:t xml:space="preserve">also </w:t>
      </w:r>
      <w:r>
        <w:t xml:space="preserve">defines </w:t>
      </w:r>
      <w:r w:rsidR="00A3308C">
        <w:t>the documents</w:t>
      </w:r>
      <w:r>
        <w:t xml:space="preserve"> </w:t>
      </w:r>
      <w:r w:rsidR="00D65EFA">
        <w:t>indicating an earlier non-written disclosure that shall be</w:t>
      </w:r>
      <w:r>
        <w:t xml:space="preserve"> included in Box No. VI of the </w:t>
      </w:r>
      <w:r w:rsidR="00D65EFA">
        <w:t>written opinion and intellectual preliminary report on patentability</w:t>
      </w:r>
      <w:r w:rsidR="00325510">
        <w:t xml:space="preserve"> (</w:t>
      </w:r>
      <w:r>
        <w:t>WO/IPRP</w:t>
      </w:r>
      <w:r w:rsidR="00325510">
        <w:t>)</w:t>
      </w:r>
      <w:r>
        <w:t>:</w:t>
      </w:r>
    </w:p>
    <w:p w14:paraId="450727CD" w14:textId="77777777" w:rsidR="00A44201" w:rsidRPr="00D65EFA" w:rsidRDefault="00A44201" w:rsidP="00D65EFA">
      <w:pPr>
        <w:pStyle w:val="ONUME"/>
        <w:numPr>
          <w:ilvl w:val="0"/>
          <w:numId w:val="0"/>
        </w:numPr>
        <w:ind w:firstLine="567"/>
        <w:rPr>
          <w:i/>
          <w:iCs/>
        </w:rPr>
      </w:pPr>
      <w:r w:rsidRPr="00D65EFA">
        <w:rPr>
          <w:i/>
          <w:iCs/>
        </w:rPr>
        <w:t xml:space="preserve">64.2 Non-Written Disclosures </w:t>
      </w:r>
    </w:p>
    <w:p w14:paraId="3E8ECE9F" w14:textId="4C67C09D" w:rsidR="00A44201" w:rsidRDefault="00A44201" w:rsidP="00D65EFA">
      <w:pPr>
        <w:pStyle w:val="ONUME"/>
        <w:numPr>
          <w:ilvl w:val="0"/>
          <w:numId w:val="0"/>
        </w:numPr>
        <w:ind w:left="567" w:firstLine="567"/>
      </w:pPr>
      <w:r>
        <w:t xml:space="preserve">In cases where the making available to the public occurred by means of an oral disclosure, use, exhibition or other non-written means </w:t>
      </w:r>
      <w:r w:rsidRPr="00325510">
        <w:rPr>
          <w:b/>
          <w:bCs/>
        </w:rPr>
        <w:t>(</w:t>
      </w:r>
      <w:r w:rsidR="00A3308C">
        <w:rPr>
          <w:b/>
          <w:bCs/>
        </w:rPr>
        <w:t>“</w:t>
      </w:r>
      <w:r w:rsidRPr="00325510">
        <w:rPr>
          <w:b/>
          <w:bCs/>
        </w:rPr>
        <w:t>non-written disclosure</w:t>
      </w:r>
      <w:r w:rsidR="00A3308C">
        <w:rPr>
          <w:b/>
          <w:bCs/>
        </w:rPr>
        <w:t>”</w:t>
      </w:r>
      <w:r w:rsidRPr="00325510">
        <w:rPr>
          <w:b/>
          <w:bCs/>
        </w:rPr>
        <w:t>) before the relevant date as defined in Rule 64.1(b)</w:t>
      </w:r>
      <w:r>
        <w:t xml:space="preserve"> and the date of such non-written disclosure is indicated in a </w:t>
      </w:r>
      <w:r w:rsidRPr="00325510">
        <w:rPr>
          <w:u w:val="single"/>
        </w:rPr>
        <w:t>written disclosure</w:t>
      </w:r>
      <w:r>
        <w:t xml:space="preserve"> which has been made available to the public on a date which is the same as, or later than, the relevant date, the international preliminary examination report </w:t>
      </w:r>
      <w:r w:rsidRPr="00325510">
        <w:rPr>
          <w:u w:val="single"/>
        </w:rPr>
        <w:t>shall</w:t>
      </w:r>
      <w:r>
        <w:t xml:space="preserve"> call attention to such non-written disclosure in the manner provided for in Rule 70.9.</w:t>
      </w:r>
    </w:p>
    <w:p w14:paraId="079979DD" w14:textId="49506252" w:rsidR="00A44201" w:rsidRDefault="00A44201" w:rsidP="00A44201">
      <w:pPr>
        <w:pStyle w:val="ONUME"/>
      </w:pPr>
      <w:r>
        <w:t xml:space="preserve">Rule 70.9 </w:t>
      </w:r>
      <w:r w:rsidR="00325510">
        <w:t xml:space="preserve">that </w:t>
      </w:r>
      <w:r>
        <w:t xml:space="preserve">provides additional information on how documents </w:t>
      </w:r>
      <w:r w:rsidR="00325510">
        <w:t>referred to by virtue of Rule</w:t>
      </w:r>
      <w:r>
        <w:t xml:space="preserve"> 64.2 are entered in Box No. VI of WO/IPRP</w:t>
      </w:r>
      <w:r w:rsidR="00E54E26">
        <w:t xml:space="preserve"> also remains unchanged</w:t>
      </w:r>
      <w:r>
        <w:t>:</w:t>
      </w:r>
    </w:p>
    <w:p w14:paraId="25E4CD6E" w14:textId="77777777" w:rsidR="00A44201" w:rsidRPr="00325510" w:rsidRDefault="00A44201" w:rsidP="00A3308C">
      <w:pPr>
        <w:pStyle w:val="ONUME"/>
        <w:keepNext/>
        <w:keepLines/>
        <w:numPr>
          <w:ilvl w:val="0"/>
          <w:numId w:val="0"/>
        </w:numPr>
        <w:ind w:left="567"/>
        <w:rPr>
          <w:i/>
          <w:iCs/>
        </w:rPr>
      </w:pPr>
      <w:r w:rsidRPr="00325510">
        <w:rPr>
          <w:i/>
          <w:iCs/>
        </w:rPr>
        <w:lastRenderedPageBreak/>
        <w:t xml:space="preserve">70.9 Non-Written Disclosures </w:t>
      </w:r>
    </w:p>
    <w:p w14:paraId="33F6A11A" w14:textId="4302EA4B" w:rsidR="00A44201" w:rsidRDefault="00A44201" w:rsidP="00A3308C">
      <w:pPr>
        <w:pStyle w:val="ONUME"/>
        <w:keepNext/>
        <w:keepLines/>
        <w:numPr>
          <w:ilvl w:val="0"/>
          <w:numId w:val="0"/>
        </w:numPr>
        <w:ind w:left="567" w:firstLine="567"/>
      </w:pPr>
      <w:r>
        <w:t xml:space="preserve">Any </w:t>
      </w:r>
      <w:r w:rsidRPr="00325510">
        <w:rPr>
          <w:u w:val="single"/>
        </w:rPr>
        <w:t>non-written disclosure</w:t>
      </w:r>
      <w:r>
        <w:t xml:space="preserve"> referred to in the report by virtue of Rule 64.2 shall be mentioned by indicating its kind, the date on which the </w:t>
      </w:r>
      <w:r w:rsidRPr="00325510">
        <w:rPr>
          <w:u w:val="single"/>
        </w:rPr>
        <w:t>written disclosure</w:t>
      </w:r>
      <w:r>
        <w:t xml:space="preserve"> referring to the non-written disclosure was made available to the public, and the date on which the non-written disclosure occurred in public.</w:t>
      </w:r>
    </w:p>
    <w:p w14:paraId="7AEFD941" w14:textId="2FD5147F" w:rsidR="00A44201" w:rsidRDefault="00A44201" w:rsidP="00645634">
      <w:pPr>
        <w:pStyle w:val="Heading1"/>
      </w:pPr>
      <w:r>
        <w:t>Considerations</w:t>
      </w:r>
    </w:p>
    <w:p w14:paraId="4E7EC8A2" w14:textId="30ACA434" w:rsidR="0084037A" w:rsidRDefault="0084037A" w:rsidP="0084037A">
      <w:pPr>
        <w:pStyle w:val="ONUME"/>
      </w:pPr>
      <w:r>
        <w:t xml:space="preserve">Prior to January 1, 2026, non-written disclosures were not considered to be relevant prior art and therefore a written disclosure referring to the non-written disclosure, published before the international filing date (IFD), was required. </w:t>
      </w:r>
      <w:r w:rsidR="009853ED">
        <w:t xml:space="preserve"> </w:t>
      </w:r>
      <w:r>
        <w:t xml:space="preserve">When a written disclosure referring to the non-written disclosure was published </w:t>
      </w:r>
      <w:r w:rsidR="009853ED" w:rsidRPr="009853ED">
        <w:rPr>
          <w:u w:val="single"/>
        </w:rPr>
        <w:t xml:space="preserve">on or </w:t>
      </w:r>
      <w:r w:rsidRPr="009853ED">
        <w:rPr>
          <w:u w:val="single"/>
        </w:rPr>
        <w:t>after</w:t>
      </w:r>
      <w:r>
        <w:t xml:space="preserve"> the IFD, it could only be cited as an </w:t>
      </w:r>
      <w:r w:rsidR="00A3308C">
        <w:t>“</w:t>
      </w:r>
      <w:r>
        <w:t>O</w:t>
      </w:r>
      <w:r w:rsidR="00A3308C">
        <w:t>”</w:t>
      </w:r>
      <w:r>
        <w:t xml:space="preserve"> document as per Rule 33.1(b) and it was not used in Box No. V of the written opinion. </w:t>
      </w:r>
      <w:r w:rsidR="009853ED">
        <w:t xml:space="preserve"> </w:t>
      </w:r>
      <w:r>
        <w:t>Instead, it was entered into Box No. VI for information purposes only (Rule</w:t>
      </w:r>
      <w:r w:rsidR="00434673">
        <w:t>s</w:t>
      </w:r>
      <w:r>
        <w:t xml:space="preserve"> 64.2 and 70.9).</w:t>
      </w:r>
    </w:p>
    <w:p w14:paraId="70E3DD4B" w14:textId="6D37A794" w:rsidR="0084037A" w:rsidRDefault="0084037A" w:rsidP="0084037A">
      <w:pPr>
        <w:pStyle w:val="ONUME"/>
      </w:pPr>
      <w:r>
        <w:t xml:space="preserve">With the amendments to Rules 33 and 64, the definition of </w:t>
      </w:r>
      <w:r w:rsidR="00A3308C">
        <w:t>“</w:t>
      </w:r>
      <w:r>
        <w:t>prior art</w:t>
      </w:r>
      <w:r w:rsidR="00A3308C">
        <w:t>”</w:t>
      </w:r>
      <w:r>
        <w:t xml:space="preserve"> has been expanded to be </w:t>
      </w:r>
      <w:r w:rsidR="00A3308C">
        <w:t>“</w:t>
      </w:r>
      <w:r w:rsidRPr="009853ED">
        <w:rPr>
          <w:b/>
          <w:bCs/>
        </w:rPr>
        <w:t>any means</w:t>
      </w:r>
      <w:r>
        <w:t xml:space="preserve"> which is capable of being of assistance in determining that the claimed invention is or is not new and that it does or does not involve an inventive step</w:t>
      </w:r>
      <w:r w:rsidR="00A3308C">
        <w:t>”</w:t>
      </w:r>
      <w:r>
        <w:t xml:space="preserve">. </w:t>
      </w:r>
      <w:r w:rsidR="009853ED">
        <w:t xml:space="preserve"> </w:t>
      </w:r>
      <w:r>
        <w:t>Therefore, non-written disclosures are now included in the definition of prior art.</w:t>
      </w:r>
    </w:p>
    <w:p w14:paraId="70AD7C68" w14:textId="5F288522" w:rsidR="0084037A" w:rsidRDefault="0084037A" w:rsidP="0084037A">
      <w:pPr>
        <w:pStyle w:val="ONUME"/>
      </w:pPr>
      <w:r>
        <w:t xml:space="preserve">However, </w:t>
      </w:r>
      <w:r w:rsidR="009853ED">
        <w:t>R</w:t>
      </w:r>
      <w:r>
        <w:t xml:space="preserve">ules 33.1(b), 64.2 and 70.9 still include the date restrictions for the </w:t>
      </w:r>
      <w:r w:rsidR="00A3308C">
        <w:t>“</w:t>
      </w:r>
      <w:r>
        <w:t>O</w:t>
      </w:r>
      <w:r w:rsidR="00A3308C">
        <w:t>”</w:t>
      </w:r>
      <w:r>
        <w:t xml:space="preserve"> documents, and the requirement to mention such a document in the WO/ISA and IPRP for all written disclosures referring to non-written disclosures.</w:t>
      </w:r>
      <w:r w:rsidR="009853ED">
        <w:t xml:space="preserve"> </w:t>
      </w:r>
      <w:r>
        <w:t xml:space="preserve"> Since non-written disclosures are citable on their own right, CIPO views that the </w:t>
      </w:r>
      <w:r w:rsidR="009853ED">
        <w:t>Regulations</w:t>
      </w:r>
      <w:r>
        <w:t xml:space="preserve"> as presently written are no longer relevant and cause confusion. </w:t>
      </w:r>
    </w:p>
    <w:p w14:paraId="4A8A8CDA" w14:textId="730B36CE" w:rsidR="0084037A" w:rsidRDefault="0084037A" w:rsidP="0084037A">
      <w:pPr>
        <w:pStyle w:val="ONUME"/>
      </w:pPr>
      <w:r>
        <w:t xml:space="preserve">The ISPE Guidelines are currently being modified to change the guidance on the use of the </w:t>
      </w:r>
      <w:r w:rsidR="00A3308C">
        <w:t>“</w:t>
      </w:r>
      <w:r>
        <w:t>O</w:t>
      </w:r>
      <w:r w:rsidR="00A3308C">
        <w:t>”</w:t>
      </w:r>
      <w:r>
        <w:t xml:space="preserve"> category. </w:t>
      </w:r>
      <w:r w:rsidR="009853ED">
        <w:t xml:space="preserve"> </w:t>
      </w:r>
      <w:r>
        <w:t xml:space="preserve">The </w:t>
      </w:r>
      <w:r w:rsidR="00076FF8">
        <w:t xml:space="preserve">proposed </w:t>
      </w:r>
      <w:r w:rsidR="00A3308C">
        <w:t>“</w:t>
      </w:r>
      <w:r>
        <w:t>O</w:t>
      </w:r>
      <w:r w:rsidR="00A3308C">
        <w:t>”</w:t>
      </w:r>
      <w:r>
        <w:t xml:space="preserve"> category will now be used to identify disclosures that rely on a later published document that reproduces an earlier disclosure for support and/or content (i.e. ephemeral disclosures). </w:t>
      </w:r>
      <w:r w:rsidR="00076FF8">
        <w:t xml:space="preserve"> </w:t>
      </w:r>
      <w:r>
        <w:t xml:space="preserve">However, the relationship between such a document and its publication date is no longer relevant. </w:t>
      </w:r>
    </w:p>
    <w:p w14:paraId="5D44A505" w14:textId="070E8121" w:rsidR="00A44201" w:rsidRDefault="0084037A" w:rsidP="0084037A">
      <w:pPr>
        <w:pStyle w:val="ONUME"/>
      </w:pPr>
      <w:r>
        <w:t>Therefore, CIPO proposes that Rules 33.1(b), 64.2 and 70.9 be deleted (see Annex</w:t>
      </w:r>
      <w:r w:rsidR="00D97F74">
        <w:t>, showing proposed amendments to these Rules as in force from January 1, 2026</w:t>
      </w:r>
      <w:r>
        <w:t>).</w:t>
      </w:r>
    </w:p>
    <w:p w14:paraId="6B5A9EDD" w14:textId="2DD4E517" w:rsidR="0084037A" w:rsidRDefault="00076FF8" w:rsidP="00076FF8">
      <w:pPr>
        <w:pStyle w:val="Heading1"/>
      </w:pPr>
      <w:r>
        <w:t>Modifications to Legal Texts</w:t>
      </w:r>
    </w:p>
    <w:p w14:paraId="33E64031" w14:textId="5B658031" w:rsidR="0084037A" w:rsidRDefault="0084037A" w:rsidP="0084037A">
      <w:pPr>
        <w:pStyle w:val="ONUME"/>
      </w:pPr>
      <w:bookmarkStart w:id="5" w:name="_Ref209541401"/>
      <w:r>
        <w:t xml:space="preserve">If the deletion of these rules is adopted, the following modifications of other legal texts </w:t>
      </w:r>
      <w:r w:rsidR="00587F43">
        <w:t>would be</w:t>
      </w:r>
      <w:r>
        <w:t xml:space="preserve"> proposed:</w:t>
      </w:r>
      <w:bookmarkEnd w:id="5"/>
    </w:p>
    <w:p w14:paraId="320920E6" w14:textId="5EDFD141" w:rsidR="0084037A" w:rsidRDefault="0084037A" w:rsidP="00587F43">
      <w:pPr>
        <w:pStyle w:val="Heading2"/>
      </w:pPr>
      <w:r>
        <w:t>PCT Form</w:t>
      </w:r>
      <w:r w:rsidR="00587F43">
        <w:t>s (Written Opinion and International Preliminary Report on Patentability):</w:t>
      </w:r>
    </w:p>
    <w:p w14:paraId="6CA0E41C" w14:textId="6FCEFA82" w:rsidR="006D38F3" w:rsidRPr="006D38F3" w:rsidRDefault="006D38F3" w:rsidP="006D38F3">
      <w:pPr>
        <w:pStyle w:val="ONUME"/>
      </w:pPr>
      <w:r>
        <w:t>Item 2 of Box No. VI of Forms PCT/ISA/237, PCT/IPEA/408 and PCT/IPEA/409 should be deleted.</w:t>
      </w:r>
    </w:p>
    <w:p w14:paraId="0434A410" w14:textId="7FF19C8C" w:rsidR="0084037A" w:rsidRDefault="0084037A" w:rsidP="0084037A">
      <w:pPr>
        <w:pStyle w:val="ONUME"/>
        <w:numPr>
          <w:ilvl w:val="0"/>
          <w:numId w:val="0"/>
        </w:numPr>
      </w:pPr>
      <w:r>
        <w:rPr>
          <w:noProof/>
        </w:rPr>
        <w:drawing>
          <wp:inline distT="0" distB="0" distL="0" distR="0" wp14:anchorId="730FB1EC" wp14:editId="5C73165D">
            <wp:extent cx="5940425" cy="977265"/>
            <wp:effectExtent l="0" t="0" r="3175" b="0"/>
            <wp:docPr id="2027210782" name="Picture 1" descr="Item 2 of Box No. VI of the written opinion and the international preliminary report on patentability where non-written disclosures are referred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10782" name="Picture 1" descr="Item 2 of Box No. VI of the written opinion and the international preliminary report on patentability where non-written disclosures are referred to."/>
                    <pic:cNvPicPr/>
                  </pic:nvPicPr>
                  <pic:blipFill>
                    <a:blip r:embed="rId9"/>
                    <a:stretch>
                      <a:fillRect/>
                    </a:stretch>
                  </pic:blipFill>
                  <pic:spPr>
                    <a:xfrm>
                      <a:off x="0" y="0"/>
                      <a:ext cx="5940425" cy="977265"/>
                    </a:xfrm>
                    <a:prstGeom prst="rect">
                      <a:avLst/>
                    </a:prstGeom>
                  </pic:spPr>
                </pic:pic>
              </a:graphicData>
            </a:graphic>
          </wp:inline>
        </w:drawing>
      </w:r>
    </w:p>
    <w:p w14:paraId="415C61C2" w14:textId="257EBC3F" w:rsidR="0084037A" w:rsidRDefault="0084037A" w:rsidP="0084037A">
      <w:pPr>
        <w:pStyle w:val="ONUME"/>
      </w:pPr>
      <w:r>
        <w:t xml:space="preserve">No changes will be required for </w:t>
      </w:r>
      <w:r w:rsidR="00587F43">
        <w:t>the international search report (PCT/</w:t>
      </w:r>
      <w:r>
        <w:t>ISA/210</w:t>
      </w:r>
      <w:r w:rsidR="00587F43">
        <w:t>)</w:t>
      </w:r>
      <w:r>
        <w:t xml:space="preserve"> since </w:t>
      </w:r>
      <w:r w:rsidR="008419F2">
        <w:t xml:space="preserve">category </w:t>
      </w:r>
      <w:r w:rsidR="00A3308C">
        <w:t>“</w:t>
      </w:r>
      <w:r>
        <w:t>O</w:t>
      </w:r>
      <w:r w:rsidR="00A3308C">
        <w:t>”</w:t>
      </w:r>
      <w:r>
        <w:t xml:space="preserve"> will still be used for citations where a document reproduces an earlier disclosure (</w:t>
      </w:r>
      <w:r w:rsidR="00587F43">
        <w:t xml:space="preserve">see paragraphs </w:t>
      </w:r>
      <w:r>
        <w:t>16.70 and 11.22</w:t>
      </w:r>
      <w:r w:rsidR="00587F43">
        <w:t xml:space="preserve"> of the ISPE Guidelines</w:t>
      </w:r>
      <w:r>
        <w:t>).</w:t>
      </w:r>
    </w:p>
    <w:p w14:paraId="101F2CEA" w14:textId="77777777" w:rsidR="0084037A" w:rsidRDefault="0084037A" w:rsidP="00DF161A">
      <w:pPr>
        <w:pStyle w:val="Heading2"/>
        <w:keepLines/>
      </w:pPr>
      <w:r>
        <w:t>ISPE Guidelines:</w:t>
      </w:r>
    </w:p>
    <w:p w14:paraId="170AD3E5" w14:textId="23336B44" w:rsidR="0084037A" w:rsidRDefault="0084037A" w:rsidP="00DF161A">
      <w:pPr>
        <w:pStyle w:val="ONUME"/>
        <w:keepNext/>
        <w:keepLines/>
      </w:pPr>
      <w:r>
        <w:t xml:space="preserve">The </w:t>
      </w:r>
      <w:r w:rsidR="006D1AB0">
        <w:t xml:space="preserve">International Bureau will consult on </w:t>
      </w:r>
      <w:r>
        <w:t>proposed changes to the ISPE Guidelines</w:t>
      </w:r>
      <w:r w:rsidR="002013D4">
        <w:t xml:space="preserve"> through a PCT Circular</w:t>
      </w:r>
      <w:r>
        <w:t xml:space="preserve"> </w:t>
      </w:r>
      <w:r w:rsidR="006D1AB0">
        <w:t>to</w:t>
      </w:r>
      <w:r>
        <w:t xml:space="preserve"> address the change in how non-written disclosures should be cited, and how documents reproducing an earlier disclosure should be cited as </w:t>
      </w:r>
      <w:r w:rsidR="00A3308C">
        <w:t>“</w:t>
      </w:r>
      <w:r>
        <w:t>O</w:t>
      </w:r>
      <w:r w:rsidR="00A3308C">
        <w:t>”</w:t>
      </w:r>
      <w:r>
        <w:t xml:space="preserve"> documents. </w:t>
      </w:r>
      <w:r w:rsidR="006D1AB0">
        <w:t xml:space="preserve"> </w:t>
      </w:r>
      <w:r>
        <w:t xml:space="preserve">However, there are some areas that are specific to Rules 33.1(b), 64.2 and 70.9 which </w:t>
      </w:r>
      <w:r w:rsidR="006D1AB0">
        <w:t>would require</w:t>
      </w:r>
      <w:r>
        <w:t xml:space="preserve"> delet</w:t>
      </w:r>
      <w:r w:rsidR="006D1AB0">
        <w:t>ion</w:t>
      </w:r>
      <w:r w:rsidR="00BA30F4">
        <w:t xml:space="preserve"> from the </w:t>
      </w:r>
      <w:r w:rsidR="002013D4">
        <w:t>text in that consultation</w:t>
      </w:r>
      <w:r w:rsidR="00225A3A">
        <w:t xml:space="preserve"> if these Rules </w:t>
      </w:r>
      <w:r w:rsidR="00A3308C">
        <w:t>were</w:t>
      </w:r>
      <w:r w:rsidR="00225A3A">
        <w:t xml:space="preserve"> deleted</w:t>
      </w:r>
      <w:r>
        <w:t xml:space="preserve">. </w:t>
      </w:r>
    </w:p>
    <w:p w14:paraId="156FA53A" w14:textId="26B59E56" w:rsidR="0084037A" w:rsidRDefault="0084037A" w:rsidP="002013D4">
      <w:pPr>
        <w:pStyle w:val="Heading4"/>
        <w:ind w:left="567"/>
      </w:pPr>
      <w:r>
        <w:t>Documents Reproducing an Earlier Disclosure</w:t>
      </w:r>
    </w:p>
    <w:p w14:paraId="7C2D0289" w14:textId="262B962E" w:rsidR="0084037A" w:rsidRDefault="0084037A" w:rsidP="002013D4">
      <w:pPr>
        <w:pStyle w:val="ONUME"/>
        <w:numPr>
          <w:ilvl w:val="0"/>
          <w:numId w:val="0"/>
        </w:numPr>
        <w:ind w:left="567"/>
      </w:pPr>
      <w:r>
        <w:t>11.22</w:t>
      </w:r>
      <w:r>
        <w:tab/>
      </w:r>
      <w:r w:rsidR="006D1AB0">
        <w:tab/>
      </w:r>
      <w:r>
        <w:t xml:space="preserve">Where a document reproduces an oral disclosure (for example, public lecture) or a disclosure from a prior use or sale (for example, display at a public exhibition) that was publicly available before the relevant date of the international application, that document should be cited in the international search report with the date that the earlier disclosure was first made publicly available indicated as the date of publication.  For a publication on the Internet of an earlier disclosure, the content is considered to be publicly available as of the date of the earlier disclosure if this can be established, for example, by a written reference to the date that a video or audio of a public event was recorded, or an indication of the date of disclosure within the recording itself.  If a date of the earlier disclosure cannot be established, that disclosure should be considered to be publicly available as of the date it was posted on the Internet.  The content of the oral disclosure or information regarding a prior use or sale where the established date of disclosure is before the relevant date is part of the prior art for purposes of the opinion on novelty and inventive step under Article 33(2) and (3).  Attempting to establish the date of the earlier disclosure will therefore be important if the document was published on or after the relevant date of an international application but the earlier disclosure referred to in the document took place before the relevant date. </w:t>
      </w:r>
      <w:r w:rsidRPr="002013D4">
        <w:rPr>
          <w:strike/>
          <w:color w:val="C00000"/>
        </w:rPr>
        <w:t>The written opinion and international preliminary examination report also calls attention to such non-written disclosure in the manner provided for in Rule 70.9.</w:t>
      </w:r>
    </w:p>
    <w:p w14:paraId="65C73C93" w14:textId="3A74DBAD" w:rsidR="0084037A" w:rsidRPr="002013D4" w:rsidRDefault="0084037A" w:rsidP="002013D4">
      <w:pPr>
        <w:pStyle w:val="ONUME"/>
        <w:numPr>
          <w:ilvl w:val="0"/>
          <w:numId w:val="0"/>
        </w:numPr>
        <w:ind w:left="567"/>
        <w:rPr>
          <w:strike/>
          <w:color w:val="C00000"/>
        </w:rPr>
      </w:pPr>
      <w:r w:rsidRPr="002013D4">
        <w:t>15.05</w:t>
      </w:r>
      <w:r w:rsidRPr="002013D4">
        <w:tab/>
      </w:r>
      <w:r w:rsidR="002013D4">
        <w:t xml:space="preserve"> [Deleted] </w:t>
      </w:r>
      <w:r w:rsidRPr="002013D4">
        <w:rPr>
          <w:strike/>
          <w:color w:val="C00000"/>
        </w:rPr>
        <w:t>A non-written disclosure such as an oral disclosure, use, exhibition or other means of disclosure is not relevant prior art for the purposes of the international search unless it is substantiated by a written disclosure made available to the public prior to the international filing date and it is the written disclosure which constitutes the prior art.  However, if the date on which the a written disclosure refers to a non-written disclosure such as an oral disclosure, use, exhibition or other means of non-written disclosure, and that written disclosure was made available to the public was on or after the filing date of the international application under consideration, the search report should separately mention that fact and the date on which the written disclosure was available, even though such a written disclosure does not meet the definition of relevant prior art in the international phase, so long as the non-written disclosure was made available to the public on a date prior to the international filing date (see paragraph 11.22) since such a non-written disclosure may be considered to be prior art under national law in the national phase.</w:t>
      </w:r>
    </w:p>
    <w:p w14:paraId="276BC884" w14:textId="77777777" w:rsidR="0084037A" w:rsidRDefault="0084037A" w:rsidP="009E2124">
      <w:pPr>
        <w:pStyle w:val="Heading2"/>
      </w:pPr>
      <w:r>
        <w:t>Administrative Instructions:</w:t>
      </w:r>
    </w:p>
    <w:p w14:paraId="6CF8461E" w14:textId="18233C57" w:rsidR="0084037A" w:rsidRDefault="0084037A" w:rsidP="0084037A">
      <w:pPr>
        <w:pStyle w:val="ONUME"/>
      </w:pPr>
      <w:bookmarkStart w:id="6" w:name="_Ref209541409"/>
      <w:r>
        <w:t xml:space="preserve">With the deletion of </w:t>
      </w:r>
      <w:r w:rsidR="009E2124">
        <w:t xml:space="preserve">Rules </w:t>
      </w:r>
      <w:r>
        <w:t>33.1(b), 64.2 and 70.9, Section 507(a) of the A</w:t>
      </w:r>
      <w:r w:rsidR="009E2124">
        <w:t xml:space="preserve">dministrative </w:t>
      </w:r>
      <w:r>
        <w:t>I</w:t>
      </w:r>
      <w:r w:rsidR="009E2124">
        <w:t>nstruction</w:t>
      </w:r>
      <w:r>
        <w:t xml:space="preserve">s will require amendment </w:t>
      </w:r>
      <w:r w:rsidR="003A5EF9">
        <w:t xml:space="preserve">as it </w:t>
      </w:r>
      <w:r>
        <w:t xml:space="preserve">currently references </w:t>
      </w:r>
      <w:r w:rsidR="009E2124">
        <w:t xml:space="preserve">Rule </w:t>
      </w:r>
      <w:r>
        <w:t>33.1(b)</w:t>
      </w:r>
      <w:r w:rsidR="002013D4">
        <w:t>, as follows</w:t>
      </w:r>
      <w:r>
        <w:t>..</w:t>
      </w:r>
      <w:bookmarkEnd w:id="6"/>
    </w:p>
    <w:p w14:paraId="0BA6E8C2" w14:textId="69E4118A" w:rsidR="0084037A" w:rsidRDefault="0084037A" w:rsidP="003A5EF9">
      <w:pPr>
        <w:pStyle w:val="ONUME"/>
        <w:numPr>
          <w:ilvl w:val="0"/>
          <w:numId w:val="0"/>
        </w:numPr>
        <w:ind w:left="567"/>
      </w:pPr>
      <w:r>
        <w:t>507(a)</w:t>
      </w:r>
      <w:r w:rsidR="003A5EF9">
        <w:t xml:space="preserve"> </w:t>
      </w:r>
      <w:r>
        <w:t xml:space="preserve"> </w:t>
      </w:r>
      <w:r w:rsidR="00A3308C">
        <w:t>“</w:t>
      </w:r>
      <w:r>
        <w:t xml:space="preserve">Where any document cited in the international search report refers to an oral disclosure, use, exhibition, </w:t>
      </w:r>
      <w:r w:rsidRPr="003A5EF9">
        <w:t>or other means</w:t>
      </w:r>
      <w:r w:rsidRPr="003A5EF9">
        <w:rPr>
          <w:strike/>
        </w:rPr>
        <w:t xml:space="preserve"> </w:t>
      </w:r>
      <w:r w:rsidRPr="003A5EF9">
        <w:rPr>
          <w:strike/>
          <w:color w:val="C00000"/>
        </w:rPr>
        <w:t>referred to in Rule 33.1(b)</w:t>
      </w:r>
      <w:r w:rsidRPr="003A5EF9">
        <w:t>,</w:t>
      </w:r>
      <w:r w:rsidRPr="003A5EF9">
        <w:rPr>
          <w:strike/>
          <w:color w:val="C00000"/>
        </w:rPr>
        <w:t xml:space="preserve"> the separate indication required by that Rule shall consist of</w:t>
      </w:r>
      <w:r>
        <w:t xml:space="preserve"> the letter </w:t>
      </w:r>
      <w:r w:rsidR="00A3308C">
        <w:t>“</w:t>
      </w:r>
      <w:r>
        <w:t>O</w:t>
      </w:r>
      <w:r w:rsidR="00A3308C">
        <w:t>”</w:t>
      </w:r>
      <w:r>
        <w:t xml:space="preserve"> should be placed next to the citation of the document. </w:t>
      </w:r>
      <w:r w:rsidR="003A5EF9">
        <w:t xml:space="preserve"> </w:t>
      </w:r>
      <w:r>
        <w:t xml:space="preserve">Category </w:t>
      </w:r>
      <w:r w:rsidR="00A3308C">
        <w:t>“</w:t>
      </w:r>
      <w:r>
        <w:t>O</w:t>
      </w:r>
      <w:r w:rsidR="00A3308C">
        <w:t>”</w:t>
      </w:r>
      <w:r>
        <w:t xml:space="preserve"> shall be accompanied by one of the categories </w:t>
      </w:r>
      <w:r w:rsidR="00A3308C">
        <w:t>“</w:t>
      </w:r>
      <w:r>
        <w:t>X</w:t>
      </w:r>
      <w:r w:rsidR="00A3308C">
        <w:t>”</w:t>
      </w:r>
      <w:r>
        <w:t xml:space="preserve">, </w:t>
      </w:r>
      <w:r w:rsidR="00A3308C">
        <w:t>“</w:t>
      </w:r>
      <w:r>
        <w:t>Y</w:t>
      </w:r>
      <w:r w:rsidR="00A3308C">
        <w:t>”</w:t>
      </w:r>
      <w:r>
        <w:t xml:space="preserve"> or </w:t>
      </w:r>
      <w:r w:rsidR="00A3308C">
        <w:t>“</w:t>
      </w:r>
      <w:r>
        <w:t>A</w:t>
      </w:r>
      <w:r w:rsidR="00A3308C">
        <w:t>”“</w:t>
      </w:r>
      <w:r>
        <w:t xml:space="preserve">. </w:t>
      </w:r>
    </w:p>
    <w:p w14:paraId="1D3C17B2" w14:textId="77777777" w:rsidR="0084037A" w:rsidRPr="00D54A23" w:rsidRDefault="0084037A" w:rsidP="00D54A23">
      <w:pPr>
        <w:pStyle w:val="ONUME"/>
        <w:keepNext/>
        <w:ind w:left="5533"/>
        <w:rPr>
          <w:i/>
        </w:rPr>
      </w:pPr>
      <w:r w:rsidRPr="00D54A23">
        <w:rPr>
          <w:i/>
        </w:rPr>
        <w:t xml:space="preserve">The Meeting is invited to: </w:t>
      </w:r>
    </w:p>
    <w:p w14:paraId="2565CA81" w14:textId="22C5FDE1" w:rsidR="0084037A" w:rsidRPr="00D54A23" w:rsidRDefault="0084037A" w:rsidP="00D54A23">
      <w:pPr>
        <w:pStyle w:val="ONUME"/>
        <w:keepNext/>
        <w:numPr>
          <w:ilvl w:val="1"/>
          <w:numId w:val="5"/>
        </w:numPr>
        <w:ind w:left="5533"/>
        <w:rPr>
          <w:i/>
        </w:rPr>
      </w:pPr>
      <w:r w:rsidRPr="00D54A23">
        <w:rPr>
          <w:i/>
        </w:rPr>
        <w:t xml:space="preserve">comment on the proposed amendments to the PCT Regulations </w:t>
      </w:r>
      <w:r w:rsidR="003A5EF9" w:rsidRPr="00D54A23">
        <w:rPr>
          <w:i/>
        </w:rPr>
        <w:t>set out in the Annex to this document</w:t>
      </w:r>
      <w:r w:rsidRPr="00D54A23">
        <w:rPr>
          <w:i/>
        </w:rPr>
        <w:t xml:space="preserve">;  and </w:t>
      </w:r>
    </w:p>
    <w:p w14:paraId="4E29563C" w14:textId="2DA23EC0" w:rsidR="003A5EF9" w:rsidRDefault="0084037A" w:rsidP="00D54A23">
      <w:pPr>
        <w:pStyle w:val="ONUME"/>
        <w:numPr>
          <w:ilvl w:val="1"/>
          <w:numId w:val="5"/>
        </w:numPr>
        <w:ind w:left="5533"/>
      </w:pPr>
      <w:r w:rsidRPr="00D54A23">
        <w:rPr>
          <w:i/>
        </w:rPr>
        <w:t xml:space="preserve">comment on the proposed modifications to the legal texts as described in paragraphs </w:t>
      </w:r>
      <w:r w:rsidR="003A5EF9" w:rsidRPr="00D54A23">
        <w:rPr>
          <w:i/>
        </w:rPr>
        <w:fldChar w:fldCharType="begin"/>
      </w:r>
      <w:r w:rsidR="003A5EF9" w:rsidRPr="00D54A23">
        <w:rPr>
          <w:i/>
        </w:rPr>
        <w:instrText xml:space="preserve"> REF _Ref209541401 \r \h </w:instrText>
      </w:r>
      <w:r w:rsidR="003A5EF9" w:rsidRPr="00D54A23">
        <w:rPr>
          <w:i/>
        </w:rPr>
      </w:r>
      <w:r w:rsidR="003A5EF9" w:rsidRPr="00D54A23">
        <w:rPr>
          <w:i/>
        </w:rPr>
        <w:fldChar w:fldCharType="separate"/>
      </w:r>
      <w:r w:rsidR="00434673">
        <w:rPr>
          <w:i/>
        </w:rPr>
        <w:t>13</w:t>
      </w:r>
      <w:r w:rsidR="003A5EF9" w:rsidRPr="00D54A23">
        <w:rPr>
          <w:i/>
        </w:rPr>
        <w:fldChar w:fldCharType="end"/>
      </w:r>
      <w:r w:rsidR="003A5EF9" w:rsidRPr="00D54A23">
        <w:rPr>
          <w:i/>
        </w:rPr>
        <w:t xml:space="preserve"> to </w:t>
      </w:r>
      <w:r w:rsidR="003A5EF9" w:rsidRPr="00D54A23">
        <w:rPr>
          <w:i/>
        </w:rPr>
        <w:fldChar w:fldCharType="begin"/>
      </w:r>
      <w:r w:rsidR="003A5EF9" w:rsidRPr="00D54A23">
        <w:rPr>
          <w:i/>
        </w:rPr>
        <w:instrText xml:space="preserve"> REF _Ref209541409 \r \h </w:instrText>
      </w:r>
      <w:r w:rsidR="003A5EF9" w:rsidRPr="00D54A23">
        <w:rPr>
          <w:i/>
        </w:rPr>
      </w:r>
      <w:r w:rsidR="003A5EF9" w:rsidRPr="00D54A23">
        <w:rPr>
          <w:i/>
        </w:rPr>
        <w:fldChar w:fldCharType="separate"/>
      </w:r>
      <w:r w:rsidR="00434673">
        <w:rPr>
          <w:i/>
        </w:rPr>
        <w:t>17</w:t>
      </w:r>
      <w:r w:rsidR="003A5EF9" w:rsidRPr="00D54A23">
        <w:rPr>
          <w:i/>
        </w:rPr>
        <w:fldChar w:fldCharType="end"/>
      </w:r>
      <w:r w:rsidR="003A5EF9" w:rsidRPr="00D54A23">
        <w:rPr>
          <w:i/>
        </w:rPr>
        <w:t>, above</w:t>
      </w:r>
      <w:r w:rsidRPr="00D54A23">
        <w:rPr>
          <w:i/>
        </w:rPr>
        <w:t>.</w:t>
      </w:r>
    </w:p>
    <w:p w14:paraId="56FAB139" w14:textId="77777777" w:rsidR="00EC3F05" w:rsidRDefault="003A5EF9" w:rsidP="00EC3F05">
      <w:pPr>
        <w:pStyle w:val="Endofdocument-Annex"/>
        <w:sectPr w:rsidR="00EC3F05" w:rsidSect="00131336">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cols w:space="720"/>
          <w:titlePg/>
          <w:docGrid w:linePitch="299"/>
        </w:sectPr>
      </w:pPr>
      <w:r>
        <w:t>[Annex follow</w:t>
      </w:r>
      <w:r w:rsidR="004D024A">
        <w:t>s</w:t>
      </w:r>
      <w:r w:rsidR="00EC3F05">
        <w:t>]</w:t>
      </w:r>
    </w:p>
    <w:p w14:paraId="1331DFE7" w14:textId="77777777" w:rsidR="00D97F74" w:rsidRPr="008B6CF7" w:rsidRDefault="00D97F74" w:rsidP="00D97F74">
      <w:pPr>
        <w:pStyle w:val="Endofdocument-Annex"/>
        <w:ind w:left="0"/>
        <w:jc w:val="center"/>
        <w:rPr>
          <w:caps/>
        </w:rPr>
      </w:pPr>
      <w:bookmarkStart w:id="8" w:name="AxIV"/>
      <w:r w:rsidRPr="008B6CF7">
        <w:rPr>
          <w:caps/>
        </w:rPr>
        <w:t>Proposed Amendments to the PCT Regulations</w:t>
      </w:r>
      <w:r>
        <w:rPr>
          <w:rStyle w:val="FootnoteReference"/>
          <w:caps/>
        </w:rPr>
        <w:footnoteReference w:id="2"/>
      </w:r>
    </w:p>
    <w:p w14:paraId="7B674DA6" w14:textId="77777777" w:rsidR="00D97F74" w:rsidRPr="008B6CF7" w:rsidRDefault="00D97F74" w:rsidP="00D97F74">
      <w:pPr>
        <w:pStyle w:val="Endofdocument-Annex"/>
        <w:ind w:left="0"/>
        <w:jc w:val="center"/>
        <w:rPr>
          <w:caps/>
        </w:rPr>
      </w:pPr>
    </w:p>
    <w:p w14:paraId="451AC401" w14:textId="77777777" w:rsidR="00D97F74" w:rsidRPr="008B6CF7" w:rsidRDefault="00D97F74" w:rsidP="00D97F74">
      <w:pPr>
        <w:pStyle w:val="Endofdocument-Annex"/>
        <w:ind w:left="0"/>
        <w:jc w:val="center"/>
        <w:rPr>
          <w:caps/>
        </w:rPr>
      </w:pPr>
    </w:p>
    <w:p w14:paraId="2EDE2704" w14:textId="77777777" w:rsidR="00D97F74" w:rsidRDefault="00D97F74" w:rsidP="00D97F74">
      <w:pPr>
        <w:pStyle w:val="Endofdocument-Annex"/>
        <w:ind w:left="0"/>
        <w:jc w:val="center"/>
        <w:rPr>
          <w:caps/>
        </w:rPr>
      </w:pPr>
      <w:r w:rsidRPr="008B6CF7">
        <w:rPr>
          <w:caps/>
        </w:rPr>
        <w:t>Table of Contents</w:t>
      </w:r>
    </w:p>
    <w:p w14:paraId="1B8B9754" w14:textId="77777777" w:rsidR="00D97F74" w:rsidRDefault="00D97F74" w:rsidP="00D97F74">
      <w:pPr>
        <w:pStyle w:val="Endofdocument-Annex"/>
        <w:ind w:left="0"/>
        <w:jc w:val="center"/>
        <w:rPr>
          <w:caps/>
        </w:rPr>
      </w:pPr>
    </w:p>
    <w:p w14:paraId="553920F2" w14:textId="77777777" w:rsidR="00D97F74" w:rsidRDefault="00D97F74" w:rsidP="00D97F74">
      <w:pPr>
        <w:pStyle w:val="Endofdocument-Annex"/>
        <w:ind w:left="0"/>
        <w:jc w:val="center"/>
        <w:rPr>
          <w:caps/>
        </w:rPr>
      </w:pPr>
    </w:p>
    <w:p w14:paraId="190354C3" w14:textId="32637D07" w:rsidR="00281A1A" w:rsidRDefault="00D97F74">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rPr>
          <w:caps/>
        </w:rPr>
        <w:fldChar w:fldCharType="begin"/>
      </w:r>
      <w:r>
        <w:rPr>
          <w:caps/>
        </w:rPr>
        <w:instrText xml:space="preserve"> TOC \h \z \B "AxIV" \t "Leg # Title,1,Leg SubRule #,2" </w:instrText>
      </w:r>
      <w:r>
        <w:rPr>
          <w:caps/>
        </w:rPr>
        <w:fldChar w:fldCharType="separate"/>
      </w:r>
      <w:hyperlink w:anchor="_Toc209544107" w:history="1">
        <w:r w:rsidR="00281A1A" w:rsidRPr="00E85D03">
          <w:rPr>
            <w:rStyle w:val="Hyperlink"/>
            <w:noProof/>
          </w:rPr>
          <w:t>Rule 33 Relevant Prior Art for the International Search</w:t>
        </w:r>
        <w:r w:rsidR="00281A1A">
          <w:rPr>
            <w:noProof/>
            <w:webHidden/>
          </w:rPr>
          <w:tab/>
        </w:r>
        <w:r w:rsidR="00281A1A">
          <w:rPr>
            <w:noProof/>
            <w:webHidden/>
          </w:rPr>
          <w:fldChar w:fldCharType="begin"/>
        </w:r>
        <w:r w:rsidR="00281A1A">
          <w:rPr>
            <w:noProof/>
            <w:webHidden/>
          </w:rPr>
          <w:instrText xml:space="preserve"> PAGEREF _Toc209544107 \h </w:instrText>
        </w:r>
        <w:r w:rsidR="00281A1A">
          <w:rPr>
            <w:noProof/>
            <w:webHidden/>
          </w:rPr>
        </w:r>
        <w:r w:rsidR="00281A1A">
          <w:rPr>
            <w:noProof/>
            <w:webHidden/>
          </w:rPr>
          <w:fldChar w:fldCharType="separate"/>
        </w:r>
        <w:r w:rsidR="00434673">
          <w:rPr>
            <w:noProof/>
            <w:webHidden/>
          </w:rPr>
          <w:t>2</w:t>
        </w:r>
        <w:r w:rsidR="00281A1A">
          <w:rPr>
            <w:noProof/>
            <w:webHidden/>
          </w:rPr>
          <w:fldChar w:fldCharType="end"/>
        </w:r>
      </w:hyperlink>
    </w:p>
    <w:p w14:paraId="2FD7861F" w14:textId="61D5F742" w:rsidR="00281A1A" w:rsidRDefault="00281A1A">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544108" w:history="1">
        <w:r w:rsidRPr="00E85D03">
          <w:rPr>
            <w:rStyle w:val="Hyperlink"/>
            <w:noProof/>
          </w:rPr>
          <w:t>33.1   </w:t>
        </w:r>
        <w:r w:rsidRPr="00E85D03">
          <w:rPr>
            <w:rStyle w:val="Hyperlink"/>
            <w:i/>
            <w:noProof/>
          </w:rPr>
          <w:t>Relevant Prior Art for the International Search</w:t>
        </w:r>
        <w:r>
          <w:rPr>
            <w:noProof/>
            <w:webHidden/>
          </w:rPr>
          <w:tab/>
        </w:r>
        <w:r>
          <w:rPr>
            <w:noProof/>
            <w:webHidden/>
          </w:rPr>
          <w:fldChar w:fldCharType="begin"/>
        </w:r>
        <w:r>
          <w:rPr>
            <w:noProof/>
            <w:webHidden/>
          </w:rPr>
          <w:instrText xml:space="preserve"> PAGEREF _Toc209544108 \h </w:instrText>
        </w:r>
        <w:r>
          <w:rPr>
            <w:noProof/>
            <w:webHidden/>
          </w:rPr>
        </w:r>
        <w:r>
          <w:rPr>
            <w:noProof/>
            <w:webHidden/>
          </w:rPr>
          <w:fldChar w:fldCharType="separate"/>
        </w:r>
        <w:r w:rsidR="00434673">
          <w:rPr>
            <w:noProof/>
            <w:webHidden/>
          </w:rPr>
          <w:t>2</w:t>
        </w:r>
        <w:r>
          <w:rPr>
            <w:noProof/>
            <w:webHidden/>
          </w:rPr>
          <w:fldChar w:fldCharType="end"/>
        </w:r>
      </w:hyperlink>
    </w:p>
    <w:p w14:paraId="7A412D1E" w14:textId="402B270E" w:rsidR="00281A1A" w:rsidRDefault="00281A1A">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544109" w:history="1">
        <w:r w:rsidRPr="00E85D03">
          <w:rPr>
            <w:rStyle w:val="Hyperlink"/>
            <w:noProof/>
          </w:rPr>
          <w:t>33.2 and 33.3   </w:t>
        </w:r>
        <w:r w:rsidRPr="00E85D03">
          <w:rPr>
            <w:rStyle w:val="Hyperlink"/>
            <w:i/>
            <w:iCs/>
            <w:noProof/>
          </w:rPr>
          <w:t>[No change]</w:t>
        </w:r>
        <w:r>
          <w:rPr>
            <w:noProof/>
            <w:webHidden/>
          </w:rPr>
          <w:tab/>
        </w:r>
        <w:r>
          <w:rPr>
            <w:noProof/>
            <w:webHidden/>
          </w:rPr>
          <w:fldChar w:fldCharType="begin"/>
        </w:r>
        <w:r>
          <w:rPr>
            <w:noProof/>
            <w:webHidden/>
          </w:rPr>
          <w:instrText xml:space="preserve"> PAGEREF _Toc209544109 \h </w:instrText>
        </w:r>
        <w:r>
          <w:rPr>
            <w:noProof/>
            <w:webHidden/>
          </w:rPr>
        </w:r>
        <w:r>
          <w:rPr>
            <w:noProof/>
            <w:webHidden/>
          </w:rPr>
          <w:fldChar w:fldCharType="separate"/>
        </w:r>
        <w:r w:rsidR="00434673">
          <w:rPr>
            <w:noProof/>
            <w:webHidden/>
          </w:rPr>
          <w:t>2</w:t>
        </w:r>
        <w:r>
          <w:rPr>
            <w:noProof/>
            <w:webHidden/>
          </w:rPr>
          <w:fldChar w:fldCharType="end"/>
        </w:r>
      </w:hyperlink>
    </w:p>
    <w:p w14:paraId="316CC811" w14:textId="1D675A7D" w:rsidR="00281A1A" w:rsidRDefault="00281A1A">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544110" w:history="1">
        <w:r w:rsidRPr="00E85D03">
          <w:rPr>
            <w:rStyle w:val="Hyperlink"/>
            <w:noProof/>
          </w:rPr>
          <w:t>Rule 64 Relevant Prior Art for the International Preliminary Examination</w:t>
        </w:r>
        <w:r>
          <w:rPr>
            <w:noProof/>
            <w:webHidden/>
          </w:rPr>
          <w:tab/>
        </w:r>
        <w:r>
          <w:rPr>
            <w:noProof/>
            <w:webHidden/>
          </w:rPr>
          <w:fldChar w:fldCharType="begin"/>
        </w:r>
        <w:r>
          <w:rPr>
            <w:noProof/>
            <w:webHidden/>
          </w:rPr>
          <w:instrText xml:space="preserve"> PAGEREF _Toc209544110 \h </w:instrText>
        </w:r>
        <w:r>
          <w:rPr>
            <w:noProof/>
            <w:webHidden/>
          </w:rPr>
        </w:r>
        <w:r>
          <w:rPr>
            <w:noProof/>
            <w:webHidden/>
          </w:rPr>
          <w:fldChar w:fldCharType="separate"/>
        </w:r>
        <w:r w:rsidR="00434673">
          <w:rPr>
            <w:noProof/>
            <w:webHidden/>
          </w:rPr>
          <w:t>3</w:t>
        </w:r>
        <w:r>
          <w:rPr>
            <w:noProof/>
            <w:webHidden/>
          </w:rPr>
          <w:fldChar w:fldCharType="end"/>
        </w:r>
      </w:hyperlink>
    </w:p>
    <w:p w14:paraId="35440ADE" w14:textId="5BF89123" w:rsidR="00281A1A" w:rsidRDefault="00281A1A">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544111" w:history="1">
        <w:r w:rsidRPr="00E85D03">
          <w:rPr>
            <w:rStyle w:val="Hyperlink"/>
            <w:noProof/>
          </w:rPr>
          <w:t>64.1   </w:t>
        </w:r>
        <w:r w:rsidRPr="00E85D03">
          <w:rPr>
            <w:rStyle w:val="Hyperlink"/>
            <w:i/>
            <w:noProof/>
          </w:rPr>
          <w:t>Prior Art</w:t>
        </w:r>
        <w:r>
          <w:rPr>
            <w:noProof/>
            <w:webHidden/>
          </w:rPr>
          <w:tab/>
        </w:r>
        <w:r>
          <w:rPr>
            <w:noProof/>
            <w:webHidden/>
          </w:rPr>
          <w:fldChar w:fldCharType="begin"/>
        </w:r>
        <w:r>
          <w:rPr>
            <w:noProof/>
            <w:webHidden/>
          </w:rPr>
          <w:instrText xml:space="preserve"> PAGEREF _Toc209544111 \h </w:instrText>
        </w:r>
        <w:r>
          <w:rPr>
            <w:noProof/>
            <w:webHidden/>
          </w:rPr>
        </w:r>
        <w:r>
          <w:rPr>
            <w:noProof/>
            <w:webHidden/>
          </w:rPr>
          <w:fldChar w:fldCharType="separate"/>
        </w:r>
        <w:r w:rsidR="00434673">
          <w:rPr>
            <w:noProof/>
            <w:webHidden/>
          </w:rPr>
          <w:t>3</w:t>
        </w:r>
        <w:r>
          <w:rPr>
            <w:noProof/>
            <w:webHidden/>
          </w:rPr>
          <w:fldChar w:fldCharType="end"/>
        </w:r>
      </w:hyperlink>
    </w:p>
    <w:p w14:paraId="0E61C68F" w14:textId="1716F5A5" w:rsidR="00281A1A" w:rsidRDefault="00281A1A">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544112" w:history="1">
        <w:r w:rsidRPr="00E85D03">
          <w:rPr>
            <w:rStyle w:val="Hyperlink"/>
            <w:noProof/>
          </w:rPr>
          <w:t>64.2   </w:t>
        </w:r>
        <w:r w:rsidRPr="00E85D03">
          <w:rPr>
            <w:rStyle w:val="Hyperlink"/>
            <w:i/>
            <w:iCs/>
            <w:noProof/>
          </w:rPr>
          <w:t xml:space="preserve">[Deleted] </w:t>
        </w:r>
        <w:r w:rsidRPr="00E85D03">
          <w:rPr>
            <w:rStyle w:val="Hyperlink"/>
            <w:i/>
            <w:strike/>
            <w:noProof/>
          </w:rPr>
          <w:t>Non-Written Disclosures</w:t>
        </w:r>
        <w:r>
          <w:rPr>
            <w:noProof/>
            <w:webHidden/>
          </w:rPr>
          <w:tab/>
        </w:r>
        <w:r>
          <w:rPr>
            <w:noProof/>
            <w:webHidden/>
          </w:rPr>
          <w:fldChar w:fldCharType="begin"/>
        </w:r>
        <w:r>
          <w:rPr>
            <w:noProof/>
            <w:webHidden/>
          </w:rPr>
          <w:instrText xml:space="preserve"> PAGEREF _Toc209544112 \h </w:instrText>
        </w:r>
        <w:r>
          <w:rPr>
            <w:noProof/>
            <w:webHidden/>
          </w:rPr>
        </w:r>
        <w:r>
          <w:rPr>
            <w:noProof/>
            <w:webHidden/>
          </w:rPr>
          <w:fldChar w:fldCharType="separate"/>
        </w:r>
        <w:r w:rsidR="00434673">
          <w:rPr>
            <w:noProof/>
            <w:webHidden/>
          </w:rPr>
          <w:t>3</w:t>
        </w:r>
        <w:r>
          <w:rPr>
            <w:noProof/>
            <w:webHidden/>
          </w:rPr>
          <w:fldChar w:fldCharType="end"/>
        </w:r>
      </w:hyperlink>
    </w:p>
    <w:p w14:paraId="580B229B" w14:textId="554DF05F" w:rsidR="00281A1A" w:rsidRDefault="00281A1A">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544113" w:history="1">
        <w:r w:rsidRPr="00E85D03">
          <w:rPr>
            <w:rStyle w:val="Hyperlink"/>
            <w:noProof/>
          </w:rPr>
          <w:t xml:space="preserve">64.3   </w:t>
        </w:r>
        <w:r w:rsidRPr="00E85D03">
          <w:rPr>
            <w:rStyle w:val="Hyperlink"/>
            <w:i/>
            <w:iCs/>
            <w:noProof/>
          </w:rPr>
          <w:t>[No change]</w:t>
        </w:r>
        <w:r>
          <w:rPr>
            <w:noProof/>
            <w:webHidden/>
          </w:rPr>
          <w:tab/>
        </w:r>
        <w:r>
          <w:rPr>
            <w:noProof/>
            <w:webHidden/>
          </w:rPr>
          <w:fldChar w:fldCharType="begin"/>
        </w:r>
        <w:r>
          <w:rPr>
            <w:noProof/>
            <w:webHidden/>
          </w:rPr>
          <w:instrText xml:space="preserve"> PAGEREF _Toc209544113 \h </w:instrText>
        </w:r>
        <w:r>
          <w:rPr>
            <w:noProof/>
            <w:webHidden/>
          </w:rPr>
        </w:r>
        <w:r>
          <w:rPr>
            <w:noProof/>
            <w:webHidden/>
          </w:rPr>
          <w:fldChar w:fldCharType="separate"/>
        </w:r>
        <w:r w:rsidR="00434673">
          <w:rPr>
            <w:noProof/>
            <w:webHidden/>
          </w:rPr>
          <w:t>3</w:t>
        </w:r>
        <w:r>
          <w:rPr>
            <w:noProof/>
            <w:webHidden/>
          </w:rPr>
          <w:fldChar w:fldCharType="end"/>
        </w:r>
      </w:hyperlink>
    </w:p>
    <w:p w14:paraId="3E3B792A" w14:textId="72AD2756" w:rsidR="00281A1A" w:rsidRDefault="00281A1A">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544114" w:history="1">
        <w:r w:rsidRPr="00E85D03">
          <w:rPr>
            <w:rStyle w:val="Hyperlink"/>
            <w:noProof/>
          </w:rPr>
          <w:t>Rule 70 International Preliminary Report on Patentability by the International Preliminary Examining Authority (International Preliminary Examination Report)</w:t>
        </w:r>
        <w:r>
          <w:rPr>
            <w:noProof/>
            <w:webHidden/>
          </w:rPr>
          <w:tab/>
        </w:r>
        <w:r>
          <w:rPr>
            <w:noProof/>
            <w:webHidden/>
          </w:rPr>
          <w:fldChar w:fldCharType="begin"/>
        </w:r>
        <w:r>
          <w:rPr>
            <w:noProof/>
            <w:webHidden/>
          </w:rPr>
          <w:instrText xml:space="preserve"> PAGEREF _Toc209544114 \h </w:instrText>
        </w:r>
        <w:r>
          <w:rPr>
            <w:noProof/>
            <w:webHidden/>
          </w:rPr>
        </w:r>
        <w:r>
          <w:rPr>
            <w:noProof/>
            <w:webHidden/>
          </w:rPr>
          <w:fldChar w:fldCharType="separate"/>
        </w:r>
        <w:r w:rsidR="00434673">
          <w:rPr>
            <w:noProof/>
            <w:webHidden/>
          </w:rPr>
          <w:t>4</w:t>
        </w:r>
        <w:r>
          <w:rPr>
            <w:noProof/>
            <w:webHidden/>
          </w:rPr>
          <w:fldChar w:fldCharType="end"/>
        </w:r>
      </w:hyperlink>
    </w:p>
    <w:p w14:paraId="0AA40678" w14:textId="434F39F0" w:rsidR="00281A1A" w:rsidRDefault="00281A1A">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544115" w:history="1">
        <w:r w:rsidRPr="00E85D03">
          <w:rPr>
            <w:rStyle w:val="Hyperlink"/>
            <w:noProof/>
          </w:rPr>
          <w:t>70.1 to 70.8   </w:t>
        </w:r>
        <w:r w:rsidRPr="00E85D03">
          <w:rPr>
            <w:rStyle w:val="Hyperlink"/>
            <w:i/>
            <w:noProof/>
          </w:rPr>
          <w:t>[No change]</w:t>
        </w:r>
        <w:r>
          <w:rPr>
            <w:noProof/>
            <w:webHidden/>
          </w:rPr>
          <w:tab/>
        </w:r>
        <w:r>
          <w:rPr>
            <w:noProof/>
            <w:webHidden/>
          </w:rPr>
          <w:fldChar w:fldCharType="begin"/>
        </w:r>
        <w:r>
          <w:rPr>
            <w:noProof/>
            <w:webHidden/>
          </w:rPr>
          <w:instrText xml:space="preserve"> PAGEREF _Toc209544115 \h </w:instrText>
        </w:r>
        <w:r>
          <w:rPr>
            <w:noProof/>
            <w:webHidden/>
          </w:rPr>
        </w:r>
        <w:r>
          <w:rPr>
            <w:noProof/>
            <w:webHidden/>
          </w:rPr>
          <w:fldChar w:fldCharType="separate"/>
        </w:r>
        <w:r w:rsidR="00434673">
          <w:rPr>
            <w:noProof/>
            <w:webHidden/>
          </w:rPr>
          <w:t>4</w:t>
        </w:r>
        <w:r>
          <w:rPr>
            <w:noProof/>
            <w:webHidden/>
          </w:rPr>
          <w:fldChar w:fldCharType="end"/>
        </w:r>
      </w:hyperlink>
    </w:p>
    <w:p w14:paraId="5198E4A3" w14:textId="4E6E6534" w:rsidR="00281A1A" w:rsidRDefault="00281A1A">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544116" w:history="1">
        <w:r w:rsidRPr="00E85D03">
          <w:rPr>
            <w:rStyle w:val="Hyperlink"/>
            <w:noProof/>
          </w:rPr>
          <w:t>70.9   </w:t>
        </w:r>
        <w:r w:rsidRPr="00E85D03">
          <w:rPr>
            <w:rStyle w:val="Hyperlink"/>
            <w:i/>
            <w:iCs/>
            <w:noProof/>
          </w:rPr>
          <w:t>[Deleted]</w:t>
        </w:r>
        <w:r w:rsidRPr="00E85D03">
          <w:rPr>
            <w:rStyle w:val="Hyperlink"/>
            <w:noProof/>
          </w:rPr>
          <w:t xml:space="preserve"> </w:t>
        </w:r>
        <w:r w:rsidRPr="00E85D03">
          <w:rPr>
            <w:rStyle w:val="Hyperlink"/>
            <w:i/>
            <w:strike/>
            <w:noProof/>
          </w:rPr>
          <w:t>Non-Written Disclosures</w:t>
        </w:r>
        <w:r>
          <w:rPr>
            <w:noProof/>
            <w:webHidden/>
          </w:rPr>
          <w:tab/>
        </w:r>
        <w:r>
          <w:rPr>
            <w:noProof/>
            <w:webHidden/>
          </w:rPr>
          <w:fldChar w:fldCharType="begin"/>
        </w:r>
        <w:r>
          <w:rPr>
            <w:noProof/>
            <w:webHidden/>
          </w:rPr>
          <w:instrText xml:space="preserve"> PAGEREF _Toc209544116 \h </w:instrText>
        </w:r>
        <w:r>
          <w:rPr>
            <w:noProof/>
            <w:webHidden/>
          </w:rPr>
        </w:r>
        <w:r>
          <w:rPr>
            <w:noProof/>
            <w:webHidden/>
          </w:rPr>
          <w:fldChar w:fldCharType="separate"/>
        </w:r>
        <w:r w:rsidR="00434673">
          <w:rPr>
            <w:noProof/>
            <w:webHidden/>
          </w:rPr>
          <w:t>4</w:t>
        </w:r>
        <w:r>
          <w:rPr>
            <w:noProof/>
            <w:webHidden/>
          </w:rPr>
          <w:fldChar w:fldCharType="end"/>
        </w:r>
      </w:hyperlink>
    </w:p>
    <w:p w14:paraId="71882025" w14:textId="6BC3ED69" w:rsidR="00281A1A" w:rsidRDefault="00281A1A">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544117" w:history="1">
        <w:r w:rsidRPr="00E85D03">
          <w:rPr>
            <w:rStyle w:val="Hyperlink"/>
            <w:noProof/>
          </w:rPr>
          <w:t xml:space="preserve">70.10 to 70.17  </w:t>
        </w:r>
        <w:r w:rsidRPr="00E85D03">
          <w:rPr>
            <w:rStyle w:val="Hyperlink"/>
            <w:i/>
            <w:iCs/>
            <w:noProof/>
          </w:rPr>
          <w:t>[No change]</w:t>
        </w:r>
        <w:r>
          <w:rPr>
            <w:noProof/>
            <w:webHidden/>
          </w:rPr>
          <w:tab/>
        </w:r>
        <w:r>
          <w:rPr>
            <w:noProof/>
            <w:webHidden/>
          </w:rPr>
          <w:fldChar w:fldCharType="begin"/>
        </w:r>
        <w:r>
          <w:rPr>
            <w:noProof/>
            <w:webHidden/>
          </w:rPr>
          <w:instrText xml:space="preserve"> PAGEREF _Toc209544117 \h </w:instrText>
        </w:r>
        <w:r>
          <w:rPr>
            <w:noProof/>
            <w:webHidden/>
          </w:rPr>
        </w:r>
        <w:r>
          <w:rPr>
            <w:noProof/>
            <w:webHidden/>
          </w:rPr>
          <w:fldChar w:fldCharType="separate"/>
        </w:r>
        <w:r w:rsidR="00434673">
          <w:rPr>
            <w:noProof/>
            <w:webHidden/>
          </w:rPr>
          <w:t>4</w:t>
        </w:r>
        <w:r>
          <w:rPr>
            <w:noProof/>
            <w:webHidden/>
          </w:rPr>
          <w:fldChar w:fldCharType="end"/>
        </w:r>
      </w:hyperlink>
    </w:p>
    <w:p w14:paraId="38E6DF16" w14:textId="0E4630F8" w:rsidR="00D97F74" w:rsidRDefault="00D97F74" w:rsidP="00D97F74">
      <w:pPr>
        <w:pStyle w:val="Endofdocument-Annex"/>
        <w:ind w:left="0"/>
        <w:jc w:val="center"/>
        <w:rPr>
          <w:caps/>
        </w:rPr>
      </w:pPr>
      <w:r>
        <w:rPr>
          <w:caps/>
        </w:rPr>
        <w:fldChar w:fldCharType="end"/>
      </w:r>
    </w:p>
    <w:p w14:paraId="0C091308" w14:textId="77777777" w:rsidR="00D97F74" w:rsidRDefault="00D97F74" w:rsidP="00D97F74">
      <w:pPr>
        <w:pStyle w:val="LegTitle"/>
      </w:pPr>
      <w:bookmarkStart w:id="9" w:name="_Toc160470680"/>
      <w:bookmarkStart w:id="10" w:name="_Toc160471068"/>
      <w:bookmarkStart w:id="11" w:name="_Toc160471207"/>
      <w:bookmarkStart w:id="12" w:name="_Toc160471798"/>
      <w:bookmarkStart w:id="13" w:name="_Toc209544107"/>
      <w:bookmarkStart w:id="14" w:name="_Toc50028896"/>
      <w:bookmarkStart w:id="15" w:name="_Toc71915892"/>
      <w:bookmarkStart w:id="16" w:name="_Toc97741903"/>
      <w:bookmarkStart w:id="17" w:name="_Toc110263845"/>
      <w:r>
        <w:t>Rule 33</w:t>
      </w:r>
      <w:r w:rsidRPr="00785762">
        <w:rPr>
          <w:vanish/>
          <w:lang w:val="en-GB"/>
        </w:rPr>
        <w:t>-</w:t>
      </w:r>
      <w:r>
        <w:rPr>
          <w:vanish/>
          <w:lang w:val="en-GB"/>
        </w:rPr>
        <w:t xml:space="preserve"> </w:t>
      </w:r>
      <w:r>
        <w:br/>
        <w:t>Relevant Prior Art for the International Search</w:t>
      </w:r>
      <w:bookmarkEnd w:id="9"/>
      <w:bookmarkEnd w:id="10"/>
      <w:bookmarkEnd w:id="11"/>
      <w:bookmarkEnd w:id="12"/>
      <w:bookmarkEnd w:id="13"/>
    </w:p>
    <w:p w14:paraId="532BCAAF" w14:textId="77777777" w:rsidR="00D97F74" w:rsidRPr="006E324D" w:rsidRDefault="00D97F74" w:rsidP="00D97F74">
      <w:pPr>
        <w:pStyle w:val="LegSubRule"/>
        <w:keepLines w:val="0"/>
        <w:outlineLvl w:val="0"/>
      </w:pPr>
      <w:bookmarkStart w:id="18" w:name="_Toc110263846"/>
      <w:bookmarkStart w:id="19" w:name="_Toc160470681"/>
      <w:bookmarkStart w:id="20" w:name="_Toc160471069"/>
      <w:bookmarkStart w:id="21" w:name="_Toc160471208"/>
      <w:bookmarkStart w:id="22" w:name="_Toc160471799"/>
      <w:bookmarkStart w:id="23" w:name="_Toc209544108"/>
      <w:bookmarkEnd w:id="14"/>
      <w:bookmarkEnd w:id="15"/>
      <w:bookmarkEnd w:id="16"/>
      <w:bookmarkEnd w:id="17"/>
      <w:r>
        <w:t>33</w:t>
      </w:r>
      <w:r w:rsidRPr="006E324D">
        <w:t>.1   </w:t>
      </w:r>
      <w:r>
        <w:rPr>
          <w:i/>
        </w:rPr>
        <w:t>Relevant Prior Art for the International Search</w:t>
      </w:r>
      <w:bookmarkEnd w:id="18"/>
      <w:bookmarkEnd w:id="19"/>
      <w:bookmarkEnd w:id="20"/>
      <w:bookmarkEnd w:id="21"/>
      <w:bookmarkEnd w:id="22"/>
      <w:bookmarkEnd w:id="23"/>
    </w:p>
    <w:p w14:paraId="520B7EEE" w14:textId="509F6B41" w:rsidR="00D97F74" w:rsidRDefault="00D97F74" w:rsidP="00D97F74">
      <w:pPr>
        <w:pStyle w:val="Lega"/>
      </w:pPr>
      <w:r>
        <w:tab/>
        <w:t xml:space="preserve">(a)  [No change] </w:t>
      </w:r>
      <w:r w:rsidRPr="00BC3FC0">
        <w:t xml:space="preserve">For the purposes of Article 15(2), relevant prior art shall consist of everything which has been made available to the public anywhere in the world by </w:t>
      </w:r>
      <w:r w:rsidRPr="00D97F74">
        <w:t xml:space="preserve">any </w:t>
      </w:r>
      <w:r w:rsidRPr="00BC3FC0">
        <w:t>means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t xml:space="preserve">.  </w:t>
      </w:r>
    </w:p>
    <w:p w14:paraId="1E1144C2" w14:textId="4EC4E0B6" w:rsidR="00D97F74" w:rsidRPr="00A64345" w:rsidRDefault="00D97F74" w:rsidP="00D97F74">
      <w:pPr>
        <w:pStyle w:val="Lega"/>
        <w:rPr>
          <w:strike/>
        </w:rPr>
      </w:pPr>
      <w:r>
        <w:tab/>
      </w:r>
      <w:r w:rsidRPr="003658B7">
        <w:t xml:space="preserve">(b)  </w:t>
      </w:r>
      <w:r w:rsidR="003658B7" w:rsidRPr="003658B7">
        <w:t xml:space="preserve">[Deleted] </w:t>
      </w:r>
      <w:r w:rsidRPr="00D97F74">
        <w:rPr>
          <w:strike/>
          <w:color w:val="C00000"/>
        </w:rPr>
        <w:t>When any written disclosure refers to an oral disclosure, use, exhibition, or other means whereby the contents of the written disclosure were made available to the public, and such making available to the public occurred on a date prior to the international filing date, the international search report shall separately mention that fact and the date on which it occurred if the making available to the public of the written disclosure occurred on a date which is the same as, or later than, the international filing date.</w:t>
      </w:r>
    </w:p>
    <w:p w14:paraId="17878738" w14:textId="77777777" w:rsidR="00D97F74" w:rsidRDefault="00D97F74" w:rsidP="00D97F74">
      <w:pPr>
        <w:pStyle w:val="Lega"/>
      </w:pPr>
      <w:r>
        <w:tab/>
        <w:t>(c</w:t>
      </w:r>
      <w:r w:rsidRPr="002C6378">
        <w:t xml:space="preserve">)  </w:t>
      </w:r>
      <w:r w:rsidRPr="008857D1">
        <w:rPr>
          <w:iCs/>
        </w:rPr>
        <w:t>[No change]</w:t>
      </w:r>
      <w:r>
        <w:t xml:space="preserve"> </w:t>
      </w:r>
      <w:r w:rsidRPr="00A96479">
        <w:t>Any published application or any patent whose publication date is the same as, or later than, but whose filing date, or, where applicable, claimed priority date, is earlier than the international filing date of the international application searched, and which would constitute relevant prior art for the purposes of Article 15(2) had it been published prior to the international filing date, shall be specially mentioned in the international search report</w:t>
      </w:r>
      <w:r w:rsidRPr="002C6378">
        <w:t>.</w:t>
      </w:r>
    </w:p>
    <w:p w14:paraId="455B206C" w14:textId="77777777" w:rsidR="00D97F74" w:rsidRDefault="00D97F74" w:rsidP="00D97F74">
      <w:pPr>
        <w:pStyle w:val="LegSubRule"/>
        <w:keepLines w:val="0"/>
        <w:outlineLvl w:val="0"/>
      </w:pPr>
      <w:bookmarkStart w:id="24" w:name="_Toc97741905"/>
      <w:bookmarkStart w:id="25" w:name="_Toc110263847"/>
      <w:bookmarkStart w:id="26" w:name="_Toc160470682"/>
      <w:bookmarkStart w:id="27" w:name="_Toc160471070"/>
      <w:bookmarkStart w:id="28" w:name="_Toc160471209"/>
      <w:bookmarkStart w:id="29" w:name="_Toc160471800"/>
      <w:bookmarkStart w:id="30" w:name="_Toc209544109"/>
      <w:r>
        <w:t>33.2 and 33.3</w:t>
      </w:r>
      <w:r w:rsidRPr="006E324D">
        <w:t>   </w:t>
      </w:r>
      <w:r w:rsidRPr="00780B7B">
        <w:rPr>
          <w:i/>
          <w:iCs/>
        </w:rPr>
        <w:t>[No change]</w:t>
      </w:r>
      <w:bookmarkEnd w:id="24"/>
      <w:bookmarkEnd w:id="25"/>
      <w:bookmarkEnd w:id="26"/>
      <w:bookmarkEnd w:id="27"/>
      <w:bookmarkEnd w:id="28"/>
      <w:bookmarkEnd w:id="29"/>
      <w:bookmarkEnd w:id="30"/>
    </w:p>
    <w:p w14:paraId="53F7A819" w14:textId="77777777" w:rsidR="00D97F74" w:rsidRPr="006E324D" w:rsidRDefault="00D97F74" w:rsidP="00D97F74">
      <w:pPr>
        <w:pStyle w:val="LegTitle"/>
      </w:pPr>
      <w:bookmarkStart w:id="31" w:name="_Toc97741910"/>
      <w:bookmarkStart w:id="32" w:name="_Toc110263848"/>
      <w:bookmarkStart w:id="33" w:name="_Toc160470683"/>
      <w:bookmarkStart w:id="34" w:name="_Toc160471071"/>
      <w:bookmarkStart w:id="35" w:name="_Toc160471210"/>
      <w:bookmarkStart w:id="36" w:name="_Toc160471801"/>
      <w:bookmarkStart w:id="37" w:name="_Toc209544110"/>
      <w:r>
        <w:t>Rule 64</w:t>
      </w:r>
      <w:r w:rsidRPr="006E324D">
        <w:br/>
      </w:r>
      <w:r>
        <w:t>Relevant Prior Art for the International Preliminary Examination</w:t>
      </w:r>
      <w:bookmarkEnd w:id="31"/>
      <w:bookmarkEnd w:id="32"/>
      <w:bookmarkEnd w:id="33"/>
      <w:bookmarkEnd w:id="34"/>
      <w:bookmarkEnd w:id="35"/>
      <w:bookmarkEnd w:id="36"/>
      <w:bookmarkEnd w:id="37"/>
    </w:p>
    <w:p w14:paraId="5EF8B141" w14:textId="77777777" w:rsidR="00D97F74" w:rsidRPr="006E324D" w:rsidRDefault="00D97F74" w:rsidP="00D97F74">
      <w:pPr>
        <w:pStyle w:val="LegSubRule"/>
        <w:keepLines w:val="0"/>
        <w:outlineLvl w:val="0"/>
      </w:pPr>
      <w:bookmarkStart w:id="38" w:name="_Toc97741911"/>
      <w:bookmarkStart w:id="39" w:name="_Toc110263849"/>
      <w:bookmarkStart w:id="40" w:name="_Toc160470684"/>
      <w:bookmarkStart w:id="41" w:name="_Toc160471072"/>
      <w:bookmarkStart w:id="42" w:name="_Toc160471211"/>
      <w:bookmarkStart w:id="43" w:name="_Toc160471802"/>
      <w:bookmarkStart w:id="44" w:name="_Toc209544111"/>
      <w:r>
        <w:t>64</w:t>
      </w:r>
      <w:r w:rsidRPr="006E324D">
        <w:t>.1   </w:t>
      </w:r>
      <w:r>
        <w:rPr>
          <w:i/>
        </w:rPr>
        <w:t>Prior Art</w:t>
      </w:r>
      <w:bookmarkEnd w:id="38"/>
      <w:bookmarkEnd w:id="39"/>
      <w:bookmarkEnd w:id="40"/>
      <w:bookmarkEnd w:id="41"/>
      <w:bookmarkEnd w:id="42"/>
      <w:bookmarkEnd w:id="43"/>
      <w:bookmarkEnd w:id="44"/>
    </w:p>
    <w:p w14:paraId="05B4F338" w14:textId="1EC22F6A" w:rsidR="00D97F74" w:rsidRDefault="00D97F74" w:rsidP="00D97F74">
      <w:pPr>
        <w:pStyle w:val="Lega"/>
      </w:pPr>
      <w:r>
        <w:tab/>
        <w:t xml:space="preserve">(a)  [No change] </w:t>
      </w:r>
      <w:r w:rsidRPr="001A1C85">
        <w:t xml:space="preserve">For the </w:t>
      </w:r>
      <w:r w:rsidRPr="00EE7452">
        <w:t>purposes</w:t>
      </w:r>
      <w:r w:rsidRPr="001A1C85">
        <w:t xml:space="preserve"> of Article 33(2) and (3), everything made available to the public anywhere in the world by</w:t>
      </w:r>
      <w:r w:rsidRPr="00D97F74">
        <w:t xml:space="preserve"> any </w:t>
      </w:r>
      <w:r w:rsidRPr="001A1C85">
        <w:t>means shall be considered prior art provided that such making available occurred prior to the relevant date</w:t>
      </w:r>
      <w:r>
        <w:t xml:space="preserve">.  </w:t>
      </w:r>
    </w:p>
    <w:p w14:paraId="09E34E57" w14:textId="77777777" w:rsidR="00D97F74" w:rsidRDefault="00D97F74" w:rsidP="00D97F74">
      <w:pPr>
        <w:pStyle w:val="Lega"/>
      </w:pPr>
      <w:r>
        <w:tab/>
      </w:r>
      <w:r w:rsidRPr="002C6378">
        <w:t xml:space="preserve">(b)  </w:t>
      </w:r>
      <w:r>
        <w:t xml:space="preserve">[No change] </w:t>
      </w:r>
    </w:p>
    <w:p w14:paraId="70410C69" w14:textId="5D0AF9E3" w:rsidR="00D97F74" w:rsidRDefault="00D97F74" w:rsidP="00D97F74">
      <w:pPr>
        <w:pStyle w:val="LegSubRule"/>
        <w:keepLines w:val="0"/>
        <w:outlineLvl w:val="0"/>
        <w:rPr>
          <w:i/>
        </w:rPr>
      </w:pPr>
      <w:bookmarkStart w:id="45" w:name="_Toc97741912"/>
      <w:bookmarkStart w:id="46" w:name="_Toc160470685"/>
      <w:bookmarkStart w:id="47" w:name="_Toc160471073"/>
      <w:bookmarkStart w:id="48" w:name="_Toc160471212"/>
      <w:bookmarkStart w:id="49" w:name="_Toc160471803"/>
      <w:bookmarkStart w:id="50" w:name="_Toc209544112"/>
      <w:r>
        <w:t>64.2</w:t>
      </w:r>
      <w:bookmarkEnd w:id="45"/>
      <w:r>
        <w:t xml:space="preserve"> </w:t>
      </w:r>
      <w:r w:rsidRPr="006E324D">
        <w:t>  </w:t>
      </w:r>
      <w:r w:rsidR="003658B7" w:rsidRPr="003658B7">
        <w:rPr>
          <w:i/>
          <w:iCs/>
        </w:rPr>
        <w:t xml:space="preserve">[Deleted] </w:t>
      </w:r>
      <w:r w:rsidRPr="003658B7">
        <w:rPr>
          <w:i/>
          <w:strike/>
          <w:color w:val="C00000"/>
        </w:rPr>
        <w:t>Non-Written Disclosures</w:t>
      </w:r>
      <w:bookmarkStart w:id="51" w:name="_Toc110263850"/>
      <w:bookmarkEnd w:id="46"/>
      <w:bookmarkEnd w:id="47"/>
      <w:bookmarkEnd w:id="48"/>
      <w:bookmarkEnd w:id="49"/>
      <w:bookmarkEnd w:id="50"/>
    </w:p>
    <w:p w14:paraId="0A8609D0" w14:textId="648D3674" w:rsidR="00D97F74" w:rsidRPr="003658B7" w:rsidRDefault="00D97F74" w:rsidP="00D97F74">
      <w:pPr>
        <w:pStyle w:val="Lega"/>
        <w:rPr>
          <w:strike/>
        </w:rPr>
      </w:pPr>
      <w:r>
        <w:tab/>
      </w:r>
      <w:r w:rsidRPr="003658B7">
        <w:rPr>
          <w:strike/>
          <w:color w:val="C00000"/>
        </w:rPr>
        <w:t>In cases where the making available to the public occurred by means of an oral disclosure, use, exhibition or other non-written means (</w:t>
      </w:r>
      <w:r w:rsidR="00A3308C">
        <w:rPr>
          <w:strike/>
          <w:color w:val="C00000"/>
        </w:rPr>
        <w:t>“</w:t>
      </w:r>
      <w:r w:rsidRPr="003658B7">
        <w:rPr>
          <w:strike/>
          <w:color w:val="C00000"/>
        </w:rPr>
        <w:t>non-written disclosure</w:t>
      </w:r>
      <w:r w:rsidR="00A3308C">
        <w:rPr>
          <w:strike/>
          <w:color w:val="C00000"/>
        </w:rPr>
        <w:t>”</w:t>
      </w:r>
      <w:r w:rsidRPr="003658B7">
        <w:rPr>
          <w:strike/>
          <w:color w:val="C00000"/>
        </w:rPr>
        <w:t>) before the relevant date as defined in Rule 64.1(b) and the date of such non-written disclosure is indicated in a written disclosure which has been made available to the public on a date which is the same as, or later than, the relevant date, the international preliminary examination report shall call attention to such non-written disclosure in the manner provided for in Rule 70.9.</w:t>
      </w:r>
    </w:p>
    <w:p w14:paraId="5333392B" w14:textId="77777777" w:rsidR="00D97F74" w:rsidRDefault="00D97F74" w:rsidP="00D97F74">
      <w:pPr>
        <w:pStyle w:val="LegSubRule"/>
        <w:keepLines w:val="0"/>
        <w:outlineLvl w:val="0"/>
      </w:pPr>
      <w:bookmarkStart w:id="52" w:name="_Toc160470686"/>
      <w:bookmarkStart w:id="53" w:name="_Toc160471074"/>
      <w:bookmarkStart w:id="54" w:name="_Toc160471213"/>
      <w:bookmarkStart w:id="55" w:name="_Toc160471804"/>
      <w:bookmarkStart w:id="56" w:name="_Toc209544113"/>
      <w:r>
        <w:t xml:space="preserve">64.3   </w:t>
      </w:r>
      <w:r w:rsidRPr="00780B7B">
        <w:rPr>
          <w:i/>
          <w:iCs/>
        </w:rPr>
        <w:t>[No change]</w:t>
      </w:r>
      <w:bookmarkEnd w:id="51"/>
      <w:bookmarkEnd w:id="52"/>
      <w:bookmarkEnd w:id="53"/>
      <w:bookmarkEnd w:id="54"/>
      <w:bookmarkEnd w:id="55"/>
      <w:bookmarkEnd w:id="56"/>
    </w:p>
    <w:p w14:paraId="5D2111F0" w14:textId="4438D6B8" w:rsidR="003658B7" w:rsidRPr="006E324D" w:rsidRDefault="003658B7" w:rsidP="003658B7">
      <w:pPr>
        <w:pStyle w:val="LegTitle"/>
      </w:pPr>
      <w:bookmarkStart w:id="57" w:name="_Toc209544114"/>
      <w:r>
        <w:t>Rule 70</w:t>
      </w:r>
      <w:r w:rsidRPr="006E324D">
        <w:br/>
      </w:r>
      <w:r>
        <w:t>International Preliminary Report on Patentability</w:t>
      </w:r>
      <w:r>
        <w:br/>
        <w:t>by the International Preliminary Examining Authority</w:t>
      </w:r>
      <w:r>
        <w:br/>
        <w:t>(International Preliminary Examination Report)</w:t>
      </w:r>
      <w:bookmarkEnd w:id="57"/>
    </w:p>
    <w:p w14:paraId="4ACBBDEA" w14:textId="7DCA6D6C" w:rsidR="003658B7" w:rsidRDefault="003658B7" w:rsidP="003658B7">
      <w:pPr>
        <w:pStyle w:val="LegSubRule"/>
        <w:keepLines w:val="0"/>
        <w:outlineLvl w:val="0"/>
      </w:pPr>
      <w:bookmarkStart w:id="58" w:name="_Toc209544115"/>
      <w:r>
        <w:t>70.1 to 70.8</w:t>
      </w:r>
      <w:r w:rsidRPr="006E324D">
        <w:t>   </w:t>
      </w:r>
      <w:r>
        <w:rPr>
          <w:i/>
        </w:rPr>
        <w:t>[No change]</w:t>
      </w:r>
      <w:bookmarkEnd w:id="58"/>
      <w:r>
        <w:t xml:space="preserve"> </w:t>
      </w:r>
    </w:p>
    <w:p w14:paraId="054187DD" w14:textId="78292277" w:rsidR="003658B7" w:rsidRDefault="003658B7" w:rsidP="003658B7">
      <w:pPr>
        <w:pStyle w:val="LegSubRule"/>
        <w:keepLines w:val="0"/>
        <w:outlineLvl w:val="0"/>
        <w:rPr>
          <w:i/>
        </w:rPr>
      </w:pPr>
      <w:bookmarkStart w:id="59" w:name="_Toc209544116"/>
      <w:r>
        <w:t xml:space="preserve">70.9 </w:t>
      </w:r>
      <w:r w:rsidRPr="006E324D">
        <w:t>  </w:t>
      </w:r>
      <w:r w:rsidR="006D38F3" w:rsidRPr="006D38F3">
        <w:rPr>
          <w:i/>
          <w:iCs/>
        </w:rPr>
        <w:t>[Deleted]</w:t>
      </w:r>
      <w:r w:rsidR="006D38F3">
        <w:t xml:space="preserve"> </w:t>
      </w:r>
      <w:r w:rsidRPr="006D38F3">
        <w:rPr>
          <w:i/>
          <w:strike/>
          <w:color w:val="C00000"/>
        </w:rPr>
        <w:t>Non-Written Disclosures</w:t>
      </w:r>
      <w:bookmarkEnd w:id="59"/>
    </w:p>
    <w:p w14:paraId="3E05D232" w14:textId="382B4BAB" w:rsidR="003658B7" w:rsidRPr="003658B7" w:rsidRDefault="003658B7" w:rsidP="003658B7">
      <w:pPr>
        <w:pStyle w:val="Lega"/>
        <w:rPr>
          <w:strike/>
        </w:rPr>
      </w:pPr>
      <w:r>
        <w:tab/>
      </w:r>
      <w:r w:rsidR="006D38F3">
        <w:rPr>
          <w:strike/>
          <w:color w:val="C00000"/>
        </w:rPr>
        <w:t>Any non-written disclosure referred to in the report by virtue of Rule 64.2 shall be mentioned by indicating its kind, the date on which the written disclosure referring to the non-written disclosure was made available to the public, and the date on which the non-written disclosure occurred in public.</w:t>
      </w:r>
    </w:p>
    <w:p w14:paraId="005DA8C0" w14:textId="45A9AEC3" w:rsidR="003658B7" w:rsidRDefault="006D38F3" w:rsidP="003658B7">
      <w:pPr>
        <w:pStyle w:val="LegSubRule"/>
        <w:keepLines w:val="0"/>
        <w:outlineLvl w:val="0"/>
      </w:pPr>
      <w:bookmarkStart w:id="60" w:name="_Toc209544117"/>
      <w:r>
        <w:t>70.10 to 70.17</w:t>
      </w:r>
      <w:r w:rsidR="003658B7">
        <w:t xml:space="preserve">  </w:t>
      </w:r>
      <w:r w:rsidR="003658B7" w:rsidRPr="00780B7B">
        <w:rPr>
          <w:i/>
          <w:iCs/>
        </w:rPr>
        <w:t>[No change]</w:t>
      </w:r>
      <w:bookmarkEnd w:id="60"/>
    </w:p>
    <w:p w14:paraId="1E11CE44" w14:textId="51B647B3" w:rsidR="003658B7" w:rsidRDefault="003658B7" w:rsidP="003658B7">
      <w:pPr>
        <w:pStyle w:val="Endofdocument-Annex"/>
        <w:rPr>
          <w:lang w:val="en-GB"/>
        </w:rPr>
      </w:pPr>
      <w:r>
        <w:rPr>
          <w:lang w:val="en-GB"/>
        </w:rPr>
        <w:t>[</w:t>
      </w:r>
      <w:r w:rsidR="006D38F3">
        <w:rPr>
          <w:lang w:val="en-GB"/>
        </w:rPr>
        <w:t>End of Annex and of document</w:t>
      </w:r>
      <w:r w:rsidR="00281A1A">
        <w:rPr>
          <w:lang w:val="en-GB"/>
        </w:rPr>
        <w:t>]</w:t>
      </w:r>
    </w:p>
    <w:bookmarkEnd w:id="8"/>
    <w:sectPr w:rsidR="003658B7" w:rsidSect="00281A1A">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ECC7" w14:textId="77777777" w:rsidR="00131336" w:rsidRDefault="00131336">
      <w:r>
        <w:separator/>
      </w:r>
    </w:p>
  </w:endnote>
  <w:endnote w:type="continuationSeparator" w:id="0">
    <w:p w14:paraId="06EC39AC" w14:textId="77777777" w:rsidR="00131336" w:rsidRDefault="00131336" w:rsidP="003B38C1">
      <w:r>
        <w:separator/>
      </w:r>
    </w:p>
    <w:p w14:paraId="2F6D4225" w14:textId="77777777" w:rsidR="00131336" w:rsidRPr="003B38C1" w:rsidRDefault="00131336" w:rsidP="003B38C1">
      <w:pPr>
        <w:spacing w:after="60"/>
        <w:rPr>
          <w:sz w:val="17"/>
        </w:rPr>
      </w:pPr>
      <w:r>
        <w:rPr>
          <w:sz w:val="17"/>
        </w:rPr>
        <w:t>[Endnote continued from previous page]</w:t>
      </w:r>
    </w:p>
  </w:endnote>
  <w:endnote w:type="continuationNotice" w:id="1">
    <w:p w14:paraId="4C2DEE08" w14:textId="77777777" w:rsidR="00131336" w:rsidRPr="003B38C1" w:rsidRDefault="001313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727A" w14:textId="6D7012DA" w:rsidR="009F323E" w:rsidRDefault="009F3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8F34" w14:textId="25168EC6" w:rsidR="009F323E" w:rsidRDefault="009F3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8263" w14:textId="1FE81266" w:rsidR="009F323E" w:rsidRDefault="009F3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36E0" w14:textId="77777777" w:rsidR="00D97F74" w:rsidRDefault="00D97F74" w:rsidP="00F115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ADBE" w14:textId="77777777" w:rsidR="00D97F74" w:rsidRDefault="00D97F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CD6" w14:textId="77777777" w:rsidR="00D97F74" w:rsidRDefault="00D9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5B1F" w14:textId="77777777" w:rsidR="00131336" w:rsidRDefault="00131336">
      <w:r>
        <w:separator/>
      </w:r>
    </w:p>
  </w:footnote>
  <w:footnote w:type="continuationSeparator" w:id="0">
    <w:p w14:paraId="18950EFD" w14:textId="77777777" w:rsidR="00131336" w:rsidRDefault="00131336" w:rsidP="008B60B2">
      <w:r>
        <w:separator/>
      </w:r>
    </w:p>
    <w:p w14:paraId="296CB1D0" w14:textId="77777777" w:rsidR="00131336" w:rsidRPr="00ED77FB" w:rsidRDefault="00131336" w:rsidP="008B60B2">
      <w:pPr>
        <w:spacing w:after="60"/>
        <w:rPr>
          <w:sz w:val="17"/>
          <w:szCs w:val="17"/>
        </w:rPr>
      </w:pPr>
      <w:r w:rsidRPr="00ED77FB">
        <w:rPr>
          <w:sz w:val="17"/>
          <w:szCs w:val="17"/>
        </w:rPr>
        <w:t>[Footnote continued from previous page]</w:t>
      </w:r>
    </w:p>
  </w:footnote>
  <w:footnote w:type="continuationNotice" w:id="1">
    <w:p w14:paraId="56B3CCE6" w14:textId="77777777" w:rsidR="00131336" w:rsidRPr="00ED77FB" w:rsidRDefault="00131336" w:rsidP="008B60B2">
      <w:pPr>
        <w:spacing w:before="60"/>
        <w:jc w:val="right"/>
        <w:rPr>
          <w:sz w:val="17"/>
          <w:szCs w:val="17"/>
        </w:rPr>
      </w:pPr>
      <w:r w:rsidRPr="00ED77FB">
        <w:rPr>
          <w:sz w:val="17"/>
          <w:szCs w:val="17"/>
        </w:rPr>
        <w:t>[Footnote continued on next page]</w:t>
      </w:r>
    </w:p>
  </w:footnote>
  <w:footnote w:id="2">
    <w:p w14:paraId="799DDFE4" w14:textId="77777777" w:rsidR="00D97F74" w:rsidRDefault="00D97F74" w:rsidP="00D97F74">
      <w:pPr>
        <w:pStyle w:val="FootnoteText"/>
      </w:pPr>
      <w:r>
        <w:rPr>
          <w:rStyle w:val="FootnoteReference"/>
        </w:rPr>
        <w:footnoteRef/>
      </w:r>
      <w:r>
        <w:t xml:space="preserve"> 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A5D0" w14:textId="68CFD303" w:rsidR="00D07C78" w:rsidRPr="002326AB" w:rsidRDefault="00131336" w:rsidP="00477D6B">
    <w:pPr>
      <w:jc w:val="right"/>
      <w:rPr>
        <w:caps/>
      </w:rPr>
    </w:pPr>
    <w:bookmarkStart w:id="7" w:name="Code2"/>
    <w:bookmarkEnd w:id="7"/>
    <w:r>
      <w:rPr>
        <w:caps/>
      </w:rPr>
      <w:t>PCT/MIA/32/</w:t>
    </w:r>
    <w:r w:rsidR="00EB2381">
      <w:rPr>
        <w:caps/>
      </w:rPr>
      <w:t>4</w:t>
    </w:r>
  </w:p>
  <w:p w14:paraId="600FDDE6"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5BC0A961" w14:textId="77777777" w:rsidR="00D07C78" w:rsidRDefault="00D07C78" w:rsidP="00477D6B">
    <w:pPr>
      <w:jc w:val="right"/>
    </w:pPr>
  </w:p>
  <w:p w14:paraId="092ECC80"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190D" w14:textId="77777777" w:rsidR="00D97F74" w:rsidRPr="002A4512" w:rsidRDefault="00D97F74" w:rsidP="00F115C1">
    <w:pPr>
      <w:jc w:val="right"/>
      <w:rPr>
        <w:caps/>
        <w:lang w:val="it-IT"/>
      </w:rPr>
    </w:pPr>
    <w:r w:rsidRPr="002A4512">
      <w:rPr>
        <w:caps/>
        <w:lang w:val="it-IT"/>
      </w:rPr>
      <w:t>PCT/MIA/29/5</w:t>
    </w:r>
  </w:p>
  <w:p w14:paraId="6404DEDD" w14:textId="77777777" w:rsidR="00D97F74" w:rsidRPr="002A4512" w:rsidRDefault="00D97F74" w:rsidP="00F115C1">
    <w:pPr>
      <w:jc w:val="right"/>
      <w:rPr>
        <w:lang w:val="it-IT"/>
      </w:rPr>
    </w:pPr>
    <w:r w:rsidRPr="002A4512">
      <w:rPr>
        <w:lang w:val="it-IT"/>
      </w:rPr>
      <w:t xml:space="preserve">Annex I, page </w:t>
    </w:r>
    <w:r>
      <w:fldChar w:fldCharType="begin"/>
    </w:r>
    <w:r w:rsidRPr="002A4512">
      <w:rPr>
        <w:lang w:val="it-IT"/>
      </w:rPr>
      <w:instrText xml:space="preserve"> PAGE  \* MERGEFORMAT </w:instrText>
    </w:r>
    <w:r>
      <w:fldChar w:fldCharType="separate"/>
    </w:r>
    <w:r>
      <w:rPr>
        <w:noProof/>
        <w:lang w:val="it-IT"/>
      </w:rPr>
      <w:t>8</w:t>
    </w:r>
    <w:r>
      <w:fldChar w:fldCharType="end"/>
    </w:r>
  </w:p>
  <w:p w14:paraId="29E6A7A4" w14:textId="77777777" w:rsidR="00D97F74" w:rsidRPr="002A4512" w:rsidRDefault="00D97F74" w:rsidP="00F115C1">
    <w:pPr>
      <w:jc w:val="right"/>
      <w:rPr>
        <w:lang w:val="it-IT"/>
      </w:rPr>
    </w:pPr>
  </w:p>
  <w:p w14:paraId="10BA12E0" w14:textId="77777777" w:rsidR="00D97F74" w:rsidRPr="002A4512" w:rsidRDefault="00D97F74" w:rsidP="00F115C1">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1BFA" w14:textId="0804514A" w:rsidR="00D97F74" w:rsidRPr="002A4512" w:rsidRDefault="00D97F74" w:rsidP="00477D6B">
    <w:pPr>
      <w:jc w:val="right"/>
      <w:rPr>
        <w:caps/>
        <w:lang w:val="it-IT"/>
      </w:rPr>
    </w:pPr>
    <w:r w:rsidRPr="002D0B28">
      <w:rPr>
        <w:lang w:val="fr-CH"/>
      </w:rPr>
      <w:t>PCT/</w:t>
    </w:r>
    <w:r w:rsidR="00A3308C">
      <w:rPr>
        <w:lang w:val="fr-CH"/>
      </w:rPr>
      <w:t>MI</w:t>
    </w:r>
    <w:r w:rsidRPr="002D0B28">
      <w:rPr>
        <w:lang w:val="fr-CH"/>
      </w:rPr>
      <w:t>A/</w:t>
    </w:r>
    <w:r w:rsidR="00A3308C">
      <w:rPr>
        <w:lang w:val="fr-CH"/>
      </w:rPr>
      <w:t>32</w:t>
    </w:r>
    <w:r w:rsidRPr="002D0B28">
      <w:rPr>
        <w:lang w:val="fr-CH"/>
      </w:rPr>
      <w:t>/</w:t>
    </w:r>
    <w:r w:rsidR="00A3308C">
      <w:rPr>
        <w:lang w:val="fr-CH"/>
      </w:rPr>
      <w:t>4</w:t>
    </w:r>
  </w:p>
  <w:p w14:paraId="3D051EB0" w14:textId="0B729169" w:rsidR="00D97F74" w:rsidRPr="002A4512" w:rsidRDefault="00D97F74" w:rsidP="00477D6B">
    <w:pPr>
      <w:jc w:val="right"/>
      <w:rPr>
        <w:lang w:val="it-IT"/>
      </w:rPr>
    </w:pPr>
    <w:r w:rsidRPr="002A4512">
      <w:rPr>
        <w:lang w:val="it-IT"/>
      </w:rPr>
      <w:t xml:space="preserve">Annex, page </w:t>
    </w:r>
    <w:r>
      <w:fldChar w:fldCharType="begin"/>
    </w:r>
    <w:r w:rsidRPr="002A4512">
      <w:rPr>
        <w:lang w:val="it-IT"/>
      </w:rPr>
      <w:instrText xml:space="preserve"> PAGE  \* MERGEFORMAT </w:instrText>
    </w:r>
    <w:r>
      <w:fldChar w:fldCharType="separate"/>
    </w:r>
    <w:r>
      <w:rPr>
        <w:noProof/>
        <w:lang w:val="it-IT"/>
      </w:rPr>
      <w:t>6</w:t>
    </w:r>
    <w:r>
      <w:fldChar w:fldCharType="end"/>
    </w:r>
  </w:p>
  <w:p w14:paraId="087709C0" w14:textId="77777777" w:rsidR="00D97F74" w:rsidRPr="002A4512" w:rsidRDefault="00D97F74" w:rsidP="00477D6B">
    <w:pPr>
      <w:jc w:val="right"/>
      <w:rPr>
        <w:lang w:val="it-IT"/>
      </w:rPr>
    </w:pPr>
  </w:p>
  <w:p w14:paraId="59BDCCFC" w14:textId="77777777" w:rsidR="00D97F74" w:rsidRPr="002A4512" w:rsidRDefault="00D97F74" w:rsidP="00477D6B">
    <w:pP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9A56" w14:textId="10AE8548" w:rsidR="00D97F74" w:rsidRPr="00E612FD" w:rsidRDefault="00D97F74" w:rsidP="00F115C1">
    <w:pPr>
      <w:pStyle w:val="Header"/>
      <w:jc w:val="right"/>
      <w:rPr>
        <w:lang w:val="en-GB"/>
      </w:rPr>
    </w:pPr>
    <w:r>
      <w:rPr>
        <w:lang w:val="en-GB"/>
      </w:rPr>
      <w:t>PCT/</w:t>
    </w:r>
    <w:r w:rsidR="00A3308C">
      <w:rPr>
        <w:lang w:val="en-GB"/>
      </w:rPr>
      <w:t>MIA/32</w:t>
    </w:r>
    <w:r>
      <w:rPr>
        <w:lang w:val="en-GB"/>
      </w:rPr>
      <w:t>/</w:t>
    </w:r>
    <w:r w:rsidR="00A3308C">
      <w:rPr>
        <w:lang w:val="en-GB"/>
      </w:rPr>
      <w:t>4</w:t>
    </w:r>
  </w:p>
  <w:p w14:paraId="6E44C003" w14:textId="1E1C2FE0" w:rsidR="00D97F74" w:rsidRPr="00E612FD" w:rsidRDefault="00D97F74" w:rsidP="00F115C1">
    <w:pPr>
      <w:pStyle w:val="Header"/>
      <w:jc w:val="right"/>
      <w:rPr>
        <w:lang w:val="en-GB"/>
      </w:rPr>
    </w:pPr>
    <w:r w:rsidRPr="00E612FD">
      <w:rPr>
        <w:lang w:val="en-GB"/>
      </w:rPr>
      <w:t>ANNEX</w:t>
    </w:r>
  </w:p>
  <w:p w14:paraId="5E872D12" w14:textId="77777777" w:rsidR="00D97F74" w:rsidRPr="00E612FD" w:rsidRDefault="00D97F74" w:rsidP="00F115C1">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939140">
    <w:abstractNumId w:val="2"/>
  </w:num>
  <w:num w:numId="2" w16cid:durableId="1567645622">
    <w:abstractNumId w:val="4"/>
  </w:num>
  <w:num w:numId="3" w16cid:durableId="1309940130">
    <w:abstractNumId w:val="0"/>
  </w:num>
  <w:num w:numId="4" w16cid:durableId="1943563676">
    <w:abstractNumId w:val="5"/>
  </w:num>
  <w:num w:numId="5" w16cid:durableId="1377244536">
    <w:abstractNumId w:val="1"/>
  </w:num>
  <w:num w:numId="6" w16cid:durableId="2093113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36"/>
    <w:rsid w:val="00043CAA"/>
    <w:rsid w:val="00056816"/>
    <w:rsid w:val="00075432"/>
    <w:rsid w:val="00076FF8"/>
    <w:rsid w:val="000968ED"/>
    <w:rsid w:val="000A3D97"/>
    <w:rsid w:val="000E3E2D"/>
    <w:rsid w:val="000F5E56"/>
    <w:rsid w:val="00131336"/>
    <w:rsid w:val="001362EE"/>
    <w:rsid w:val="001647D5"/>
    <w:rsid w:val="001832A6"/>
    <w:rsid w:val="001D4107"/>
    <w:rsid w:val="002013D4"/>
    <w:rsid w:val="00203D24"/>
    <w:rsid w:val="0021217E"/>
    <w:rsid w:val="00214CDB"/>
    <w:rsid w:val="00225A3A"/>
    <w:rsid w:val="002326AB"/>
    <w:rsid w:val="00243430"/>
    <w:rsid w:val="002634C4"/>
    <w:rsid w:val="00274F38"/>
    <w:rsid w:val="00281A1A"/>
    <w:rsid w:val="002928D3"/>
    <w:rsid w:val="002F1FE6"/>
    <w:rsid w:val="002F4E68"/>
    <w:rsid w:val="00312F7F"/>
    <w:rsid w:val="00325510"/>
    <w:rsid w:val="00343B5B"/>
    <w:rsid w:val="00361450"/>
    <w:rsid w:val="003658B7"/>
    <w:rsid w:val="003673CF"/>
    <w:rsid w:val="00376782"/>
    <w:rsid w:val="003845C1"/>
    <w:rsid w:val="00387712"/>
    <w:rsid w:val="003A5EF9"/>
    <w:rsid w:val="003A6F89"/>
    <w:rsid w:val="003B38C1"/>
    <w:rsid w:val="003C34E9"/>
    <w:rsid w:val="00423E3E"/>
    <w:rsid w:val="00427AF4"/>
    <w:rsid w:val="00434673"/>
    <w:rsid w:val="004647DA"/>
    <w:rsid w:val="00474062"/>
    <w:rsid w:val="004741E6"/>
    <w:rsid w:val="00477D6B"/>
    <w:rsid w:val="004D024A"/>
    <w:rsid w:val="005019FF"/>
    <w:rsid w:val="0053057A"/>
    <w:rsid w:val="00556076"/>
    <w:rsid w:val="00560A29"/>
    <w:rsid w:val="00587F43"/>
    <w:rsid w:val="005C6649"/>
    <w:rsid w:val="00602F15"/>
    <w:rsid w:val="00605827"/>
    <w:rsid w:val="00625124"/>
    <w:rsid w:val="00645634"/>
    <w:rsid w:val="00646050"/>
    <w:rsid w:val="006713CA"/>
    <w:rsid w:val="00676C5C"/>
    <w:rsid w:val="00684315"/>
    <w:rsid w:val="006D1AB0"/>
    <w:rsid w:val="006D38F3"/>
    <w:rsid w:val="00720EFD"/>
    <w:rsid w:val="007854AF"/>
    <w:rsid w:val="00793A7C"/>
    <w:rsid w:val="007971C9"/>
    <w:rsid w:val="007A398A"/>
    <w:rsid w:val="007D1613"/>
    <w:rsid w:val="007E4C0E"/>
    <w:rsid w:val="0084037A"/>
    <w:rsid w:val="008419F2"/>
    <w:rsid w:val="00853BD0"/>
    <w:rsid w:val="008A134B"/>
    <w:rsid w:val="008B2CC1"/>
    <w:rsid w:val="008B60B2"/>
    <w:rsid w:val="0090731E"/>
    <w:rsid w:val="00916EE2"/>
    <w:rsid w:val="00931B09"/>
    <w:rsid w:val="009454C9"/>
    <w:rsid w:val="00966A22"/>
    <w:rsid w:val="0096722F"/>
    <w:rsid w:val="00980843"/>
    <w:rsid w:val="009853ED"/>
    <w:rsid w:val="009E2124"/>
    <w:rsid w:val="009E2791"/>
    <w:rsid w:val="009E3F6F"/>
    <w:rsid w:val="009F323E"/>
    <w:rsid w:val="009F499F"/>
    <w:rsid w:val="00A3308C"/>
    <w:rsid w:val="00A37342"/>
    <w:rsid w:val="00A42DAF"/>
    <w:rsid w:val="00A44201"/>
    <w:rsid w:val="00A45BD8"/>
    <w:rsid w:val="00A47999"/>
    <w:rsid w:val="00A77909"/>
    <w:rsid w:val="00A869B7"/>
    <w:rsid w:val="00A90F0A"/>
    <w:rsid w:val="00AC205C"/>
    <w:rsid w:val="00AF0A6B"/>
    <w:rsid w:val="00B05A69"/>
    <w:rsid w:val="00B30095"/>
    <w:rsid w:val="00B75281"/>
    <w:rsid w:val="00B92F1F"/>
    <w:rsid w:val="00B9734B"/>
    <w:rsid w:val="00BA30E2"/>
    <w:rsid w:val="00BA30F4"/>
    <w:rsid w:val="00C11BFE"/>
    <w:rsid w:val="00C5068F"/>
    <w:rsid w:val="00C86D74"/>
    <w:rsid w:val="00CD04F1"/>
    <w:rsid w:val="00CF681A"/>
    <w:rsid w:val="00D07C78"/>
    <w:rsid w:val="00D45252"/>
    <w:rsid w:val="00D54A23"/>
    <w:rsid w:val="00D65EFA"/>
    <w:rsid w:val="00D71B4D"/>
    <w:rsid w:val="00D87CB5"/>
    <w:rsid w:val="00D93D55"/>
    <w:rsid w:val="00D97F74"/>
    <w:rsid w:val="00DD3138"/>
    <w:rsid w:val="00DD7B7F"/>
    <w:rsid w:val="00DF161A"/>
    <w:rsid w:val="00E15015"/>
    <w:rsid w:val="00E335FE"/>
    <w:rsid w:val="00E34EE1"/>
    <w:rsid w:val="00E54E26"/>
    <w:rsid w:val="00E60D2F"/>
    <w:rsid w:val="00EA7D6E"/>
    <w:rsid w:val="00EB2381"/>
    <w:rsid w:val="00EB2F76"/>
    <w:rsid w:val="00EC3F05"/>
    <w:rsid w:val="00EC4E49"/>
    <w:rsid w:val="00ED77FB"/>
    <w:rsid w:val="00EE45FA"/>
    <w:rsid w:val="00EE60A1"/>
    <w:rsid w:val="00F043DE"/>
    <w:rsid w:val="00F47E36"/>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CEA56"/>
  <w15:docId w15:val="{CFC200B0-AD20-45BA-BDEF-67A22534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4C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84037A"/>
    <w:rPr>
      <w:rFonts w:ascii="Arial" w:eastAsia="SimSun" w:hAnsi="Arial" w:cs="Arial"/>
      <w:sz w:val="22"/>
      <w:lang w:val="en-US" w:eastAsia="zh-CN"/>
    </w:rPr>
  </w:style>
  <w:style w:type="paragraph" w:customStyle="1" w:styleId="LegTitle">
    <w:name w:val="Leg # Title"/>
    <w:basedOn w:val="Normal"/>
    <w:next w:val="Normal"/>
    <w:rsid w:val="009454C9"/>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qFormat/>
    <w:rsid w:val="009454C9"/>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9454C9"/>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9454C9"/>
    <w:rPr>
      <w:rFonts w:ascii="Arial" w:hAnsi="Arial"/>
      <w:noProof/>
      <w:snapToGrid w:val="0"/>
      <w:sz w:val="22"/>
      <w:lang w:val="en-US" w:eastAsia="en-US"/>
    </w:rPr>
  </w:style>
  <w:style w:type="character" w:styleId="CommentReference">
    <w:name w:val="annotation reference"/>
    <w:basedOn w:val="DefaultParagraphFont"/>
    <w:semiHidden/>
    <w:unhideWhenUsed/>
    <w:rsid w:val="006D1AB0"/>
    <w:rPr>
      <w:sz w:val="16"/>
      <w:szCs w:val="16"/>
    </w:rPr>
  </w:style>
  <w:style w:type="paragraph" w:styleId="CommentSubject">
    <w:name w:val="annotation subject"/>
    <w:basedOn w:val="CommentText"/>
    <w:next w:val="CommentText"/>
    <w:link w:val="CommentSubjectChar"/>
    <w:semiHidden/>
    <w:unhideWhenUsed/>
    <w:rsid w:val="006D1AB0"/>
    <w:rPr>
      <w:b/>
      <w:bCs/>
      <w:sz w:val="20"/>
    </w:rPr>
  </w:style>
  <w:style w:type="character" w:customStyle="1" w:styleId="CommentTextChar">
    <w:name w:val="Comment Text Char"/>
    <w:basedOn w:val="DefaultParagraphFont"/>
    <w:link w:val="CommentText"/>
    <w:semiHidden/>
    <w:rsid w:val="006D1AB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D1AB0"/>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D97F74"/>
    <w:rPr>
      <w:rFonts w:ascii="Arial" w:eastAsia="SimSun" w:hAnsi="Arial" w:cs="Arial"/>
      <w:sz w:val="22"/>
      <w:lang w:val="en-US" w:eastAsia="zh-CN"/>
    </w:rPr>
  </w:style>
  <w:style w:type="paragraph" w:styleId="TOC1">
    <w:name w:val="toc 1"/>
    <w:basedOn w:val="Normal"/>
    <w:next w:val="Normal"/>
    <w:autoRedefine/>
    <w:uiPriority w:val="39"/>
    <w:unhideWhenUsed/>
    <w:rsid w:val="00D97F74"/>
    <w:pPr>
      <w:spacing w:after="100"/>
    </w:pPr>
  </w:style>
  <w:style w:type="paragraph" w:styleId="TOC2">
    <w:name w:val="toc 2"/>
    <w:basedOn w:val="Normal"/>
    <w:next w:val="Normal"/>
    <w:autoRedefine/>
    <w:uiPriority w:val="39"/>
    <w:unhideWhenUsed/>
    <w:rsid w:val="00D97F74"/>
    <w:pPr>
      <w:spacing w:after="100"/>
      <w:ind w:left="220"/>
    </w:pPr>
  </w:style>
  <w:style w:type="character" w:styleId="Hyperlink">
    <w:name w:val="Hyperlink"/>
    <w:basedOn w:val="DefaultParagraphFont"/>
    <w:uiPriority w:val="99"/>
    <w:unhideWhenUsed/>
    <w:rsid w:val="00D97F74"/>
    <w:rPr>
      <w:color w:val="0000FF" w:themeColor="hyperlink"/>
      <w:u w:val="single"/>
    </w:rPr>
  </w:style>
  <w:style w:type="character" w:styleId="FootnoteReference">
    <w:name w:val="footnote reference"/>
    <w:basedOn w:val="DefaultParagraphFont"/>
    <w:semiHidden/>
    <w:unhideWhenUsed/>
    <w:rsid w:val="00D97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PCT_MIA_32 (E)</Template>
  <TotalTime>5</TotalTime>
  <Pages>9</Pages>
  <Words>2481</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PCT/MIA/32/</vt:lpstr>
    </vt:vector>
  </TitlesOfParts>
  <Company>WIPO</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PCT/MIA/32/4</dc:title>
  <dc:creator>MARLOW Thomas</dc:creator>
  <cp:keywords>FOR OFFICIAL USE ONLY</cp:keywords>
  <cp:lastModifiedBy>MARLOW Thomas</cp:lastModifiedBy>
  <cp:revision>7</cp:revision>
  <cp:lastPrinted>2025-09-23T16:21:00Z</cp:lastPrinted>
  <dcterms:created xsi:type="dcterms:W3CDTF">2025-09-26T07:45:00Z</dcterms:created>
  <dcterms:modified xsi:type="dcterms:W3CDTF">2025-09-26T09:16:00Z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2025-09-26T07:50:02Z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1125a038-7c71-44b2-a27c-c908f459c373</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