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0" w:name="Code"/>
            <w:bookmarkEnd w:id="0"/>
            <w:r w:rsidR="00DE52A7">
              <w:rPr>
                <w:rFonts w:ascii="Arial Black" w:hAnsi="Arial Black"/>
                <w:caps/>
                <w:sz w:val="15"/>
              </w:rPr>
              <w:t>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DE52A7">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80A7A">
              <w:rPr>
                <w:rFonts w:ascii="Arial Black" w:hAnsi="Arial Black"/>
                <w:caps/>
                <w:sz w:val="15"/>
              </w:rPr>
              <w:t>January 17</w:t>
            </w:r>
            <w:r w:rsidR="00DE52A7">
              <w:rPr>
                <w:rFonts w:ascii="Arial Black" w:hAnsi="Arial Black"/>
                <w:caps/>
                <w:sz w:val="15"/>
              </w:rPr>
              <w:t>, 2020</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1E247A" w:rsidRPr="00C65280" w:rsidRDefault="001E247A" w:rsidP="001E247A">
      <w:pPr>
        <w:rPr>
          <w:b/>
          <w:sz w:val="24"/>
          <w:szCs w:val="24"/>
        </w:rPr>
      </w:pPr>
      <w:r>
        <w:rPr>
          <w:b/>
          <w:sz w:val="24"/>
          <w:szCs w:val="24"/>
        </w:rPr>
        <w:t>Twenty-Seventh</w:t>
      </w:r>
      <w:r w:rsidRPr="00C65280">
        <w:rPr>
          <w:b/>
          <w:sz w:val="24"/>
          <w:szCs w:val="24"/>
        </w:rPr>
        <w:t xml:space="preserve"> Session</w:t>
      </w:r>
    </w:p>
    <w:p w:rsidR="001E247A" w:rsidRPr="00C65280" w:rsidRDefault="001E247A" w:rsidP="001E247A">
      <w:pPr>
        <w:rPr>
          <w:b/>
          <w:sz w:val="24"/>
          <w:szCs w:val="24"/>
        </w:rPr>
      </w:pPr>
      <w:r>
        <w:rPr>
          <w:b/>
          <w:sz w:val="24"/>
          <w:szCs w:val="24"/>
        </w:rPr>
        <w:t>Gatineau, February 6 and 7, 2020</w:t>
      </w:r>
    </w:p>
    <w:p w:rsidR="008B2CC1" w:rsidRPr="008B2CC1" w:rsidRDefault="008B2CC1" w:rsidP="008B2CC1"/>
    <w:p w:rsidR="008B2CC1" w:rsidRPr="008B2CC1" w:rsidRDefault="008B2CC1" w:rsidP="008B2CC1"/>
    <w:p w:rsidR="008B2CC1" w:rsidRPr="008B2CC1" w:rsidRDefault="008B2CC1" w:rsidP="008B2CC1"/>
    <w:p w:rsidR="008B2CC1" w:rsidRPr="003845C1" w:rsidRDefault="00DE52A7" w:rsidP="008B2CC1">
      <w:pPr>
        <w:rPr>
          <w:caps/>
          <w:sz w:val="24"/>
        </w:rPr>
      </w:pPr>
      <w:bookmarkStart w:id="4" w:name="TitleOfDoc"/>
      <w:bookmarkEnd w:id="4"/>
      <w:r>
        <w:rPr>
          <w:caps/>
          <w:sz w:val="24"/>
        </w:rPr>
        <w:t xml:space="preserve">Review of Supplementary International Search System </w:t>
      </w:r>
    </w:p>
    <w:p w:rsidR="008B2CC1" w:rsidRPr="008B2CC1" w:rsidRDefault="008B2CC1" w:rsidP="008B2CC1"/>
    <w:p w:rsidR="008B2CC1" w:rsidRPr="008B2CC1" w:rsidRDefault="00DE52A7"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C5154D" w:rsidRDefault="00C5154D" w:rsidP="00AA10BC">
      <w:pPr>
        <w:pStyle w:val="Heading1"/>
      </w:pPr>
      <w:r>
        <w:t>Summary</w:t>
      </w:r>
    </w:p>
    <w:p w:rsidR="00C5154D" w:rsidRPr="00C5154D" w:rsidRDefault="00C5154D" w:rsidP="00C5154D">
      <w:pPr>
        <w:pStyle w:val="ONUME"/>
      </w:pPr>
      <w:r>
        <w:t xml:space="preserve">This document </w:t>
      </w:r>
      <w:r w:rsidR="00CB6810">
        <w:t>invites International Authorities to provide comments</w:t>
      </w:r>
      <w:r>
        <w:t xml:space="preserve"> </w:t>
      </w:r>
      <w:r w:rsidR="007B6703">
        <w:t xml:space="preserve">on the </w:t>
      </w:r>
      <w:r>
        <w:t xml:space="preserve">supplementary </w:t>
      </w:r>
      <w:r w:rsidR="00CB6810">
        <w:t xml:space="preserve">international search system for the PCT Working Group to take into account when preparing the review of the system </w:t>
      </w:r>
      <w:r w:rsidR="007B6703">
        <w:t xml:space="preserve">by the </w:t>
      </w:r>
      <w:r w:rsidR="00CB6810">
        <w:t xml:space="preserve">PCT </w:t>
      </w:r>
      <w:r w:rsidR="007B6703">
        <w:t>Assembly in September 2020.</w:t>
      </w:r>
    </w:p>
    <w:p w:rsidR="002928D3" w:rsidRDefault="00AA10BC" w:rsidP="00AA10BC">
      <w:pPr>
        <w:pStyle w:val="Heading1"/>
      </w:pPr>
      <w:r>
        <w:t>Background</w:t>
      </w:r>
    </w:p>
    <w:p w:rsidR="00AA10BC" w:rsidRDefault="00AA10BC" w:rsidP="00AA10BC">
      <w:pPr>
        <w:pStyle w:val="ONUME"/>
      </w:pPr>
      <w:r w:rsidRPr="00AA10BC">
        <w:t xml:space="preserve">The PCT Assembly </w:t>
      </w:r>
      <w:r>
        <w:t>(“the Assembly”), at its thirty</w:t>
      </w:r>
      <w:r>
        <w:noBreakHyphen/>
        <w:t>sixth session in September/ October </w:t>
      </w:r>
      <w:r w:rsidRPr="00AA10BC">
        <w:t>2007, amended the PCT Regulations to introduce a supplementary international search system.  These amendments entered into force on January 1, 2009 (document</w:t>
      </w:r>
      <w:r w:rsidR="006C4293">
        <w:t xml:space="preserve"> </w:t>
      </w:r>
      <w:r w:rsidRPr="00AA10BC">
        <w:t>PCT/A/36/13)</w:t>
      </w:r>
      <w:r>
        <w:t>.</w:t>
      </w:r>
    </w:p>
    <w:p w:rsidR="00AA10BC" w:rsidRDefault="00AA10BC" w:rsidP="00AA10BC">
      <w:pPr>
        <w:pStyle w:val="ONUME"/>
      </w:pPr>
      <w:r>
        <w:t>The Assembly reviewed the supplementary international search system at its forty</w:t>
      </w:r>
      <w:r>
        <w:noBreakHyphen/>
        <w:t xml:space="preserve">third session in October 2012 and </w:t>
      </w:r>
      <w:r w:rsidR="00404473">
        <w:t xml:space="preserve">again </w:t>
      </w:r>
      <w:r>
        <w:t>at its forty</w:t>
      </w:r>
      <w:r>
        <w:noBreakHyphen/>
        <w:t>seventh session in October 2015.  The decision by the PCT Assembly after the second review is set out in paragraph 17 of document PCT/A/47/9, as follows:</w:t>
      </w:r>
    </w:p>
    <w:p w:rsidR="00AA10BC" w:rsidRDefault="00AA10BC" w:rsidP="00AA10BC">
      <w:pPr>
        <w:pStyle w:val="ONUME"/>
        <w:numPr>
          <w:ilvl w:val="0"/>
          <w:numId w:val="0"/>
        </w:numPr>
        <w:ind w:left="567"/>
      </w:pPr>
      <w:r>
        <w:t>“17.</w:t>
      </w:r>
      <w:r>
        <w:tab/>
        <w:t>The Assembly, having reviewed the supplementary international search system three years after the date of entry into force of the system and again in 2015, decided:</w:t>
      </w:r>
    </w:p>
    <w:p w:rsidR="00AA10BC" w:rsidRDefault="00AA10BC" w:rsidP="00AA10BC">
      <w:pPr>
        <w:pStyle w:val="ONUME"/>
        <w:numPr>
          <w:ilvl w:val="0"/>
          <w:numId w:val="0"/>
        </w:numPr>
        <w:ind w:left="1134"/>
      </w:pPr>
      <w:r>
        <w:t>"(a)</w:t>
      </w:r>
      <w:r>
        <w:tab/>
        <w:t>to invite the International Bureau to continue to closely monitor the system for a period of a further five years, and to continue to report to the Meeting of International Authorities and the Working Group on how the system is developing;</w:t>
      </w:r>
    </w:p>
    <w:p w:rsidR="00AA10BC" w:rsidRDefault="00AA10BC" w:rsidP="00AA10BC">
      <w:pPr>
        <w:pStyle w:val="ONUME"/>
        <w:numPr>
          <w:ilvl w:val="0"/>
          <w:numId w:val="0"/>
        </w:numPr>
        <w:ind w:left="1134"/>
      </w:pPr>
      <w:r>
        <w:lastRenderedPageBreak/>
        <w:t>"(b)</w:t>
      </w:r>
      <w:r>
        <w:tab/>
      </w:r>
      <w:proofErr w:type="gramStart"/>
      <w:r>
        <w:t>to</w:t>
      </w:r>
      <w:proofErr w:type="gramEnd"/>
      <w:r>
        <w:t xml:space="preserve"> invite the International Bureau, International Authorities and national Offices and user groups to continue their efforts to raise awareness of and promote the service to users of the PCT System;</w:t>
      </w:r>
    </w:p>
    <w:p w:rsidR="00AA10BC" w:rsidRDefault="00AA10BC" w:rsidP="00AA10BC">
      <w:pPr>
        <w:pStyle w:val="ONUME"/>
        <w:numPr>
          <w:ilvl w:val="0"/>
          <w:numId w:val="0"/>
        </w:numPr>
        <w:ind w:left="1134"/>
      </w:pPr>
      <w:r>
        <w:t>"(c)</w:t>
      </w:r>
      <w:r>
        <w:tab/>
        <w:t>to invite the International Authorities which offer supplementary international searches to consider reviewing the scope of their services provided under the system and consequently the levels of fees charged for the services provided, which should be reasonable;  and to invite Authorities which currently do not offer the service to reconsider whether to offer the service in the near future;</w:t>
      </w:r>
    </w:p>
    <w:p w:rsidR="00AA10BC" w:rsidRDefault="00AA10BC" w:rsidP="00AA10BC">
      <w:pPr>
        <w:pStyle w:val="ONUME"/>
        <w:numPr>
          <w:ilvl w:val="0"/>
          <w:numId w:val="0"/>
        </w:numPr>
        <w:ind w:left="1134"/>
      </w:pPr>
      <w:r>
        <w:t>"(d)</w:t>
      </w:r>
      <w:r>
        <w:tab/>
      </w:r>
      <w:proofErr w:type="gramStart"/>
      <w:r>
        <w:t>to</w:t>
      </w:r>
      <w:proofErr w:type="gramEnd"/>
      <w:r>
        <w:t xml:space="preserve"> review the system again in</w:t>
      </w:r>
      <w:r w:rsidR="006C4293">
        <w:t> </w:t>
      </w:r>
      <w:r>
        <w:t>2020, taking into account further developments until then, notably in relation to developments in collaborative search and examination, and in relation to efforts to improve the quality of the 'main' international search."</w:t>
      </w:r>
    </w:p>
    <w:p w:rsidR="009A40BC" w:rsidRDefault="005C5A31" w:rsidP="00AA10BC">
      <w:pPr>
        <w:pStyle w:val="ONUME"/>
      </w:pPr>
      <w:r>
        <w:t>In preparation for the review by the Assembly later this year, t</w:t>
      </w:r>
      <w:r w:rsidR="00677B90">
        <w:t xml:space="preserve">his document provides information </w:t>
      </w:r>
      <w:r w:rsidR="009A40BC">
        <w:t xml:space="preserve">on legal developments and use of the supplementary international search system </w:t>
      </w:r>
      <w:r>
        <w:t>and discusses future options for the system.</w:t>
      </w:r>
    </w:p>
    <w:p w:rsidR="009A40BC" w:rsidRDefault="009A40BC" w:rsidP="00A2144C">
      <w:pPr>
        <w:pStyle w:val="Heading1"/>
      </w:pPr>
      <w:r>
        <w:t>Legal Developments</w:t>
      </w:r>
    </w:p>
    <w:p w:rsidR="00162920" w:rsidRDefault="00A2144C" w:rsidP="00AA10BC">
      <w:pPr>
        <w:pStyle w:val="ONUME"/>
      </w:pPr>
      <w:bookmarkStart w:id="6" w:name="_Ref29485931"/>
      <w:r>
        <w:t>In response to an invita</w:t>
      </w:r>
      <w:r w:rsidR="00162920">
        <w:t xml:space="preserve">tion from the PCT Working Group while preparing for the review </w:t>
      </w:r>
      <w:r>
        <w:t xml:space="preserve">of the supplementary international search system in 2015, </w:t>
      </w:r>
      <w:r w:rsidR="00162920">
        <w:t>the International Bureau presented a document to the ninth session of the PCT Working Group in May 2016 to discuss possible improvements to the supplementary international search system (document PCT/WG/9/6).  This document followed discussions of possible improvements to the system at the twenty</w:t>
      </w:r>
      <w:r w:rsidR="00162920">
        <w:noBreakHyphen/>
        <w:t>third session of the Meeting of International Authorities in January 2016 (document PCT/MIA/23/4).  The document for the Working Group proposed amendments to the PCT Regulations on supplementary international search as follows:</w:t>
      </w:r>
      <w:bookmarkEnd w:id="6"/>
    </w:p>
    <w:p w:rsidR="00162920" w:rsidRDefault="00162920" w:rsidP="00162920">
      <w:pPr>
        <w:pStyle w:val="ONUME"/>
        <w:numPr>
          <w:ilvl w:val="0"/>
          <w:numId w:val="7"/>
        </w:numPr>
      </w:pPr>
      <w:r>
        <w:t>extending the deadline for requesting supplementary international search from 19 to 22 months from the priority date;  and</w:t>
      </w:r>
    </w:p>
    <w:p w:rsidR="00162920" w:rsidRDefault="00162920" w:rsidP="00162920">
      <w:pPr>
        <w:pStyle w:val="ONUME"/>
        <w:numPr>
          <w:ilvl w:val="0"/>
          <w:numId w:val="7"/>
        </w:numPr>
      </w:pPr>
      <w:proofErr w:type="gramStart"/>
      <w:r>
        <w:t>providing</w:t>
      </w:r>
      <w:proofErr w:type="gramEnd"/>
      <w:r>
        <w:t xml:space="preserve"> the option for an Authority specified for supplementary search to issue a written opinion with all its supplementary international search reports.</w:t>
      </w:r>
    </w:p>
    <w:p w:rsidR="0046383B" w:rsidRDefault="00B250D7" w:rsidP="00AA10BC">
      <w:pPr>
        <w:pStyle w:val="ONUME"/>
      </w:pPr>
      <w:r>
        <w:t>Paragraphs 117 to 123 of the Summary by the Chair of the ninth session of the PCT Working Group summarize discussions of the amendments to the PCT Regulations on supplementary international search proposed in document PC</w:t>
      </w:r>
      <w:r w:rsidR="0046383B">
        <w:t>T/WG/9/6.  Paragraphs 277 to 289 of the Report of the session, document PCT/WG/9/28, provide a full record of these discussions.  While the Working Group approved the proposed amendments to extend the deadline for requesting supplementary international search, there was no agreement to amend the PCT Regulations to provide the option for an Authority specified for supplementary search to issue a written opinion with its supplementary international search reports.</w:t>
      </w:r>
    </w:p>
    <w:p w:rsidR="0046383B" w:rsidRDefault="0046383B" w:rsidP="00AA10BC">
      <w:pPr>
        <w:pStyle w:val="ONUME"/>
      </w:pPr>
      <w:bookmarkStart w:id="7" w:name="_Ref29485941"/>
      <w:r>
        <w:t>The PCT Assembly, at its forty</w:t>
      </w:r>
      <w:r>
        <w:noBreakHyphen/>
        <w:t xml:space="preserve">eighth session in October 2016, </w:t>
      </w:r>
      <w:r w:rsidR="009A51A1">
        <w:t xml:space="preserve">subsequently </w:t>
      </w:r>
      <w:r>
        <w:t>approved the amendments to the PCT Regulations to move the deadline for requesting supplementary international search from 19 to 22 months from the priority date (</w:t>
      </w:r>
      <w:r w:rsidR="009A51A1">
        <w:t xml:space="preserve">see </w:t>
      </w:r>
      <w:r>
        <w:t>document PCT/A/48/3 and pa</w:t>
      </w:r>
      <w:r w:rsidR="009A51A1">
        <w:t>ragraphs 21 to 24 of document PCT/A/48/5).  These amendments entered into force on July 1, 2017.</w:t>
      </w:r>
      <w:bookmarkEnd w:id="7"/>
    </w:p>
    <w:p w:rsidR="009A51A1" w:rsidRDefault="00E7383B" w:rsidP="009A51A1">
      <w:pPr>
        <w:pStyle w:val="Heading1"/>
      </w:pPr>
      <w:r>
        <w:t>Requests for</w:t>
      </w:r>
      <w:r w:rsidR="009A51A1">
        <w:t xml:space="preserve"> Supplementary International Search</w:t>
      </w:r>
    </w:p>
    <w:p w:rsidR="007A34CA" w:rsidRDefault="00E7383B" w:rsidP="00AA10BC">
      <w:pPr>
        <w:pStyle w:val="ONUME"/>
      </w:pPr>
      <w:r>
        <w:t>Tables </w:t>
      </w:r>
      <w:proofErr w:type="gramStart"/>
      <w:r>
        <w:t>1</w:t>
      </w:r>
      <w:proofErr w:type="gramEnd"/>
      <w:r>
        <w:t xml:space="preserve"> and 2, below, provide details on the use of supplementary inte</w:t>
      </w:r>
      <w:r w:rsidR="00FB6C9D">
        <w:t>rnational search by applicants since this option became available to applicants in 2009.</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Caption w:val="Number of Supplementary International Search Requests by ISA and SISA (in total)"/>
        <w:tblDescription w:val="This table shows the number of requests each Supplementary International Searching Authority has received, broken down by the original International Searching Authority"/>
      </w:tblPr>
      <w:tblGrid>
        <w:gridCol w:w="1145"/>
        <w:gridCol w:w="567"/>
        <w:gridCol w:w="584"/>
        <w:gridCol w:w="567"/>
        <w:gridCol w:w="584"/>
        <w:gridCol w:w="567"/>
        <w:gridCol w:w="567"/>
        <w:gridCol w:w="567"/>
        <w:gridCol w:w="567"/>
        <w:gridCol w:w="567"/>
        <w:gridCol w:w="567"/>
        <w:gridCol w:w="742"/>
      </w:tblGrid>
      <w:tr w:rsidR="00105947" w:rsidRPr="008C1CB0" w:rsidTr="00D31095">
        <w:trPr>
          <w:trHeight w:val="520"/>
        </w:trPr>
        <w:tc>
          <w:tcPr>
            <w:tcW w:w="0" w:type="auto"/>
            <w:tcBorders>
              <w:top w:val="single" w:sz="8" w:space="0" w:color="auto"/>
              <w:bottom w:val="single" w:sz="8" w:space="0" w:color="auto"/>
              <w:right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lastRenderedPageBreak/>
              <w:t>SISA</w:t>
            </w:r>
          </w:p>
          <w:p w:rsidR="007A34CA" w:rsidRPr="007A34CA" w:rsidRDefault="007A34CA" w:rsidP="007A34CA">
            <w:pPr>
              <w:keepNext/>
              <w:keepLines/>
              <w:rPr>
                <w:b/>
                <w:bCs/>
                <w:color w:val="000000"/>
                <w:szCs w:val="22"/>
              </w:rPr>
            </w:pPr>
            <w:r w:rsidRPr="007A34CA">
              <w:rPr>
                <w:b/>
                <w:bCs/>
                <w:color w:val="000000"/>
                <w:szCs w:val="22"/>
              </w:rPr>
              <w:t>Main ISA</w:t>
            </w:r>
          </w:p>
        </w:tc>
        <w:tc>
          <w:tcPr>
            <w:tcW w:w="567" w:type="dxa"/>
            <w:tcBorders>
              <w:top w:val="single" w:sz="8" w:space="0" w:color="auto"/>
              <w:left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AT</w:t>
            </w:r>
          </w:p>
        </w:tc>
        <w:tc>
          <w:tcPr>
            <w:tcW w:w="567" w:type="dxa"/>
            <w:tcBorders>
              <w:top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EP</w:t>
            </w:r>
          </w:p>
        </w:tc>
        <w:tc>
          <w:tcPr>
            <w:tcW w:w="567" w:type="dxa"/>
            <w:tcBorders>
              <w:top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FI</w:t>
            </w:r>
          </w:p>
        </w:tc>
        <w:tc>
          <w:tcPr>
            <w:tcW w:w="567" w:type="dxa"/>
            <w:tcBorders>
              <w:top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RU</w:t>
            </w:r>
          </w:p>
        </w:tc>
        <w:tc>
          <w:tcPr>
            <w:tcW w:w="567" w:type="dxa"/>
            <w:tcBorders>
              <w:top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SE</w:t>
            </w:r>
          </w:p>
        </w:tc>
        <w:tc>
          <w:tcPr>
            <w:tcW w:w="567" w:type="dxa"/>
            <w:tcBorders>
              <w:top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SG</w:t>
            </w:r>
          </w:p>
        </w:tc>
        <w:tc>
          <w:tcPr>
            <w:tcW w:w="567" w:type="dxa"/>
            <w:tcBorders>
              <w:top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TR</w:t>
            </w:r>
          </w:p>
        </w:tc>
        <w:tc>
          <w:tcPr>
            <w:tcW w:w="567" w:type="dxa"/>
            <w:tcBorders>
              <w:top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UA</w:t>
            </w:r>
          </w:p>
        </w:tc>
        <w:tc>
          <w:tcPr>
            <w:tcW w:w="567" w:type="dxa"/>
            <w:tcBorders>
              <w:top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XN</w:t>
            </w:r>
          </w:p>
        </w:tc>
        <w:tc>
          <w:tcPr>
            <w:tcW w:w="567" w:type="dxa"/>
            <w:tcBorders>
              <w:top w:val="single" w:sz="8" w:space="0" w:color="auto"/>
              <w:bottom w:val="single" w:sz="8" w:space="0" w:color="auto"/>
              <w:right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XV</w:t>
            </w:r>
          </w:p>
        </w:tc>
        <w:tc>
          <w:tcPr>
            <w:tcW w:w="0" w:type="auto"/>
            <w:tcBorders>
              <w:top w:val="single" w:sz="8" w:space="0" w:color="auto"/>
              <w:left w:val="single" w:sz="8" w:space="0" w:color="auto"/>
              <w:bottom w:val="single" w:sz="8" w:space="0" w:color="auto"/>
            </w:tcBorders>
            <w:noWrap/>
            <w:hideMark/>
          </w:tcPr>
          <w:p w:rsidR="007A34CA" w:rsidRPr="007A34CA" w:rsidRDefault="007A34CA" w:rsidP="007A34CA">
            <w:pPr>
              <w:keepNext/>
              <w:keepLines/>
              <w:jc w:val="center"/>
              <w:rPr>
                <w:b/>
                <w:bCs/>
                <w:color w:val="000000"/>
                <w:szCs w:val="22"/>
              </w:rPr>
            </w:pPr>
            <w:r w:rsidRPr="007A34CA">
              <w:rPr>
                <w:b/>
                <w:bCs/>
                <w:color w:val="000000"/>
                <w:szCs w:val="22"/>
              </w:rPr>
              <w:t>Total</w:t>
            </w:r>
          </w:p>
        </w:tc>
      </w:tr>
      <w:tr w:rsidR="00105947" w:rsidRPr="008C1CB0" w:rsidTr="00D31095">
        <w:trPr>
          <w:trHeight w:val="255"/>
        </w:trPr>
        <w:tc>
          <w:tcPr>
            <w:tcW w:w="0" w:type="auto"/>
            <w:tcBorders>
              <w:top w:val="single" w:sz="8"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AT</w:t>
            </w:r>
          </w:p>
        </w:tc>
        <w:tc>
          <w:tcPr>
            <w:tcW w:w="567" w:type="dxa"/>
            <w:tcBorders>
              <w:top w:val="single" w:sz="8" w:space="0" w:color="auto"/>
              <w:left w:val="single" w:sz="8" w:space="0" w:color="auto"/>
            </w:tcBorders>
            <w:noWrap/>
            <w:hideMark/>
          </w:tcPr>
          <w:p w:rsidR="007A34CA" w:rsidRPr="007A34CA" w:rsidRDefault="007A34CA" w:rsidP="007A34CA">
            <w:pPr>
              <w:keepNext/>
              <w:keepLines/>
              <w:rPr>
                <w:color w:val="000000"/>
                <w:szCs w:val="22"/>
              </w:rPr>
            </w:pPr>
          </w:p>
        </w:tc>
        <w:tc>
          <w:tcPr>
            <w:tcW w:w="567" w:type="dxa"/>
            <w:tcBorders>
              <w:top w:val="single" w:sz="8" w:space="0" w:color="auto"/>
            </w:tcBorders>
            <w:noWrap/>
            <w:hideMark/>
          </w:tcPr>
          <w:p w:rsidR="007A34CA" w:rsidRPr="007A34CA" w:rsidRDefault="007A34CA" w:rsidP="007A34CA">
            <w:pPr>
              <w:keepNext/>
              <w:keepLines/>
              <w:jc w:val="right"/>
              <w:rPr>
                <w:color w:val="000000"/>
                <w:szCs w:val="22"/>
              </w:rPr>
            </w:pPr>
            <w:r w:rsidRPr="007A34CA">
              <w:rPr>
                <w:color w:val="000000"/>
                <w:szCs w:val="22"/>
              </w:rPr>
              <w:t>2</w:t>
            </w:r>
          </w:p>
        </w:tc>
        <w:tc>
          <w:tcPr>
            <w:tcW w:w="567" w:type="dxa"/>
            <w:tcBorders>
              <w:top w:val="single" w:sz="8" w:space="0" w:color="auto"/>
            </w:tcBorders>
            <w:noWrap/>
            <w:hideMark/>
          </w:tcPr>
          <w:p w:rsidR="007A34CA" w:rsidRPr="007A34CA" w:rsidRDefault="007A34CA" w:rsidP="007A34CA">
            <w:pPr>
              <w:keepNext/>
              <w:keepLines/>
              <w:jc w:val="right"/>
              <w:rPr>
                <w:color w:val="000000"/>
                <w:szCs w:val="22"/>
              </w:rPr>
            </w:pPr>
          </w:p>
        </w:tc>
        <w:tc>
          <w:tcPr>
            <w:tcW w:w="567" w:type="dxa"/>
            <w:tcBorders>
              <w:top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top w:val="single" w:sz="8" w:space="0" w:color="auto"/>
            </w:tcBorders>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tcBorders>
              <w:top w:val="single" w:sz="8" w:space="0" w:color="auto"/>
            </w:tcBorders>
            <w:noWrap/>
            <w:hideMark/>
          </w:tcPr>
          <w:p w:rsidR="007A34CA" w:rsidRPr="007A34CA" w:rsidRDefault="007A34CA" w:rsidP="007A34CA">
            <w:pPr>
              <w:keepNext/>
              <w:keepLines/>
              <w:jc w:val="right"/>
              <w:rPr>
                <w:color w:val="000000"/>
                <w:szCs w:val="22"/>
              </w:rPr>
            </w:pPr>
          </w:p>
        </w:tc>
        <w:tc>
          <w:tcPr>
            <w:tcW w:w="567" w:type="dxa"/>
            <w:tcBorders>
              <w:top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top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top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top w:val="single" w:sz="8" w:space="0" w:color="auto"/>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8"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3</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AU</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2</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CA</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18</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2</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tcBorders>
              <w:right w:val="single" w:sz="8" w:space="0" w:color="auto"/>
            </w:tcBorders>
            <w:noWrap/>
            <w:hideMark/>
          </w:tcPr>
          <w:p w:rsidR="007A34CA" w:rsidRPr="007A34CA" w:rsidRDefault="007A34CA" w:rsidP="007A34CA">
            <w:pPr>
              <w:keepNext/>
              <w:keepLines/>
              <w:jc w:val="right"/>
              <w:rPr>
                <w:color w:val="000000"/>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22</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CN</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297</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297</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EG</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1</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EP</w:t>
            </w:r>
          </w:p>
        </w:tc>
        <w:tc>
          <w:tcPr>
            <w:tcW w:w="567" w:type="dxa"/>
            <w:tcBorders>
              <w:left w:val="single" w:sz="8" w:space="0" w:color="auto"/>
            </w:tcBorders>
            <w:noWrap/>
            <w:hideMark/>
          </w:tcPr>
          <w:p w:rsidR="007A34CA" w:rsidRPr="007A34CA" w:rsidRDefault="007A34CA" w:rsidP="007A34CA">
            <w:pPr>
              <w:keepNext/>
              <w:keepLines/>
              <w:jc w:val="right"/>
              <w:rPr>
                <w:color w:val="000000"/>
                <w:szCs w:val="22"/>
              </w:rPr>
            </w:pPr>
            <w:r w:rsidRPr="007A34CA">
              <w:rPr>
                <w:color w:val="000000"/>
                <w:szCs w:val="22"/>
              </w:rPr>
              <w:t>12</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200</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8</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3</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3</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2</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4</w:t>
            </w:r>
          </w:p>
        </w:tc>
        <w:tc>
          <w:tcPr>
            <w:tcW w:w="567" w:type="dxa"/>
            <w:tcBorders>
              <w:right w:val="single" w:sz="8" w:space="0" w:color="auto"/>
            </w:tcBorders>
            <w:noWrap/>
            <w:hideMark/>
          </w:tcPr>
          <w:p w:rsidR="007A34CA" w:rsidRPr="007A34CA" w:rsidRDefault="007A34CA" w:rsidP="007A34CA">
            <w:pPr>
              <w:keepNext/>
              <w:keepLines/>
              <w:jc w:val="right"/>
              <w:rPr>
                <w:color w:val="000000"/>
                <w:szCs w:val="22"/>
              </w:rPr>
            </w:pPr>
            <w:r w:rsidRPr="007A34CA">
              <w:rPr>
                <w:color w:val="000000"/>
                <w:szCs w:val="22"/>
              </w:rPr>
              <w:t>2</w:t>
            </w: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235</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ES</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3</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3</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IL</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1</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IN</w:t>
            </w:r>
          </w:p>
        </w:tc>
        <w:tc>
          <w:tcPr>
            <w:tcW w:w="567" w:type="dxa"/>
            <w:tcBorders>
              <w:left w:val="single" w:sz="8" w:space="0" w:color="auto"/>
            </w:tcBorders>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1</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JP</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9</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9</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KR</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18</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4</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3</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26</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RU</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5</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4</w:t>
            </w:r>
          </w:p>
        </w:tc>
        <w:tc>
          <w:tcPr>
            <w:tcW w:w="567" w:type="dxa"/>
            <w:noWrap/>
            <w:hideMark/>
          </w:tcPr>
          <w:p w:rsidR="007A34CA" w:rsidRPr="007A34CA" w:rsidRDefault="007A34CA" w:rsidP="007A34CA">
            <w:pPr>
              <w:keepNext/>
              <w:keepLines/>
              <w:jc w:val="right"/>
              <w:rPr>
                <w:color w:val="000000"/>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9</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SE</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9</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9</w:t>
            </w:r>
          </w:p>
        </w:tc>
      </w:tr>
      <w:tr w:rsidR="00105947" w:rsidRPr="008C1CB0" w:rsidTr="00D31095">
        <w:trPr>
          <w:trHeight w:val="255"/>
        </w:trPr>
        <w:tc>
          <w:tcPr>
            <w:tcW w:w="0" w:type="auto"/>
            <w:tcBorders>
              <w:top w:val="single" w:sz="4" w:space="0" w:color="auto"/>
              <w:bottom w:val="single" w:sz="4"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US</w:t>
            </w:r>
          </w:p>
        </w:tc>
        <w:tc>
          <w:tcPr>
            <w:tcW w:w="567" w:type="dxa"/>
            <w:tcBorders>
              <w:left w:val="single" w:sz="8" w:space="0" w:color="auto"/>
            </w:tcBorders>
            <w:noWrap/>
            <w:hideMark/>
          </w:tcPr>
          <w:p w:rsidR="007A34CA" w:rsidRPr="007A34CA" w:rsidRDefault="007A34CA" w:rsidP="007A34CA">
            <w:pPr>
              <w:keepNext/>
              <w:keepLines/>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27</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3</w:t>
            </w:r>
          </w:p>
        </w:tc>
        <w:tc>
          <w:tcPr>
            <w:tcW w:w="567" w:type="dxa"/>
            <w:noWrap/>
            <w:hideMark/>
          </w:tcPr>
          <w:p w:rsidR="007A34CA" w:rsidRPr="007A34CA" w:rsidRDefault="007A34CA" w:rsidP="007A34CA">
            <w:pPr>
              <w:keepNext/>
              <w:keepLines/>
              <w:jc w:val="right"/>
              <w:rPr>
                <w:color w:val="000000"/>
                <w:szCs w:val="22"/>
              </w:rPr>
            </w:pPr>
            <w:r w:rsidRPr="007A34CA">
              <w:rPr>
                <w:color w:val="000000"/>
                <w:szCs w:val="22"/>
              </w:rPr>
              <w:t>2</w:t>
            </w:r>
          </w:p>
        </w:tc>
        <w:tc>
          <w:tcPr>
            <w:tcW w:w="567" w:type="dxa"/>
            <w:noWrap/>
            <w:hideMark/>
          </w:tcPr>
          <w:p w:rsidR="007A34CA" w:rsidRPr="007A34CA" w:rsidRDefault="007A34CA" w:rsidP="007A34CA">
            <w:pPr>
              <w:keepNext/>
              <w:keepLines/>
              <w:jc w:val="right"/>
              <w:rPr>
                <w:color w:val="000000"/>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noWrap/>
            <w:hideMark/>
          </w:tcPr>
          <w:p w:rsidR="007A34CA" w:rsidRPr="007A34CA" w:rsidRDefault="007A34CA" w:rsidP="007A34CA">
            <w:pPr>
              <w:keepNext/>
              <w:keepLines/>
              <w:rPr>
                <w:rFonts w:ascii="Times New Roman" w:hAnsi="Times New Roman" w:cs="Times New Roman"/>
                <w:szCs w:val="22"/>
              </w:rPr>
            </w:pPr>
          </w:p>
        </w:tc>
        <w:tc>
          <w:tcPr>
            <w:tcW w:w="567" w:type="dxa"/>
            <w:tcBorders>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4" w:space="0" w:color="auto"/>
            </w:tcBorders>
            <w:noWrap/>
            <w:hideMark/>
          </w:tcPr>
          <w:p w:rsidR="007A34CA" w:rsidRPr="007A34CA" w:rsidRDefault="007A34CA" w:rsidP="007A34CA">
            <w:pPr>
              <w:keepNext/>
              <w:keepLines/>
              <w:jc w:val="right"/>
              <w:rPr>
                <w:color w:val="000000"/>
                <w:szCs w:val="22"/>
              </w:rPr>
            </w:pPr>
            <w:r w:rsidRPr="007A34CA">
              <w:rPr>
                <w:color w:val="000000"/>
                <w:szCs w:val="22"/>
              </w:rPr>
              <w:t>32</w:t>
            </w:r>
          </w:p>
        </w:tc>
      </w:tr>
      <w:tr w:rsidR="00105947" w:rsidRPr="008C1CB0" w:rsidTr="00D31095">
        <w:trPr>
          <w:trHeight w:val="255"/>
        </w:trPr>
        <w:tc>
          <w:tcPr>
            <w:tcW w:w="0" w:type="auto"/>
            <w:tcBorders>
              <w:top w:val="single" w:sz="4" w:space="0" w:color="auto"/>
              <w:bottom w:val="single" w:sz="8" w:space="0" w:color="auto"/>
              <w:right w:val="single" w:sz="8" w:space="0" w:color="auto"/>
            </w:tcBorders>
            <w:noWrap/>
            <w:hideMark/>
          </w:tcPr>
          <w:p w:rsidR="007A34CA" w:rsidRPr="007A34CA" w:rsidRDefault="007A34CA" w:rsidP="007A34CA">
            <w:pPr>
              <w:keepNext/>
              <w:keepLines/>
              <w:rPr>
                <w:color w:val="000000"/>
                <w:szCs w:val="22"/>
              </w:rPr>
            </w:pPr>
            <w:r w:rsidRPr="007A34CA">
              <w:rPr>
                <w:color w:val="000000"/>
                <w:szCs w:val="22"/>
              </w:rPr>
              <w:t>XN</w:t>
            </w:r>
          </w:p>
        </w:tc>
        <w:tc>
          <w:tcPr>
            <w:tcW w:w="567" w:type="dxa"/>
            <w:tcBorders>
              <w:left w:val="single" w:sz="8" w:space="0" w:color="auto"/>
              <w:bottom w:val="single" w:sz="8" w:space="0" w:color="auto"/>
            </w:tcBorders>
            <w:noWrap/>
            <w:hideMark/>
          </w:tcPr>
          <w:p w:rsidR="007A34CA" w:rsidRPr="007A34CA" w:rsidRDefault="007A34CA" w:rsidP="007A34CA">
            <w:pPr>
              <w:keepNext/>
              <w:keepLines/>
              <w:rPr>
                <w:color w:val="000000"/>
                <w:szCs w:val="22"/>
              </w:rPr>
            </w:pPr>
          </w:p>
        </w:tc>
        <w:tc>
          <w:tcPr>
            <w:tcW w:w="567" w:type="dxa"/>
            <w:tcBorders>
              <w:bottom w:val="single" w:sz="8" w:space="0" w:color="auto"/>
            </w:tcBorders>
            <w:noWrap/>
            <w:hideMark/>
          </w:tcPr>
          <w:p w:rsidR="007A34CA" w:rsidRPr="007A34CA" w:rsidRDefault="007A34CA" w:rsidP="007A34CA">
            <w:pPr>
              <w:keepNext/>
              <w:keepLines/>
              <w:jc w:val="right"/>
              <w:rPr>
                <w:color w:val="000000"/>
                <w:szCs w:val="22"/>
              </w:rPr>
            </w:pPr>
            <w:r w:rsidRPr="007A34CA">
              <w:rPr>
                <w:color w:val="000000"/>
                <w:szCs w:val="22"/>
              </w:rPr>
              <w:t>1</w:t>
            </w:r>
          </w:p>
        </w:tc>
        <w:tc>
          <w:tcPr>
            <w:tcW w:w="567" w:type="dxa"/>
            <w:tcBorders>
              <w:bottom w:val="single" w:sz="8" w:space="0" w:color="auto"/>
            </w:tcBorders>
            <w:noWrap/>
            <w:hideMark/>
          </w:tcPr>
          <w:p w:rsidR="007A34CA" w:rsidRPr="007A34CA" w:rsidRDefault="007A34CA" w:rsidP="007A34CA">
            <w:pPr>
              <w:keepNext/>
              <w:keepLines/>
              <w:jc w:val="right"/>
              <w:rPr>
                <w:color w:val="000000"/>
                <w:szCs w:val="22"/>
              </w:rPr>
            </w:pPr>
          </w:p>
        </w:tc>
        <w:tc>
          <w:tcPr>
            <w:tcW w:w="567" w:type="dxa"/>
            <w:tcBorders>
              <w:bottom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bottom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bottom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bottom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bottom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bottom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567" w:type="dxa"/>
            <w:tcBorders>
              <w:bottom w:val="single" w:sz="8" w:space="0" w:color="auto"/>
              <w:right w:val="single" w:sz="8" w:space="0" w:color="auto"/>
            </w:tcBorders>
            <w:noWrap/>
            <w:hideMark/>
          </w:tcPr>
          <w:p w:rsidR="007A34CA" w:rsidRPr="007A34CA" w:rsidRDefault="007A34CA" w:rsidP="007A34CA">
            <w:pPr>
              <w:keepNext/>
              <w:keepLines/>
              <w:rPr>
                <w:rFonts w:ascii="Times New Roman" w:hAnsi="Times New Roman" w:cs="Times New Roman"/>
                <w:szCs w:val="22"/>
              </w:rPr>
            </w:pPr>
          </w:p>
        </w:tc>
        <w:tc>
          <w:tcPr>
            <w:tcW w:w="0" w:type="auto"/>
            <w:tcBorders>
              <w:top w:val="single" w:sz="4" w:space="0" w:color="auto"/>
              <w:left w:val="single" w:sz="8" w:space="0" w:color="auto"/>
              <w:bottom w:val="single" w:sz="8" w:space="0" w:color="auto"/>
            </w:tcBorders>
            <w:noWrap/>
            <w:hideMark/>
          </w:tcPr>
          <w:p w:rsidR="007A34CA" w:rsidRPr="007A34CA" w:rsidRDefault="007A34CA" w:rsidP="007A34CA">
            <w:pPr>
              <w:keepNext/>
              <w:keepLines/>
              <w:jc w:val="right"/>
              <w:rPr>
                <w:color w:val="000000"/>
                <w:szCs w:val="22"/>
              </w:rPr>
            </w:pPr>
            <w:r w:rsidRPr="007A34CA">
              <w:rPr>
                <w:color w:val="000000"/>
                <w:szCs w:val="22"/>
              </w:rPr>
              <w:t>1</w:t>
            </w:r>
          </w:p>
        </w:tc>
      </w:tr>
      <w:tr w:rsidR="00105947" w:rsidRPr="008C1CB0" w:rsidTr="00D31095">
        <w:trPr>
          <w:trHeight w:val="255"/>
        </w:trPr>
        <w:tc>
          <w:tcPr>
            <w:tcW w:w="0" w:type="auto"/>
            <w:tcBorders>
              <w:top w:val="single" w:sz="8" w:space="0" w:color="auto"/>
              <w:bottom w:val="single" w:sz="8" w:space="0" w:color="auto"/>
              <w:right w:val="single" w:sz="8" w:space="0" w:color="auto"/>
            </w:tcBorders>
            <w:noWrap/>
            <w:hideMark/>
          </w:tcPr>
          <w:p w:rsidR="007A34CA" w:rsidRPr="007A34CA" w:rsidRDefault="007A34CA" w:rsidP="007A34CA">
            <w:pPr>
              <w:keepNext/>
              <w:keepLines/>
              <w:rPr>
                <w:b/>
                <w:bCs/>
                <w:color w:val="000000"/>
                <w:szCs w:val="22"/>
              </w:rPr>
            </w:pPr>
            <w:r w:rsidRPr="007A34CA">
              <w:rPr>
                <w:b/>
                <w:bCs/>
                <w:color w:val="000000"/>
                <w:szCs w:val="22"/>
              </w:rPr>
              <w:t>Total</w:t>
            </w:r>
          </w:p>
        </w:tc>
        <w:tc>
          <w:tcPr>
            <w:tcW w:w="567" w:type="dxa"/>
            <w:tcBorders>
              <w:top w:val="single" w:sz="8" w:space="0" w:color="auto"/>
              <w:left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13</w:t>
            </w:r>
          </w:p>
        </w:tc>
        <w:tc>
          <w:tcPr>
            <w:tcW w:w="567" w:type="dxa"/>
            <w:tcBorders>
              <w:top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383</w:t>
            </w:r>
          </w:p>
        </w:tc>
        <w:tc>
          <w:tcPr>
            <w:tcW w:w="567" w:type="dxa"/>
            <w:tcBorders>
              <w:top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1</w:t>
            </w:r>
          </w:p>
        </w:tc>
        <w:tc>
          <w:tcPr>
            <w:tcW w:w="567" w:type="dxa"/>
            <w:tcBorders>
              <w:top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218</w:t>
            </w:r>
          </w:p>
        </w:tc>
        <w:tc>
          <w:tcPr>
            <w:tcW w:w="567" w:type="dxa"/>
            <w:tcBorders>
              <w:top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12</w:t>
            </w:r>
          </w:p>
        </w:tc>
        <w:tc>
          <w:tcPr>
            <w:tcW w:w="567" w:type="dxa"/>
            <w:tcBorders>
              <w:top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7</w:t>
            </w:r>
          </w:p>
        </w:tc>
        <w:tc>
          <w:tcPr>
            <w:tcW w:w="567" w:type="dxa"/>
            <w:tcBorders>
              <w:top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3</w:t>
            </w:r>
          </w:p>
        </w:tc>
        <w:tc>
          <w:tcPr>
            <w:tcW w:w="567" w:type="dxa"/>
            <w:tcBorders>
              <w:top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7</w:t>
            </w:r>
          </w:p>
        </w:tc>
        <w:tc>
          <w:tcPr>
            <w:tcW w:w="567" w:type="dxa"/>
            <w:tcBorders>
              <w:top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5</w:t>
            </w:r>
          </w:p>
        </w:tc>
        <w:tc>
          <w:tcPr>
            <w:tcW w:w="567" w:type="dxa"/>
            <w:tcBorders>
              <w:top w:val="single" w:sz="8" w:space="0" w:color="auto"/>
              <w:bottom w:val="single" w:sz="8" w:space="0" w:color="auto"/>
              <w:right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2</w:t>
            </w:r>
          </w:p>
        </w:tc>
        <w:tc>
          <w:tcPr>
            <w:tcW w:w="0" w:type="auto"/>
            <w:tcBorders>
              <w:top w:val="single" w:sz="8" w:space="0" w:color="auto"/>
              <w:left w:val="single" w:sz="8" w:space="0" w:color="auto"/>
              <w:bottom w:val="single" w:sz="8" w:space="0" w:color="auto"/>
            </w:tcBorders>
            <w:noWrap/>
            <w:hideMark/>
          </w:tcPr>
          <w:p w:rsidR="007A34CA" w:rsidRPr="007A34CA" w:rsidRDefault="007A34CA" w:rsidP="007A34CA">
            <w:pPr>
              <w:keepNext/>
              <w:keepLines/>
              <w:jc w:val="right"/>
              <w:rPr>
                <w:b/>
                <w:bCs/>
                <w:color w:val="000000"/>
                <w:szCs w:val="22"/>
              </w:rPr>
            </w:pPr>
            <w:r w:rsidRPr="007A34CA">
              <w:rPr>
                <w:b/>
                <w:bCs/>
                <w:color w:val="000000"/>
                <w:szCs w:val="22"/>
              </w:rPr>
              <w:t>651</w:t>
            </w:r>
          </w:p>
        </w:tc>
      </w:tr>
    </w:tbl>
    <w:p w:rsidR="007A34CA" w:rsidRPr="00D31095" w:rsidRDefault="007A34CA" w:rsidP="00D31095">
      <w:pPr>
        <w:pStyle w:val="ONUME"/>
        <w:numPr>
          <w:ilvl w:val="0"/>
          <w:numId w:val="0"/>
        </w:numPr>
        <w:rPr>
          <w:i/>
        </w:rPr>
      </w:pPr>
      <w:r w:rsidRPr="00D31095">
        <w:rPr>
          <w:i/>
        </w:rPr>
        <w:t>Table 1:  Numbe</w:t>
      </w:r>
      <w:r w:rsidR="00E7383B" w:rsidRPr="00D31095">
        <w:rPr>
          <w:i/>
        </w:rPr>
        <w:t>r of Supplementary International Search Requests by International Searching Authority and Supplementary International Search</w:t>
      </w:r>
      <w:r w:rsidR="005C5A31" w:rsidRPr="00D31095">
        <w:rPr>
          <w:i/>
        </w:rPr>
        <w:t>ing</w:t>
      </w:r>
      <w:r w:rsidR="00E7383B" w:rsidRPr="00D31095">
        <w:rPr>
          <w:i/>
        </w:rPr>
        <w:t xml:space="preserve"> Authority (until early November 2019)</w:t>
      </w:r>
    </w:p>
    <w:tbl>
      <w:tblPr>
        <w:tblStyle w:val="TableGrid"/>
        <w:tblW w:w="7060" w:type="dxa"/>
        <w:tblLook w:val="04A0" w:firstRow="1" w:lastRow="0" w:firstColumn="1" w:lastColumn="0" w:noHBand="0" w:noVBand="1"/>
        <w:tblCaption w:val="Supplementary Internaitonal Search Requests by Year"/>
        <w:tblDescription w:val="This table shows the number of requests for supplementary international search that each Authority has received for each year between 2009 and 2019"/>
      </w:tblPr>
      <w:tblGrid>
        <w:gridCol w:w="820"/>
        <w:gridCol w:w="661"/>
        <w:gridCol w:w="661"/>
        <w:gridCol w:w="661"/>
        <w:gridCol w:w="661"/>
        <w:gridCol w:w="661"/>
        <w:gridCol w:w="661"/>
        <w:gridCol w:w="661"/>
        <w:gridCol w:w="661"/>
        <w:gridCol w:w="661"/>
        <w:gridCol w:w="661"/>
        <w:gridCol w:w="661"/>
        <w:gridCol w:w="694"/>
      </w:tblGrid>
      <w:tr w:rsidR="00E7383B" w:rsidRPr="00C031AA" w:rsidTr="00D31095">
        <w:trPr>
          <w:trHeight w:val="255"/>
        </w:trPr>
        <w:tc>
          <w:tcPr>
            <w:tcW w:w="820" w:type="dxa"/>
            <w:tcBorders>
              <w:top w:val="single" w:sz="8" w:space="0" w:color="auto"/>
              <w:left w:val="single" w:sz="8" w:space="0" w:color="auto"/>
              <w:bottom w:val="single" w:sz="8" w:space="0" w:color="auto"/>
              <w:right w:val="single" w:sz="8" w:space="0" w:color="auto"/>
            </w:tcBorders>
            <w:noWrap/>
            <w:hideMark/>
          </w:tcPr>
          <w:p w:rsidR="00E7383B" w:rsidRPr="00C031AA" w:rsidRDefault="00E7383B" w:rsidP="00786AFD">
            <w:pPr>
              <w:rPr>
                <w:b/>
                <w:bCs/>
                <w:color w:val="000000"/>
                <w:sz w:val="20"/>
              </w:rPr>
            </w:pPr>
            <w:r w:rsidRPr="00C031AA">
              <w:rPr>
                <w:b/>
                <w:bCs/>
                <w:color w:val="000000"/>
                <w:sz w:val="20"/>
              </w:rPr>
              <w:t>SISA</w:t>
            </w:r>
          </w:p>
        </w:tc>
        <w:tc>
          <w:tcPr>
            <w:tcW w:w="520" w:type="dxa"/>
            <w:tcBorders>
              <w:top w:val="single" w:sz="8" w:space="0" w:color="auto"/>
              <w:left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2009</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2010</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2011</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2012</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2013</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2014</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2015</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2016</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2017</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2018</w:t>
            </w:r>
          </w:p>
        </w:tc>
        <w:tc>
          <w:tcPr>
            <w:tcW w:w="520" w:type="dxa"/>
            <w:tcBorders>
              <w:top w:val="single" w:sz="8" w:space="0" w:color="auto"/>
              <w:bottom w:val="single" w:sz="8" w:space="0" w:color="auto"/>
              <w:right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2019</w:t>
            </w:r>
          </w:p>
        </w:tc>
        <w:tc>
          <w:tcPr>
            <w:tcW w:w="520" w:type="dxa"/>
            <w:tcBorders>
              <w:top w:val="single" w:sz="8" w:space="0" w:color="auto"/>
              <w:left w:val="single" w:sz="8" w:space="0" w:color="auto"/>
              <w:bottom w:val="single" w:sz="8" w:space="0" w:color="auto"/>
              <w:right w:val="single" w:sz="8" w:space="0" w:color="auto"/>
            </w:tcBorders>
            <w:noWrap/>
            <w:hideMark/>
          </w:tcPr>
          <w:p w:rsidR="00E7383B" w:rsidRPr="00C031AA" w:rsidRDefault="00E7383B" w:rsidP="00786AFD">
            <w:pPr>
              <w:rPr>
                <w:b/>
                <w:bCs/>
                <w:color w:val="000000"/>
                <w:sz w:val="20"/>
              </w:rPr>
            </w:pPr>
            <w:r w:rsidRPr="00C031AA">
              <w:rPr>
                <w:b/>
                <w:bCs/>
                <w:color w:val="000000"/>
                <w:sz w:val="20"/>
              </w:rPr>
              <w:t>Total</w:t>
            </w:r>
          </w:p>
        </w:tc>
      </w:tr>
      <w:tr w:rsidR="00E7383B" w:rsidRPr="00C031AA" w:rsidTr="00D31095">
        <w:trPr>
          <w:trHeight w:val="255"/>
        </w:trPr>
        <w:tc>
          <w:tcPr>
            <w:tcW w:w="820" w:type="dxa"/>
            <w:tcBorders>
              <w:top w:val="single" w:sz="8" w:space="0" w:color="auto"/>
              <w:left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AT</w:t>
            </w:r>
          </w:p>
        </w:tc>
        <w:tc>
          <w:tcPr>
            <w:tcW w:w="520" w:type="dxa"/>
            <w:tcBorders>
              <w:top w:val="single" w:sz="8" w:space="0" w:color="auto"/>
              <w:left w:val="single" w:sz="8" w:space="0" w:color="auto"/>
            </w:tcBorders>
            <w:noWrap/>
            <w:hideMark/>
          </w:tcPr>
          <w:p w:rsidR="00E7383B" w:rsidRPr="00C031AA" w:rsidRDefault="00E7383B" w:rsidP="00786AFD">
            <w:pPr>
              <w:rPr>
                <w:color w:val="000000"/>
                <w:sz w:val="20"/>
              </w:rPr>
            </w:pPr>
          </w:p>
        </w:tc>
        <w:tc>
          <w:tcPr>
            <w:tcW w:w="520" w:type="dxa"/>
            <w:tcBorders>
              <w:top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top w:val="single" w:sz="8" w:space="0" w:color="auto"/>
            </w:tcBorders>
            <w:noWrap/>
            <w:hideMark/>
          </w:tcPr>
          <w:p w:rsidR="00E7383B" w:rsidRPr="00C031AA" w:rsidRDefault="00E7383B" w:rsidP="00786AFD">
            <w:pPr>
              <w:jc w:val="right"/>
              <w:rPr>
                <w:color w:val="000000"/>
                <w:sz w:val="20"/>
              </w:rPr>
            </w:pPr>
            <w:r w:rsidRPr="00C031AA">
              <w:rPr>
                <w:color w:val="000000"/>
                <w:sz w:val="20"/>
              </w:rPr>
              <w:t>1</w:t>
            </w:r>
          </w:p>
        </w:tc>
        <w:tc>
          <w:tcPr>
            <w:tcW w:w="520" w:type="dxa"/>
            <w:tcBorders>
              <w:top w:val="single" w:sz="8" w:space="0" w:color="auto"/>
            </w:tcBorders>
            <w:noWrap/>
            <w:hideMark/>
          </w:tcPr>
          <w:p w:rsidR="00E7383B" w:rsidRPr="00C031AA" w:rsidRDefault="00E7383B" w:rsidP="00786AFD">
            <w:pPr>
              <w:jc w:val="right"/>
              <w:rPr>
                <w:color w:val="000000"/>
                <w:sz w:val="20"/>
              </w:rPr>
            </w:pPr>
            <w:r w:rsidRPr="00C031AA">
              <w:rPr>
                <w:color w:val="000000"/>
                <w:sz w:val="20"/>
              </w:rPr>
              <w:t>2</w:t>
            </w:r>
          </w:p>
        </w:tc>
        <w:tc>
          <w:tcPr>
            <w:tcW w:w="520" w:type="dxa"/>
            <w:tcBorders>
              <w:top w:val="single" w:sz="8" w:space="0" w:color="auto"/>
            </w:tcBorders>
            <w:noWrap/>
            <w:hideMark/>
          </w:tcPr>
          <w:p w:rsidR="00E7383B" w:rsidRPr="00C031AA" w:rsidRDefault="00E7383B" w:rsidP="00786AFD">
            <w:pPr>
              <w:jc w:val="right"/>
              <w:rPr>
                <w:color w:val="000000"/>
                <w:sz w:val="20"/>
              </w:rPr>
            </w:pPr>
            <w:r w:rsidRPr="00C031AA">
              <w:rPr>
                <w:color w:val="000000"/>
                <w:sz w:val="20"/>
              </w:rPr>
              <w:t>1</w:t>
            </w:r>
          </w:p>
        </w:tc>
        <w:tc>
          <w:tcPr>
            <w:tcW w:w="520" w:type="dxa"/>
            <w:tcBorders>
              <w:top w:val="single" w:sz="8" w:space="0" w:color="auto"/>
            </w:tcBorders>
            <w:noWrap/>
            <w:hideMark/>
          </w:tcPr>
          <w:p w:rsidR="00E7383B" w:rsidRPr="00C031AA" w:rsidRDefault="00E7383B" w:rsidP="00786AFD">
            <w:pPr>
              <w:jc w:val="right"/>
              <w:rPr>
                <w:color w:val="000000"/>
                <w:sz w:val="20"/>
              </w:rPr>
            </w:pPr>
            <w:r w:rsidRPr="00C031AA">
              <w:rPr>
                <w:color w:val="000000"/>
                <w:sz w:val="20"/>
              </w:rPr>
              <w:t>2</w:t>
            </w:r>
          </w:p>
        </w:tc>
        <w:tc>
          <w:tcPr>
            <w:tcW w:w="520" w:type="dxa"/>
            <w:tcBorders>
              <w:top w:val="single" w:sz="8" w:space="0" w:color="auto"/>
            </w:tcBorders>
            <w:noWrap/>
            <w:hideMark/>
          </w:tcPr>
          <w:p w:rsidR="00E7383B" w:rsidRPr="00C031AA" w:rsidRDefault="00E7383B" w:rsidP="00786AFD">
            <w:pPr>
              <w:jc w:val="right"/>
              <w:rPr>
                <w:color w:val="000000"/>
                <w:sz w:val="20"/>
              </w:rPr>
            </w:pPr>
            <w:r w:rsidRPr="00C031AA">
              <w:rPr>
                <w:color w:val="000000"/>
                <w:sz w:val="20"/>
              </w:rPr>
              <w:t>2</w:t>
            </w:r>
          </w:p>
        </w:tc>
        <w:tc>
          <w:tcPr>
            <w:tcW w:w="520" w:type="dxa"/>
            <w:tcBorders>
              <w:top w:val="single" w:sz="8" w:space="0" w:color="auto"/>
            </w:tcBorders>
            <w:noWrap/>
            <w:hideMark/>
          </w:tcPr>
          <w:p w:rsidR="00E7383B" w:rsidRPr="00C031AA" w:rsidRDefault="00E7383B" w:rsidP="00786AFD">
            <w:pPr>
              <w:jc w:val="right"/>
              <w:rPr>
                <w:color w:val="000000"/>
                <w:sz w:val="20"/>
              </w:rPr>
            </w:pPr>
          </w:p>
        </w:tc>
        <w:tc>
          <w:tcPr>
            <w:tcW w:w="520" w:type="dxa"/>
            <w:tcBorders>
              <w:top w:val="single" w:sz="8" w:space="0" w:color="auto"/>
            </w:tcBorders>
            <w:noWrap/>
            <w:hideMark/>
          </w:tcPr>
          <w:p w:rsidR="00E7383B" w:rsidRPr="00C031AA" w:rsidRDefault="00E7383B" w:rsidP="00786AFD">
            <w:pPr>
              <w:jc w:val="right"/>
              <w:rPr>
                <w:color w:val="000000"/>
                <w:sz w:val="20"/>
              </w:rPr>
            </w:pPr>
            <w:r w:rsidRPr="00C031AA">
              <w:rPr>
                <w:color w:val="000000"/>
                <w:sz w:val="20"/>
              </w:rPr>
              <w:t>1</w:t>
            </w:r>
          </w:p>
        </w:tc>
        <w:tc>
          <w:tcPr>
            <w:tcW w:w="520" w:type="dxa"/>
            <w:tcBorders>
              <w:top w:val="single" w:sz="8" w:space="0" w:color="auto"/>
            </w:tcBorders>
            <w:noWrap/>
            <w:hideMark/>
          </w:tcPr>
          <w:p w:rsidR="00E7383B" w:rsidRPr="00C031AA" w:rsidRDefault="00E7383B" w:rsidP="00786AFD">
            <w:pPr>
              <w:jc w:val="right"/>
              <w:rPr>
                <w:color w:val="000000"/>
                <w:sz w:val="20"/>
              </w:rPr>
            </w:pPr>
            <w:r w:rsidRPr="00C031AA">
              <w:rPr>
                <w:color w:val="000000"/>
                <w:sz w:val="20"/>
              </w:rPr>
              <w:t>1</w:t>
            </w:r>
          </w:p>
        </w:tc>
        <w:tc>
          <w:tcPr>
            <w:tcW w:w="520" w:type="dxa"/>
            <w:tcBorders>
              <w:top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3</w:t>
            </w:r>
          </w:p>
        </w:tc>
        <w:tc>
          <w:tcPr>
            <w:tcW w:w="520" w:type="dxa"/>
            <w:tcBorders>
              <w:top w:val="single" w:sz="8" w:space="0" w:color="auto"/>
              <w:left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13</w:t>
            </w:r>
          </w:p>
        </w:tc>
      </w:tr>
      <w:tr w:rsidR="00E7383B" w:rsidRPr="00C031AA" w:rsidTr="00D31095">
        <w:trPr>
          <w:trHeight w:val="255"/>
        </w:trPr>
        <w:tc>
          <w:tcPr>
            <w:tcW w:w="820" w:type="dxa"/>
            <w:tcBorders>
              <w:left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EP</w:t>
            </w:r>
          </w:p>
        </w:tc>
        <w:tc>
          <w:tcPr>
            <w:tcW w:w="520" w:type="dxa"/>
            <w:tcBorders>
              <w:left w:val="single" w:sz="8" w:space="0" w:color="auto"/>
            </w:tcBorders>
            <w:noWrap/>
            <w:hideMark/>
          </w:tcPr>
          <w:p w:rsidR="00E7383B" w:rsidRPr="00C031AA" w:rsidRDefault="00E7383B" w:rsidP="00786AFD">
            <w:pPr>
              <w:rPr>
                <w:color w:val="000000"/>
                <w:sz w:val="20"/>
              </w:rPr>
            </w:pPr>
          </w:p>
        </w:tc>
        <w:tc>
          <w:tcPr>
            <w:tcW w:w="520" w:type="dxa"/>
            <w:noWrap/>
            <w:hideMark/>
          </w:tcPr>
          <w:p w:rsidR="00E7383B" w:rsidRPr="00C031AA" w:rsidRDefault="00E7383B" w:rsidP="00786AFD">
            <w:pPr>
              <w:jc w:val="right"/>
              <w:rPr>
                <w:color w:val="000000"/>
                <w:sz w:val="20"/>
              </w:rPr>
            </w:pPr>
            <w:r w:rsidRPr="00C031AA">
              <w:rPr>
                <w:color w:val="000000"/>
                <w:sz w:val="20"/>
              </w:rPr>
              <w:t>3</w:t>
            </w:r>
          </w:p>
        </w:tc>
        <w:tc>
          <w:tcPr>
            <w:tcW w:w="520" w:type="dxa"/>
            <w:noWrap/>
            <w:hideMark/>
          </w:tcPr>
          <w:p w:rsidR="00E7383B" w:rsidRPr="00C031AA" w:rsidRDefault="00E7383B" w:rsidP="00786AFD">
            <w:pPr>
              <w:jc w:val="right"/>
              <w:rPr>
                <w:color w:val="000000"/>
                <w:sz w:val="20"/>
              </w:rPr>
            </w:pPr>
            <w:r w:rsidRPr="00C031AA">
              <w:rPr>
                <w:color w:val="000000"/>
                <w:sz w:val="20"/>
              </w:rPr>
              <w:t>7</w:t>
            </w:r>
          </w:p>
        </w:tc>
        <w:tc>
          <w:tcPr>
            <w:tcW w:w="520" w:type="dxa"/>
            <w:noWrap/>
            <w:hideMark/>
          </w:tcPr>
          <w:p w:rsidR="00E7383B" w:rsidRPr="00C031AA" w:rsidRDefault="00E7383B" w:rsidP="00786AFD">
            <w:pPr>
              <w:jc w:val="right"/>
              <w:rPr>
                <w:color w:val="000000"/>
                <w:sz w:val="20"/>
              </w:rPr>
            </w:pPr>
            <w:r w:rsidRPr="00C031AA">
              <w:rPr>
                <w:color w:val="000000"/>
                <w:sz w:val="20"/>
              </w:rPr>
              <w:t>21</w:t>
            </w:r>
          </w:p>
        </w:tc>
        <w:tc>
          <w:tcPr>
            <w:tcW w:w="520" w:type="dxa"/>
            <w:noWrap/>
            <w:hideMark/>
          </w:tcPr>
          <w:p w:rsidR="00E7383B" w:rsidRPr="00C031AA" w:rsidRDefault="00E7383B" w:rsidP="00786AFD">
            <w:pPr>
              <w:jc w:val="right"/>
              <w:rPr>
                <w:color w:val="000000"/>
                <w:sz w:val="20"/>
              </w:rPr>
            </w:pPr>
            <w:r w:rsidRPr="00C031AA">
              <w:rPr>
                <w:color w:val="000000"/>
                <w:sz w:val="20"/>
              </w:rPr>
              <w:t>30</w:t>
            </w:r>
          </w:p>
        </w:tc>
        <w:tc>
          <w:tcPr>
            <w:tcW w:w="520" w:type="dxa"/>
            <w:noWrap/>
            <w:hideMark/>
          </w:tcPr>
          <w:p w:rsidR="00E7383B" w:rsidRPr="00C031AA" w:rsidRDefault="00E7383B" w:rsidP="00786AFD">
            <w:pPr>
              <w:jc w:val="right"/>
              <w:rPr>
                <w:color w:val="000000"/>
                <w:sz w:val="20"/>
              </w:rPr>
            </w:pPr>
            <w:r w:rsidRPr="00C031AA">
              <w:rPr>
                <w:color w:val="000000"/>
                <w:sz w:val="20"/>
              </w:rPr>
              <w:t>60</w:t>
            </w:r>
          </w:p>
        </w:tc>
        <w:tc>
          <w:tcPr>
            <w:tcW w:w="520" w:type="dxa"/>
            <w:noWrap/>
            <w:hideMark/>
          </w:tcPr>
          <w:p w:rsidR="00E7383B" w:rsidRPr="00C031AA" w:rsidRDefault="00E7383B" w:rsidP="00786AFD">
            <w:pPr>
              <w:jc w:val="right"/>
              <w:rPr>
                <w:color w:val="000000"/>
                <w:sz w:val="20"/>
              </w:rPr>
            </w:pPr>
            <w:r w:rsidRPr="00C031AA">
              <w:rPr>
                <w:color w:val="000000"/>
                <w:sz w:val="20"/>
              </w:rPr>
              <w:t>40</w:t>
            </w:r>
          </w:p>
        </w:tc>
        <w:tc>
          <w:tcPr>
            <w:tcW w:w="520" w:type="dxa"/>
            <w:noWrap/>
            <w:hideMark/>
          </w:tcPr>
          <w:p w:rsidR="00E7383B" w:rsidRPr="00C031AA" w:rsidRDefault="00E7383B" w:rsidP="00786AFD">
            <w:pPr>
              <w:jc w:val="right"/>
              <w:rPr>
                <w:color w:val="000000"/>
                <w:sz w:val="20"/>
              </w:rPr>
            </w:pPr>
            <w:r w:rsidRPr="00C031AA">
              <w:rPr>
                <w:color w:val="000000"/>
                <w:sz w:val="20"/>
              </w:rPr>
              <w:t>44</w:t>
            </w:r>
          </w:p>
        </w:tc>
        <w:tc>
          <w:tcPr>
            <w:tcW w:w="520" w:type="dxa"/>
            <w:noWrap/>
            <w:hideMark/>
          </w:tcPr>
          <w:p w:rsidR="00E7383B" w:rsidRPr="00C031AA" w:rsidRDefault="00E7383B" w:rsidP="00786AFD">
            <w:pPr>
              <w:jc w:val="right"/>
              <w:rPr>
                <w:color w:val="000000"/>
                <w:sz w:val="20"/>
              </w:rPr>
            </w:pPr>
            <w:r w:rsidRPr="00C031AA">
              <w:rPr>
                <w:color w:val="000000"/>
                <w:sz w:val="20"/>
              </w:rPr>
              <w:t>40</w:t>
            </w:r>
          </w:p>
        </w:tc>
        <w:tc>
          <w:tcPr>
            <w:tcW w:w="520" w:type="dxa"/>
            <w:noWrap/>
            <w:hideMark/>
          </w:tcPr>
          <w:p w:rsidR="00E7383B" w:rsidRPr="00C031AA" w:rsidRDefault="00E7383B" w:rsidP="00786AFD">
            <w:pPr>
              <w:jc w:val="right"/>
              <w:rPr>
                <w:color w:val="000000"/>
                <w:sz w:val="20"/>
              </w:rPr>
            </w:pPr>
            <w:r w:rsidRPr="00C031AA">
              <w:rPr>
                <w:color w:val="000000"/>
                <w:sz w:val="20"/>
              </w:rPr>
              <w:t>54</w:t>
            </w:r>
          </w:p>
        </w:tc>
        <w:tc>
          <w:tcPr>
            <w:tcW w:w="520" w:type="dxa"/>
            <w:tcBorders>
              <w:right w:val="single" w:sz="8" w:space="0" w:color="auto"/>
            </w:tcBorders>
            <w:noWrap/>
            <w:hideMark/>
          </w:tcPr>
          <w:p w:rsidR="00E7383B" w:rsidRPr="00C031AA" w:rsidRDefault="00E7383B" w:rsidP="00786AFD">
            <w:pPr>
              <w:jc w:val="right"/>
              <w:rPr>
                <w:color w:val="000000"/>
                <w:sz w:val="20"/>
              </w:rPr>
            </w:pPr>
            <w:r w:rsidRPr="00C031AA">
              <w:rPr>
                <w:color w:val="000000"/>
                <w:sz w:val="20"/>
              </w:rPr>
              <w:t>84</w:t>
            </w:r>
          </w:p>
        </w:tc>
        <w:tc>
          <w:tcPr>
            <w:tcW w:w="520" w:type="dxa"/>
            <w:tcBorders>
              <w:left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383</w:t>
            </w:r>
          </w:p>
        </w:tc>
      </w:tr>
      <w:tr w:rsidR="00E7383B" w:rsidRPr="00C031AA" w:rsidTr="00D31095">
        <w:trPr>
          <w:trHeight w:val="255"/>
        </w:trPr>
        <w:tc>
          <w:tcPr>
            <w:tcW w:w="820" w:type="dxa"/>
            <w:tcBorders>
              <w:left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FI</w:t>
            </w:r>
          </w:p>
        </w:tc>
        <w:tc>
          <w:tcPr>
            <w:tcW w:w="520" w:type="dxa"/>
            <w:tcBorders>
              <w:left w:val="single" w:sz="8" w:space="0" w:color="auto"/>
            </w:tcBorders>
            <w:noWrap/>
            <w:hideMark/>
          </w:tcPr>
          <w:p w:rsidR="00E7383B" w:rsidRPr="00C031AA" w:rsidRDefault="00E7383B" w:rsidP="00786AFD">
            <w:pPr>
              <w:rPr>
                <w:color w:val="000000"/>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jc w:val="right"/>
              <w:rPr>
                <w:color w:val="000000"/>
                <w:sz w:val="20"/>
              </w:rPr>
            </w:pPr>
            <w:r w:rsidRPr="00C031AA">
              <w:rPr>
                <w:color w:val="000000"/>
                <w:sz w:val="20"/>
              </w:rPr>
              <w:t>1</w:t>
            </w:r>
          </w:p>
        </w:tc>
        <w:tc>
          <w:tcPr>
            <w:tcW w:w="520" w:type="dxa"/>
            <w:noWrap/>
            <w:hideMark/>
          </w:tcPr>
          <w:p w:rsidR="00E7383B" w:rsidRPr="00C031AA" w:rsidRDefault="00E7383B" w:rsidP="00786AFD">
            <w:pPr>
              <w:jc w:val="right"/>
              <w:rPr>
                <w:color w:val="000000"/>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tcBorders>
              <w:right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left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1</w:t>
            </w:r>
          </w:p>
        </w:tc>
      </w:tr>
      <w:tr w:rsidR="00E7383B" w:rsidRPr="00C031AA" w:rsidTr="00D31095">
        <w:trPr>
          <w:trHeight w:val="255"/>
        </w:trPr>
        <w:tc>
          <w:tcPr>
            <w:tcW w:w="820" w:type="dxa"/>
            <w:tcBorders>
              <w:left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RU</w:t>
            </w:r>
          </w:p>
        </w:tc>
        <w:tc>
          <w:tcPr>
            <w:tcW w:w="520" w:type="dxa"/>
            <w:tcBorders>
              <w:left w:val="single" w:sz="8" w:space="0" w:color="auto"/>
            </w:tcBorders>
            <w:noWrap/>
            <w:hideMark/>
          </w:tcPr>
          <w:p w:rsidR="00E7383B" w:rsidRPr="00C031AA" w:rsidRDefault="00E7383B" w:rsidP="00786AFD">
            <w:pPr>
              <w:jc w:val="right"/>
              <w:rPr>
                <w:color w:val="000000"/>
                <w:sz w:val="20"/>
              </w:rPr>
            </w:pPr>
            <w:r w:rsidRPr="00C031AA">
              <w:rPr>
                <w:color w:val="000000"/>
                <w:sz w:val="20"/>
              </w:rPr>
              <w:t>23</w:t>
            </w:r>
          </w:p>
        </w:tc>
        <w:tc>
          <w:tcPr>
            <w:tcW w:w="520" w:type="dxa"/>
            <w:noWrap/>
            <w:hideMark/>
          </w:tcPr>
          <w:p w:rsidR="00E7383B" w:rsidRPr="00C031AA" w:rsidRDefault="00E7383B" w:rsidP="00786AFD">
            <w:pPr>
              <w:jc w:val="right"/>
              <w:rPr>
                <w:color w:val="000000"/>
                <w:sz w:val="20"/>
              </w:rPr>
            </w:pPr>
            <w:r w:rsidRPr="00C031AA">
              <w:rPr>
                <w:color w:val="000000"/>
                <w:sz w:val="20"/>
              </w:rPr>
              <w:t>35</w:t>
            </w:r>
          </w:p>
        </w:tc>
        <w:tc>
          <w:tcPr>
            <w:tcW w:w="520" w:type="dxa"/>
            <w:noWrap/>
            <w:hideMark/>
          </w:tcPr>
          <w:p w:rsidR="00E7383B" w:rsidRPr="00C031AA" w:rsidRDefault="00E7383B" w:rsidP="00786AFD">
            <w:pPr>
              <w:jc w:val="right"/>
              <w:rPr>
                <w:color w:val="000000"/>
                <w:sz w:val="20"/>
              </w:rPr>
            </w:pPr>
            <w:r w:rsidRPr="00C031AA">
              <w:rPr>
                <w:color w:val="000000"/>
                <w:sz w:val="20"/>
              </w:rPr>
              <w:t>31</w:t>
            </w:r>
          </w:p>
        </w:tc>
        <w:tc>
          <w:tcPr>
            <w:tcW w:w="520" w:type="dxa"/>
            <w:noWrap/>
            <w:hideMark/>
          </w:tcPr>
          <w:p w:rsidR="00E7383B" w:rsidRPr="00C031AA" w:rsidRDefault="00E7383B" w:rsidP="00786AFD">
            <w:pPr>
              <w:jc w:val="right"/>
              <w:rPr>
                <w:color w:val="000000"/>
                <w:sz w:val="20"/>
              </w:rPr>
            </w:pPr>
            <w:r w:rsidRPr="00C031AA">
              <w:rPr>
                <w:color w:val="000000"/>
                <w:sz w:val="20"/>
              </w:rPr>
              <w:t>19</w:t>
            </w:r>
          </w:p>
        </w:tc>
        <w:tc>
          <w:tcPr>
            <w:tcW w:w="520" w:type="dxa"/>
            <w:noWrap/>
            <w:hideMark/>
          </w:tcPr>
          <w:p w:rsidR="00E7383B" w:rsidRPr="00C031AA" w:rsidRDefault="00E7383B" w:rsidP="00786AFD">
            <w:pPr>
              <w:jc w:val="right"/>
              <w:rPr>
                <w:color w:val="000000"/>
                <w:sz w:val="20"/>
              </w:rPr>
            </w:pPr>
            <w:r w:rsidRPr="00C031AA">
              <w:rPr>
                <w:color w:val="000000"/>
                <w:sz w:val="20"/>
              </w:rPr>
              <w:t>32</w:t>
            </w:r>
          </w:p>
        </w:tc>
        <w:tc>
          <w:tcPr>
            <w:tcW w:w="520" w:type="dxa"/>
            <w:noWrap/>
            <w:hideMark/>
          </w:tcPr>
          <w:p w:rsidR="00E7383B" w:rsidRPr="00C031AA" w:rsidRDefault="00E7383B" w:rsidP="00786AFD">
            <w:pPr>
              <w:jc w:val="right"/>
              <w:rPr>
                <w:color w:val="000000"/>
                <w:sz w:val="20"/>
              </w:rPr>
            </w:pPr>
            <w:r w:rsidRPr="00C031AA">
              <w:rPr>
                <w:color w:val="000000"/>
                <w:sz w:val="20"/>
              </w:rPr>
              <w:t>46</w:t>
            </w:r>
          </w:p>
        </w:tc>
        <w:tc>
          <w:tcPr>
            <w:tcW w:w="520" w:type="dxa"/>
            <w:noWrap/>
            <w:hideMark/>
          </w:tcPr>
          <w:p w:rsidR="00E7383B" w:rsidRPr="00C031AA" w:rsidRDefault="00E7383B" w:rsidP="00786AFD">
            <w:pPr>
              <w:jc w:val="right"/>
              <w:rPr>
                <w:color w:val="000000"/>
                <w:sz w:val="20"/>
              </w:rPr>
            </w:pPr>
            <w:r w:rsidRPr="00C031AA">
              <w:rPr>
                <w:color w:val="000000"/>
                <w:sz w:val="20"/>
              </w:rPr>
              <w:t>22</w:t>
            </w:r>
          </w:p>
        </w:tc>
        <w:tc>
          <w:tcPr>
            <w:tcW w:w="520" w:type="dxa"/>
            <w:noWrap/>
            <w:hideMark/>
          </w:tcPr>
          <w:p w:rsidR="00E7383B" w:rsidRPr="00C031AA" w:rsidRDefault="00E7383B" w:rsidP="00786AFD">
            <w:pPr>
              <w:jc w:val="right"/>
              <w:rPr>
                <w:color w:val="000000"/>
                <w:sz w:val="20"/>
              </w:rPr>
            </w:pPr>
            <w:r w:rsidRPr="00C031AA">
              <w:rPr>
                <w:color w:val="000000"/>
                <w:sz w:val="20"/>
              </w:rPr>
              <w:t>2</w:t>
            </w:r>
          </w:p>
        </w:tc>
        <w:tc>
          <w:tcPr>
            <w:tcW w:w="520" w:type="dxa"/>
            <w:noWrap/>
            <w:hideMark/>
          </w:tcPr>
          <w:p w:rsidR="00E7383B" w:rsidRPr="00C031AA" w:rsidRDefault="00E7383B" w:rsidP="00786AFD">
            <w:pPr>
              <w:jc w:val="right"/>
              <w:rPr>
                <w:color w:val="000000"/>
                <w:sz w:val="20"/>
              </w:rPr>
            </w:pPr>
            <w:r w:rsidRPr="00C031AA">
              <w:rPr>
                <w:color w:val="000000"/>
                <w:sz w:val="20"/>
              </w:rPr>
              <w:t>6</w:t>
            </w:r>
          </w:p>
        </w:tc>
        <w:tc>
          <w:tcPr>
            <w:tcW w:w="520" w:type="dxa"/>
            <w:noWrap/>
            <w:hideMark/>
          </w:tcPr>
          <w:p w:rsidR="00E7383B" w:rsidRPr="00C031AA" w:rsidRDefault="00E7383B" w:rsidP="00786AFD">
            <w:pPr>
              <w:jc w:val="right"/>
              <w:rPr>
                <w:color w:val="000000"/>
                <w:sz w:val="20"/>
              </w:rPr>
            </w:pPr>
          </w:p>
        </w:tc>
        <w:tc>
          <w:tcPr>
            <w:tcW w:w="520" w:type="dxa"/>
            <w:tcBorders>
              <w:right w:val="single" w:sz="8" w:space="0" w:color="auto"/>
            </w:tcBorders>
            <w:noWrap/>
            <w:hideMark/>
          </w:tcPr>
          <w:p w:rsidR="00E7383B" w:rsidRPr="00C031AA" w:rsidRDefault="00E7383B" w:rsidP="00786AFD">
            <w:pPr>
              <w:jc w:val="right"/>
              <w:rPr>
                <w:color w:val="000000"/>
                <w:sz w:val="20"/>
              </w:rPr>
            </w:pPr>
            <w:r w:rsidRPr="00C031AA">
              <w:rPr>
                <w:color w:val="000000"/>
                <w:sz w:val="20"/>
              </w:rPr>
              <w:t>2</w:t>
            </w:r>
          </w:p>
        </w:tc>
        <w:tc>
          <w:tcPr>
            <w:tcW w:w="520" w:type="dxa"/>
            <w:tcBorders>
              <w:left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218</w:t>
            </w:r>
          </w:p>
        </w:tc>
      </w:tr>
      <w:tr w:rsidR="00E7383B" w:rsidRPr="00C031AA" w:rsidTr="00D31095">
        <w:trPr>
          <w:trHeight w:val="255"/>
        </w:trPr>
        <w:tc>
          <w:tcPr>
            <w:tcW w:w="820" w:type="dxa"/>
            <w:tcBorders>
              <w:left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SE</w:t>
            </w:r>
          </w:p>
        </w:tc>
        <w:tc>
          <w:tcPr>
            <w:tcW w:w="520" w:type="dxa"/>
            <w:tcBorders>
              <w:left w:val="single" w:sz="8" w:space="0" w:color="auto"/>
            </w:tcBorders>
            <w:noWrap/>
            <w:hideMark/>
          </w:tcPr>
          <w:p w:rsidR="00E7383B" w:rsidRPr="00C031AA" w:rsidRDefault="00E7383B" w:rsidP="00786AFD">
            <w:pPr>
              <w:jc w:val="right"/>
              <w:rPr>
                <w:color w:val="000000"/>
                <w:sz w:val="20"/>
              </w:rPr>
            </w:pPr>
            <w:r w:rsidRPr="00C031AA">
              <w:rPr>
                <w:color w:val="000000"/>
                <w:sz w:val="20"/>
              </w:rPr>
              <w:t>2</w:t>
            </w:r>
          </w:p>
        </w:tc>
        <w:tc>
          <w:tcPr>
            <w:tcW w:w="520" w:type="dxa"/>
            <w:noWrap/>
            <w:hideMark/>
          </w:tcPr>
          <w:p w:rsidR="00E7383B" w:rsidRPr="00C031AA" w:rsidRDefault="00E7383B" w:rsidP="00786AFD">
            <w:pPr>
              <w:jc w:val="right"/>
              <w:rPr>
                <w:color w:val="000000"/>
                <w:sz w:val="20"/>
              </w:rPr>
            </w:pPr>
            <w:r w:rsidRPr="00C031AA">
              <w:rPr>
                <w:color w:val="000000"/>
                <w:sz w:val="20"/>
              </w:rPr>
              <w:t>2</w:t>
            </w:r>
          </w:p>
        </w:tc>
        <w:tc>
          <w:tcPr>
            <w:tcW w:w="520" w:type="dxa"/>
            <w:noWrap/>
            <w:hideMark/>
          </w:tcPr>
          <w:p w:rsidR="00E7383B" w:rsidRPr="00C031AA" w:rsidRDefault="00E7383B" w:rsidP="00786AFD">
            <w:pPr>
              <w:jc w:val="right"/>
              <w:rPr>
                <w:color w:val="000000"/>
                <w:sz w:val="20"/>
              </w:rPr>
            </w:pPr>
            <w:r w:rsidRPr="00C031AA">
              <w:rPr>
                <w:color w:val="000000"/>
                <w:sz w:val="20"/>
              </w:rPr>
              <w:t>2</w:t>
            </w:r>
          </w:p>
        </w:tc>
        <w:tc>
          <w:tcPr>
            <w:tcW w:w="520" w:type="dxa"/>
            <w:noWrap/>
            <w:hideMark/>
          </w:tcPr>
          <w:p w:rsidR="00E7383B" w:rsidRPr="00C031AA" w:rsidRDefault="00E7383B" w:rsidP="00786AFD">
            <w:pPr>
              <w:jc w:val="right"/>
              <w:rPr>
                <w:color w:val="000000"/>
                <w:sz w:val="20"/>
              </w:rPr>
            </w:pPr>
          </w:p>
        </w:tc>
        <w:tc>
          <w:tcPr>
            <w:tcW w:w="520" w:type="dxa"/>
            <w:noWrap/>
            <w:hideMark/>
          </w:tcPr>
          <w:p w:rsidR="00E7383B" w:rsidRPr="00C031AA" w:rsidRDefault="00E7383B" w:rsidP="00786AFD">
            <w:pPr>
              <w:jc w:val="right"/>
              <w:rPr>
                <w:color w:val="000000"/>
                <w:sz w:val="20"/>
              </w:rPr>
            </w:pPr>
            <w:r w:rsidRPr="00C031AA">
              <w:rPr>
                <w:color w:val="000000"/>
                <w:sz w:val="20"/>
              </w:rPr>
              <w:t>2</w:t>
            </w:r>
          </w:p>
        </w:tc>
        <w:tc>
          <w:tcPr>
            <w:tcW w:w="520" w:type="dxa"/>
            <w:noWrap/>
            <w:hideMark/>
          </w:tcPr>
          <w:p w:rsidR="00E7383B" w:rsidRPr="00C031AA" w:rsidRDefault="00E7383B" w:rsidP="00786AFD">
            <w:pPr>
              <w:jc w:val="right"/>
              <w:rPr>
                <w:color w:val="000000"/>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jc w:val="right"/>
              <w:rPr>
                <w:color w:val="000000"/>
                <w:sz w:val="20"/>
              </w:rPr>
            </w:pPr>
            <w:r w:rsidRPr="00C031AA">
              <w:rPr>
                <w:color w:val="000000"/>
                <w:sz w:val="20"/>
              </w:rPr>
              <w:t>3</w:t>
            </w:r>
          </w:p>
        </w:tc>
        <w:tc>
          <w:tcPr>
            <w:tcW w:w="520" w:type="dxa"/>
            <w:tcBorders>
              <w:right w:val="single" w:sz="8" w:space="0" w:color="auto"/>
            </w:tcBorders>
            <w:noWrap/>
            <w:hideMark/>
          </w:tcPr>
          <w:p w:rsidR="00E7383B" w:rsidRPr="00C031AA" w:rsidRDefault="00E7383B" w:rsidP="00786AFD">
            <w:pPr>
              <w:jc w:val="right"/>
              <w:rPr>
                <w:color w:val="000000"/>
                <w:sz w:val="20"/>
              </w:rPr>
            </w:pPr>
            <w:r w:rsidRPr="00C031AA">
              <w:rPr>
                <w:color w:val="000000"/>
                <w:sz w:val="20"/>
              </w:rPr>
              <w:t>1</w:t>
            </w:r>
          </w:p>
        </w:tc>
        <w:tc>
          <w:tcPr>
            <w:tcW w:w="520" w:type="dxa"/>
            <w:tcBorders>
              <w:left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12</w:t>
            </w:r>
          </w:p>
        </w:tc>
      </w:tr>
      <w:tr w:rsidR="00E7383B" w:rsidRPr="00C031AA" w:rsidTr="00D31095">
        <w:trPr>
          <w:trHeight w:val="255"/>
        </w:trPr>
        <w:tc>
          <w:tcPr>
            <w:tcW w:w="820" w:type="dxa"/>
            <w:tcBorders>
              <w:left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SG</w:t>
            </w:r>
          </w:p>
        </w:tc>
        <w:tc>
          <w:tcPr>
            <w:tcW w:w="520" w:type="dxa"/>
            <w:tcBorders>
              <w:left w:val="single" w:sz="8" w:space="0" w:color="auto"/>
            </w:tcBorders>
            <w:noWrap/>
            <w:hideMark/>
          </w:tcPr>
          <w:p w:rsidR="00E7383B" w:rsidRPr="00C031AA" w:rsidRDefault="00E7383B" w:rsidP="00786AFD">
            <w:pPr>
              <w:rPr>
                <w:color w:val="000000"/>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jc w:val="right"/>
              <w:rPr>
                <w:color w:val="000000"/>
                <w:sz w:val="20"/>
              </w:rPr>
            </w:pPr>
            <w:r w:rsidRPr="00C031AA">
              <w:rPr>
                <w:color w:val="000000"/>
                <w:sz w:val="20"/>
              </w:rPr>
              <w:t>1</w:t>
            </w:r>
          </w:p>
        </w:tc>
        <w:tc>
          <w:tcPr>
            <w:tcW w:w="520" w:type="dxa"/>
            <w:noWrap/>
            <w:hideMark/>
          </w:tcPr>
          <w:p w:rsidR="00E7383B" w:rsidRPr="00C031AA" w:rsidRDefault="00E7383B" w:rsidP="00786AFD">
            <w:pPr>
              <w:jc w:val="right"/>
              <w:rPr>
                <w:color w:val="000000"/>
                <w:sz w:val="20"/>
              </w:rPr>
            </w:pPr>
          </w:p>
        </w:tc>
        <w:tc>
          <w:tcPr>
            <w:tcW w:w="520" w:type="dxa"/>
            <w:noWrap/>
            <w:hideMark/>
          </w:tcPr>
          <w:p w:rsidR="00E7383B" w:rsidRPr="00C031AA" w:rsidRDefault="00E7383B" w:rsidP="00786AFD">
            <w:pPr>
              <w:jc w:val="right"/>
              <w:rPr>
                <w:color w:val="000000"/>
                <w:sz w:val="20"/>
              </w:rPr>
            </w:pPr>
            <w:r w:rsidRPr="00C031AA">
              <w:rPr>
                <w:color w:val="000000"/>
                <w:sz w:val="20"/>
              </w:rPr>
              <w:t>3</w:t>
            </w:r>
          </w:p>
        </w:tc>
        <w:tc>
          <w:tcPr>
            <w:tcW w:w="520" w:type="dxa"/>
            <w:tcBorders>
              <w:right w:val="single" w:sz="8" w:space="0" w:color="auto"/>
            </w:tcBorders>
            <w:noWrap/>
            <w:hideMark/>
          </w:tcPr>
          <w:p w:rsidR="00E7383B" w:rsidRPr="00C031AA" w:rsidRDefault="00E7383B" w:rsidP="00786AFD">
            <w:pPr>
              <w:jc w:val="right"/>
              <w:rPr>
                <w:color w:val="000000"/>
                <w:sz w:val="20"/>
              </w:rPr>
            </w:pPr>
            <w:r w:rsidRPr="00C031AA">
              <w:rPr>
                <w:color w:val="000000"/>
                <w:sz w:val="20"/>
              </w:rPr>
              <w:t>3</w:t>
            </w:r>
          </w:p>
        </w:tc>
        <w:tc>
          <w:tcPr>
            <w:tcW w:w="520" w:type="dxa"/>
            <w:tcBorders>
              <w:left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7</w:t>
            </w:r>
          </w:p>
        </w:tc>
      </w:tr>
      <w:tr w:rsidR="00E7383B" w:rsidRPr="00C031AA" w:rsidTr="00D31095">
        <w:trPr>
          <w:trHeight w:val="255"/>
        </w:trPr>
        <w:tc>
          <w:tcPr>
            <w:tcW w:w="820" w:type="dxa"/>
            <w:tcBorders>
              <w:left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TR</w:t>
            </w:r>
          </w:p>
        </w:tc>
        <w:tc>
          <w:tcPr>
            <w:tcW w:w="520" w:type="dxa"/>
            <w:tcBorders>
              <w:left w:val="single" w:sz="8" w:space="0" w:color="auto"/>
            </w:tcBorders>
            <w:noWrap/>
            <w:hideMark/>
          </w:tcPr>
          <w:p w:rsidR="00E7383B" w:rsidRPr="00C031AA" w:rsidRDefault="00E7383B" w:rsidP="00786AFD">
            <w:pPr>
              <w:rPr>
                <w:color w:val="000000"/>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jc w:val="right"/>
              <w:rPr>
                <w:color w:val="000000"/>
                <w:sz w:val="20"/>
              </w:rPr>
            </w:pPr>
            <w:r w:rsidRPr="00C031AA">
              <w:rPr>
                <w:color w:val="000000"/>
                <w:sz w:val="20"/>
              </w:rPr>
              <w:t>1</w:t>
            </w:r>
          </w:p>
        </w:tc>
        <w:tc>
          <w:tcPr>
            <w:tcW w:w="520" w:type="dxa"/>
            <w:tcBorders>
              <w:right w:val="single" w:sz="8" w:space="0" w:color="auto"/>
            </w:tcBorders>
            <w:noWrap/>
            <w:hideMark/>
          </w:tcPr>
          <w:p w:rsidR="00E7383B" w:rsidRPr="00C031AA" w:rsidRDefault="00E7383B" w:rsidP="00786AFD">
            <w:pPr>
              <w:jc w:val="right"/>
              <w:rPr>
                <w:color w:val="000000"/>
                <w:sz w:val="20"/>
              </w:rPr>
            </w:pPr>
            <w:r w:rsidRPr="00C031AA">
              <w:rPr>
                <w:color w:val="000000"/>
                <w:sz w:val="20"/>
              </w:rPr>
              <w:t>2</w:t>
            </w:r>
          </w:p>
        </w:tc>
        <w:tc>
          <w:tcPr>
            <w:tcW w:w="520" w:type="dxa"/>
            <w:tcBorders>
              <w:left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3</w:t>
            </w:r>
          </w:p>
        </w:tc>
      </w:tr>
      <w:tr w:rsidR="00E7383B" w:rsidRPr="00C031AA" w:rsidTr="00D31095">
        <w:trPr>
          <w:trHeight w:val="255"/>
        </w:trPr>
        <w:tc>
          <w:tcPr>
            <w:tcW w:w="820" w:type="dxa"/>
            <w:tcBorders>
              <w:left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UA</w:t>
            </w:r>
          </w:p>
        </w:tc>
        <w:tc>
          <w:tcPr>
            <w:tcW w:w="520" w:type="dxa"/>
            <w:tcBorders>
              <w:left w:val="single" w:sz="8" w:space="0" w:color="auto"/>
            </w:tcBorders>
            <w:noWrap/>
            <w:hideMark/>
          </w:tcPr>
          <w:p w:rsidR="00E7383B" w:rsidRPr="00C031AA" w:rsidRDefault="00E7383B" w:rsidP="00786AFD">
            <w:pPr>
              <w:rPr>
                <w:color w:val="000000"/>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jc w:val="right"/>
              <w:rPr>
                <w:color w:val="000000"/>
                <w:sz w:val="20"/>
              </w:rPr>
            </w:pPr>
            <w:r w:rsidRPr="00C031AA">
              <w:rPr>
                <w:color w:val="000000"/>
                <w:sz w:val="20"/>
              </w:rPr>
              <w:t>2</w:t>
            </w:r>
          </w:p>
        </w:tc>
        <w:tc>
          <w:tcPr>
            <w:tcW w:w="520" w:type="dxa"/>
            <w:noWrap/>
            <w:hideMark/>
          </w:tcPr>
          <w:p w:rsidR="00E7383B" w:rsidRPr="00C031AA" w:rsidRDefault="00E7383B" w:rsidP="00786AFD">
            <w:pPr>
              <w:jc w:val="right"/>
              <w:rPr>
                <w:color w:val="000000"/>
                <w:sz w:val="20"/>
              </w:rPr>
            </w:pPr>
            <w:r w:rsidRPr="00C031AA">
              <w:rPr>
                <w:color w:val="000000"/>
                <w:sz w:val="20"/>
              </w:rPr>
              <w:t>1</w:t>
            </w:r>
          </w:p>
        </w:tc>
        <w:tc>
          <w:tcPr>
            <w:tcW w:w="520" w:type="dxa"/>
            <w:tcBorders>
              <w:right w:val="single" w:sz="8" w:space="0" w:color="auto"/>
            </w:tcBorders>
            <w:noWrap/>
            <w:hideMark/>
          </w:tcPr>
          <w:p w:rsidR="00E7383B" w:rsidRPr="00C031AA" w:rsidRDefault="00E7383B" w:rsidP="00786AFD">
            <w:pPr>
              <w:jc w:val="right"/>
              <w:rPr>
                <w:color w:val="000000"/>
                <w:sz w:val="20"/>
              </w:rPr>
            </w:pPr>
            <w:r w:rsidRPr="00C031AA">
              <w:rPr>
                <w:color w:val="000000"/>
                <w:sz w:val="20"/>
              </w:rPr>
              <w:t>4</w:t>
            </w:r>
          </w:p>
        </w:tc>
        <w:tc>
          <w:tcPr>
            <w:tcW w:w="520" w:type="dxa"/>
            <w:tcBorders>
              <w:left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7</w:t>
            </w:r>
          </w:p>
        </w:tc>
      </w:tr>
      <w:tr w:rsidR="00E7383B" w:rsidRPr="00C031AA" w:rsidTr="00D31095">
        <w:trPr>
          <w:trHeight w:val="255"/>
        </w:trPr>
        <w:tc>
          <w:tcPr>
            <w:tcW w:w="820" w:type="dxa"/>
            <w:tcBorders>
              <w:left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XN</w:t>
            </w:r>
          </w:p>
        </w:tc>
        <w:tc>
          <w:tcPr>
            <w:tcW w:w="520" w:type="dxa"/>
            <w:tcBorders>
              <w:left w:val="single" w:sz="8" w:space="0" w:color="auto"/>
            </w:tcBorders>
            <w:noWrap/>
            <w:hideMark/>
          </w:tcPr>
          <w:p w:rsidR="00E7383B" w:rsidRPr="00C031AA" w:rsidRDefault="00E7383B" w:rsidP="00786AFD">
            <w:pPr>
              <w:rPr>
                <w:color w:val="000000"/>
                <w:sz w:val="20"/>
              </w:rPr>
            </w:pPr>
          </w:p>
        </w:tc>
        <w:tc>
          <w:tcPr>
            <w:tcW w:w="520" w:type="dxa"/>
            <w:noWrap/>
            <w:hideMark/>
          </w:tcPr>
          <w:p w:rsidR="00E7383B" w:rsidRPr="00C031AA" w:rsidRDefault="00E7383B" w:rsidP="00786AFD">
            <w:pPr>
              <w:jc w:val="right"/>
              <w:rPr>
                <w:color w:val="000000"/>
                <w:sz w:val="20"/>
              </w:rPr>
            </w:pPr>
            <w:r w:rsidRPr="00C031AA">
              <w:rPr>
                <w:color w:val="000000"/>
                <w:sz w:val="20"/>
              </w:rPr>
              <w:t>1</w:t>
            </w:r>
          </w:p>
        </w:tc>
        <w:tc>
          <w:tcPr>
            <w:tcW w:w="520" w:type="dxa"/>
            <w:noWrap/>
            <w:hideMark/>
          </w:tcPr>
          <w:p w:rsidR="00E7383B" w:rsidRPr="00C031AA" w:rsidRDefault="00E7383B" w:rsidP="00786AFD">
            <w:pPr>
              <w:jc w:val="right"/>
              <w:rPr>
                <w:color w:val="000000"/>
                <w:sz w:val="20"/>
              </w:rPr>
            </w:pPr>
          </w:p>
        </w:tc>
        <w:tc>
          <w:tcPr>
            <w:tcW w:w="520" w:type="dxa"/>
            <w:noWrap/>
            <w:hideMark/>
          </w:tcPr>
          <w:p w:rsidR="00E7383B" w:rsidRPr="00C031AA" w:rsidRDefault="00E7383B" w:rsidP="00786AFD">
            <w:pPr>
              <w:jc w:val="right"/>
              <w:rPr>
                <w:color w:val="000000"/>
                <w:sz w:val="20"/>
              </w:rPr>
            </w:pPr>
            <w:r w:rsidRPr="00C031AA">
              <w:rPr>
                <w:color w:val="000000"/>
                <w:sz w:val="20"/>
              </w:rPr>
              <w:t>2</w:t>
            </w:r>
          </w:p>
        </w:tc>
        <w:tc>
          <w:tcPr>
            <w:tcW w:w="520" w:type="dxa"/>
            <w:noWrap/>
            <w:hideMark/>
          </w:tcPr>
          <w:p w:rsidR="00E7383B" w:rsidRPr="00C031AA" w:rsidRDefault="00E7383B" w:rsidP="00786AFD">
            <w:pPr>
              <w:jc w:val="right"/>
              <w:rPr>
                <w:color w:val="000000"/>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noWrap/>
            <w:hideMark/>
          </w:tcPr>
          <w:p w:rsidR="00E7383B" w:rsidRPr="00C031AA" w:rsidRDefault="00E7383B" w:rsidP="00786AFD">
            <w:pPr>
              <w:rPr>
                <w:rFonts w:ascii="Times New Roman" w:hAnsi="Times New Roman" w:cs="Times New Roman"/>
                <w:sz w:val="20"/>
              </w:rPr>
            </w:pPr>
          </w:p>
        </w:tc>
        <w:tc>
          <w:tcPr>
            <w:tcW w:w="520" w:type="dxa"/>
            <w:tcBorders>
              <w:right w:val="single" w:sz="8" w:space="0" w:color="auto"/>
            </w:tcBorders>
            <w:noWrap/>
            <w:hideMark/>
          </w:tcPr>
          <w:p w:rsidR="00E7383B" w:rsidRPr="00C031AA" w:rsidRDefault="00E7383B" w:rsidP="00786AFD">
            <w:pPr>
              <w:jc w:val="right"/>
              <w:rPr>
                <w:color w:val="000000"/>
                <w:sz w:val="20"/>
              </w:rPr>
            </w:pPr>
            <w:r w:rsidRPr="00C031AA">
              <w:rPr>
                <w:color w:val="000000"/>
                <w:sz w:val="20"/>
              </w:rPr>
              <w:t>2</w:t>
            </w:r>
          </w:p>
        </w:tc>
        <w:tc>
          <w:tcPr>
            <w:tcW w:w="520" w:type="dxa"/>
            <w:tcBorders>
              <w:left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5</w:t>
            </w:r>
          </w:p>
        </w:tc>
      </w:tr>
      <w:tr w:rsidR="00E7383B" w:rsidRPr="00C031AA" w:rsidTr="00D31095">
        <w:trPr>
          <w:trHeight w:val="255"/>
        </w:trPr>
        <w:tc>
          <w:tcPr>
            <w:tcW w:w="820" w:type="dxa"/>
            <w:tcBorders>
              <w:left w:val="single" w:sz="8" w:space="0" w:color="auto"/>
              <w:bottom w:val="single" w:sz="8" w:space="0" w:color="auto"/>
              <w:right w:val="single" w:sz="8" w:space="0" w:color="auto"/>
            </w:tcBorders>
            <w:noWrap/>
            <w:hideMark/>
          </w:tcPr>
          <w:p w:rsidR="00E7383B" w:rsidRPr="00C031AA" w:rsidRDefault="00E7383B" w:rsidP="00786AFD">
            <w:pPr>
              <w:rPr>
                <w:color w:val="000000"/>
                <w:sz w:val="20"/>
              </w:rPr>
            </w:pPr>
            <w:r w:rsidRPr="00C031AA">
              <w:rPr>
                <w:color w:val="000000"/>
                <w:sz w:val="20"/>
              </w:rPr>
              <w:t>XV</w:t>
            </w:r>
          </w:p>
        </w:tc>
        <w:tc>
          <w:tcPr>
            <w:tcW w:w="520" w:type="dxa"/>
            <w:tcBorders>
              <w:left w:val="single" w:sz="8" w:space="0" w:color="auto"/>
              <w:bottom w:val="single" w:sz="8" w:space="0" w:color="auto"/>
            </w:tcBorders>
            <w:noWrap/>
            <w:hideMark/>
          </w:tcPr>
          <w:p w:rsidR="00E7383B" w:rsidRPr="00C031AA" w:rsidRDefault="00E7383B" w:rsidP="00786AFD">
            <w:pPr>
              <w:rPr>
                <w:color w:val="000000"/>
                <w:sz w:val="20"/>
              </w:rPr>
            </w:pPr>
          </w:p>
        </w:tc>
        <w:tc>
          <w:tcPr>
            <w:tcW w:w="520" w:type="dxa"/>
            <w:tcBorders>
              <w:bottom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bottom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bottom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bottom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bottom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bottom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bottom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bottom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bottom w:val="single" w:sz="8" w:space="0" w:color="auto"/>
            </w:tcBorders>
            <w:noWrap/>
            <w:hideMark/>
          </w:tcPr>
          <w:p w:rsidR="00E7383B" w:rsidRPr="00C031AA" w:rsidRDefault="00E7383B" w:rsidP="00786AFD">
            <w:pPr>
              <w:rPr>
                <w:rFonts w:ascii="Times New Roman" w:hAnsi="Times New Roman" w:cs="Times New Roman"/>
                <w:sz w:val="20"/>
              </w:rPr>
            </w:pPr>
          </w:p>
        </w:tc>
        <w:tc>
          <w:tcPr>
            <w:tcW w:w="520" w:type="dxa"/>
            <w:tcBorders>
              <w:bottom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2</w:t>
            </w:r>
          </w:p>
        </w:tc>
        <w:tc>
          <w:tcPr>
            <w:tcW w:w="520" w:type="dxa"/>
            <w:tcBorders>
              <w:left w:val="single" w:sz="8" w:space="0" w:color="auto"/>
              <w:bottom w:val="single" w:sz="8" w:space="0" w:color="auto"/>
              <w:right w:val="single" w:sz="8" w:space="0" w:color="auto"/>
            </w:tcBorders>
            <w:noWrap/>
            <w:hideMark/>
          </w:tcPr>
          <w:p w:rsidR="00E7383B" w:rsidRPr="00C031AA" w:rsidRDefault="00E7383B" w:rsidP="00786AFD">
            <w:pPr>
              <w:jc w:val="right"/>
              <w:rPr>
                <w:color w:val="000000"/>
                <w:sz w:val="20"/>
              </w:rPr>
            </w:pPr>
            <w:r w:rsidRPr="00C031AA">
              <w:rPr>
                <w:color w:val="000000"/>
                <w:sz w:val="20"/>
              </w:rPr>
              <w:t>2</w:t>
            </w:r>
          </w:p>
        </w:tc>
      </w:tr>
      <w:tr w:rsidR="00E7383B" w:rsidRPr="00C031AA" w:rsidTr="00D31095">
        <w:trPr>
          <w:trHeight w:val="255"/>
        </w:trPr>
        <w:tc>
          <w:tcPr>
            <w:tcW w:w="820" w:type="dxa"/>
            <w:tcBorders>
              <w:top w:val="single" w:sz="8" w:space="0" w:color="auto"/>
              <w:left w:val="single" w:sz="8" w:space="0" w:color="auto"/>
              <w:bottom w:val="single" w:sz="8" w:space="0" w:color="auto"/>
              <w:right w:val="single" w:sz="8" w:space="0" w:color="auto"/>
            </w:tcBorders>
            <w:noWrap/>
            <w:hideMark/>
          </w:tcPr>
          <w:p w:rsidR="00E7383B" w:rsidRPr="00C031AA" w:rsidRDefault="00E7383B" w:rsidP="00786AFD">
            <w:pPr>
              <w:rPr>
                <w:b/>
                <w:bCs/>
                <w:color w:val="000000"/>
                <w:sz w:val="20"/>
              </w:rPr>
            </w:pPr>
            <w:r w:rsidRPr="00C031AA">
              <w:rPr>
                <w:b/>
                <w:bCs/>
                <w:color w:val="000000"/>
                <w:sz w:val="20"/>
              </w:rPr>
              <w:t>Total</w:t>
            </w:r>
          </w:p>
        </w:tc>
        <w:tc>
          <w:tcPr>
            <w:tcW w:w="520" w:type="dxa"/>
            <w:tcBorders>
              <w:top w:val="single" w:sz="8" w:space="0" w:color="auto"/>
              <w:left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25</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41</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41</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45</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65</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108</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64</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47</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49</w:t>
            </w:r>
          </w:p>
        </w:tc>
        <w:tc>
          <w:tcPr>
            <w:tcW w:w="520" w:type="dxa"/>
            <w:tcBorders>
              <w:top w:val="single" w:sz="8" w:space="0" w:color="auto"/>
              <w:bottom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63</w:t>
            </w:r>
          </w:p>
        </w:tc>
        <w:tc>
          <w:tcPr>
            <w:tcW w:w="520" w:type="dxa"/>
            <w:tcBorders>
              <w:top w:val="single" w:sz="8" w:space="0" w:color="auto"/>
              <w:bottom w:val="single" w:sz="8" w:space="0" w:color="auto"/>
              <w:right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103</w:t>
            </w:r>
          </w:p>
        </w:tc>
        <w:tc>
          <w:tcPr>
            <w:tcW w:w="520" w:type="dxa"/>
            <w:tcBorders>
              <w:top w:val="single" w:sz="8" w:space="0" w:color="auto"/>
              <w:left w:val="single" w:sz="8" w:space="0" w:color="auto"/>
              <w:bottom w:val="single" w:sz="8" w:space="0" w:color="auto"/>
              <w:right w:val="single" w:sz="8" w:space="0" w:color="auto"/>
            </w:tcBorders>
            <w:noWrap/>
            <w:hideMark/>
          </w:tcPr>
          <w:p w:rsidR="00E7383B" w:rsidRPr="00C031AA" w:rsidRDefault="00E7383B" w:rsidP="00786AFD">
            <w:pPr>
              <w:jc w:val="right"/>
              <w:rPr>
                <w:b/>
                <w:bCs/>
                <w:color w:val="000000"/>
                <w:sz w:val="20"/>
              </w:rPr>
            </w:pPr>
            <w:r w:rsidRPr="00C031AA">
              <w:rPr>
                <w:b/>
                <w:bCs/>
                <w:color w:val="000000"/>
                <w:sz w:val="20"/>
              </w:rPr>
              <w:t>651</w:t>
            </w:r>
          </w:p>
        </w:tc>
      </w:tr>
    </w:tbl>
    <w:p w:rsidR="00E7383B" w:rsidRPr="00D31095" w:rsidRDefault="00E7383B" w:rsidP="00D31095">
      <w:pPr>
        <w:pStyle w:val="ONUME"/>
        <w:numPr>
          <w:ilvl w:val="0"/>
          <w:numId w:val="0"/>
        </w:numPr>
        <w:rPr>
          <w:i/>
        </w:rPr>
      </w:pPr>
      <w:r w:rsidRPr="00D31095">
        <w:rPr>
          <w:i/>
        </w:rPr>
        <w:t>Table 2:  Supplementary International Search Requests by Year (2019 showing figures to early November 2019)</w:t>
      </w:r>
    </w:p>
    <w:p w:rsidR="00CD052D" w:rsidRDefault="00FB6C9D" w:rsidP="00AA10BC">
      <w:pPr>
        <w:pStyle w:val="ONUME"/>
      </w:pPr>
      <w:r>
        <w:t>Overall, the uptake of supplementary international search has been very low, with the maximum number of requests in a single year barely exceeding 100.  These numbers are minuscule compared to the numb</w:t>
      </w:r>
      <w:r w:rsidR="00CD052D">
        <w:t>er of international search reports established</w:t>
      </w:r>
      <w:r w:rsidR="00AC2DA5">
        <w:t xml:space="preserve"> each year</w:t>
      </w:r>
      <w:r>
        <w:t xml:space="preserve">, </w:t>
      </w:r>
      <w:r w:rsidR="00CD052D">
        <w:t>which rose from 157,740 to 242,044</w:t>
      </w:r>
      <w:r>
        <w:t xml:space="preserve"> </w:t>
      </w:r>
      <w:r w:rsidR="00CD052D">
        <w:t>between 2009 and 2018.</w:t>
      </w:r>
      <w:r w:rsidR="00105947">
        <w:t xml:space="preserve">  It is apparent that the amendments to the PCT Regulations adopted in 2016 did not have any significant effect on the level of use.</w:t>
      </w:r>
    </w:p>
    <w:p w:rsidR="00CD052D" w:rsidRDefault="00CD052D" w:rsidP="00AA10BC">
      <w:pPr>
        <w:pStyle w:val="ONUME"/>
      </w:pPr>
      <w:r>
        <w:t>Looking more closely at Table 1, 76 per cent of all supplementary international search requests involve just two combinations:</w:t>
      </w:r>
    </w:p>
    <w:p w:rsidR="00CD052D" w:rsidRDefault="00CD052D" w:rsidP="00CD052D">
      <w:pPr>
        <w:pStyle w:val="ONUME"/>
        <w:numPr>
          <w:ilvl w:val="1"/>
          <w:numId w:val="5"/>
        </w:numPr>
      </w:pPr>
      <w:r>
        <w:t>ISA/CN and SISA/EP (297 requests;  45.6 per cent);  and</w:t>
      </w:r>
    </w:p>
    <w:p w:rsidR="00CD052D" w:rsidRDefault="00CD052D" w:rsidP="00CD052D">
      <w:pPr>
        <w:pStyle w:val="ONUME"/>
        <w:numPr>
          <w:ilvl w:val="1"/>
          <w:numId w:val="5"/>
        </w:numPr>
      </w:pPr>
      <w:r>
        <w:t>ISA/EP and SISA/RU (200 requests</w:t>
      </w:r>
      <w:proofErr w:type="gramStart"/>
      <w:r>
        <w:t>;  30.7</w:t>
      </w:r>
      <w:proofErr w:type="gramEnd"/>
      <w:r>
        <w:t> per cent).</w:t>
      </w:r>
    </w:p>
    <w:p w:rsidR="00F65D27" w:rsidRDefault="00CD052D" w:rsidP="00CD052D">
      <w:pPr>
        <w:pStyle w:val="ONUME"/>
        <w:numPr>
          <w:ilvl w:val="0"/>
          <w:numId w:val="0"/>
        </w:numPr>
      </w:pPr>
      <w:r>
        <w:t xml:space="preserve">In additional, Table 2 shows that </w:t>
      </w:r>
      <w:r w:rsidR="00F65D27">
        <w:t>most requests in the second of these combinations occurred before 2016 as the Federal Service for Intellectual Property (</w:t>
      </w:r>
      <w:proofErr w:type="spellStart"/>
      <w:r w:rsidR="00F65D27">
        <w:t>Rospatent</w:t>
      </w:r>
      <w:proofErr w:type="spellEnd"/>
      <w:r w:rsidR="00F65D27">
        <w:t xml:space="preserve">) has only received 10 requests for supplementary international search since this date.  Requests to the European Patent Office </w:t>
      </w:r>
      <w:r w:rsidR="00A8466C">
        <w:t xml:space="preserve">(EPO) </w:t>
      </w:r>
      <w:r w:rsidR="00F65D27">
        <w:t xml:space="preserve">based on applications searched by the China National Intellectual Property </w:t>
      </w:r>
      <w:r w:rsidR="00F65D27">
        <w:lastRenderedPageBreak/>
        <w:t xml:space="preserve">Administration </w:t>
      </w:r>
      <w:r w:rsidR="00A8466C">
        <w:t xml:space="preserve">(CNIPA) </w:t>
      </w:r>
      <w:r w:rsidR="00F65D27">
        <w:t xml:space="preserve">have therefore dominated supplementary international search activity in recent years. </w:t>
      </w:r>
    </w:p>
    <w:p w:rsidR="00CD052D" w:rsidRDefault="006C6DD2" w:rsidP="00CD052D">
      <w:pPr>
        <w:pStyle w:val="ONUME"/>
      </w:pPr>
      <w:r>
        <w:t xml:space="preserve">In terms of applicants using supplementary international search, the top 10 users account for more than three quarters (76.7 per cent) of all requests, with the top two users respectively making up 38.7 per cent and 24.1 per cent of all requests.  The second of these users was responsible for most requests to </w:t>
      </w:r>
      <w:proofErr w:type="spellStart"/>
      <w:r>
        <w:t>Rospatent</w:t>
      </w:r>
      <w:proofErr w:type="spellEnd"/>
      <w:r>
        <w:t xml:space="preserve"> before 2016 and has not used supplementary international search since this date.</w:t>
      </w:r>
    </w:p>
    <w:p w:rsidR="00737523" w:rsidRDefault="00773FE6" w:rsidP="00CD052D">
      <w:pPr>
        <w:pStyle w:val="ONUME"/>
      </w:pPr>
      <w:r>
        <w:t xml:space="preserve">In summary, supplementary international search </w:t>
      </w:r>
      <w:r w:rsidR="00737523">
        <w:t>is very little used.  Most requests come</w:t>
      </w:r>
      <w:r>
        <w:t xml:space="preserve"> from a very small number of users using particular ISA and SISA combinations</w:t>
      </w:r>
      <w:r w:rsidR="00737523">
        <w:t xml:space="preserve"> who appear to use supplementary international search as a filing strategy for particular cases</w:t>
      </w:r>
      <w:r>
        <w:t xml:space="preserve">.  </w:t>
      </w:r>
      <w:r w:rsidR="00737523">
        <w:t xml:space="preserve">For most of these requests, users selected an SISA that was not a competent ISA for the receiving Office where these international applications </w:t>
      </w:r>
      <w:proofErr w:type="gramStart"/>
      <w:r w:rsidR="00737523">
        <w:t>were filed</w:t>
      </w:r>
      <w:proofErr w:type="gramEnd"/>
      <w:r w:rsidR="00737523">
        <w:t>.</w:t>
      </w:r>
    </w:p>
    <w:p w:rsidR="00773FE6" w:rsidRDefault="00960E47" w:rsidP="003A1AD3">
      <w:pPr>
        <w:pStyle w:val="Heading1"/>
      </w:pPr>
      <w:r>
        <w:t>Future of Supplementary International Search</w:t>
      </w:r>
    </w:p>
    <w:p w:rsidR="00AA10BC" w:rsidRDefault="00737523" w:rsidP="00AA10BC">
      <w:pPr>
        <w:pStyle w:val="ONUME"/>
      </w:pPr>
      <w:bookmarkStart w:id="8" w:name="_Ref29489309"/>
      <w:r>
        <w:t xml:space="preserve">In previous reviews of the supplementary international search system, </w:t>
      </w:r>
      <w:r w:rsidR="00E640D7">
        <w:t>the International Bureau pointed out that the running costs for handling supplementary international search requests were minimal at the International Bureau.  Concerning expenditure to establish the system, the International Bureau was able to build on existing IT systems to process requests and fee payments, benefitting from its existing systems as a receiving Office, notably for the transfer of the supplementary international search fee to the relevant International Authority (see paragraph 33 of document PCT/WG/5/8).  More recently, the International Bureau has</w:t>
      </w:r>
      <w:r w:rsidR="003A1AD3">
        <w:t xml:space="preserve"> automatically</w:t>
      </w:r>
      <w:r w:rsidR="00E640D7">
        <w:t xml:space="preserve"> generated </w:t>
      </w:r>
      <w:r w:rsidR="003A1AD3">
        <w:t>a copy of the international application</w:t>
      </w:r>
      <w:r w:rsidR="00E640D7">
        <w:t xml:space="preserve"> supplementary international search </w:t>
      </w:r>
      <w:r w:rsidR="003A1AD3">
        <w:t>for transmission to the EPO through PCT-EDI as it does for transmitting search copies through eSearchCopy.  The review in 2015 also reported that International Authorities offering supplementary international search had indicated that the costs of providing the service were minimal compared to the set</w:t>
      </w:r>
      <w:r w:rsidR="003A1AD3">
        <w:noBreakHyphen/>
        <w:t>up costs (see paragraph 25 of document PCT/WG/8/6).</w:t>
      </w:r>
      <w:bookmarkEnd w:id="8"/>
    </w:p>
    <w:p w:rsidR="00702C61" w:rsidRDefault="003A1AD3" w:rsidP="00AA10BC">
      <w:pPr>
        <w:pStyle w:val="ONUME"/>
      </w:pPr>
      <w:r>
        <w:t>Given the minimal operating costs and the use of supplementary international search by certain applicants, the Assembly during the pre</w:t>
      </w:r>
      <w:r w:rsidR="00F61964">
        <w:t>vious reviews had maintained</w:t>
      </w:r>
      <w:r>
        <w:t xml:space="preserve"> supplementary </w:t>
      </w:r>
      <w:r w:rsidR="00E03FC8">
        <w:t xml:space="preserve">international search.  </w:t>
      </w:r>
      <w:r w:rsidR="00CF0FEF">
        <w:t>However, looking ahead to the future development of PCT online services, further efficiency gains will rely on more machine</w:t>
      </w:r>
      <w:r w:rsidR="00CF0FEF">
        <w:noBreakHyphen/>
        <w:t>to</w:t>
      </w:r>
      <w:r w:rsidR="00CF0FEF">
        <w:noBreakHyphen/>
        <w:t xml:space="preserve">machine transactions, with data passed directly from the source, as discussed in paragraph 5 of document PCT/MIA/27/2.  The development of web services to achieve this goal is at a trial stage with a few applicants and Offices performing live tests.  </w:t>
      </w:r>
      <w:r w:rsidR="00105947">
        <w:t xml:space="preserve">In addition, a number of the Authorities </w:t>
      </w:r>
      <w:r w:rsidR="00702C61">
        <w:t>offering supplementary international search have requested the browser</w:t>
      </w:r>
      <w:r w:rsidR="00702C61">
        <w:noBreakHyphen/>
        <w:t xml:space="preserve">based service for Offices to </w:t>
      </w:r>
      <w:proofErr w:type="gramStart"/>
      <w:r w:rsidR="00702C61">
        <w:t>be extended</w:t>
      </w:r>
      <w:proofErr w:type="gramEnd"/>
      <w:r w:rsidR="00702C61">
        <w:t xml:space="preserve"> to cover that function more completely</w:t>
      </w:r>
      <w:r w:rsidR="00105947">
        <w:t>.</w:t>
      </w:r>
    </w:p>
    <w:p w:rsidR="00AA71C1" w:rsidRDefault="00CF0FEF" w:rsidP="00AA10BC">
      <w:pPr>
        <w:pStyle w:val="ONUME"/>
      </w:pPr>
      <w:r>
        <w:t>However, future automation of data transfer involving supplementary international search will involve IT development</w:t>
      </w:r>
      <w:r>
        <w:noBreakHyphen/>
        <w:t>related costs</w:t>
      </w:r>
      <w:r w:rsidR="00AA71C1">
        <w:t xml:space="preserve"> </w:t>
      </w:r>
      <w:r w:rsidR="00F61964">
        <w:t>that would appear disproportionate to the</w:t>
      </w:r>
      <w:r w:rsidR="00AA71C1">
        <w:t xml:space="preserve"> low volume of requests</w:t>
      </w:r>
      <w:r w:rsidR="00702C61">
        <w:t xml:space="preserve">.  While </w:t>
      </w:r>
      <w:proofErr w:type="spellStart"/>
      <w:r w:rsidR="00702C61">
        <w:t>ePCT</w:t>
      </w:r>
      <w:proofErr w:type="spellEnd"/>
      <w:r w:rsidR="00702C61">
        <w:t xml:space="preserve"> </w:t>
      </w:r>
      <w:proofErr w:type="gramStart"/>
      <w:r w:rsidR="00702C61">
        <w:t>has been designed</w:t>
      </w:r>
      <w:proofErr w:type="gramEnd"/>
      <w:r w:rsidR="00702C61">
        <w:t xml:space="preserve"> to be modular and allow easy addition of functionality, adding services related to supplementary international search is more complicated than </w:t>
      </w:r>
      <w:r w:rsidR="004264AA">
        <w:t xml:space="preserve">is the case </w:t>
      </w:r>
      <w:r w:rsidR="00702C61">
        <w:t xml:space="preserve">for receiving Offices or the main roles of international search and international preliminary examination.  Whereas for each international application there is exactly one International Searching Authority and zero or one International Preliminary Examining Authority, there can in theory be up to </w:t>
      </w:r>
      <w:r w:rsidR="00301861">
        <w:t>10 </w:t>
      </w:r>
      <w:r w:rsidR="00AA71C1">
        <w:t>Authorities</w:t>
      </w:r>
      <w:r w:rsidR="00702C61">
        <w:t xml:space="preserve"> specified for supplementary search</w:t>
      </w:r>
      <w:r w:rsidR="00AA71C1">
        <w:t>.</w:t>
      </w:r>
      <w:r w:rsidR="00702C61">
        <w:t xml:space="preserve">  This means that the database interactions required to interact with such Authorities cannot be directly based on equivalent functions for the main International Searching Authority, but </w:t>
      </w:r>
      <w:r w:rsidR="004264AA">
        <w:t xml:space="preserve">would need </w:t>
      </w:r>
      <w:r w:rsidR="001D583B">
        <w:t>significant special development</w:t>
      </w:r>
      <w:r w:rsidR="004264AA">
        <w:t>, most of which would likely not even be used by the European Patent Office, which currently conducts around 80 per cent of the supplementary searches</w:t>
      </w:r>
      <w:r w:rsidR="00702C61">
        <w:t>.</w:t>
      </w:r>
    </w:p>
    <w:p w:rsidR="001D583B" w:rsidRDefault="001D583B" w:rsidP="00864009">
      <w:pPr>
        <w:pStyle w:val="ONUME"/>
        <w:keepLines/>
      </w:pPr>
      <w:bookmarkStart w:id="9" w:name="_Ref29489319"/>
      <w:r>
        <w:lastRenderedPageBreak/>
        <w:t>Previous user feedback concerning the low use of supplementary international search has focused largely on the cost and the language specializations of the Authorities willing to offer the service.  Given that neither aspect has significantly changed since the previous review, it does not appear useful to consider these subjects again.</w:t>
      </w:r>
    </w:p>
    <w:p w:rsidR="00AA71C1" w:rsidRDefault="001D583B" w:rsidP="00AA71C1">
      <w:pPr>
        <w:pStyle w:val="ONUME"/>
      </w:pPr>
      <w:r>
        <w:t xml:space="preserve">Consequently, in </w:t>
      </w:r>
      <w:r w:rsidR="00AA71C1">
        <w:t>the view of the International Bureau, there are two options for PCT Contracting States to consider in the review of the supplementary international search system later this year.</w:t>
      </w:r>
      <w:bookmarkEnd w:id="9"/>
    </w:p>
    <w:p w:rsidR="006E37D8" w:rsidRDefault="00AA71C1" w:rsidP="00960E47">
      <w:pPr>
        <w:pStyle w:val="ONUME"/>
        <w:numPr>
          <w:ilvl w:val="1"/>
          <w:numId w:val="5"/>
        </w:numPr>
      </w:pPr>
      <w:r>
        <w:t xml:space="preserve">The first option would be to maintain supplementary international search and set a date for the Assembly to review the system again.  In determining the date for the next review, Contracting States could consider future developments in </w:t>
      </w:r>
      <w:r w:rsidR="005A50D6">
        <w:t>collaborative search and examination</w:t>
      </w:r>
      <w:r w:rsidR="004F6F9C">
        <w:t>, as well as any changes in the competence of International Searching Authorities, whether through new bilateral arrangements be</w:t>
      </w:r>
      <w:r w:rsidR="00EA3B91">
        <w:t>tween a receiving Office and</w:t>
      </w:r>
      <w:r w:rsidR="004F6F9C">
        <w:t xml:space="preserve"> International Searching Authority, or following the discussions referred to in document PCT/MIA/27/6</w:t>
      </w:r>
      <w:r w:rsidR="005A50D6">
        <w:t xml:space="preserve">.  In this regard, the operational phase of the third pilot project involving the IP5 Offices </w:t>
      </w:r>
      <w:proofErr w:type="gramStart"/>
      <w:r w:rsidR="00864009">
        <w:t>is scheduled</w:t>
      </w:r>
      <w:proofErr w:type="gramEnd"/>
      <w:r w:rsidR="00864009">
        <w:t xml:space="preserve"> to </w:t>
      </w:r>
      <w:r w:rsidR="005A50D6">
        <w:t>run until June 2021.  H</w:t>
      </w:r>
      <w:r w:rsidR="006E37D8">
        <w:t>owever, if the Assembly decides on this option, the International Bureau would</w:t>
      </w:r>
      <w:r w:rsidR="00F61964">
        <w:t xml:space="preserve"> </w:t>
      </w:r>
      <w:r w:rsidR="00916DA7">
        <w:t xml:space="preserve">propose not </w:t>
      </w:r>
      <w:r w:rsidR="006E37D8">
        <w:t xml:space="preserve">to plan investment in </w:t>
      </w:r>
      <w:r w:rsidR="004264AA">
        <w:t xml:space="preserve">any additional </w:t>
      </w:r>
      <w:r w:rsidR="006E37D8">
        <w:t>automation of supplementary international search</w:t>
      </w:r>
      <w:r w:rsidR="004264AA">
        <w:t xml:space="preserve"> beyond what was essential to ensure the exchange of supplementary search copies and supplementary search reports</w:t>
      </w:r>
      <w:r w:rsidR="006E37D8">
        <w:t>.</w:t>
      </w:r>
    </w:p>
    <w:p w:rsidR="00960E47" w:rsidRDefault="006E37D8" w:rsidP="00960E47">
      <w:pPr>
        <w:pStyle w:val="ONUME"/>
        <w:numPr>
          <w:ilvl w:val="1"/>
          <w:numId w:val="5"/>
        </w:numPr>
      </w:pPr>
      <w:r>
        <w:t>The second option would be to abolish supplementary international search with effect from a particular d</w:t>
      </w:r>
      <w:r w:rsidR="00960E47">
        <w:t>ate, noting supplementary international search has been operating for more than 10 years with very low interest from users</w:t>
      </w:r>
      <w:r>
        <w:t xml:space="preserve">. </w:t>
      </w:r>
      <w:r w:rsidR="00960E47">
        <w:t xml:space="preserve"> As discussed in paragraphs </w:t>
      </w:r>
      <w:r w:rsidR="00960E47">
        <w:fldChar w:fldCharType="begin"/>
      </w:r>
      <w:r w:rsidR="00960E47">
        <w:instrText xml:space="preserve"> REF _Ref29485931 \r \h </w:instrText>
      </w:r>
      <w:r w:rsidR="00960E47">
        <w:fldChar w:fldCharType="separate"/>
      </w:r>
      <w:r w:rsidR="00D31095">
        <w:t>5</w:t>
      </w:r>
      <w:r w:rsidR="00960E47">
        <w:fldChar w:fldCharType="end"/>
      </w:r>
      <w:r w:rsidR="00960E47">
        <w:t xml:space="preserve"> to </w:t>
      </w:r>
      <w:r w:rsidR="00960E47">
        <w:fldChar w:fldCharType="begin"/>
      </w:r>
      <w:r w:rsidR="00960E47">
        <w:instrText xml:space="preserve"> REF _Ref29485941 \r \h </w:instrText>
      </w:r>
      <w:r w:rsidR="00960E47">
        <w:fldChar w:fldCharType="separate"/>
      </w:r>
      <w:r w:rsidR="00D31095">
        <w:t>7</w:t>
      </w:r>
      <w:r w:rsidR="00960E47">
        <w:fldChar w:fldCharType="end"/>
      </w:r>
      <w:r w:rsidR="00960E47">
        <w:t>, above, the PCT Working Group has considered possible improvements to system since the previous review of supplementary international search in 2015.  Extension of the period for requesting supplementary international search, the only change to the legal framework agreed on by the Working Group, has not significantly increased the number of supplementary international search requests.  As ceasing supplementary international search would require amendment to the PCT Regulations, if the Assembly decided to recommend this option during the review in 2020, the International Bureau would propose the necessary amendments to the PCT Regulatio</w:t>
      </w:r>
      <w:r w:rsidR="00F61964">
        <w:t>ns for adoption at the</w:t>
      </w:r>
      <w:r w:rsidR="00960E47">
        <w:t xml:space="preserve"> session of the Assembly in </w:t>
      </w:r>
      <w:r w:rsidR="00F61964">
        <w:t>September/October </w:t>
      </w:r>
      <w:r w:rsidR="00960E47">
        <w:t xml:space="preserve">2021.  The likely date for entry into force of the amendments and the end of supplementary international search would </w:t>
      </w:r>
      <w:r w:rsidR="00F61964">
        <w:t xml:space="preserve">therefore be July 1, 2022, giving </w:t>
      </w:r>
      <w:r w:rsidR="00960E47">
        <w:t>more than 18 months between the decision by the Assembly and the discontinuation of the service.</w:t>
      </w:r>
    </w:p>
    <w:p w:rsidR="00960E47" w:rsidRDefault="00960E47" w:rsidP="00960E47">
      <w:pPr>
        <w:pStyle w:val="Heading1"/>
      </w:pPr>
      <w:r>
        <w:t>Consideration by the Meeting of International Authorities</w:t>
      </w:r>
    </w:p>
    <w:p w:rsidR="003A1AD3" w:rsidRDefault="00960E47" w:rsidP="00AA71C1">
      <w:pPr>
        <w:pStyle w:val="ONUME"/>
      </w:pPr>
      <w:r>
        <w:t xml:space="preserve">International Authorities </w:t>
      </w:r>
      <w:proofErr w:type="gramStart"/>
      <w:r>
        <w:t>are invited</w:t>
      </w:r>
      <w:proofErr w:type="gramEnd"/>
      <w:r>
        <w:t xml:space="preserve"> to </w:t>
      </w:r>
      <w:r w:rsidR="00C5154D">
        <w:t>provide feedback on the supplementary international search system and comment on the issues concerning the future of supplementary international search, outlined in paragraphs </w:t>
      </w:r>
      <w:r w:rsidR="00C5154D">
        <w:fldChar w:fldCharType="begin"/>
      </w:r>
      <w:r w:rsidR="00C5154D">
        <w:instrText xml:space="preserve"> REF _Ref29489309 \r \h </w:instrText>
      </w:r>
      <w:r w:rsidR="00C5154D">
        <w:fldChar w:fldCharType="separate"/>
      </w:r>
      <w:r w:rsidR="00D31095">
        <w:t>13</w:t>
      </w:r>
      <w:r w:rsidR="00C5154D">
        <w:fldChar w:fldCharType="end"/>
      </w:r>
      <w:r w:rsidR="00C5154D">
        <w:t xml:space="preserve"> to </w:t>
      </w:r>
      <w:r w:rsidR="00C5154D">
        <w:fldChar w:fldCharType="begin"/>
      </w:r>
      <w:r w:rsidR="00C5154D">
        <w:instrText xml:space="preserve"> REF _Ref29489319 \r \h </w:instrText>
      </w:r>
      <w:r w:rsidR="00C5154D">
        <w:fldChar w:fldCharType="separate"/>
      </w:r>
      <w:r w:rsidR="00D31095">
        <w:t>16</w:t>
      </w:r>
      <w:r w:rsidR="00C5154D">
        <w:fldChar w:fldCharType="end"/>
      </w:r>
      <w:r w:rsidR="00C5154D">
        <w:t>, above</w:t>
      </w:r>
      <w:r w:rsidR="00516188">
        <w:t xml:space="preserve">.  The International Bureau will provide </w:t>
      </w:r>
      <w:r w:rsidR="00C5154D">
        <w:t>a summa</w:t>
      </w:r>
      <w:r w:rsidR="00F61964">
        <w:t>ry of the discussions during this</w:t>
      </w:r>
      <w:r w:rsidR="00C5154D">
        <w:t xml:space="preserve"> session </w:t>
      </w:r>
      <w:r w:rsidR="00516188">
        <w:t xml:space="preserve">to all Contracting States in a document for the PCT Working </w:t>
      </w:r>
      <w:r w:rsidR="00F61964">
        <w:t>Group as it prepares</w:t>
      </w:r>
      <w:r w:rsidR="00516188">
        <w:t xml:space="preserve"> for the review of supplementary international search by the Assembly in September 2020.</w:t>
      </w:r>
    </w:p>
    <w:p w:rsidR="00516188" w:rsidRPr="00C5154D" w:rsidRDefault="00516188" w:rsidP="00C5154D">
      <w:pPr>
        <w:pStyle w:val="ONUME"/>
        <w:ind w:left="5533"/>
        <w:rPr>
          <w:i/>
        </w:rPr>
      </w:pPr>
      <w:r w:rsidRPr="00C5154D">
        <w:rPr>
          <w:i/>
        </w:rPr>
        <w:t>The Meetin</w:t>
      </w:r>
      <w:r w:rsidR="00C5154D" w:rsidRPr="00C5154D">
        <w:rPr>
          <w:i/>
        </w:rPr>
        <w:t xml:space="preserve">g </w:t>
      </w:r>
      <w:proofErr w:type="gramStart"/>
      <w:r w:rsidR="00C5154D" w:rsidRPr="00C5154D">
        <w:rPr>
          <w:i/>
        </w:rPr>
        <w:t>is invited</w:t>
      </w:r>
      <w:proofErr w:type="gramEnd"/>
      <w:r w:rsidR="00C5154D" w:rsidRPr="00C5154D">
        <w:rPr>
          <w:i/>
        </w:rPr>
        <w:t xml:space="preserve"> </w:t>
      </w:r>
      <w:r w:rsidR="00C5154D">
        <w:rPr>
          <w:i/>
        </w:rPr>
        <w:t xml:space="preserve">to </w:t>
      </w:r>
      <w:r w:rsidR="00C5154D" w:rsidRPr="00C5154D">
        <w:rPr>
          <w:i/>
        </w:rPr>
        <w:t xml:space="preserve">comment on </w:t>
      </w:r>
      <w:r w:rsidR="00C5154D">
        <w:rPr>
          <w:i/>
        </w:rPr>
        <w:t xml:space="preserve">the </w:t>
      </w:r>
      <w:r w:rsidR="00C5154D" w:rsidRPr="00C5154D">
        <w:rPr>
          <w:i/>
        </w:rPr>
        <w:t xml:space="preserve">issues </w:t>
      </w:r>
      <w:r w:rsidR="00C5154D">
        <w:rPr>
          <w:i/>
        </w:rPr>
        <w:t xml:space="preserve">related to supplementary international search </w:t>
      </w:r>
      <w:r w:rsidR="00C5154D" w:rsidRPr="00C5154D">
        <w:rPr>
          <w:i/>
        </w:rPr>
        <w:t>raised in this document.</w:t>
      </w:r>
    </w:p>
    <w:p w:rsidR="00C5154D" w:rsidRDefault="00C5154D" w:rsidP="00C5154D">
      <w:pPr>
        <w:pStyle w:val="Endofdocument-Annex"/>
      </w:pPr>
    </w:p>
    <w:p w:rsidR="00C5154D" w:rsidRPr="00AA10BC" w:rsidRDefault="00C5154D" w:rsidP="00C5154D">
      <w:pPr>
        <w:pStyle w:val="Endofdocument-Annex"/>
      </w:pPr>
      <w:r>
        <w:t>[End of document]</w:t>
      </w:r>
    </w:p>
    <w:sectPr w:rsidR="00C5154D" w:rsidRPr="00AA10BC" w:rsidSect="00EA3B91">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2A7" w:rsidRDefault="00DE52A7">
      <w:r>
        <w:separator/>
      </w:r>
    </w:p>
  </w:endnote>
  <w:endnote w:type="continuationSeparator" w:id="0">
    <w:p w:rsidR="00DE52A7" w:rsidRDefault="00DE52A7" w:rsidP="003B38C1">
      <w:r>
        <w:separator/>
      </w:r>
    </w:p>
    <w:p w:rsidR="00DE52A7" w:rsidRPr="003B38C1" w:rsidRDefault="00DE52A7" w:rsidP="003B38C1">
      <w:pPr>
        <w:spacing w:after="60"/>
        <w:rPr>
          <w:sz w:val="17"/>
        </w:rPr>
      </w:pPr>
      <w:r>
        <w:rPr>
          <w:sz w:val="17"/>
        </w:rPr>
        <w:t>[Endnote continued from previous page]</w:t>
      </w:r>
    </w:p>
  </w:endnote>
  <w:endnote w:type="continuationNotice" w:id="1">
    <w:p w:rsidR="00DE52A7" w:rsidRPr="003B38C1" w:rsidRDefault="00DE52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2A7" w:rsidRDefault="00DE52A7">
      <w:r>
        <w:separator/>
      </w:r>
    </w:p>
  </w:footnote>
  <w:footnote w:type="continuationSeparator" w:id="0">
    <w:p w:rsidR="00DE52A7" w:rsidRDefault="00DE52A7" w:rsidP="008B60B2">
      <w:r>
        <w:separator/>
      </w:r>
    </w:p>
    <w:p w:rsidR="00DE52A7" w:rsidRPr="00ED77FB" w:rsidRDefault="00DE52A7" w:rsidP="008B60B2">
      <w:pPr>
        <w:spacing w:after="60"/>
        <w:rPr>
          <w:sz w:val="17"/>
          <w:szCs w:val="17"/>
        </w:rPr>
      </w:pPr>
      <w:r w:rsidRPr="00ED77FB">
        <w:rPr>
          <w:sz w:val="17"/>
          <w:szCs w:val="17"/>
        </w:rPr>
        <w:t>[Footnote continued from previous page]</w:t>
      </w:r>
    </w:p>
  </w:footnote>
  <w:footnote w:type="continuationNotice" w:id="1">
    <w:p w:rsidR="00DE52A7" w:rsidRPr="00ED77FB" w:rsidRDefault="00DE52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91" w:rsidRDefault="00EA3B91" w:rsidP="00EA3B91">
    <w:pPr>
      <w:jc w:val="right"/>
    </w:pPr>
    <w:r>
      <w:t>PCT/MIA/27/5</w:t>
    </w:r>
  </w:p>
  <w:p w:rsidR="00EA3B91" w:rsidRDefault="00EA3B91" w:rsidP="00EA3B91">
    <w:pPr>
      <w:jc w:val="right"/>
    </w:pPr>
    <w:proofErr w:type="gramStart"/>
    <w:r>
      <w:t>page</w:t>
    </w:r>
    <w:proofErr w:type="gramEnd"/>
    <w:r>
      <w:t xml:space="preserve"> </w:t>
    </w:r>
    <w:r>
      <w:fldChar w:fldCharType="begin"/>
    </w:r>
    <w:r>
      <w:instrText xml:space="preserve"> PAGE  \* MERGEFORMAT </w:instrText>
    </w:r>
    <w:r>
      <w:fldChar w:fldCharType="separate"/>
    </w:r>
    <w:r w:rsidR="00B95A11">
      <w:rPr>
        <w:noProof/>
      </w:rPr>
      <w:t>4</w:t>
    </w:r>
    <w:r>
      <w:fldChar w:fldCharType="end"/>
    </w:r>
  </w:p>
  <w:p w:rsidR="00EA3B91" w:rsidRDefault="00EA3B91" w:rsidP="00EA3B91">
    <w:pPr>
      <w:jc w:val="right"/>
    </w:pPr>
  </w:p>
  <w:p w:rsidR="00EA3B91" w:rsidRDefault="00EA3B91" w:rsidP="00EA3B9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E52A7" w:rsidP="00477D6B">
    <w:pPr>
      <w:jc w:val="right"/>
    </w:pPr>
    <w:r>
      <w:t>PCT/MIA/27/5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95A11">
      <w:rPr>
        <w:noProof/>
      </w:rPr>
      <w:t>5</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91" w:rsidRDefault="00EA3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362FAC"/>
    <w:multiLevelType w:val="hybridMultilevel"/>
    <w:tmpl w:val="4066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A7"/>
    <w:rsid w:val="000021BF"/>
    <w:rsid w:val="0000690A"/>
    <w:rsid w:val="00043CAA"/>
    <w:rsid w:val="00075432"/>
    <w:rsid w:val="000968ED"/>
    <w:rsid w:val="000F292A"/>
    <w:rsid w:val="000F5E56"/>
    <w:rsid w:val="00105947"/>
    <w:rsid w:val="001362EE"/>
    <w:rsid w:val="00162920"/>
    <w:rsid w:val="001647D5"/>
    <w:rsid w:val="001832A6"/>
    <w:rsid w:val="00184E79"/>
    <w:rsid w:val="001A376A"/>
    <w:rsid w:val="001A4DA5"/>
    <w:rsid w:val="001D583B"/>
    <w:rsid w:val="001E247A"/>
    <w:rsid w:val="001F76A4"/>
    <w:rsid w:val="00205497"/>
    <w:rsid w:val="0021217E"/>
    <w:rsid w:val="00262570"/>
    <w:rsid w:val="002634C4"/>
    <w:rsid w:val="00273292"/>
    <w:rsid w:val="002928D3"/>
    <w:rsid w:val="002D3410"/>
    <w:rsid w:val="002F1FE6"/>
    <w:rsid w:val="002F4E68"/>
    <w:rsid w:val="00301861"/>
    <w:rsid w:val="00312F7F"/>
    <w:rsid w:val="0035795B"/>
    <w:rsid w:val="00361450"/>
    <w:rsid w:val="003673CF"/>
    <w:rsid w:val="003845C1"/>
    <w:rsid w:val="003A1AD3"/>
    <w:rsid w:val="003A6F89"/>
    <w:rsid w:val="003B38C1"/>
    <w:rsid w:val="00404473"/>
    <w:rsid w:val="00421168"/>
    <w:rsid w:val="00423E3E"/>
    <w:rsid w:val="004264AA"/>
    <w:rsid w:val="00427AF4"/>
    <w:rsid w:val="0046383B"/>
    <w:rsid w:val="004647DA"/>
    <w:rsid w:val="00474062"/>
    <w:rsid w:val="00477D6B"/>
    <w:rsid w:val="004F65E0"/>
    <w:rsid w:val="004F6F9C"/>
    <w:rsid w:val="005019FF"/>
    <w:rsid w:val="00516188"/>
    <w:rsid w:val="0053057A"/>
    <w:rsid w:val="00560A29"/>
    <w:rsid w:val="005A50D6"/>
    <w:rsid w:val="005C5A31"/>
    <w:rsid w:val="005C6649"/>
    <w:rsid w:val="005F4555"/>
    <w:rsid w:val="00605827"/>
    <w:rsid w:val="00646050"/>
    <w:rsid w:val="00667B9F"/>
    <w:rsid w:val="006713CA"/>
    <w:rsid w:val="00676C5C"/>
    <w:rsid w:val="00677B90"/>
    <w:rsid w:val="006A2A0B"/>
    <w:rsid w:val="006C4293"/>
    <w:rsid w:val="006C6DD2"/>
    <w:rsid w:val="006E37D8"/>
    <w:rsid w:val="00702C61"/>
    <w:rsid w:val="00737523"/>
    <w:rsid w:val="00753035"/>
    <w:rsid w:val="00773FE6"/>
    <w:rsid w:val="007A34CA"/>
    <w:rsid w:val="007B6703"/>
    <w:rsid w:val="007D1613"/>
    <w:rsid w:val="007E4C0E"/>
    <w:rsid w:val="00864009"/>
    <w:rsid w:val="00880A7A"/>
    <w:rsid w:val="008A134B"/>
    <w:rsid w:val="008B2CC1"/>
    <w:rsid w:val="008B60B2"/>
    <w:rsid w:val="0090731E"/>
    <w:rsid w:val="00916DA7"/>
    <w:rsid w:val="00916EE2"/>
    <w:rsid w:val="00960E47"/>
    <w:rsid w:val="00966A22"/>
    <w:rsid w:val="0096722F"/>
    <w:rsid w:val="00980843"/>
    <w:rsid w:val="009A40BC"/>
    <w:rsid w:val="009A51A1"/>
    <w:rsid w:val="009B6D5C"/>
    <w:rsid w:val="009E2791"/>
    <w:rsid w:val="009E3F6F"/>
    <w:rsid w:val="009F499F"/>
    <w:rsid w:val="00A2144C"/>
    <w:rsid w:val="00A37342"/>
    <w:rsid w:val="00A42DAF"/>
    <w:rsid w:val="00A45BD8"/>
    <w:rsid w:val="00A54257"/>
    <w:rsid w:val="00A8466C"/>
    <w:rsid w:val="00A869B7"/>
    <w:rsid w:val="00AA10BC"/>
    <w:rsid w:val="00AA71C1"/>
    <w:rsid w:val="00AC205C"/>
    <w:rsid w:val="00AC2DA5"/>
    <w:rsid w:val="00AF0A6B"/>
    <w:rsid w:val="00B05A69"/>
    <w:rsid w:val="00B250D7"/>
    <w:rsid w:val="00B95A11"/>
    <w:rsid w:val="00B9734B"/>
    <w:rsid w:val="00BA30E2"/>
    <w:rsid w:val="00C11BFE"/>
    <w:rsid w:val="00C13542"/>
    <w:rsid w:val="00C5068F"/>
    <w:rsid w:val="00C5154D"/>
    <w:rsid w:val="00C86D74"/>
    <w:rsid w:val="00CB6810"/>
    <w:rsid w:val="00CD04F1"/>
    <w:rsid w:val="00CD052D"/>
    <w:rsid w:val="00CD3AB2"/>
    <w:rsid w:val="00CF0FEF"/>
    <w:rsid w:val="00D31095"/>
    <w:rsid w:val="00D45252"/>
    <w:rsid w:val="00D71B4D"/>
    <w:rsid w:val="00D93D55"/>
    <w:rsid w:val="00DC6B65"/>
    <w:rsid w:val="00DE52A7"/>
    <w:rsid w:val="00DF1F24"/>
    <w:rsid w:val="00DF5B94"/>
    <w:rsid w:val="00E03FC8"/>
    <w:rsid w:val="00E15015"/>
    <w:rsid w:val="00E335FE"/>
    <w:rsid w:val="00E55424"/>
    <w:rsid w:val="00E640D7"/>
    <w:rsid w:val="00E7383B"/>
    <w:rsid w:val="00EA3B91"/>
    <w:rsid w:val="00EA7D6E"/>
    <w:rsid w:val="00EC4E49"/>
    <w:rsid w:val="00ED77FB"/>
    <w:rsid w:val="00EE45FA"/>
    <w:rsid w:val="00F0066F"/>
    <w:rsid w:val="00F61964"/>
    <w:rsid w:val="00F65D27"/>
    <w:rsid w:val="00F66152"/>
    <w:rsid w:val="00FB6C9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ED8F13"/>
  <w15:docId w15:val="{3D48DAAF-8632-48FE-ABCE-00C62FE6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table" w:styleId="TableGrid">
    <w:name w:val="Table Grid"/>
    <w:basedOn w:val="TableNormal"/>
    <w:rsid w:val="007A34C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D613C-042A-48AB-BE8C-475CF208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403824F2</Template>
  <TotalTime>0</TotalTime>
  <Pages>5</Pages>
  <Words>2190</Words>
  <Characters>11902</Characters>
  <Application>Microsoft Office Word</Application>
  <DocSecurity>0</DocSecurity>
  <Lines>558</Lines>
  <Paragraphs>232</Paragraphs>
  <ScaleCrop>false</ScaleCrop>
  <HeadingPairs>
    <vt:vector size="2" baseType="variant">
      <vt:variant>
        <vt:lpstr>Title</vt:lpstr>
      </vt:variant>
      <vt:variant>
        <vt:i4>1</vt:i4>
      </vt:variant>
    </vt:vector>
  </HeadingPairs>
  <TitlesOfParts>
    <vt:vector size="1" baseType="lpstr">
      <vt:lpstr>PCT/MIA/27/5</vt:lpstr>
    </vt:vector>
  </TitlesOfParts>
  <Company>WIPO</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PCT/MIA/27/5</dc:title>
  <dc:subject>Review of Supplementary International Search System</dc:subject>
  <dc:creator>MARLOW Thomas</dc:creator>
  <cp:keywords>PUBLIC</cp:keywords>
  <cp:lastModifiedBy>MARLOW Thomas</cp:lastModifiedBy>
  <cp:revision>2</cp:revision>
  <cp:lastPrinted>2020-01-10T15:05:00Z</cp:lastPrinted>
  <dcterms:created xsi:type="dcterms:W3CDTF">2020-01-17T15:19:00Z</dcterms:created>
  <dcterms:modified xsi:type="dcterms:W3CDTF">2020-01-17T15:19:00Z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9416619d-2978-4068-8a85-2a40dfdf2cd1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