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753035" w:rsidP="001E247A">
            <w:pPr>
              <w:jc w:val="right"/>
              <w:rPr>
                <w:rFonts w:ascii="Arial Black" w:hAnsi="Arial Black"/>
                <w:caps/>
                <w:sz w:val="15"/>
              </w:rPr>
            </w:pPr>
            <w:r>
              <w:rPr>
                <w:rFonts w:ascii="Arial Black" w:hAnsi="Arial Black"/>
                <w:caps/>
                <w:sz w:val="15"/>
              </w:rPr>
              <w:t>PCT/MIA/2</w:t>
            </w:r>
            <w:r w:rsidR="001E247A">
              <w:rPr>
                <w:rFonts w:ascii="Arial Black" w:hAnsi="Arial Black"/>
                <w:caps/>
                <w:sz w:val="15"/>
              </w:rPr>
              <w:t>7</w:t>
            </w:r>
            <w:r w:rsidR="004F65E0">
              <w:rPr>
                <w:rFonts w:ascii="Arial Black" w:hAnsi="Arial Black"/>
                <w:caps/>
                <w:sz w:val="15"/>
              </w:rPr>
              <w:t>/</w:t>
            </w:r>
            <w:bookmarkStart w:id="0" w:name="Code"/>
            <w:bookmarkEnd w:id="0"/>
            <w:r w:rsidR="00F32357">
              <w:rPr>
                <w:rFonts w:ascii="Arial Black" w:hAnsi="Arial Black"/>
                <w:caps/>
                <w:sz w:val="15"/>
              </w:rPr>
              <w:t>14</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6A2A0B">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1" w:name="Original"/>
            <w:bookmarkEnd w:id="1"/>
            <w:r w:rsidR="0055028F">
              <w:rPr>
                <w:rFonts w:ascii="Arial Black" w:hAnsi="Arial Black"/>
                <w:caps/>
                <w:sz w:val="15"/>
              </w:rPr>
              <w:t>English</w:t>
            </w:r>
            <w:bookmarkStart w:id="2" w:name="_GoBack"/>
            <w:bookmarkEnd w:id="2"/>
            <w:r w:rsidR="00F32357">
              <w:rPr>
                <w:rFonts w:ascii="Arial Black" w:hAnsi="Arial Black"/>
                <w:caps/>
                <w:sz w:val="15"/>
              </w:rPr>
              <w:t xml:space="preserve"> Only</w:t>
            </w:r>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3" w:name="Date"/>
            <w:bookmarkEnd w:id="3"/>
            <w:r w:rsidR="004C7D9B">
              <w:rPr>
                <w:rFonts w:ascii="Arial Black" w:hAnsi="Arial Black"/>
                <w:caps/>
                <w:sz w:val="15"/>
              </w:rPr>
              <w:t>January 17</w:t>
            </w:r>
            <w:r w:rsidR="00F32357">
              <w:rPr>
                <w:rFonts w:ascii="Arial Black" w:hAnsi="Arial Black"/>
                <w:caps/>
                <w:sz w:val="15"/>
              </w:rPr>
              <w:t>, 2020</w:t>
            </w:r>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4F65E0" w:rsidRPr="004F65E0" w:rsidRDefault="004F65E0" w:rsidP="004F65E0">
      <w:pPr>
        <w:rPr>
          <w:b/>
          <w:sz w:val="28"/>
          <w:szCs w:val="28"/>
        </w:rPr>
      </w:pPr>
      <w:r w:rsidRPr="004F65E0">
        <w:rPr>
          <w:b/>
          <w:sz w:val="28"/>
          <w:szCs w:val="28"/>
        </w:rPr>
        <w:t xml:space="preserve">Meeting of International Authorities </w:t>
      </w:r>
    </w:p>
    <w:p w:rsidR="008B2CC1" w:rsidRPr="003845C1" w:rsidRDefault="004F65E0" w:rsidP="004F65E0">
      <w:pPr>
        <w:rPr>
          <w:b/>
          <w:sz w:val="28"/>
          <w:szCs w:val="28"/>
        </w:rPr>
      </w:pPr>
      <w:r w:rsidRPr="004F65E0">
        <w:rPr>
          <w:b/>
          <w:sz w:val="28"/>
          <w:szCs w:val="28"/>
        </w:rPr>
        <w:t>under the Patent Cooperation Treaty (PCT)</w:t>
      </w:r>
    </w:p>
    <w:p w:rsidR="003845C1" w:rsidRDefault="003845C1" w:rsidP="003845C1"/>
    <w:p w:rsidR="003845C1" w:rsidRDefault="003845C1" w:rsidP="003845C1"/>
    <w:p w:rsidR="001E247A" w:rsidRPr="00C65280" w:rsidRDefault="001E247A" w:rsidP="001E247A">
      <w:pPr>
        <w:rPr>
          <w:b/>
          <w:sz w:val="24"/>
          <w:szCs w:val="24"/>
        </w:rPr>
      </w:pPr>
      <w:r>
        <w:rPr>
          <w:b/>
          <w:sz w:val="24"/>
          <w:szCs w:val="24"/>
        </w:rPr>
        <w:t>Twenty-Seventh</w:t>
      </w:r>
      <w:r w:rsidRPr="00C65280">
        <w:rPr>
          <w:b/>
          <w:sz w:val="24"/>
          <w:szCs w:val="24"/>
        </w:rPr>
        <w:t xml:space="preserve"> Session</w:t>
      </w:r>
    </w:p>
    <w:p w:rsidR="001E247A" w:rsidRPr="00C65280" w:rsidRDefault="001E247A" w:rsidP="001E247A">
      <w:pPr>
        <w:rPr>
          <w:b/>
          <w:sz w:val="24"/>
          <w:szCs w:val="24"/>
        </w:rPr>
      </w:pPr>
      <w:r>
        <w:rPr>
          <w:b/>
          <w:sz w:val="24"/>
          <w:szCs w:val="24"/>
        </w:rPr>
        <w:t>Gatineau, February 6 and 7, 2020</w:t>
      </w:r>
    </w:p>
    <w:p w:rsidR="008B2CC1" w:rsidRPr="008B2CC1" w:rsidRDefault="008B2CC1" w:rsidP="008B2CC1"/>
    <w:p w:rsidR="008B2CC1" w:rsidRPr="008B2CC1" w:rsidRDefault="008B2CC1" w:rsidP="008B2CC1"/>
    <w:p w:rsidR="008B2CC1" w:rsidRPr="008B2CC1" w:rsidRDefault="008B2CC1" w:rsidP="008B2CC1"/>
    <w:p w:rsidR="008B2CC1" w:rsidRPr="003845C1" w:rsidRDefault="00F32357" w:rsidP="008B2CC1">
      <w:pPr>
        <w:rPr>
          <w:caps/>
          <w:sz w:val="24"/>
        </w:rPr>
      </w:pPr>
      <w:bookmarkStart w:id="4" w:name="TitleOfDoc"/>
      <w:bookmarkEnd w:id="4"/>
      <w:r>
        <w:rPr>
          <w:caps/>
          <w:sz w:val="24"/>
        </w:rPr>
        <w:t>Proposal on the Handling of Drawing Informalities in International Applications Under the PCT</w:t>
      </w:r>
    </w:p>
    <w:p w:rsidR="008B2CC1" w:rsidRPr="008B2CC1" w:rsidRDefault="008B2CC1" w:rsidP="008B2CC1"/>
    <w:p w:rsidR="008B2CC1" w:rsidRPr="008B2CC1" w:rsidRDefault="00F32357" w:rsidP="008B2CC1">
      <w:pPr>
        <w:rPr>
          <w:i/>
        </w:rPr>
      </w:pPr>
      <w:bookmarkStart w:id="5" w:name="Prepared"/>
      <w:bookmarkEnd w:id="5"/>
      <w:r>
        <w:rPr>
          <w:i/>
        </w:rPr>
        <w:t>Document prepared by the United States Patent and Trademark Office</w:t>
      </w:r>
    </w:p>
    <w:p w:rsidR="00AC205C" w:rsidRDefault="00AC205C"/>
    <w:p w:rsidR="000F5E56" w:rsidRDefault="000F5E56"/>
    <w:p w:rsidR="002928D3" w:rsidRDefault="002928D3"/>
    <w:p w:rsidR="002928D3" w:rsidRDefault="002928D3" w:rsidP="0053057A"/>
    <w:p w:rsidR="00416D7B" w:rsidRDefault="00416D7B" w:rsidP="00416D7B">
      <w:pPr>
        <w:pStyle w:val="Heading1"/>
      </w:pPr>
      <w:r>
        <w:t>Summary</w:t>
      </w:r>
    </w:p>
    <w:p w:rsidR="00416D7B" w:rsidRDefault="00416D7B" w:rsidP="00416D7B">
      <w:pPr>
        <w:pStyle w:val="ONUME"/>
      </w:pPr>
      <w:r>
        <w:t>T</w:t>
      </w:r>
      <w:r w:rsidRPr="00BA143C">
        <w:t xml:space="preserve">he </w:t>
      </w:r>
      <w:r>
        <w:t>United States Patent and Trademark Office (USPTO) seeks to improve the handling of drawing informalities in PCT applications.  To do so, the USPTO proposes to more specifically define the process by which receiving Offices (ROs) evaluate drawings and partially revise Form PCT/RO/106</w:t>
      </w:r>
      <w:r w:rsidRPr="00BA143C">
        <w:t>.</w:t>
      </w:r>
      <w:r>
        <w:t xml:space="preserve">  The RO/US receives a significant number of international applications with informal drawings</w:t>
      </w:r>
      <w:r w:rsidR="00D97483">
        <w:t>, i.e.</w:t>
      </w:r>
      <w:r>
        <w:t xml:space="preserve">, drawings that do not comply with the relevant provisions of PCT Rule 11.  The invitation and correction procedure under PCT Rule 26 proves inefficient for both RO/US and applicants.  Importantly, the process often does not result in the acceptance of replacement drawings that are in full compliance with the Regulations for the purpose of international processing, including international publication. </w:t>
      </w:r>
    </w:p>
    <w:p w:rsidR="00416D7B" w:rsidRPr="00F077F4" w:rsidRDefault="00416D7B" w:rsidP="00416D7B">
      <w:pPr>
        <w:pStyle w:val="Heading1"/>
      </w:pPr>
      <w:r>
        <w:t>Background</w:t>
      </w:r>
    </w:p>
    <w:p w:rsidR="00416D7B" w:rsidRPr="00FF7E21" w:rsidRDefault="00416D7B" w:rsidP="00416D7B">
      <w:pPr>
        <w:pStyle w:val="ONUME"/>
        <w:rPr>
          <w:szCs w:val="22"/>
          <w:lang w:eastAsia="fr-CH"/>
        </w:rPr>
      </w:pPr>
      <w:r w:rsidRPr="00FF7E21">
        <w:rPr>
          <w:szCs w:val="22"/>
          <w:lang w:eastAsia="fr-CH"/>
        </w:rPr>
        <w:t xml:space="preserve">The RO/US issues approximately 16,000 Invitations to Correct Defects (Form PCT/RO/106) each year. </w:t>
      </w:r>
      <w:r>
        <w:rPr>
          <w:szCs w:val="22"/>
          <w:lang w:eastAsia="fr-CH"/>
        </w:rPr>
        <w:t xml:space="preserve"> That represents almost 30 per cent</w:t>
      </w:r>
      <w:r w:rsidRPr="00FF7E21">
        <w:rPr>
          <w:szCs w:val="22"/>
          <w:lang w:eastAsia="fr-CH"/>
        </w:rPr>
        <w:t xml:space="preserve"> of the international applications filed in the RO/US annually. </w:t>
      </w:r>
      <w:r>
        <w:rPr>
          <w:szCs w:val="22"/>
          <w:lang w:eastAsia="fr-CH"/>
        </w:rPr>
        <w:t xml:space="preserve"> It is estimated that 80 per cent</w:t>
      </w:r>
      <w:r w:rsidRPr="00FF7E21">
        <w:rPr>
          <w:szCs w:val="22"/>
          <w:lang w:eastAsia="fr-CH"/>
        </w:rPr>
        <w:t xml:space="preserve"> of those Invitations include indications in Annex C that the drawings do not comply with PCT Rule</w:t>
      </w:r>
      <w:r>
        <w:rPr>
          <w:szCs w:val="22"/>
          <w:lang w:eastAsia="fr-CH"/>
        </w:rPr>
        <w:t> </w:t>
      </w:r>
      <w:r w:rsidRPr="00FF7E21">
        <w:rPr>
          <w:szCs w:val="22"/>
          <w:lang w:eastAsia="fr-CH"/>
        </w:rPr>
        <w:t xml:space="preserve">11. </w:t>
      </w:r>
      <w:r>
        <w:rPr>
          <w:szCs w:val="22"/>
          <w:lang w:eastAsia="fr-CH"/>
        </w:rPr>
        <w:t xml:space="preserve"> </w:t>
      </w:r>
      <w:r w:rsidRPr="00FF7E21">
        <w:rPr>
          <w:szCs w:val="22"/>
          <w:lang w:eastAsia="fr-CH"/>
        </w:rPr>
        <w:t>The processing teams at the International Bureau informally estimate that only</w:t>
      </w:r>
      <w:r>
        <w:rPr>
          <w:szCs w:val="22"/>
          <w:lang w:eastAsia="fr-CH"/>
        </w:rPr>
        <w:t xml:space="preserve"> 50 per cent</w:t>
      </w:r>
      <w:r w:rsidRPr="00FF7E21">
        <w:rPr>
          <w:szCs w:val="22"/>
          <w:lang w:eastAsia="fr-CH"/>
        </w:rPr>
        <w:t xml:space="preserve"> of international applications filed in the RO/US have drawings in compliance with the </w:t>
      </w:r>
      <w:r>
        <w:rPr>
          <w:szCs w:val="22"/>
          <w:lang w:eastAsia="fr-CH"/>
        </w:rPr>
        <w:t>R</w:t>
      </w:r>
      <w:r w:rsidRPr="00FF7E21">
        <w:rPr>
          <w:szCs w:val="22"/>
          <w:lang w:eastAsia="fr-CH"/>
        </w:rPr>
        <w:t>egulations.</w:t>
      </w:r>
    </w:p>
    <w:p w:rsidR="00416D7B" w:rsidRPr="00FF7E21" w:rsidRDefault="00416D7B" w:rsidP="00416D7B">
      <w:pPr>
        <w:pStyle w:val="ONUME"/>
        <w:autoSpaceDE w:val="0"/>
        <w:autoSpaceDN w:val="0"/>
        <w:adjustRightInd w:val="0"/>
        <w:rPr>
          <w:rFonts w:eastAsia="Times New Roman"/>
          <w:szCs w:val="22"/>
          <w:lang w:eastAsia="fr-CH"/>
        </w:rPr>
      </w:pPr>
      <w:r w:rsidRPr="00FF7E21">
        <w:rPr>
          <w:szCs w:val="22"/>
          <w:lang w:eastAsia="fr-CH"/>
        </w:rPr>
        <w:t>Although PCT Rule</w:t>
      </w:r>
      <w:r>
        <w:rPr>
          <w:szCs w:val="22"/>
          <w:lang w:eastAsia="fr-CH"/>
        </w:rPr>
        <w:t> </w:t>
      </w:r>
      <w:r w:rsidRPr="00FF7E21">
        <w:rPr>
          <w:szCs w:val="22"/>
          <w:lang w:eastAsia="fr-CH"/>
        </w:rPr>
        <w:t xml:space="preserve">26.3(a)(i) indicates that the RO only checks the international </w:t>
      </w:r>
      <w:r w:rsidRPr="00FF7E21">
        <w:rPr>
          <w:rFonts w:eastAsia="Times New Roman"/>
          <w:szCs w:val="22"/>
          <w:lang w:eastAsia="fr-CH"/>
        </w:rPr>
        <w:t>application for compliance with Rule</w:t>
      </w:r>
      <w:r>
        <w:rPr>
          <w:rFonts w:eastAsia="Times New Roman"/>
          <w:szCs w:val="22"/>
          <w:lang w:eastAsia="fr-CH"/>
        </w:rPr>
        <w:t> </w:t>
      </w:r>
      <w:r w:rsidRPr="00FF7E21">
        <w:rPr>
          <w:rFonts w:eastAsia="Times New Roman"/>
          <w:szCs w:val="22"/>
          <w:lang w:eastAsia="fr-CH"/>
        </w:rPr>
        <w:t xml:space="preserve">11 to the extent necessary for reasonably uniform publication, it is the practice of the RO/US to issue an Invitation to Correct Defects in all </w:t>
      </w:r>
      <w:r w:rsidRPr="00FF7E21">
        <w:rPr>
          <w:rFonts w:eastAsia="Times New Roman"/>
          <w:szCs w:val="22"/>
          <w:lang w:eastAsia="fr-CH"/>
        </w:rPr>
        <w:lastRenderedPageBreak/>
        <w:t>instances where the drawings do not comply with PCT Rule</w:t>
      </w:r>
      <w:r>
        <w:rPr>
          <w:rFonts w:eastAsia="Times New Roman"/>
          <w:szCs w:val="22"/>
          <w:lang w:eastAsia="fr-CH"/>
        </w:rPr>
        <w:t> </w:t>
      </w:r>
      <w:r w:rsidRPr="00FF7E21">
        <w:rPr>
          <w:rFonts w:eastAsia="Times New Roman"/>
          <w:szCs w:val="22"/>
          <w:lang w:eastAsia="fr-CH"/>
        </w:rPr>
        <w:t xml:space="preserve">11. </w:t>
      </w:r>
      <w:r>
        <w:rPr>
          <w:rFonts w:eastAsia="Times New Roman"/>
          <w:szCs w:val="22"/>
          <w:lang w:eastAsia="fr-CH"/>
        </w:rPr>
        <w:t xml:space="preserve"> </w:t>
      </w:r>
      <w:r w:rsidRPr="00FF7E21">
        <w:rPr>
          <w:rFonts w:eastAsia="Times New Roman"/>
          <w:szCs w:val="22"/>
          <w:lang w:eastAsia="fr-CH"/>
        </w:rPr>
        <w:t xml:space="preserve">This practice is based on several factors. </w:t>
      </w:r>
      <w:r>
        <w:rPr>
          <w:rFonts w:eastAsia="Times New Roman"/>
          <w:szCs w:val="22"/>
          <w:lang w:eastAsia="fr-CH"/>
        </w:rPr>
        <w:t xml:space="preserve"> </w:t>
      </w:r>
      <w:r w:rsidRPr="00FF7E21">
        <w:rPr>
          <w:rFonts w:eastAsia="Times New Roman"/>
          <w:szCs w:val="22"/>
          <w:lang w:eastAsia="fr-CH"/>
        </w:rPr>
        <w:t xml:space="preserve">Firstly, there does not appear to be a clear definition of “reasonably uniform publication.” </w:t>
      </w:r>
      <w:r>
        <w:rPr>
          <w:rFonts w:eastAsia="Times New Roman"/>
          <w:szCs w:val="22"/>
          <w:lang w:eastAsia="fr-CH"/>
        </w:rPr>
        <w:t xml:space="preserve"> </w:t>
      </w:r>
      <w:r w:rsidRPr="00FF7E21">
        <w:rPr>
          <w:rFonts w:eastAsia="Times New Roman"/>
          <w:szCs w:val="22"/>
          <w:lang w:eastAsia="fr-CH"/>
        </w:rPr>
        <w:t xml:space="preserve">Secondly, the USPTO </w:t>
      </w:r>
      <w:r>
        <w:rPr>
          <w:rFonts w:eastAsia="Times New Roman"/>
          <w:szCs w:val="22"/>
          <w:lang w:eastAsia="fr-CH"/>
        </w:rPr>
        <w:t xml:space="preserve">has </w:t>
      </w:r>
      <w:r w:rsidRPr="00FF7E21">
        <w:rPr>
          <w:rFonts w:eastAsia="Times New Roman"/>
          <w:szCs w:val="22"/>
          <w:lang w:eastAsia="fr-CH"/>
        </w:rPr>
        <w:t>consider</w:t>
      </w:r>
      <w:r>
        <w:rPr>
          <w:rFonts w:eastAsia="Times New Roman"/>
          <w:szCs w:val="22"/>
          <w:lang w:eastAsia="fr-CH"/>
        </w:rPr>
        <w:t>ed</w:t>
      </w:r>
      <w:r w:rsidRPr="00FF7E21">
        <w:rPr>
          <w:rFonts w:eastAsia="Times New Roman"/>
          <w:szCs w:val="22"/>
          <w:lang w:eastAsia="fr-CH"/>
        </w:rPr>
        <w:t xml:space="preserve"> it a service to applicants to identify these defects so they are aware that correction will be needed at some point and are not surprised by a requirement at the national or regional phase. </w:t>
      </w:r>
      <w:r>
        <w:rPr>
          <w:rFonts w:eastAsia="Times New Roman"/>
          <w:szCs w:val="22"/>
          <w:lang w:eastAsia="fr-CH"/>
        </w:rPr>
        <w:t xml:space="preserve"> </w:t>
      </w:r>
      <w:r w:rsidRPr="00FF7E21">
        <w:rPr>
          <w:rFonts w:eastAsia="Times New Roman"/>
          <w:szCs w:val="22"/>
          <w:lang w:eastAsia="fr-CH"/>
        </w:rPr>
        <w:t xml:space="preserve">Lastly, the USPTO </w:t>
      </w:r>
      <w:r>
        <w:rPr>
          <w:rFonts w:eastAsia="Times New Roman"/>
          <w:szCs w:val="22"/>
          <w:lang w:eastAsia="fr-CH"/>
        </w:rPr>
        <w:t>was concerned about</w:t>
      </w:r>
      <w:r w:rsidRPr="00FF7E21">
        <w:rPr>
          <w:rFonts w:eastAsia="Times New Roman"/>
          <w:szCs w:val="22"/>
          <w:lang w:eastAsia="fr-CH"/>
        </w:rPr>
        <w:t xml:space="preserve"> consistency with its national practice.</w:t>
      </w:r>
    </w:p>
    <w:p w:rsidR="00416D7B" w:rsidRPr="00FF7E21" w:rsidRDefault="00416D7B" w:rsidP="00416D7B">
      <w:pPr>
        <w:pStyle w:val="ONUME"/>
        <w:autoSpaceDE w:val="0"/>
        <w:autoSpaceDN w:val="0"/>
        <w:adjustRightInd w:val="0"/>
        <w:rPr>
          <w:rFonts w:eastAsia="Times New Roman"/>
          <w:szCs w:val="22"/>
          <w:lang w:eastAsia="fr-CH"/>
        </w:rPr>
      </w:pPr>
      <w:r w:rsidRPr="00FF7E21">
        <w:rPr>
          <w:szCs w:val="22"/>
          <w:lang w:eastAsia="fr-CH"/>
        </w:rPr>
        <w:t xml:space="preserve">The consequence of this practice is that applicants </w:t>
      </w:r>
      <w:r>
        <w:rPr>
          <w:szCs w:val="22"/>
          <w:lang w:eastAsia="fr-CH"/>
        </w:rPr>
        <w:t xml:space="preserve">typically </w:t>
      </w:r>
      <w:r w:rsidRPr="00FF7E21">
        <w:rPr>
          <w:szCs w:val="22"/>
          <w:lang w:eastAsia="fr-CH"/>
        </w:rPr>
        <w:t>respond under PCT Rule</w:t>
      </w:r>
      <w:r>
        <w:rPr>
          <w:szCs w:val="22"/>
          <w:lang w:eastAsia="fr-CH"/>
        </w:rPr>
        <w:t> </w:t>
      </w:r>
      <w:r w:rsidRPr="00FF7E21">
        <w:rPr>
          <w:szCs w:val="22"/>
          <w:lang w:eastAsia="fr-CH"/>
        </w:rPr>
        <w:t xml:space="preserve">26.4 with replacement sheets of drawings. </w:t>
      </w:r>
      <w:r>
        <w:rPr>
          <w:szCs w:val="22"/>
          <w:lang w:eastAsia="fr-CH"/>
        </w:rPr>
        <w:t xml:space="preserve"> </w:t>
      </w:r>
      <w:r w:rsidRPr="00FF7E21">
        <w:rPr>
          <w:szCs w:val="22"/>
          <w:lang w:eastAsia="fr-CH"/>
        </w:rPr>
        <w:t xml:space="preserve">These replacement sheets are often refused entry by the RO/US because they include changes that effectively require review by a patent </w:t>
      </w:r>
      <w:r w:rsidRPr="00FF7E21">
        <w:rPr>
          <w:rFonts w:eastAsia="Times New Roman"/>
          <w:szCs w:val="22"/>
          <w:lang w:eastAsia="fr-CH"/>
        </w:rPr>
        <w:t xml:space="preserve">examiner. </w:t>
      </w:r>
      <w:r>
        <w:rPr>
          <w:rFonts w:eastAsia="Times New Roman"/>
          <w:szCs w:val="22"/>
          <w:lang w:eastAsia="fr-CH"/>
        </w:rPr>
        <w:t xml:space="preserve"> </w:t>
      </w:r>
      <w:r w:rsidRPr="00FF7E21">
        <w:rPr>
          <w:rFonts w:eastAsia="Times New Roman"/>
          <w:szCs w:val="22"/>
          <w:lang w:eastAsia="fr-CH"/>
        </w:rPr>
        <w:t xml:space="preserve">For example, shading modifications, text modifications, legend changes, addition of cross-hatching, reference numeral modification and structural detail modification can effectively change the disclosure. </w:t>
      </w:r>
      <w:r>
        <w:rPr>
          <w:rFonts w:eastAsia="Times New Roman"/>
          <w:szCs w:val="22"/>
          <w:lang w:eastAsia="fr-CH"/>
        </w:rPr>
        <w:t xml:space="preserve"> </w:t>
      </w:r>
      <w:r w:rsidRPr="00FF7E21">
        <w:rPr>
          <w:rFonts w:eastAsia="Times New Roman"/>
          <w:szCs w:val="22"/>
          <w:lang w:eastAsia="fr-CH"/>
        </w:rPr>
        <w:t>Where the RO/US refuses entry of replacement drawing sheets and the USPTO is the International Searching Authority (ISA), the replacement drawings are considered under PCT Rule</w:t>
      </w:r>
      <w:r>
        <w:rPr>
          <w:rFonts w:eastAsia="Times New Roman"/>
          <w:szCs w:val="22"/>
          <w:lang w:eastAsia="fr-CH"/>
        </w:rPr>
        <w:t> </w:t>
      </w:r>
      <w:r w:rsidRPr="00FF7E21">
        <w:rPr>
          <w:rFonts w:eastAsia="Times New Roman"/>
          <w:szCs w:val="22"/>
          <w:lang w:eastAsia="fr-CH"/>
        </w:rPr>
        <w:t xml:space="preserve">91, Rectification of Obvious Mistakes. </w:t>
      </w:r>
      <w:r>
        <w:rPr>
          <w:rFonts w:eastAsia="Times New Roman"/>
          <w:szCs w:val="22"/>
          <w:lang w:eastAsia="fr-CH"/>
        </w:rPr>
        <w:t xml:space="preserve"> </w:t>
      </w:r>
      <w:r w:rsidRPr="00FF7E21">
        <w:rPr>
          <w:rFonts w:eastAsia="Times New Roman"/>
          <w:szCs w:val="22"/>
          <w:lang w:eastAsia="fr-CH"/>
        </w:rPr>
        <w:t>These replacement sheets are rarely accepted under Rule</w:t>
      </w:r>
      <w:r>
        <w:rPr>
          <w:rFonts w:eastAsia="Times New Roman"/>
          <w:szCs w:val="22"/>
          <w:lang w:eastAsia="fr-CH"/>
        </w:rPr>
        <w:t> </w:t>
      </w:r>
      <w:r w:rsidRPr="00FF7E21">
        <w:rPr>
          <w:rFonts w:eastAsia="Times New Roman"/>
          <w:szCs w:val="22"/>
          <w:lang w:eastAsia="fr-CH"/>
        </w:rPr>
        <w:t xml:space="preserve">91. </w:t>
      </w:r>
      <w:r>
        <w:rPr>
          <w:rFonts w:eastAsia="Times New Roman"/>
          <w:szCs w:val="22"/>
          <w:lang w:eastAsia="fr-CH"/>
        </w:rPr>
        <w:t xml:space="preserve"> </w:t>
      </w:r>
      <w:r w:rsidRPr="00FF7E21">
        <w:rPr>
          <w:rFonts w:eastAsia="Times New Roman"/>
          <w:szCs w:val="22"/>
          <w:lang w:eastAsia="fr-CH"/>
        </w:rPr>
        <w:t xml:space="preserve">In applying the Rule 91 analysis, the informal nature of the original drawings, or portions thereof, might be considered an obvious mistake. </w:t>
      </w:r>
      <w:r>
        <w:rPr>
          <w:rFonts w:eastAsia="Times New Roman"/>
          <w:szCs w:val="22"/>
          <w:lang w:eastAsia="fr-CH"/>
        </w:rPr>
        <w:t xml:space="preserve"> </w:t>
      </w:r>
      <w:r w:rsidRPr="00FF7E21">
        <w:rPr>
          <w:rFonts w:eastAsia="Times New Roman"/>
          <w:szCs w:val="22"/>
          <w:lang w:eastAsia="fr-CH"/>
        </w:rPr>
        <w:t>However, the correction offered, especially in the examples described above, rarely qualifies under the “nothing else could have been intended” analysis.</w:t>
      </w:r>
    </w:p>
    <w:p w:rsidR="00416D7B" w:rsidRPr="00FF7E21" w:rsidRDefault="00416D7B" w:rsidP="00416D7B">
      <w:pPr>
        <w:pStyle w:val="ONUME"/>
        <w:autoSpaceDE w:val="0"/>
        <w:autoSpaceDN w:val="0"/>
        <w:adjustRightInd w:val="0"/>
        <w:rPr>
          <w:rFonts w:eastAsia="Times New Roman"/>
          <w:szCs w:val="22"/>
          <w:lang w:eastAsia="fr-CH"/>
        </w:rPr>
      </w:pPr>
      <w:r w:rsidRPr="00FF7E21">
        <w:rPr>
          <w:szCs w:val="22"/>
          <w:lang w:eastAsia="fr-CH"/>
        </w:rPr>
        <w:t xml:space="preserve">It should be noted that the RO/US only applies the consequence of withdrawal, as </w:t>
      </w:r>
      <w:r w:rsidRPr="00FF7E21">
        <w:rPr>
          <w:rFonts w:eastAsia="Times New Roman"/>
          <w:szCs w:val="22"/>
          <w:lang w:eastAsia="fr-CH"/>
        </w:rPr>
        <w:t>provided for in Rule</w:t>
      </w:r>
      <w:r>
        <w:rPr>
          <w:rFonts w:eastAsia="Times New Roman"/>
          <w:szCs w:val="22"/>
          <w:lang w:eastAsia="fr-CH"/>
        </w:rPr>
        <w:t> </w:t>
      </w:r>
      <w:r w:rsidRPr="00FF7E21">
        <w:rPr>
          <w:rFonts w:eastAsia="Times New Roman"/>
          <w:szCs w:val="22"/>
          <w:lang w:eastAsia="fr-CH"/>
        </w:rPr>
        <w:t>26.5, in extreme situations and has rarely withdrawn an international application for drawing informalities.</w:t>
      </w:r>
    </w:p>
    <w:p w:rsidR="00416D7B" w:rsidRPr="00FF7E21" w:rsidRDefault="00416D7B" w:rsidP="00416D7B">
      <w:pPr>
        <w:pStyle w:val="ONUME"/>
        <w:rPr>
          <w:szCs w:val="22"/>
          <w:lang w:eastAsia="fr-CH"/>
        </w:rPr>
      </w:pPr>
      <w:r w:rsidRPr="00FF7E21">
        <w:rPr>
          <w:szCs w:val="22"/>
          <w:lang w:eastAsia="fr-CH"/>
        </w:rPr>
        <w:t>In the end, the process proves inefficient for both applicants and the RO/US and does not often result in the acceptance of Rule</w:t>
      </w:r>
      <w:r>
        <w:rPr>
          <w:szCs w:val="22"/>
          <w:lang w:eastAsia="fr-CH"/>
        </w:rPr>
        <w:t> </w:t>
      </w:r>
      <w:r w:rsidRPr="00FF7E21">
        <w:rPr>
          <w:szCs w:val="22"/>
          <w:lang w:eastAsia="fr-CH"/>
        </w:rPr>
        <w:t>11 compliant drawings.</w:t>
      </w:r>
    </w:p>
    <w:p w:rsidR="00416D7B" w:rsidRPr="00D4694F" w:rsidRDefault="00416D7B" w:rsidP="00416D7B">
      <w:pPr>
        <w:pStyle w:val="Heading1"/>
      </w:pPr>
      <w:r>
        <w:t>DiScUSSION</w:t>
      </w:r>
    </w:p>
    <w:p w:rsidR="00416D7B" w:rsidRPr="00D4694F" w:rsidRDefault="00416D7B" w:rsidP="00416D7B">
      <w:pPr>
        <w:pStyle w:val="ONUME"/>
      </w:pPr>
      <w:r w:rsidRPr="00D4694F">
        <w:t xml:space="preserve">The USPTO would like to </w:t>
      </w:r>
      <w:r>
        <w:t>improve</w:t>
      </w:r>
      <w:r w:rsidRPr="00D4694F">
        <w:t xml:space="preserve"> the process of handling drawing informalities.  More specifically, the USPTO </w:t>
      </w:r>
      <w:r>
        <w:t>proposes to do so by</w:t>
      </w:r>
      <w:r w:rsidR="004274B4">
        <w:t xml:space="preserve">: </w:t>
      </w:r>
      <w:r w:rsidRPr="00D4694F">
        <w:t xml:space="preserve"> (1) specifically defining “reasonable uniform publication” </w:t>
      </w:r>
      <w:r>
        <w:t>or attributes associated therewith</w:t>
      </w:r>
      <w:r w:rsidR="004274B4">
        <w:t>,</w:t>
      </w:r>
      <w:r>
        <w:t xml:space="preserve"> </w:t>
      </w:r>
      <w:r w:rsidRPr="00D4694F">
        <w:t xml:space="preserve">and (2) considering changes to the Invitation to Correct Defects (Form PCT/RO/106) </w:t>
      </w:r>
      <w:r>
        <w:t>to provide more complete information to applicants.</w:t>
      </w:r>
    </w:p>
    <w:p w:rsidR="00416D7B" w:rsidRPr="00D4694F" w:rsidRDefault="00416D7B" w:rsidP="00416D7B">
      <w:pPr>
        <w:pStyle w:val="ONUME"/>
      </w:pPr>
      <w:r w:rsidRPr="00D4694F">
        <w:t>In relation to specifically defining “reasonable uniform publication” or identifying attributes that are required for “reasonable uniform publication”, there has been discussion on</w:t>
      </w:r>
      <w:r w:rsidR="004274B4">
        <w:t xml:space="preserve"> the need for this previously. </w:t>
      </w:r>
    </w:p>
    <w:p w:rsidR="00416D7B" w:rsidRDefault="004274B4" w:rsidP="00416D7B">
      <w:pPr>
        <w:pStyle w:val="ONUME"/>
      </w:pPr>
      <w:r>
        <w:t>The Report from the eleventh s</w:t>
      </w:r>
      <w:r w:rsidR="00416D7B" w:rsidRPr="00D4694F">
        <w:t xml:space="preserve">ession of the </w:t>
      </w:r>
      <w:r>
        <w:t xml:space="preserve">Assembly of the </w:t>
      </w:r>
      <w:r w:rsidR="00416D7B" w:rsidRPr="00D4694F">
        <w:t xml:space="preserve">PCT </w:t>
      </w:r>
      <w:r>
        <w:t xml:space="preserve">Union in </w:t>
      </w:r>
      <w:r w:rsidR="00416D7B" w:rsidRPr="00D4694F">
        <w:t>1984 indicated the following</w:t>
      </w:r>
      <w:r>
        <w:t xml:space="preserve"> (see paragraph 31 of document PCTA/XI/9)</w:t>
      </w:r>
      <w:r w:rsidR="00416D7B" w:rsidRPr="00D4694F">
        <w:t>:</w:t>
      </w:r>
    </w:p>
    <w:p w:rsidR="00416D7B" w:rsidRPr="00D4694F" w:rsidRDefault="004274B4" w:rsidP="004274B4">
      <w:pPr>
        <w:pStyle w:val="ONUME"/>
        <w:numPr>
          <w:ilvl w:val="0"/>
          <w:numId w:val="0"/>
        </w:numPr>
        <w:ind w:left="567"/>
      </w:pPr>
      <w:r>
        <w:t>“31.</w:t>
      </w:r>
      <w:r w:rsidR="00D97483" w:rsidRPr="004274B4">
        <w:tab/>
      </w:r>
      <w:r w:rsidRPr="004274B4">
        <w:t>When adopting the amendment to Rule</w:t>
      </w:r>
      <w:r>
        <w:t> </w:t>
      </w:r>
      <w:r w:rsidRPr="004274B4">
        <w:t>28.1(a), the Assembly agreed that the Guidelines for Receiving Offices for the Processing of International Applications under the PCT should be revised in order to better clarify the formality examination standards, in particular, the physical requirements for reasonably uniform international publication referred to in Rule</w:t>
      </w:r>
      <w:r>
        <w:t> </w:t>
      </w:r>
      <w:r w:rsidRPr="004274B4">
        <w:t>26.3, so that the cases of application of Rule</w:t>
      </w:r>
      <w:r>
        <w:t> </w:t>
      </w:r>
      <w:r w:rsidRPr="004274B4">
        <w:t>28.1 would decrease in the future.</w:t>
      </w:r>
      <w:r>
        <w:t>”</w:t>
      </w:r>
    </w:p>
    <w:p w:rsidR="00416D7B" w:rsidRDefault="00416D7B" w:rsidP="00416D7B">
      <w:pPr>
        <w:pStyle w:val="ONUME"/>
      </w:pPr>
      <w:r w:rsidRPr="00D4694F">
        <w:t>F</w:t>
      </w:r>
      <w:r w:rsidR="004274B4">
        <w:t>rom the f</w:t>
      </w:r>
      <w:r w:rsidRPr="00D4694F">
        <w:t xml:space="preserve">ourteenth session of the Meeting of International Authorities under the PCT in 2007, </w:t>
      </w:r>
      <w:r w:rsidR="004274B4">
        <w:t xml:space="preserve">paragraph 7 of </w:t>
      </w:r>
      <w:r w:rsidRPr="00D4694F">
        <w:t xml:space="preserve">document MIA/14/6 indicated:  </w:t>
      </w:r>
    </w:p>
    <w:p w:rsidR="004274B4" w:rsidRPr="00D4694F" w:rsidRDefault="00D97483" w:rsidP="00D97483">
      <w:pPr>
        <w:pStyle w:val="ONUME"/>
        <w:numPr>
          <w:ilvl w:val="0"/>
          <w:numId w:val="0"/>
        </w:numPr>
        <w:ind w:left="567"/>
      </w:pPr>
      <w:r>
        <w:t>“</w:t>
      </w:r>
      <w:r w:rsidR="004274B4" w:rsidRPr="004274B4">
        <w:t>7.</w:t>
      </w:r>
      <w:r w:rsidR="004274B4" w:rsidRPr="004274B4">
        <w:tab/>
        <w:t>The Guidelines provide no indication of which of the requirements of Rule</w:t>
      </w:r>
      <w:r>
        <w:t> </w:t>
      </w:r>
      <w:r w:rsidR="004274B4" w:rsidRPr="004274B4">
        <w:t>11 are particularly important to ensuring uniform publication or satisfactory reproduction and leave the matter to the judgement of the individual receiving Office.</w:t>
      </w:r>
      <w:r>
        <w:t>”</w:t>
      </w:r>
    </w:p>
    <w:p w:rsidR="00416D7B" w:rsidRPr="00D4694F" w:rsidRDefault="00416D7B" w:rsidP="00416D7B"/>
    <w:p w:rsidR="00416D7B" w:rsidRPr="00D4694F" w:rsidRDefault="00416D7B" w:rsidP="00416D7B">
      <w:pPr>
        <w:pStyle w:val="ONUME"/>
      </w:pPr>
      <w:r w:rsidRPr="00D4694F">
        <w:lastRenderedPageBreak/>
        <w:t xml:space="preserve">Additionally, there have been two Practical Advice articles on this topic in the PCT Newsletter.  See PCT Newsletters </w:t>
      </w:r>
      <w:hyperlink r:id="rId8" w:history="1">
        <w:r w:rsidRPr="00D97483">
          <w:rPr>
            <w:rStyle w:val="Hyperlink"/>
            <w:color w:val="auto"/>
            <w:u w:val="none"/>
          </w:rPr>
          <w:t>No. 3/2016</w:t>
        </w:r>
      </w:hyperlink>
      <w:r w:rsidRPr="00D4694F">
        <w:t xml:space="preserve"> and </w:t>
      </w:r>
      <w:hyperlink r:id="rId9" w:history="1">
        <w:r w:rsidRPr="00D97483">
          <w:rPr>
            <w:rStyle w:val="Hyperlink"/>
            <w:color w:val="auto"/>
            <w:u w:val="none"/>
          </w:rPr>
          <w:t>No. 5/2019</w:t>
        </w:r>
      </w:hyperlink>
      <w:r w:rsidRPr="00D4694F">
        <w:t xml:space="preserve">. </w:t>
      </w:r>
    </w:p>
    <w:p w:rsidR="00416D7B" w:rsidRDefault="00416D7B" w:rsidP="00D97483">
      <w:pPr>
        <w:pStyle w:val="Heading1"/>
      </w:pPr>
      <w:r>
        <w:t>PRoPOSAL</w:t>
      </w:r>
    </w:p>
    <w:p w:rsidR="00416D7B" w:rsidRDefault="00416D7B" w:rsidP="00416D7B">
      <w:pPr>
        <w:pStyle w:val="ONUME"/>
      </w:pPr>
      <w:r>
        <w:t xml:space="preserve">The USPTO proposes to amend the sections titled “HOW TO CORRECT THE DEFECTS” and “ATTENTON” on the first sheet of Form PCT/RO/106, as set forth in the Annex to this document.  The proposed changes attempt to inform applicants of the scope of corrections that may be accepted so applicants can better decide under what provisions of the PCT the corrections should be made. </w:t>
      </w:r>
      <w:r w:rsidR="00D97483">
        <w:t xml:space="preserve"> </w:t>
      </w:r>
      <w:r>
        <w:t>The small change to the “ATTENTION” section simply attempts to reflect the practice of receiving Offices as defined in PCT Rule</w:t>
      </w:r>
      <w:r w:rsidR="00D97483">
        <w:t> </w:t>
      </w:r>
      <w:r>
        <w:t>26.5.</w:t>
      </w:r>
    </w:p>
    <w:p w:rsidR="00416D7B" w:rsidRDefault="00416D7B" w:rsidP="00416D7B">
      <w:pPr>
        <w:pStyle w:val="ONUME"/>
      </w:pPr>
      <w:r>
        <w:t>Further, the USPTO proposes to identify specific attributes that are required for reasonably uniform international publication referred to in Rule</w:t>
      </w:r>
      <w:r w:rsidR="00D97483">
        <w:t> </w:t>
      </w:r>
      <w:r>
        <w:t>26.3.  The Receiving Office Guidelines do not provide any indication as to which of the requirements of Rule</w:t>
      </w:r>
      <w:r w:rsidR="00D97483">
        <w:t> </w:t>
      </w:r>
      <w:r>
        <w:t xml:space="preserve">11 are particularly important to ensure reasonable uniform international publication or satisfactory reproduction and leaves the matter to the judgement of the individual receiving Offices.  </w:t>
      </w:r>
    </w:p>
    <w:p w:rsidR="00416D7B" w:rsidRPr="00496A2A" w:rsidRDefault="00416D7B" w:rsidP="00416D7B">
      <w:pPr>
        <w:pStyle w:val="ONUME"/>
        <w:rPr>
          <w:szCs w:val="22"/>
        </w:rPr>
      </w:pPr>
      <w:r>
        <w:t xml:space="preserve">The USPTO proposes the following attributes that define the requirement for reasonably </w:t>
      </w:r>
      <w:r w:rsidRPr="00496A2A">
        <w:rPr>
          <w:szCs w:val="22"/>
        </w:rPr>
        <w:t>uniform international publication:</w:t>
      </w:r>
    </w:p>
    <w:p w:rsidR="00416D7B" w:rsidRPr="00496A2A" w:rsidRDefault="00416D7B" w:rsidP="00416D7B">
      <w:pPr>
        <w:pStyle w:val="ONUME"/>
        <w:numPr>
          <w:ilvl w:val="1"/>
          <w:numId w:val="5"/>
        </w:numPr>
        <w:tabs>
          <w:tab w:val="clear" w:pos="1134"/>
          <w:tab w:val="num" w:pos="1107"/>
        </w:tabs>
        <w:ind w:left="540"/>
        <w:rPr>
          <w:rFonts w:eastAsia="Times New Roman"/>
          <w:szCs w:val="22"/>
          <w:lang w:val="en" w:eastAsia="en-US"/>
        </w:rPr>
      </w:pPr>
      <w:bookmarkStart w:id="6" w:name="_11_13_a"/>
      <w:bookmarkEnd w:id="6"/>
      <w:r w:rsidRPr="00496A2A">
        <w:rPr>
          <w:rFonts w:eastAsia="Times New Roman"/>
          <w:szCs w:val="22"/>
          <w:lang w:val="en" w:eastAsia="en-US"/>
        </w:rPr>
        <w:t xml:space="preserve">Each sheet of drawings </w:t>
      </w:r>
      <w:r>
        <w:rPr>
          <w:rFonts w:eastAsia="Times New Roman"/>
          <w:szCs w:val="22"/>
          <w:lang w:val="en" w:eastAsia="en-US"/>
        </w:rPr>
        <w:t>shall be in an upright position (i.e., portrait orientation).</w:t>
      </w:r>
    </w:p>
    <w:p w:rsidR="00416D7B" w:rsidRDefault="00416D7B" w:rsidP="00416D7B">
      <w:pPr>
        <w:pStyle w:val="ONUME"/>
        <w:numPr>
          <w:ilvl w:val="1"/>
          <w:numId w:val="5"/>
        </w:numPr>
        <w:tabs>
          <w:tab w:val="clear" w:pos="1134"/>
          <w:tab w:val="num" w:pos="1107"/>
        </w:tabs>
        <w:ind w:left="540"/>
        <w:rPr>
          <w:rFonts w:eastAsia="Times New Roman"/>
          <w:sz w:val="24"/>
          <w:lang w:val="en" w:eastAsia="en-US"/>
        </w:rPr>
      </w:pPr>
      <w:r>
        <w:rPr>
          <w:lang w:val="en"/>
        </w:rPr>
        <w:t>Drawings shall be executed in sufficiently dense and dark lines such that all details can be distinguished, the drawings admit of direct reproduction, and all details will be distinguishable if reproduced at two-thirds scale.</w:t>
      </w:r>
    </w:p>
    <w:p w:rsidR="00416D7B" w:rsidRDefault="00416D7B" w:rsidP="00416D7B">
      <w:pPr>
        <w:pStyle w:val="ONUME"/>
        <w:numPr>
          <w:ilvl w:val="1"/>
          <w:numId w:val="5"/>
        </w:numPr>
        <w:tabs>
          <w:tab w:val="clear" w:pos="1134"/>
          <w:tab w:val="num" w:pos="1107"/>
        </w:tabs>
        <w:ind w:left="540"/>
        <w:rPr>
          <w:lang w:val="en"/>
        </w:rPr>
      </w:pPr>
      <w:bookmarkStart w:id="7" w:name="_11_13_b"/>
      <w:bookmarkStart w:id="8" w:name="_11_13_c"/>
      <w:bookmarkEnd w:id="7"/>
      <w:bookmarkEnd w:id="8"/>
      <w:r>
        <w:rPr>
          <w:lang w:val="en"/>
        </w:rPr>
        <w:t>Drawings shall be of satisfactory scale and distinctness in their graphical execution such that all details can be distinguished, the drawings admit of direct reproduction, and all details will be distinguishable if reproduced at two-thirds scale.</w:t>
      </w:r>
    </w:p>
    <w:p w:rsidR="00416D7B" w:rsidRDefault="00416D7B" w:rsidP="00416D7B">
      <w:pPr>
        <w:pStyle w:val="ONUME"/>
        <w:numPr>
          <w:ilvl w:val="1"/>
          <w:numId w:val="5"/>
        </w:numPr>
        <w:tabs>
          <w:tab w:val="clear" w:pos="1134"/>
          <w:tab w:val="num" w:pos="1107"/>
        </w:tabs>
        <w:ind w:left="540"/>
        <w:rPr>
          <w:lang w:val="en"/>
        </w:rPr>
      </w:pPr>
      <w:bookmarkStart w:id="9" w:name="_11_13_e"/>
      <w:bookmarkStart w:id="10" w:name="_11_13_h"/>
      <w:bookmarkEnd w:id="9"/>
      <w:bookmarkEnd w:id="10"/>
      <w:r w:rsidRPr="00496A2A">
        <w:rPr>
          <w:lang w:val="en"/>
        </w:rPr>
        <w:t>The height of the numbers and letters shall generally be not less than 0.32cm such that all details can be distinguished, the drawings admit of direct reproduction, and all details will be distinguishable if reproduced at two-thirds scale</w:t>
      </w:r>
      <w:r>
        <w:rPr>
          <w:lang w:val="en"/>
        </w:rPr>
        <w:t>.</w:t>
      </w:r>
    </w:p>
    <w:p w:rsidR="00416D7B" w:rsidRDefault="00416D7B" w:rsidP="00416D7B">
      <w:pPr>
        <w:pStyle w:val="ONUME"/>
      </w:pPr>
      <w:r>
        <w:t>These attributes have been identified from PCT Rule</w:t>
      </w:r>
      <w:r w:rsidR="00D97483">
        <w:t> </w:t>
      </w:r>
      <w:r>
        <w:t>11 and are intended to ensure that the drawings are of sufficient quality as to be reproducible and distinguishable to the extent necessary to convey the disclosure of the application.</w:t>
      </w:r>
    </w:p>
    <w:p w:rsidR="00416D7B" w:rsidRDefault="00416D7B" w:rsidP="00416D7B">
      <w:pPr>
        <w:pStyle w:val="ONUME"/>
      </w:pPr>
      <w:r>
        <w:t>In practice, receiving Office staff would review the drawings in relation to these attributes to determine if the drawings are sufficient to ensure reasonably uniform publication.  Where the drawings are not in condition for reasonably uniform publication, the receiving Office staff would review for compliance with all the requirements of PCT Rule</w:t>
      </w:r>
      <w:r w:rsidR="00D97483">
        <w:t> </w:t>
      </w:r>
      <w:r>
        <w:t>11 and issue Form PCT/R</w:t>
      </w:r>
      <w:r w:rsidR="00D97483">
        <w:t>O/106 identifying all defects.</w:t>
      </w:r>
    </w:p>
    <w:p w:rsidR="00D97483" w:rsidRPr="00D97483" w:rsidRDefault="00D97483" w:rsidP="00D97483">
      <w:pPr>
        <w:pStyle w:val="ONUME"/>
        <w:ind w:left="5533"/>
        <w:rPr>
          <w:i/>
        </w:rPr>
      </w:pPr>
      <w:r w:rsidRPr="00D97483">
        <w:rPr>
          <w:i/>
        </w:rPr>
        <w:t>The Meeting is invited to comment on:</w:t>
      </w:r>
    </w:p>
    <w:p w:rsidR="00D97483" w:rsidRPr="00D97483" w:rsidRDefault="00D97483" w:rsidP="00D97483">
      <w:pPr>
        <w:pStyle w:val="ONUME"/>
        <w:numPr>
          <w:ilvl w:val="2"/>
          <w:numId w:val="5"/>
        </w:numPr>
        <w:ind w:left="5533"/>
        <w:rPr>
          <w:i/>
        </w:rPr>
      </w:pPr>
      <w:r w:rsidRPr="00D97483">
        <w:rPr>
          <w:i/>
        </w:rPr>
        <w:t>the proposed amendment to Form PCT/RO/106 in the Annex to this document;  and</w:t>
      </w:r>
    </w:p>
    <w:p w:rsidR="00D97483" w:rsidRPr="00D97483" w:rsidRDefault="00D97483" w:rsidP="00D97483">
      <w:pPr>
        <w:pStyle w:val="ONUME"/>
        <w:numPr>
          <w:ilvl w:val="2"/>
          <w:numId w:val="5"/>
        </w:numPr>
        <w:ind w:left="5533"/>
        <w:rPr>
          <w:i/>
        </w:rPr>
      </w:pPr>
      <w:r w:rsidRPr="00D97483">
        <w:rPr>
          <w:i/>
        </w:rPr>
        <w:t>the attributes required for reasonably uniform publication.</w:t>
      </w:r>
    </w:p>
    <w:p w:rsidR="00D97483" w:rsidRDefault="00D97483"/>
    <w:p w:rsidR="002D6E25" w:rsidRDefault="00D97483" w:rsidP="00D97483">
      <w:pPr>
        <w:pStyle w:val="Endofdocument-Annex"/>
        <w:sectPr w:rsidR="002D6E25" w:rsidSect="002D4681">
          <w:headerReference w:type="even" r:id="rId10"/>
          <w:headerReference w:type="default" r:id="rId11"/>
          <w:endnotePr>
            <w:numFmt w:val="decimal"/>
          </w:endnotePr>
          <w:pgSz w:w="11907" w:h="16840" w:code="9"/>
          <w:pgMar w:top="567" w:right="1134" w:bottom="1418" w:left="1418" w:header="510" w:footer="1021" w:gutter="0"/>
          <w:cols w:space="720"/>
          <w:titlePg/>
          <w:docGrid w:linePitch="299"/>
        </w:sectPr>
      </w:pPr>
      <w:r>
        <w:t>[Annex follows]</w:t>
      </w:r>
    </w:p>
    <w:p w:rsidR="002928D3" w:rsidRDefault="002D6E25" w:rsidP="002D6E25">
      <w:pPr>
        <w:pStyle w:val="Endofdocument-Annex"/>
        <w:ind w:left="0"/>
      </w:pPr>
      <w:r w:rsidRPr="00DD4E8D">
        <w:rPr>
          <w:noProof/>
          <w:lang w:eastAsia="en-US"/>
        </w:rPr>
        <w:lastRenderedPageBreak/>
        <w:drawing>
          <wp:inline distT="0" distB="0" distL="0" distR="0" wp14:anchorId="1C40E4E8" wp14:editId="009A5FFE">
            <wp:extent cx="5940425" cy="8389620"/>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0425" cy="8389620"/>
                    </a:xfrm>
                    <a:prstGeom prst="rect">
                      <a:avLst/>
                    </a:prstGeom>
                    <a:noFill/>
                    <a:ln>
                      <a:noFill/>
                    </a:ln>
                  </pic:spPr>
                </pic:pic>
              </a:graphicData>
            </a:graphic>
          </wp:inline>
        </w:drawing>
      </w:r>
    </w:p>
    <w:p w:rsidR="002D6E25" w:rsidRPr="002D6E25" w:rsidRDefault="002D6E25" w:rsidP="002D6E25">
      <w:pPr>
        <w:pStyle w:val="Endofdocument-Annex"/>
      </w:pPr>
      <w:r w:rsidRPr="002D6E25">
        <w:t>[End of Annex and of document]</w:t>
      </w:r>
    </w:p>
    <w:sectPr w:rsidR="002D6E25" w:rsidRPr="002D6E25" w:rsidSect="00F32357">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2357" w:rsidRDefault="00F32357">
      <w:r>
        <w:separator/>
      </w:r>
    </w:p>
  </w:endnote>
  <w:endnote w:type="continuationSeparator" w:id="0">
    <w:p w:rsidR="00F32357" w:rsidRDefault="00F32357" w:rsidP="003B38C1">
      <w:r>
        <w:separator/>
      </w:r>
    </w:p>
    <w:p w:rsidR="00F32357" w:rsidRPr="003B38C1" w:rsidRDefault="00F32357" w:rsidP="003B38C1">
      <w:pPr>
        <w:spacing w:after="60"/>
        <w:rPr>
          <w:sz w:val="17"/>
        </w:rPr>
      </w:pPr>
      <w:r>
        <w:rPr>
          <w:sz w:val="17"/>
        </w:rPr>
        <w:t>[Endnote continued from previous page]</w:t>
      </w:r>
    </w:p>
  </w:endnote>
  <w:endnote w:type="continuationNotice" w:id="1">
    <w:p w:rsidR="00F32357" w:rsidRPr="003B38C1" w:rsidRDefault="00F3235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681" w:rsidRDefault="002D4681" w:rsidP="002D46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681" w:rsidRDefault="002D46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681" w:rsidRDefault="002D46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2357" w:rsidRDefault="00F32357">
      <w:r>
        <w:separator/>
      </w:r>
    </w:p>
  </w:footnote>
  <w:footnote w:type="continuationSeparator" w:id="0">
    <w:p w:rsidR="00F32357" w:rsidRDefault="00F32357" w:rsidP="008B60B2">
      <w:r>
        <w:separator/>
      </w:r>
    </w:p>
    <w:p w:rsidR="00F32357" w:rsidRPr="00ED77FB" w:rsidRDefault="00F32357" w:rsidP="008B60B2">
      <w:pPr>
        <w:spacing w:after="60"/>
        <w:rPr>
          <w:sz w:val="17"/>
          <w:szCs w:val="17"/>
        </w:rPr>
      </w:pPr>
      <w:r w:rsidRPr="00ED77FB">
        <w:rPr>
          <w:sz w:val="17"/>
          <w:szCs w:val="17"/>
        </w:rPr>
        <w:t>[Footnote continued from previous page]</w:t>
      </w:r>
    </w:p>
  </w:footnote>
  <w:footnote w:type="continuationNotice" w:id="1">
    <w:p w:rsidR="00F32357" w:rsidRPr="00ED77FB" w:rsidRDefault="00F32357"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681" w:rsidRDefault="002D4681" w:rsidP="002D4681">
    <w:pPr>
      <w:jc w:val="right"/>
    </w:pPr>
    <w:r>
      <w:t>PCT/MIA/27/14</w:t>
    </w:r>
  </w:p>
  <w:p w:rsidR="002D4681" w:rsidRDefault="002D4681" w:rsidP="002D4681">
    <w:pPr>
      <w:jc w:val="right"/>
    </w:pPr>
    <w:r>
      <w:t xml:space="preserve">page </w:t>
    </w:r>
    <w:r>
      <w:fldChar w:fldCharType="begin"/>
    </w:r>
    <w:r>
      <w:instrText xml:space="preserve"> PAGE  \* MERGEFORMAT </w:instrText>
    </w:r>
    <w:r>
      <w:fldChar w:fldCharType="separate"/>
    </w:r>
    <w:r w:rsidR="0055028F">
      <w:rPr>
        <w:noProof/>
      </w:rPr>
      <w:t>2</w:t>
    </w:r>
    <w:r>
      <w:fldChar w:fldCharType="end"/>
    </w:r>
  </w:p>
  <w:p w:rsidR="002D4681" w:rsidRDefault="002D4681" w:rsidP="002D4681">
    <w:pPr>
      <w:jc w:val="right"/>
    </w:pPr>
  </w:p>
  <w:p w:rsidR="002D4681" w:rsidRDefault="002D4681" w:rsidP="002D4681">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F32357" w:rsidP="00477D6B">
    <w:pPr>
      <w:jc w:val="right"/>
    </w:pPr>
    <w:r>
      <w:t>PCT/MIA/27/14</w:t>
    </w:r>
  </w:p>
  <w:p w:rsidR="00EC4E49" w:rsidRDefault="00EC4E49" w:rsidP="00477D6B">
    <w:pPr>
      <w:jc w:val="right"/>
    </w:pPr>
    <w:r>
      <w:t xml:space="preserve">page </w:t>
    </w:r>
    <w:r>
      <w:fldChar w:fldCharType="begin"/>
    </w:r>
    <w:r>
      <w:instrText xml:space="preserve"> PAGE  \* MERGEFORMAT </w:instrText>
    </w:r>
    <w:r>
      <w:fldChar w:fldCharType="separate"/>
    </w:r>
    <w:r w:rsidR="0055028F">
      <w:rPr>
        <w:noProof/>
      </w:rPr>
      <w:t>3</w:t>
    </w:r>
    <w:r>
      <w:fldChar w:fldCharType="end"/>
    </w:r>
  </w:p>
  <w:p w:rsidR="00EC4E49" w:rsidRDefault="00EC4E49" w:rsidP="00477D6B">
    <w:pPr>
      <w:jc w:val="right"/>
    </w:pPr>
  </w:p>
  <w:p w:rsidR="008A134B" w:rsidRDefault="008A134B"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681" w:rsidRDefault="002D4681" w:rsidP="002D4681">
    <w:pPr>
      <w:jc w:val="right"/>
    </w:pPr>
    <w:r>
      <w:t>PCT/MIA/27/14</w:t>
    </w:r>
  </w:p>
  <w:p w:rsidR="002D4681" w:rsidRDefault="002D4681" w:rsidP="002D4681">
    <w:pPr>
      <w:jc w:val="right"/>
    </w:pPr>
    <w:r>
      <w:t xml:space="preserve">page </w:t>
    </w:r>
    <w:r>
      <w:fldChar w:fldCharType="begin"/>
    </w:r>
    <w:r>
      <w:instrText xml:space="preserve"> PAGE  \* MERGEFORMAT </w:instrText>
    </w:r>
    <w:r>
      <w:fldChar w:fldCharType="separate"/>
    </w:r>
    <w:r>
      <w:rPr>
        <w:noProof/>
      </w:rPr>
      <w:t>2</w:t>
    </w:r>
    <w:r>
      <w:fldChar w:fldCharType="end"/>
    </w:r>
  </w:p>
  <w:p w:rsidR="002D4681" w:rsidRDefault="002D4681" w:rsidP="002D4681">
    <w:pPr>
      <w:jc w:val="right"/>
    </w:pPr>
  </w:p>
  <w:p w:rsidR="002D4681" w:rsidRDefault="002D4681" w:rsidP="002D4681">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681" w:rsidRDefault="002D4681" w:rsidP="00477D6B">
    <w:pPr>
      <w:jc w:val="right"/>
    </w:pPr>
    <w:r>
      <w:t>PCT/MIA/27/14</w:t>
    </w:r>
  </w:p>
  <w:p w:rsidR="002D4681" w:rsidRDefault="002D4681" w:rsidP="00477D6B">
    <w:pPr>
      <w:jc w:val="right"/>
    </w:pPr>
    <w:r>
      <w:t xml:space="preserve">page </w:t>
    </w:r>
    <w:r>
      <w:fldChar w:fldCharType="begin"/>
    </w:r>
    <w:r>
      <w:instrText xml:space="preserve"> PAGE  \* MERGEFORMAT </w:instrText>
    </w:r>
    <w:r>
      <w:fldChar w:fldCharType="separate"/>
    </w:r>
    <w:r>
      <w:rPr>
        <w:noProof/>
      </w:rPr>
      <w:t>2</w:t>
    </w:r>
    <w:r>
      <w:fldChar w:fldCharType="end"/>
    </w:r>
  </w:p>
  <w:p w:rsidR="002D4681" w:rsidRDefault="002D4681" w:rsidP="00477D6B">
    <w:pPr>
      <w:jc w:val="right"/>
    </w:pPr>
  </w:p>
  <w:p w:rsidR="002D4681" w:rsidRDefault="002D4681"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6E25" w:rsidRDefault="002D6E25" w:rsidP="002D6E25">
    <w:pPr>
      <w:pStyle w:val="Header"/>
      <w:jc w:val="right"/>
    </w:pPr>
    <w:r>
      <w:t>PCT/MIA/27/14</w:t>
    </w:r>
    <w:r>
      <w:br/>
      <w:t>ANNEX</w:t>
    </w:r>
  </w:p>
  <w:p w:rsidR="002D6E25" w:rsidRDefault="002D6E25" w:rsidP="002D6E2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357"/>
    <w:rsid w:val="000021BF"/>
    <w:rsid w:val="00043CAA"/>
    <w:rsid w:val="00075432"/>
    <w:rsid w:val="000968ED"/>
    <w:rsid w:val="000F5E56"/>
    <w:rsid w:val="001362EE"/>
    <w:rsid w:val="001647D5"/>
    <w:rsid w:val="001832A6"/>
    <w:rsid w:val="001E247A"/>
    <w:rsid w:val="0021217E"/>
    <w:rsid w:val="002634C4"/>
    <w:rsid w:val="00273292"/>
    <w:rsid w:val="002928D3"/>
    <w:rsid w:val="002D4681"/>
    <w:rsid w:val="002D6E25"/>
    <w:rsid w:val="002F1FE6"/>
    <w:rsid w:val="002F4E68"/>
    <w:rsid w:val="00312F7F"/>
    <w:rsid w:val="00361450"/>
    <w:rsid w:val="003673CF"/>
    <w:rsid w:val="003845C1"/>
    <w:rsid w:val="003A6F89"/>
    <w:rsid w:val="003B38C1"/>
    <w:rsid w:val="00416D7B"/>
    <w:rsid w:val="00423E3E"/>
    <w:rsid w:val="004274B4"/>
    <w:rsid w:val="00427AF4"/>
    <w:rsid w:val="00431866"/>
    <w:rsid w:val="004647DA"/>
    <w:rsid w:val="00474062"/>
    <w:rsid w:val="00477D6B"/>
    <w:rsid w:val="004C7D9B"/>
    <w:rsid w:val="004F65E0"/>
    <w:rsid w:val="004F741C"/>
    <w:rsid w:val="005019FF"/>
    <w:rsid w:val="0053057A"/>
    <w:rsid w:val="005320DF"/>
    <w:rsid w:val="0055028F"/>
    <w:rsid w:val="00560A29"/>
    <w:rsid w:val="005C6649"/>
    <w:rsid w:val="00605827"/>
    <w:rsid w:val="00646050"/>
    <w:rsid w:val="006713CA"/>
    <w:rsid w:val="00676C5C"/>
    <w:rsid w:val="00690B7A"/>
    <w:rsid w:val="006A2A0B"/>
    <w:rsid w:val="00753035"/>
    <w:rsid w:val="007D1613"/>
    <w:rsid w:val="007E4C0E"/>
    <w:rsid w:val="008A134B"/>
    <w:rsid w:val="008B2CC1"/>
    <w:rsid w:val="008B60B2"/>
    <w:rsid w:val="0090731E"/>
    <w:rsid w:val="00916EE2"/>
    <w:rsid w:val="00966A22"/>
    <w:rsid w:val="0096722F"/>
    <w:rsid w:val="00980843"/>
    <w:rsid w:val="009B6D5C"/>
    <w:rsid w:val="009E2791"/>
    <w:rsid w:val="009E3F6F"/>
    <w:rsid w:val="009F499F"/>
    <w:rsid w:val="00A37342"/>
    <w:rsid w:val="00A42DAF"/>
    <w:rsid w:val="00A45BD8"/>
    <w:rsid w:val="00A54257"/>
    <w:rsid w:val="00A869B7"/>
    <w:rsid w:val="00AC205C"/>
    <w:rsid w:val="00AF0A6B"/>
    <w:rsid w:val="00B05A69"/>
    <w:rsid w:val="00B9734B"/>
    <w:rsid w:val="00BA30E2"/>
    <w:rsid w:val="00C11BFE"/>
    <w:rsid w:val="00C5068F"/>
    <w:rsid w:val="00C86D74"/>
    <w:rsid w:val="00CD04F1"/>
    <w:rsid w:val="00D45252"/>
    <w:rsid w:val="00D71B4D"/>
    <w:rsid w:val="00D93D55"/>
    <w:rsid w:val="00D97483"/>
    <w:rsid w:val="00E15015"/>
    <w:rsid w:val="00E335FE"/>
    <w:rsid w:val="00EA7D6E"/>
    <w:rsid w:val="00EC4E49"/>
    <w:rsid w:val="00ED77FB"/>
    <w:rsid w:val="00EE45FA"/>
    <w:rsid w:val="00F32357"/>
    <w:rsid w:val="00F6615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2C25B54"/>
  <w15:docId w15:val="{B8520026-4114-477C-A33D-9B95E191F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4F65E0"/>
    <w:rPr>
      <w:rFonts w:ascii="Tahoma" w:hAnsi="Tahoma" w:cs="Tahoma"/>
      <w:sz w:val="16"/>
      <w:szCs w:val="16"/>
    </w:rPr>
  </w:style>
  <w:style w:type="character" w:customStyle="1" w:styleId="BalloonTextChar">
    <w:name w:val="Balloon Text Char"/>
    <w:basedOn w:val="DefaultParagraphFont"/>
    <w:link w:val="BalloonText"/>
    <w:rsid w:val="004F65E0"/>
    <w:rPr>
      <w:rFonts w:ascii="Tahoma" w:eastAsia="SimSun" w:hAnsi="Tahoma" w:cs="Tahoma"/>
      <w:sz w:val="16"/>
      <w:szCs w:val="16"/>
      <w:lang w:val="en-US" w:eastAsia="zh-CN"/>
    </w:rPr>
  </w:style>
  <w:style w:type="character" w:styleId="Hyperlink">
    <w:name w:val="Hyperlink"/>
    <w:basedOn w:val="DefaultParagraphFont"/>
    <w:unhideWhenUsed/>
    <w:rsid w:val="00416D7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edocs/pctndocs/en/2016/pct_news_2016_3.pdf" TargetMode="External"/><Relationship Id="rId13" Type="http://schemas.openxmlformats.org/officeDocument/2006/relationships/header" Target="header3.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emf"/><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wipo.int/edocs/pctndocs/en/2019/pct_news_2019_5.pdf" TargetMode="Externa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8675BE42</Template>
  <TotalTime>1</TotalTime>
  <Pages>4</Pages>
  <Words>1268</Words>
  <Characters>7121</Characters>
  <Application>Microsoft Office Word</Application>
  <DocSecurity>0</DocSecurity>
  <Lines>139</Lines>
  <Paragraphs>41</Paragraphs>
  <ScaleCrop>false</ScaleCrop>
  <HeadingPairs>
    <vt:vector size="2" baseType="variant">
      <vt:variant>
        <vt:lpstr>Title</vt:lpstr>
      </vt:variant>
      <vt:variant>
        <vt:i4>1</vt:i4>
      </vt:variant>
    </vt:vector>
  </HeadingPairs>
  <TitlesOfParts>
    <vt:vector size="1" baseType="lpstr">
      <vt:lpstr>PCT/MIA/27/14</vt:lpstr>
    </vt:vector>
  </TitlesOfParts>
  <Company>WIPO</Company>
  <LinksUpToDate>false</LinksUpToDate>
  <CharactersWithSpaces>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PCT/MIA/27/14</dc:title>
  <dc:subject>Proposal on the Handling of Drawing Informalities in International Applications Under the PCT</dc:subject>
  <dc:creator>MARLOW Thomas</dc:creator>
  <cp:keywords>PUBLIC</cp:keywords>
  <cp:lastModifiedBy>MARLOW Thomas</cp:lastModifiedBy>
  <cp:revision>3</cp:revision>
  <cp:lastPrinted>2011-02-15T11:56:00Z</cp:lastPrinted>
  <dcterms:created xsi:type="dcterms:W3CDTF">2020-01-17T15:32:00Z</dcterms:created>
  <dcterms:modified xsi:type="dcterms:W3CDTF">2020-01-21T10:30:00Z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faf7e02d-c1c1-4ccc-9bec-a1c5668815b9</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