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14:anchorId="36777825" wp14:editId="2048F86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0" w:name="Code"/>
            <w:bookmarkEnd w:id="0"/>
            <w:r w:rsidR="00C720FE">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720FE">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C720FE">
              <w:rPr>
                <w:rFonts w:ascii="Arial Black" w:hAnsi="Arial Black"/>
                <w:caps/>
                <w:sz w:val="15"/>
              </w:rPr>
              <w:t>January 9,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720FE" w:rsidP="008B2CC1">
      <w:pPr>
        <w:rPr>
          <w:caps/>
          <w:sz w:val="24"/>
        </w:rPr>
      </w:pPr>
      <w:bookmarkStart w:id="3" w:name="TitleOfDoc"/>
      <w:bookmarkEnd w:id="3"/>
      <w:r>
        <w:rPr>
          <w:caps/>
          <w:sz w:val="24"/>
        </w:rPr>
        <w:t>Transmittal of the Copies of Documents cited in International Search Reports or International Preliminary Examination Reports</w:t>
      </w:r>
    </w:p>
    <w:p w:rsidR="008B2CC1" w:rsidRPr="008B2CC1" w:rsidRDefault="008B2CC1" w:rsidP="008B2CC1"/>
    <w:p w:rsidR="008B2CC1" w:rsidRPr="008B2CC1" w:rsidRDefault="00C720FE" w:rsidP="008B2CC1">
      <w:pPr>
        <w:rPr>
          <w:i/>
        </w:rPr>
      </w:pPr>
      <w:bookmarkStart w:id="4" w:name="Prepared"/>
      <w:bookmarkEnd w:id="4"/>
      <w:r>
        <w:rPr>
          <w:i/>
        </w:rPr>
        <w:t>Document prepared by the Korean Intellectual Property Office</w:t>
      </w:r>
    </w:p>
    <w:p w:rsidR="00AC205C" w:rsidRDefault="00AC205C"/>
    <w:p w:rsidR="000F5E56" w:rsidRDefault="000F5E56"/>
    <w:p w:rsidR="002928D3" w:rsidRDefault="002928D3">
      <w:bookmarkStart w:id="5" w:name="_GoBack"/>
      <w:bookmarkEnd w:id="5"/>
    </w:p>
    <w:p w:rsidR="002928D3" w:rsidRDefault="002928D3" w:rsidP="0053057A"/>
    <w:p w:rsidR="002928D3" w:rsidRDefault="002F5358" w:rsidP="002F5358">
      <w:pPr>
        <w:pStyle w:val="ONUME"/>
      </w:pPr>
      <w:r w:rsidRPr="002F5358">
        <w:t xml:space="preserve">Under the PCT, the international filing date should first be accorded then entry into the national phase </w:t>
      </w:r>
      <w:r w:rsidR="00DE476E">
        <w:t xml:space="preserve">is normally </w:t>
      </w:r>
      <w:r w:rsidRPr="002F5358">
        <w:t xml:space="preserve">delayed to 30 or 31 months after filing an international application. </w:t>
      </w:r>
      <w:r>
        <w:t xml:space="preserve"> </w:t>
      </w:r>
      <w:r w:rsidR="005A1A84">
        <w:t>T</w:t>
      </w:r>
      <w:r w:rsidRPr="002F5358">
        <w:t>he international search (IS) and the international preliminary examination (IPE) carried out in a period between the international filing date and a national phase entry date</w:t>
      </w:r>
      <w:r w:rsidR="005A1A84">
        <w:t xml:space="preserve"> allows</w:t>
      </w:r>
      <w:r w:rsidRPr="002F5358">
        <w:t xml:space="preserve"> the applicant </w:t>
      </w:r>
      <w:r w:rsidR="005A1A84">
        <w:t>to</w:t>
      </w:r>
      <w:r w:rsidR="005A1A84" w:rsidRPr="002F5358">
        <w:t xml:space="preserve"> </w:t>
      </w:r>
      <w:r w:rsidRPr="002F5358">
        <w:t xml:space="preserve">predict eligibility of the application and raise its eligibility through amendments </w:t>
      </w:r>
      <w:r w:rsidR="005A1A84">
        <w:t>when</w:t>
      </w:r>
      <w:r w:rsidR="005A1A84" w:rsidRPr="002F5358">
        <w:t xml:space="preserve"> </w:t>
      </w:r>
      <w:r w:rsidRPr="002F5358">
        <w:t xml:space="preserve">entering the national phase by taking advantage of the IS and the results of the IPE. </w:t>
      </w:r>
      <w:r>
        <w:t xml:space="preserve"> </w:t>
      </w:r>
      <w:r w:rsidRPr="002F5358">
        <w:t>In the process, the applicant should review the international search report</w:t>
      </w:r>
      <w:r w:rsidR="005A1A84">
        <w:t xml:space="preserve"> </w:t>
      </w:r>
      <w:r w:rsidRPr="002F5358">
        <w:t>(ISR) and the citation of the documents attached as annexes to the international preliminary examination report</w:t>
      </w:r>
      <w:r w:rsidR="005A1A84">
        <w:t xml:space="preserve"> </w:t>
      </w:r>
      <w:r w:rsidRPr="002F5358">
        <w:t>(IPER) as well</w:t>
      </w:r>
      <w:r>
        <w:t>.</w:t>
      </w:r>
    </w:p>
    <w:p w:rsidR="002F5358" w:rsidRPr="002F5358" w:rsidRDefault="002F5358" w:rsidP="002F5358">
      <w:pPr>
        <w:pStyle w:val="ONUME"/>
      </w:pPr>
      <w:r w:rsidRPr="002F5358">
        <w:t xml:space="preserve">As a designated </w:t>
      </w:r>
      <w:r w:rsidR="005A1A84">
        <w:t>O</w:t>
      </w:r>
      <w:r w:rsidRPr="002F5358">
        <w:t xml:space="preserve">ffice (DO) or elected </w:t>
      </w:r>
      <w:r w:rsidR="005A1A84">
        <w:t>O</w:t>
      </w:r>
      <w:r w:rsidRPr="002F5358">
        <w:t xml:space="preserve">ffice (EO), the national </w:t>
      </w:r>
      <w:r w:rsidR="005A1A84">
        <w:t>Office</w:t>
      </w:r>
      <w:r w:rsidR="005A1A84" w:rsidRPr="002F5358">
        <w:t xml:space="preserve"> </w:t>
      </w:r>
      <w:r w:rsidRPr="002F5358">
        <w:t xml:space="preserve">may review the results of the IS and of the IPE </w:t>
      </w:r>
      <w:r w:rsidR="005A1A84">
        <w:t>at the beginning of the national phase</w:t>
      </w:r>
      <w:r w:rsidRPr="002F5358">
        <w:t xml:space="preserve">. </w:t>
      </w:r>
      <w:r w:rsidR="005A1A84">
        <w:t xml:space="preserve"> </w:t>
      </w:r>
      <w:r w:rsidRPr="002F5358">
        <w:t xml:space="preserve">In the process, the citation of the documents attached to the reports should be reviewed.  </w:t>
      </w:r>
    </w:p>
    <w:p w:rsidR="002F5358" w:rsidRDefault="002F5358" w:rsidP="002F5358">
      <w:pPr>
        <w:pStyle w:val="ONUME"/>
      </w:pPr>
      <w:r w:rsidRPr="002F5358">
        <w:t xml:space="preserve">The </w:t>
      </w:r>
      <w:r w:rsidR="005A1A84">
        <w:t>I</w:t>
      </w:r>
      <w:r w:rsidRPr="002F5358">
        <w:t xml:space="preserve">nternational </w:t>
      </w:r>
      <w:r w:rsidR="005A1A84">
        <w:t>S</w:t>
      </w:r>
      <w:r w:rsidRPr="002F5358">
        <w:t xml:space="preserve">earching </w:t>
      </w:r>
      <w:r w:rsidR="005A1A84">
        <w:t>A</w:t>
      </w:r>
      <w:r w:rsidRPr="002F5358">
        <w:t>uthority (ISA) should transmit the ISR</w:t>
      </w:r>
      <w:r w:rsidR="00DE476E">
        <w:t xml:space="preserve"> or</w:t>
      </w:r>
      <w:r w:rsidRPr="002F5358">
        <w:t xml:space="preserve"> declaration </w:t>
      </w:r>
      <w:r w:rsidR="005A1A84">
        <w:t>under</w:t>
      </w:r>
      <w:r w:rsidRPr="002F5358">
        <w:t xml:space="preserve"> </w:t>
      </w:r>
      <w:r w:rsidR="005A1A84" w:rsidRPr="002F5358">
        <w:t>Article</w:t>
      </w:r>
      <w:r w:rsidR="005A1A84">
        <w:t> </w:t>
      </w:r>
      <w:r w:rsidRPr="002F5358">
        <w:t>17(2</w:t>
      </w:r>
      <w:proofErr w:type="gramStart"/>
      <w:r w:rsidRPr="002F5358">
        <w:t>)(</w:t>
      </w:r>
      <w:proofErr w:type="gramEnd"/>
      <w:r w:rsidRPr="002F5358">
        <w:t>a)</w:t>
      </w:r>
      <w:r w:rsidR="00DE476E">
        <w:t>, along with</w:t>
      </w:r>
      <w:r w:rsidRPr="002F5358">
        <w:t xml:space="preserve"> the </w:t>
      </w:r>
      <w:r w:rsidR="005A1A84">
        <w:t>written opinion of the ISA (</w:t>
      </w:r>
      <w:r w:rsidRPr="002F5358">
        <w:t>WO/ISA</w:t>
      </w:r>
      <w:r w:rsidR="005A1A84">
        <w:t>)</w:t>
      </w:r>
      <w:r w:rsidRPr="002F5358">
        <w:t xml:space="preserve"> established in compliance with Rule</w:t>
      </w:r>
      <w:r w:rsidR="005A1A84">
        <w:t> </w:t>
      </w:r>
      <w:r w:rsidRPr="002F5358">
        <w:t>4</w:t>
      </w:r>
      <w:r w:rsidR="004E21AE">
        <w:t>4</w:t>
      </w:r>
      <w:r w:rsidR="005A1A84">
        <w:t xml:space="preserve">.1 </w:t>
      </w:r>
      <w:r w:rsidRPr="002F5358">
        <w:t>to the applicant</w:t>
      </w:r>
      <w:r w:rsidR="00DE476E">
        <w:t>.  T</w:t>
      </w:r>
      <w:r w:rsidRPr="002F5358">
        <w:t xml:space="preserve">he </w:t>
      </w:r>
      <w:r w:rsidR="005A1A84">
        <w:t>I</w:t>
      </w:r>
      <w:r w:rsidRPr="002F5358">
        <w:t xml:space="preserve">nternational </w:t>
      </w:r>
      <w:r w:rsidR="005A1A84">
        <w:t>P</w:t>
      </w:r>
      <w:r w:rsidRPr="002F5358">
        <w:t xml:space="preserve">reliminary </w:t>
      </w:r>
      <w:r w:rsidR="005A1A84">
        <w:t>E</w:t>
      </w:r>
      <w:r w:rsidRPr="002F5358">
        <w:t xml:space="preserve">xamining </w:t>
      </w:r>
      <w:r w:rsidR="005A1A84">
        <w:t>A</w:t>
      </w:r>
      <w:r w:rsidRPr="002F5358">
        <w:t>uthority</w:t>
      </w:r>
      <w:r w:rsidR="005A1A84">
        <w:t xml:space="preserve"> </w:t>
      </w:r>
      <w:r w:rsidRPr="002F5358">
        <w:t xml:space="preserve">(IPEA) should send out the IPER and annexes in accordance with the amendments defined under </w:t>
      </w:r>
      <w:r w:rsidR="004B1A75" w:rsidRPr="002F5358">
        <w:t>Article</w:t>
      </w:r>
      <w:r w:rsidR="004B1A75">
        <w:t xml:space="preserve"> </w:t>
      </w:r>
      <w:r w:rsidRPr="002F5358">
        <w:t xml:space="preserve">19 </w:t>
      </w:r>
      <w:r w:rsidR="004B1A75" w:rsidRPr="002F5358">
        <w:t>or</w:t>
      </w:r>
      <w:r w:rsidR="004B1A75">
        <w:t> </w:t>
      </w:r>
      <w:r w:rsidRPr="002F5358">
        <w:t xml:space="preserve">34 to the applicant. </w:t>
      </w:r>
      <w:r w:rsidR="004B1A75">
        <w:t xml:space="preserve"> </w:t>
      </w:r>
      <w:r w:rsidRPr="002F5358">
        <w:t>In other words, the documents</w:t>
      </w:r>
      <w:r w:rsidR="00DE7239">
        <w:t xml:space="preserve"> cited in</w:t>
      </w:r>
      <w:r w:rsidRPr="002F5358">
        <w:t xml:space="preserve"> the ISR and the IPER do not have to be transmitted together with the report to the applicant and the national Office</w:t>
      </w:r>
      <w:r>
        <w:t>.</w:t>
      </w:r>
    </w:p>
    <w:p w:rsidR="002F5358" w:rsidRDefault="002F5358" w:rsidP="005D4F35">
      <w:pPr>
        <w:pStyle w:val="ONUME"/>
        <w:keepLines/>
      </w:pPr>
      <w:r w:rsidRPr="002F5358">
        <w:t xml:space="preserve">This is because the applicant and the national </w:t>
      </w:r>
      <w:r w:rsidR="004B1A75">
        <w:t>Office</w:t>
      </w:r>
      <w:r w:rsidR="004B1A75" w:rsidRPr="002F5358">
        <w:t xml:space="preserve"> </w:t>
      </w:r>
      <w:r w:rsidRPr="002F5358">
        <w:t xml:space="preserve">may generally access the citation in a digital library. </w:t>
      </w:r>
      <w:r w:rsidR="004B1A75">
        <w:t xml:space="preserve"> </w:t>
      </w:r>
      <w:r w:rsidRPr="002F5358">
        <w:t>However, it is not easy to find some cited documents in an e-library</w:t>
      </w:r>
      <w:r w:rsidR="004B1A75">
        <w:t>. I</w:t>
      </w:r>
      <w:r w:rsidRPr="002F5358">
        <w:t>n addition, certain applicants are unable to access the e-library</w:t>
      </w:r>
      <w:r w:rsidR="004B1A75">
        <w:t xml:space="preserve">. </w:t>
      </w:r>
      <w:r w:rsidRPr="002F5358">
        <w:t xml:space="preserve"> </w:t>
      </w:r>
      <w:r w:rsidR="004B1A75">
        <w:t xml:space="preserve">This makes it difficult for </w:t>
      </w:r>
      <w:r w:rsidRPr="002F5358">
        <w:t xml:space="preserve">certain national </w:t>
      </w:r>
      <w:r w:rsidR="00DE476E">
        <w:t>Offices</w:t>
      </w:r>
      <w:r w:rsidR="00DE476E" w:rsidRPr="002F5358">
        <w:t xml:space="preserve"> </w:t>
      </w:r>
      <w:r w:rsidR="004B1A75">
        <w:t xml:space="preserve">and applicants to </w:t>
      </w:r>
      <w:r w:rsidRPr="002F5358">
        <w:t xml:space="preserve">get </w:t>
      </w:r>
      <w:r w:rsidR="004B1A75">
        <w:t xml:space="preserve">easy </w:t>
      </w:r>
      <w:r w:rsidRPr="002F5358">
        <w:t>access to certain documents in the digital library</w:t>
      </w:r>
      <w:r>
        <w:t>.</w:t>
      </w:r>
    </w:p>
    <w:p w:rsidR="002F5358" w:rsidRDefault="002F5358" w:rsidP="002F5358">
      <w:pPr>
        <w:pStyle w:val="ONUME"/>
      </w:pPr>
      <w:r w:rsidRPr="002F5358">
        <w:lastRenderedPageBreak/>
        <w:t xml:space="preserve">In such cases, Rules 44.3 and 71.2 define that where the applicant or the national </w:t>
      </w:r>
      <w:r w:rsidR="004B1A75">
        <w:t>Office</w:t>
      </w:r>
      <w:r w:rsidR="004B1A75" w:rsidRPr="002F5358">
        <w:t xml:space="preserve"> </w:t>
      </w:r>
      <w:r w:rsidRPr="002F5358">
        <w:t>file</w:t>
      </w:r>
      <w:r w:rsidR="00D7653B">
        <w:t>s</w:t>
      </w:r>
      <w:r w:rsidRPr="002F5358">
        <w:t xml:space="preserve"> a </w:t>
      </w:r>
      <w:r w:rsidR="00A80759">
        <w:t>request</w:t>
      </w:r>
      <w:r w:rsidR="00A80759" w:rsidRPr="002F5358">
        <w:t xml:space="preserve"> </w:t>
      </w:r>
      <w:r w:rsidRPr="002F5358">
        <w:t xml:space="preserve">for a copy of the citation attached to the ISR and the IPER within </w:t>
      </w:r>
      <w:r w:rsidR="004B1A75">
        <w:t>seven</w:t>
      </w:r>
      <w:r w:rsidRPr="002F5358">
        <w:t xml:space="preserve"> years from the international filing date, the ISA and IPEA should furnish the citation with a post handling fee and copying costs being paid.</w:t>
      </w:r>
      <w:r w:rsidR="004B1A75">
        <w:t xml:space="preserve"> </w:t>
      </w:r>
      <w:r w:rsidRPr="002F5358">
        <w:t xml:space="preserve"> By taking advantage of this regulation, the applicant and the national </w:t>
      </w:r>
      <w:r w:rsidR="004B1A75">
        <w:t>Office</w:t>
      </w:r>
      <w:r w:rsidR="004B1A75" w:rsidRPr="002F5358">
        <w:t xml:space="preserve"> </w:t>
      </w:r>
      <w:r w:rsidRPr="002F5358">
        <w:t>may better review and utilize the results of the IS and of the IPE</w:t>
      </w:r>
      <w:r>
        <w:t>.</w:t>
      </w:r>
    </w:p>
    <w:p w:rsidR="002F5358" w:rsidRDefault="002F5358" w:rsidP="002F5358">
      <w:pPr>
        <w:pStyle w:val="ONUME"/>
        <w:numPr>
          <w:ilvl w:val="1"/>
          <w:numId w:val="5"/>
        </w:numPr>
      </w:pPr>
      <w:r w:rsidRPr="002F5358">
        <w:t xml:space="preserve">According to </w:t>
      </w:r>
      <w:r w:rsidR="004B1A75">
        <w:t>a</w:t>
      </w:r>
      <w:r w:rsidR="004B1A75" w:rsidRPr="002F5358">
        <w:t xml:space="preserve"> </w:t>
      </w:r>
      <w:r w:rsidRPr="002F5358">
        <w:t xml:space="preserve">survey conducted by KIPO, </w:t>
      </w:r>
      <w:r w:rsidR="00B135F6">
        <w:t xml:space="preserve">respondents are not aware of </w:t>
      </w:r>
      <w:r w:rsidRPr="002F5358">
        <w:t xml:space="preserve">an official channel and way to file a </w:t>
      </w:r>
      <w:r w:rsidR="00A80759">
        <w:t>request</w:t>
      </w:r>
      <w:r w:rsidR="00A80759" w:rsidRPr="002F5358">
        <w:t xml:space="preserve"> </w:t>
      </w:r>
      <w:r w:rsidRPr="002F5358">
        <w:t xml:space="preserve">for a copy of </w:t>
      </w:r>
      <w:r w:rsidR="00B135F6">
        <w:t xml:space="preserve">a </w:t>
      </w:r>
      <w:r w:rsidRPr="002F5358">
        <w:t xml:space="preserve">citation </w:t>
      </w:r>
      <w:r w:rsidR="00D7653B">
        <w:t>in an ISR or IPER,</w:t>
      </w:r>
      <w:r w:rsidRPr="002F5358">
        <w:t xml:space="preserve"> </w:t>
      </w:r>
      <w:r w:rsidR="00B135F6">
        <w:t xml:space="preserve">such as through information included </w:t>
      </w:r>
      <w:r w:rsidRPr="002F5358">
        <w:t>in the ISR</w:t>
      </w:r>
      <w:r w:rsidR="00B135F6">
        <w:t xml:space="preserve">, </w:t>
      </w:r>
      <w:r w:rsidRPr="002F5358">
        <w:t>the IPER</w:t>
      </w:r>
      <w:r w:rsidR="00B135F6">
        <w:t xml:space="preserve">, </w:t>
      </w:r>
      <w:r w:rsidRPr="002F5358">
        <w:t>on the web</w:t>
      </w:r>
      <w:r w:rsidR="00B135F6">
        <w:t>site</w:t>
      </w:r>
      <w:r w:rsidRPr="002F5358">
        <w:t xml:space="preserve"> of the I</w:t>
      </w:r>
      <w:r w:rsidR="00B135F6">
        <w:t xml:space="preserve">nternational </w:t>
      </w:r>
      <w:r w:rsidRPr="002F5358">
        <w:t>A</w:t>
      </w:r>
      <w:r w:rsidR="00B135F6">
        <w:t xml:space="preserve">uthority, </w:t>
      </w:r>
      <w:r w:rsidRPr="002F5358">
        <w:t xml:space="preserve">or in the PCT Applicant’s Guide. </w:t>
      </w:r>
      <w:r w:rsidR="004B1A75">
        <w:t xml:space="preserve"> </w:t>
      </w:r>
      <w:r w:rsidRPr="002F5358">
        <w:t xml:space="preserve">In other words, even </w:t>
      </w:r>
      <w:r w:rsidR="00B135F6">
        <w:t>though</w:t>
      </w:r>
      <w:r w:rsidRPr="002F5358">
        <w:t xml:space="preserve"> the applicant and the national </w:t>
      </w:r>
      <w:r w:rsidR="00B135F6">
        <w:t>Office</w:t>
      </w:r>
      <w:r w:rsidR="00B135F6" w:rsidRPr="002F5358">
        <w:t xml:space="preserve"> </w:t>
      </w:r>
      <w:r w:rsidRPr="002F5358">
        <w:t xml:space="preserve">want to request the citation according to PCT rules, they could not get a copy of the citation as they </w:t>
      </w:r>
      <w:r w:rsidR="00B135F6">
        <w:t>did not have access to</w:t>
      </w:r>
      <w:r w:rsidRPr="002F5358">
        <w:t xml:space="preserve"> inform</w:t>
      </w:r>
      <w:r w:rsidR="00B135F6">
        <w:t>ation</w:t>
      </w:r>
      <w:r w:rsidRPr="002F5358">
        <w:t xml:space="preserve"> o</w:t>
      </w:r>
      <w:r w:rsidR="00B135F6">
        <w:t>n</w:t>
      </w:r>
      <w:r w:rsidRPr="002F5358">
        <w:t xml:space="preserve"> </w:t>
      </w:r>
      <w:r w:rsidR="00B135F6">
        <w:t>the</w:t>
      </w:r>
      <w:r w:rsidRPr="002F5358">
        <w:t xml:space="preserve"> formal route or applicable requirements </w:t>
      </w:r>
      <w:r w:rsidR="00B135F6">
        <w:t>to make</w:t>
      </w:r>
      <w:r w:rsidRPr="002F5358">
        <w:t xml:space="preserve"> the request</w:t>
      </w:r>
      <w:r>
        <w:t>.</w:t>
      </w:r>
    </w:p>
    <w:p w:rsidR="002F5358" w:rsidRDefault="002F5358" w:rsidP="002F5358">
      <w:pPr>
        <w:pStyle w:val="ONUME"/>
        <w:numPr>
          <w:ilvl w:val="1"/>
          <w:numId w:val="5"/>
        </w:numPr>
      </w:pPr>
      <w:r w:rsidRPr="002F5358">
        <w:t>As for the citation attached to the ISR, to make the applicant freely access a copy of cited documents</w:t>
      </w:r>
      <w:r w:rsidR="00B135F6">
        <w:t xml:space="preserve"> </w:t>
      </w:r>
      <w:r w:rsidR="00F821C6">
        <w:t>–</w:t>
      </w:r>
      <w:r w:rsidR="00B135F6">
        <w:t xml:space="preserve"> including </w:t>
      </w:r>
      <w:r w:rsidRPr="002F5358">
        <w:t>patent documents</w:t>
      </w:r>
      <w:r w:rsidR="00B135F6">
        <w:t xml:space="preserve"> and</w:t>
      </w:r>
      <w:r w:rsidRPr="002F5358">
        <w:t xml:space="preserve"> non-patent literature</w:t>
      </w:r>
      <w:r w:rsidR="00B135F6">
        <w:t xml:space="preserve"> </w:t>
      </w:r>
      <w:r w:rsidR="00F821C6">
        <w:t>–</w:t>
      </w:r>
      <w:r w:rsidRPr="002F5358">
        <w:t xml:space="preserve"> within </w:t>
      </w:r>
      <w:r w:rsidR="004B1A75">
        <w:t>six</w:t>
      </w:r>
      <w:r w:rsidR="004B1A75" w:rsidRPr="002F5358">
        <w:t xml:space="preserve"> </w:t>
      </w:r>
      <w:r w:rsidRPr="002F5358">
        <w:t xml:space="preserve">months after the ISR </w:t>
      </w:r>
      <w:r w:rsidR="00AB3806">
        <w:t>has been</w:t>
      </w:r>
      <w:r w:rsidR="00AB3806" w:rsidRPr="002F5358">
        <w:t xml:space="preserve"> </w:t>
      </w:r>
      <w:r w:rsidRPr="002F5358">
        <w:t xml:space="preserve">issued, KIPO informs </w:t>
      </w:r>
      <w:r w:rsidR="00B135F6">
        <w:t xml:space="preserve">the applicant </w:t>
      </w:r>
      <w:r w:rsidRPr="002F5358">
        <w:t xml:space="preserve">of </w:t>
      </w:r>
      <w:r w:rsidR="00B135F6">
        <w:t xml:space="preserve">the </w:t>
      </w:r>
      <w:r w:rsidRPr="002F5358">
        <w:t xml:space="preserve">URL through which to download cited documents in </w:t>
      </w:r>
      <w:r w:rsidR="00A80759">
        <w:t>Form PCT/</w:t>
      </w:r>
      <w:r w:rsidRPr="002F5358">
        <w:t>ISA/220</w:t>
      </w:r>
      <w:r w:rsidR="00A80759">
        <w:t>.  KIPO</w:t>
      </w:r>
      <w:r w:rsidRPr="002F5358">
        <w:t xml:space="preserve"> </w:t>
      </w:r>
      <w:r w:rsidR="00A80759">
        <w:t xml:space="preserve">also </w:t>
      </w:r>
      <w:r w:rsidRPr="002F5358">
        <w:t xml:space="preserve">plans to offer </w:t>
      </w:r>
      <w:r w:rsidR="00A80759">
        <w:t xml:space="preserve">a </w:t>
      </w:r>
      <w:r w:rsidRPr="002F5358">
        <w:t xml:space="preserve">relevant service to enable </w:t>
      </w:r>
      <w:r w:rsidR="00A80759">
        <w:t xml:space="preserve">the applicant or national Office </w:t>
      </w:r>
      <w:r w:rsidRPr="002F5358">
        <w:t>to download the citation attached to the IPER from the second half of 2017.</w:t>
      </w:r>
      <w:r w:rsidR="00A80759">
        <w:t xml:space="preserve"> </w:t>
      </w:r>
      <w:r w:rsidRPr="002F5358">
        <w:t xml:space="preserve"> Further, where the applicant </w:t>
      </w:r>
      <w:r w:rsidR="00AB3806">
        <w:t>or</w:t>
      </w:r>
      <w:r w:rsidR="00AB3806" w:rsidRPr="002F5358">
        <w:t xml:space="preserve"> </w:t>
      </w:r>
      <w:r w:rsidRPr="002F5358">
        <w:t xml:space="preserve">the national </w:t>
      </w:r>
      <w:r w:rsidR="00A80759">
        <w:t>Office</w:t>
      </w:r>
      <w:r w:rsidR="00A80759" w:rsidRPr="002F5358">
        <w:t xml:space="preserve"> </w:t>
      </w:r>
      <w:r w:rsidRPr="002F5358">
        <w:t>need</w:t>
      </w:r>
      <w:r w:rsidR="00AB3806">
        <w:t>s</w:t>
      </w:r>
      <w:r w:rsidRPr="002F5358">
        <w:t xml:space="preserve"> </w:t>
      </w:r>
      <w:r w:rsidR="00A80759">
        <w:t>a</w:t>
      </w:r>
      <w:r w:rsidR="00A80759" w:rsidRPr="002F5358">
        <w:t xml:space="preserve"> </w:t>
      </w:r>
      <w:r w:rsidRPr="002F5358">
        <w:t xml:space="preserve">citation after the </w:t>
      </w:r>
      <w:r w:rsidR="00A80759">
        <w:t xml:space="preserve">six </w:t>
      </w:r>
      <w:r w:rsidRPr="002F5358">
        <w:t xml:space="preserve">month period </w:t>
      </w:r>
      <w:r w:rsidR="00A80759">
        <w:t>has expired</w:t>
      </w:r>
      <w:r w:rsidRPr="002F5358">
        <w:t xml:space="preserve">, they can </w:t>
      </w:r>
      <w:r w:rsidR="00A80759">
        <w:t xml:space="preserve">make a </w:t>
      </w:r>
      <w:r w:rsidRPr="002F5358">
        <w:t>directly request to KIPO by e-mail.</w:t>
      </w:r>
    </w:p>
    <w:p w:rsidR="002F5358" w:rsidRDefault="002F5358" w:rsidP="002F5358">
      <w:pPr>
        <w:pStyle w:val="ONUME"/>
      </w:pPr>
      <w:r w:rsidRPr="002F5358">
        <w:t xml:space="preserve">Therefore, KIPO would like to suggest </w:t>
      </w:r>
      <w:r w:rsidR="00A80759">
        <w:t>the following</w:t>
      </w:r>
      <w:r w:rsidRPr="002F5358">
        <w:t>:</w:t>
      </w:r>
      <w:r>
        <w:t xml:space="preserve">  </w:t>
      </w:r>
    </w:p>
    <w:p w:rsidR="002F5358" w:rsidRDefault="002F5358" w:rsidP="00F821C6">
      <w:pPr>
        <w:pStyle w:val="ONUME"/>
        <w:numPr>
          <w:ilvl w:val="0"/>
          <w:numId w:val="0"/>
        </w:numPr>
        <w:ind w:left="567"/>
      </w:pPr>
      <w:r w:rsidRPr="002F5358">
        <w:t>All I</w:t>
      </w:r>
      <w:r w:rsidR="00A80759">
        <w:t>nternational Authorities</w:t>
      </w:r>
      <w:r w:rsidRPr="002F5358">
        <w:t xml:space="preserve"> </w:t>
      </w:r>
      <w:r w:rsidR="00A80759">
        <w:t xml:space="preserve">provide information </w:t>
      </w:r>
      <w:r w:rsidR="004E21AE" w:rsidRPr="002F5358">
        <w:t xml:space="preserve">in the PCT Applicant’s Guide </w:t>
      </w:r>
      <w:r w:rsidRPr="002F5358">
        <w:t>o</w:t>
      </w:r>
      <w:r w:rsidR="00A80759">
        <w:t>n</w:t>
      </w:r>
      <w:r w:rsidRPr="002F5358">
        <w:t xml:space="preserve"> the official route where the applicant and the national </w:t>
      </w:r>
      <w:r w:rsidR="00A80759">
        <w:t>Office</w:t>
      </w:r>
      <w:r w:rsidRPr="002F5358">
        <w:t xml:space="preserve"> may file a </w:t>
      </w:r>
      <w:r w:rsidR="00A80759">
        <w:t>request</w:t>
      </w:r>
      <w:r w:rsidR="00A80759" w:rsidRPr="002F5358">
        <w:t xml:space="preserve"> </w:t>
      </w:r>
      <w:r w:rsidRPr="002F5358">
        <w:t>for a copy of cited documents in the ISR or in the IPER and the costs concerned</w:t>
      </w:r>
      <w:r>
        <w:t>.</w:t>
      </w:r>
    </w:p>
    <w:p w:rsidR="002F5358" w:rsidRDefault="002F5358" w:rsidP="002F5358">
      <w:pPr>
        <w:pStyle w:val="ONUME"/>
        <w:numPr>
          <w:ilvl w:val="1"/>
          <w:numId w:val="5"/>
        </w:numPr>
      </w:pPr>
      <w:r w:rsidRPr="002F5358">
        <w:t>It is desirable for all I</w:t>
      </w:r>
      <w:r w:rsidR="00A80759">
        <w:t>nternational Authorities</w:t>
      </w:r>
      <w:r w:rsidRPr="002F5358">
        <w:t xml:space="preserve"> to guide the aforementioned information in the same manner and to apply the same calculation methods regarding the costs concerned. </w:t>
      </w:r>
      <w:r w:rsidR="00A80759">
        <w:t xml:space="preserve"> </w:t>
      </w:r>
      <w:r w:rsidRPr="002F5358">
        <w:t xml:space="preserve">Further, where cited documents are downloaded </w:t>
      </w:r>
      <w:r w:rsidR="00A80759">
        <w:t>electronically</w:t>
      </w:r>
      <w:r w:rsidRPr="002F5358">
        <w:t>, as a post handling fee is not incurred, this should be excluded from the sum.</w:t>
      </w:r>
    </w:p>
    <w:p w:rsidR="002F5358" w:rsidRDefault="00A80759" w:rsidP="002F5358">
      <w:pPr>
        <w:pStyle w:val="ONUME"/>
        <w:numPr>
          <w:ilvl w:val="1"/>
          <w:numId w:val="5"/>
        </w:numPr>
      </w:pPr>
      <w:r>
        <w:t>[</w:t>
      </w:r>
      <w:r w:rsidR="002F5358" w:rsidRPr="002F5358">
        <w:t xml:space="preserve">Example] </w:t>
      </w:r>
      <w:r w:rsidR="00F821C6">
        <w:t xml:space="preserve"> </w:t>
      </w:r>
      <w:r w:rsidR="002F5358" w:rsidRPr="002F5358">
        <w:t xml:space="preserve">A request for the citation  </w:t>
      </w:r>
    </w:p>
    <w:p w:rsidR="002F5358" w:rsidRDefault="002F5358" w:rsidP="002F5358">
      <w:pPr>
        <w:pStyle w:val="ONUME"/>
        <w:numPr>
          <w:ilvl w:val="0"/>
          <w:numId w:val="0"/>
        </w:numPr>
        <w:ind w:left="567"/>
      </w:pPr>
      <w:r w:rsidRPr="002F5358">
        <w:t xml:space="preserve">The applicant or a designated or elected </w:t>
      </w:r>
      <w:r w:rsidR="00A80759">
        <w:t>O</w:t>
      </w:r>
      <w:r w:rsidRPr="002F5358">
        <w:t xml:space="preserve">ffice may file a </w:t>
      </w:r>
      <w:r w:rsidR="00A80759">
        <w:t>request</w:t>
      </w:r>
      <w:r w:rsidR="00A80759" w:rsidRPr="002F5358">
        <w:t xml:space="preserve"> </w:t>
      </w:r>
      <w:r w:rsidRPr="002F5358">
        <w:t>for a copy of the citation attached to</w:t>
      </w:r>
      <w:r w:rsidR="00A80759">
        <w:t xml:space="preserve"> an ISA or IPEA produced by</w:t>
      </w:r>
      <w:r w:rsidRPr="002F5358">
        <w:t xml:space="preserve"> KIPO via </w:t>
      </w:r>
      <w:hyperlink r:id="rId10" w:history="1">
        <w:r w:rsidRPr="002F5358">
          <w:rPr>
            <w:rStyle w:val="Hyperlink"/>
            <w:color w:val="auto"/>
          </w:rPr>
          <w:t>kipoisa@korea.k</w:t>
        </w:r>
        <w:r w:rsidRPr="00B135F6">
          <w:rPr>
            <w:rStyle w:val="Hyperlink"/>
            <w:color w:val="auto"/>
          </w:rPr>
          <w:t>r</w:t>
        </w:r>
      </w:hyperlink>
      <w:r>
        <w:t xml:space="preserve"> </w:t>
      </w:r>
      <w:r w:rsidRPr="002F5358">
        <w:t>and should pay a post handling fee and copying costs.</w:t>
      </w:r>
    </w:p>
    <w:p w:rsidR="002F5358" w:rsidRDefault="002F5358" w:rsidP="002F5358">
      <w:pPr>
        <w:pStyle w:val="ONUME"/>
        <w:numPr>
          <w:ilvl w:val="0"/>
          <w:numId w:val="0"/>
        </w:numPr>
        <w:ind w:left="567"/>
      </w:pPr>
      <w:r w:rsidRPr="002F5358">
        <w:t xml:space="preserve">As filing a </w:t>
      </w:r>
      <w:r w:rsidR="00A80759">
        <w:t>request</w:t>
      </w:r>
      <w:r w:rsidR="00A80759" w:rsidRPr="002F5358">
        <w:t xml:space="preserve"> </w:t>
      </w:r>
      <w:r w:rsidRPr="002F5358">
        <w:t xml:space="preserve">for a search copy, the national </w:t>
      </w:r>
      <w:r w:rsidR="00A80759">
        <w:t>Office</w:t>
      </w:r>
      <w:r w:rsidRPr="002F5358">
        <w:t xml:space="preserve"> should verify </w:t>
      </w:r>
      <w:r w:rsidR="00A80759">
        <w:t xml:space="preserve">whether </w:t>
      </w:r>
      <w:r w:rsidRPr="002F5358">
        <w:t>the PCT application has entered the national phase</w:t>
      </w:r>
      <w:r>
        <w:t>.</w:t>
      </w:r>
    </w:p>
    <w:p w:rsidR="002F5358" w:rsidRDefault="00A80759" w:rsidP="002F5358">
      <w:pPr>
        <w:pStyle w:val="ListParagraph"/>
        <w:numPr>
          <w:ilvl w:val="1"/>
          <w:numId w:val="5"/>
        </w:numPr>
      </w:pPr>
      <w:r>
        <w:t>[</w:t>
      </w:r>
      <w:r w:rsidR="002F5358" w:rsidRPr="002F5358">
        <w:t>Example]</w:t>
      </w:r>
      <w:r w:rsidR="00F821C6">
        <w:t xml:space="preserve"> </w:t>
      </w:r>
      <w:r w:rsidR="002F5358" w:rsidRPr="002F5358">
        <w:t xml:space="preserve"> Costs calculation  </w:t>
      </w:r>
    </w:p>
    <w:p w:rsidR="002F5358" w:rsidRDefault="002F5358" w:rsidP="002F5358">
      <w:pPr>
        <w:pStyle w:val="ListParagraph"/>
        <w:ind w:left="567"/>
      </w:pPr>
    </w:p>
    <w:p w:rsidR="002F5358" w:rsidRDefault="002F5358" w:rsidP="002F5358">
      <w:pPr>
        <w:pStyle w:val="ListParagraph"/>
        <w:ind w:left="567"/>
      </w:pPr>
      <w:r w:rsidRPr="002F5358">
        <w:t>Sum due</w:t>
      </w:r>
      <w:r w:rsidR="005D4F35">
        <w:t xml:space="preserve"> </w:t>
      </w:r>
      <w:r w:rsidRPr="002F5358">
        <w:t>= copying costs + a post handling fee (a person to request a search copy should bear all charges of the banks engaged in the transfer of the payment)</w:t>
      </w:r>
      <w:r w:rsidR="00504A6D">
        <w:t>.</w:t>
      </w:r>
    </w:p>
    <w:p w:rsidR="002F5358" w:rsidRPr="002F5358" w:rsidRDefault="002F5358" w:rsidP="002F5358">
      <w:pPr>
        <w:pStyle w:val="ListParagraph"/>
        <w:ind w:left="567"/>
      </w:pPr>
    </w:p>
    <w:p w:rsidR="002F5358" w:rsidRDefault="002F5358" w:rsidP="002F5358">
      <w:pPr>
        <w:pStyle w:val="ONUME"/>
        <w:numPr>
          <w:ilvl w:val="1"/>
          <w:numId w:val="5"/>
        </w:numPr>
      </w:pPr>
      <w:r w:rsidRPr="002F5358">
        <w:t xml:space="preserve">However, as it could be incompatible with national law to provide </w:t>
      </w:r>
      <w:r w:rsidR="00AB3806">
        <w:t xml:space="preserve">non-patent literature </w:t>
      </w:r>
      <w:r w:rsidRPr="002F5358">
        <w:t>to third part</w:t>
      </w:r>
      <w:r w:rsidR="00AB3806">
        <w:t>ies</w:t>
      </w:r>
      <w:r w:rsidRPr="002F5358">
        <w:t xml:space="preserve">, not to the applicant, non-patent literature cannot be transmitted. </w:t>
      </w:r>
      <w:r w:rsidR="00994911">
        <w:t xml:space="preserve"> </w:t>
      </w:r>
      <w:r w:rsidRPr="002F5358">
        <w:t>When it comes to certain non-patent literature, such as</w:t>
      </w:r>
      <w:r w:rsidR="00AB3806">
        <w:t xml:space="preserve"> a</w:t>
      </w:r>
      <w:r w:rsidRPr="002F5358">
        <w:t xml:space="preserve"> catalogue of domestic businesses and </w:t>
      </w:r>
      <w:r w:rsidR="00AB3806">
        <w:t xml:space="preserve">an </w:t>
      </w:r>
      <w:r w:rsidRPr="002F5358">
        <w:t>academy brochure not accessible from foreign countries, the ISA or the IPEA may provide ways to access non-patent literature and furnish a search copy for the cited art in support of publically well-known prior art, including</w:t>
      </w:r>
      <w:r w:rsidR="00AB3806">
        <w:t xml:space="preserve"> a</w:t>
      </w:r>
      <w:r w:rsidRPr="002F5358">
        <w:t xml:space="preserve"> textbook or </w:t>
      </w:r>
      <w:r w:rsidR="00AB3806">
        <w:t xml:space="preserve">an </w:t>
      </w:r>
      <w:r w:rsidRPr="002F5358">
        <w:t>encyclopedia</w:t>
      </w:r>
      <w:r>
        <w:t>.</w:t>
      </w:r>
    </w:p>
    <w:p w:rsidR="002F5358" w:rsidRPr="008713CB" w:rsidRDefault="002F5358" w:rsidP="008713CB">
      <w:pPr>
        <w:pStyle w:val="ONUME"/>
        <w:ind w:left="5533"/>
        <w:rPr>
          <w:i/>
        </w:rPr>
      </w:pPr>
      <w:r w:rsidRPr="008713CB">
        <w:rPr>
          <w:i/>
        </w:rPr>
        <w:lastRenderedPageBreak/>
        <w:t xml:space="preserve">The Meeting is invited to comment on the proposal </w:t>
      </w:r>
      <w:r w:rsidR="008713CB" w:rsidRPr="008713CB">
        <w:rPr>
          <w:i/>
        </w:rPr>
        <w:t xml:space="preserve">outlined </w:t>
      </w:r>
      <w:r w:rsidRPr="008713CB">
        <w:rPr>
          <w:i/>
        </w:rPr>
        <w:t xml:space="preserve">in the </w:t>
      </w:r>
      <w:r w:rsidR="008713CB" w:rsidRPr="008713CB">
        <w:rPr>
          <w:i/>
        </w:rPr>
        <w:t xml:space="preserve">present </w:t>
      </w:r>
      <w:r w:rsidRPr="008713CB">
        <w:rPr>
          <w:i/>
        </w:rPr>
        <w:t>document.</w:t>
      </w:r>
    </w:p>
    <w:p w:rsidR="008713CB" w:rsidRPr="008713CB" w:rsidRDefault="008713CB" w:rsidP="008713CB">
      <w:pPr>
        <w:pStyle w:val="ONUME"/>
        <w:numPr>
          <w:ilvl w:val="0"/>
          <w:numId w:val="0"/>
        </w:numPr>
        <w:ind w:left="5533"/>
        <w:rPr>
          <w:i/>
        </w:rPr>
      </w:pPr>
    </w:p>
    <w:p w:rsidR="00671988" w:rsidRDefault="008713CB" w:rsidP="008713CB">
      <w:pPr>
        <w:pStyle w:val="ONUME"/>
        <w:numPr>
          <w:ilvl w:val="0"/>
          <w:numId w:val="0"/>
        </w:numPr>
        <w:ind w:left="5533"/>
        <w:sectPr w:rsidR="00671988" w:rsidSect="00C720FE">
          <w:headerReference w:type="default" r:id="rId11"/>
          <w:endnotePr>
            <w:numFmt w:val="decimal"/>
          </w:endnotePr>
          <w:pgSz w:w="11907" w:h="16840" w:code="9"/>
          <w:pgMar w:top="567" w:right="1134" w:bottom="1418" w:left="1418" w:header="510" w:footer="1021" w:gutter="0"/>
          <w:cols w:space="720"/>
          <w:titlePg/>
          <w:docGrid w:linePitch="299"/>
        </w:sectPr>
      </w:pPr>
      <w:r w:rsidRPr="008713CB">
        <w:t>[</w:t>
      </w:r>
      <w:r w:rsidR="00671988">
        <w:t>Annex follows]</w:t>
      </w:r>
    </w:p>
    <w:p w:rsidR="00671988" w:rsidRPr="00FC765D" w:rsidRDefault="00671988" w:rsidP="005D4F35">
      <w:pPr>
        <w:jc w:val="center"/>
        <w:rPr>
          <w:lang w:eastAsia="ko-KR"/>
        </w:rPr>
      </w:pPr>
      <w:r w:rsidRPr="00FC765D">
        <w:rPr>
          <w:rFonts w:hint="eastAsia"/>
          <w:lang w:eastAsia="ko-KR"/>
        </w:rPr>
        <w:t>PCT REGULATION</w:t>
      </w:r>
      <w:r>
        <w:rPr>
          <w:lang w:eastAsia="ko-KR"/>
        </w:rPr>
        <w:t>S</w:t>
      </w:r>
      <w:r w:rsidRPr="00FC765D">
        <w:rPr>
          <w:rFonts w:hint="eastAsia"/>
          <w:lang w:eastAsia="ko-KR"/>
        </w:rPr>
        <w:t xml:space="preserve"> RELATED </w:t>
      </w:r>
      <w:r w:rsidR="005D4F35">
        <w:rPr>
          <w:lang w:eastAsia="ko-KR"/>
        </w:rPr>
        <w:t>TO</w:t>
      </w:r>
      <w:r w:rsidR="005D4F35">
        <w:rPr>
          <w:lang w:eastAsia="ko-KR"/>
        </w:rPr>
        <w:br/>
      </w:r>
      <w:r w:rsidRPr="00FC765D">
        <w:rPr>
          <w:rFonts w:hint="eastAsia"/>
          <w:lang w:eastAsia="ko-KR"/>
        </w:rPr>
        <w:t>TRANSMITTAL OF THE CITED DOCUMENTS</w:t>
      </w:r>
    </w:p>
    <w:p w:rsidR="00671988" w:rsidRDefault="00671988" w:rsidP="005D4F35">
      <w:pPr>
        <w:rPr>
          <w:lang w:eastAsia="ko-KR"/>
        </w:rPr>
      </w:pPr>
    </w:p>
    <w:p w:rsidR="005D4F35" w:rsidRDefault="005D4F35" w:rsidP="005D4F35">
      <w:pPr>
        <w:rPr>
          <w:lang w:eastAsia="ko-KR"/>
        </w:rPr>
      </w:pPr>
    </w:p>
    <w:p w:rsidR="005D4F35" w:rsidRPr="00E11BC8" w:rsidRDefault="005D4F35" w:rsidP="005D4F35">
      <w:pPr>
        <w:rPr>
          <w:lang w:eastAsia="ko-KR"/>
        </w:rPr>
      </w:pPr>
    </w:p>
    <w:p w:rsidR="00671988" w:rsidRPr="007C62F5" w:rsidRDefault="00671988" w:rsidP="005D4F35">
      <w:pPr>
        <w:pStyle w:val="LegRule"/>
      </w:pPr>
      <w:r w:rsidRPr="005D4F35">
        <w:t>Rule</w:t>
      </w:r>
      <w:r w:rsidRPr="00FC765D">
        <w:t xml:space="preserve"> </w:t>
      </w:r>
      <w:proofErr w:type="gramStart"/>
      <w:r w:rsidRPr="00FC765D">
        <w:t>44</w:t>
      </w:r>
      <w:r w:rsidR="005D4F35">
        <w:br/>
      </w:r>
      <w:r w:rsidRPr="007C62F5">
        <w:t xml:space="preserve">Transmittal of the International Search Report, Written Opinion, </w:t>
      </w:r>
      <w:r w:rsidRPr="007C62F5">
        <w:rPr>
          <w:rFonts w:hint="eastAsia"/>
        </w:rPr>
        <w:t>e</w:t>
      </w:r>
      <w:r w:rsidRPr="007C62F5">
        <w:t>tc</w:t>
      </w:r>
      <w:proofErr w:type="gramEnd"/>
      <w:r w:rsidRPr="007C62F5">
        <w:t>.</w:t>
      </w:r>
    </w:p>
    <w:p w:rsidR="00671988" w:rsidRDefault="00671988" w:rsidP="005D4F35">
      <w:pPr>
        <w:pStyle w:val="LegSubRule"/>
      </w:pPr>
      <w:r w:rsidRPr="00A4549B">
        <w:t xml:space="preserve">44.1 </w:t>
      </w:r>
      <w:r>
        <w:tab/>
      </w:r>
      <w:r w:rsidRPr="005D4F35">
        <w:t>Copies of Report or Declaration and Written Opinion</w:t>
      </w:r>
      <w:r w:rsidRPr="00671988">
        <w:t xml:space="preserve"> </w:t>
      </w:r>
    </w:p>
    <w:p w:rsidR="00671988" w:rsidRDefault="005D4F35" w:rsidP="005D4F35">
      <w:pPr>
        <w:pStyle w:val="Lega"/>
      </w:pPr>
      <w:r>
        <w:tab/>
      </w:r>
      <w:r w:rsidR="00671988" w:rsidRPr="00A4549B">
        <w:t xml:space="preserve">The International Searching Authority shall, on the same day, transmit one copy of the international </w:t>
      </w:r>
      <w:r w:rsidR="00671988" w:rsidRPr="005D4F35">
        <w:t>search</w:t>
      </w:r>
      <w:r w:rsidR="00671988" w:rsidRPr="00A4549B">
        <w:t xml:space="preserve"> report or of the declaration referred to in Article</w:t>
      </w:r>
      <w:r w:rsidR="00671988">
        <w:t> </w:t>
      </w:r>
      <w:r w:rsidR="00671988" w:rsidRPr="00A4549B">
        <w:t>17(2</w:t>
      </w:r>
      <w:proofErr w:type="gramStart"/>
      <w:r w:rsidR="00671988" w:rsidRPr="00A4549B">
        <w:t>)(</w:t>
      </w:r>
      <w:proofErr w:type="gramEnd"/>
      <w:r w:rsidR="00671988" w:rsidRPr="00A4549B">
        <w:t>a), and one copy of the written opinion established under Rule</w:t>
      </w:r>
      <w:r w:rsidR="00671988">
        <w:t> </w:t>
      </w:r>
      <w:r w:rsidR="00671988" w:rsidRPr="00A4549B">
        <w:t>43</w:t>
      </w:r>
      <w:r w:rsidR="00671988" w:rsidRPr="00671988">
        <w:rPr>
          <w:i/>
        </w:rPr>
        <w:t>bis</w:t>
      </w:r>
      <w:r w:rsidR="00671988" w:rsidRPr="00A4549B">
        <w:t>.1 to the International Bureau and one copy to the applicant.</w:t>
      </w:r>
    </w:p>
    <w:p w:rsidR="00671988" w:rsidRPr="00A4549B" w:rsidRDefault="00671988" w:rsidP="005D4F35">
      <w:pPr>
        <w:pStyle w:val="LegSubRule"/>
      </w:pPr>
      <w:r w:rsidRPr="00A4549B">
        <w:t xml:space="preserve">44.2 </w:t>
      </w:r>
      <w:r>
        <w:tab/>
      </w:r>
      <w:r w:rsidRPr="005D4F35">
        <w:t>Title or Abstract</w:t>
      </w:r>
      <w:r w:rsidRPr="00671988">
        <w:t xml:space="preserve"> </w:t>
      </w:r>
    </w:p>
    <w:p w:rsidR="00671988" w:rsidRDefault="005D4F35" w:rsidP="005D4F35">
      <w:pPr>
        <w:pStyle w:val="Lega"/>
      </w:pPr>
      <w:r>
        <w:tab/>
      </w:r>
      <w:r w:rsidR="00671988" w:rsidRPr="00A4549B">
        <w:t>The international search report shall either state that the International Searching Authority approves the title and the abstract as submitted by the applicant or be accompanied by the text of the title and/or abstract as established by the International Searching Authority under Rules</w:t>
      </w:r>
      <w:r w:rsidR="00671988">
        <w:t> </w:t>
      </w:r>
      <w:r w:rsidR="00671988" w:rsidRPr="00A4549B">
        <w:t>37 and</w:t>
      </w:r>
      <w:r w:rsidR="00671988">
        <w:t> </w:t>
      </w:r>
      <w:r w:rsidR="00671988" w:rsidRPr="00A4549B">
        <w:t xml:space="preserve">38. </w:t>
      </w:r>
    </w:p>
    <w:p w:rsidR="00671988" w:rsidRDefault="00671988" w:rsidP="005D4F35">
      <w:pPr>
        <w:pStyle w:val="LegSubRule"/>
      </w:pPr>
      <w:r w:rsidRPr="00671988">
        <w:t xml:space="preserve">44.3 </w:t>
      </w:r>
      <w:r w:rsidRPr="00671988">
        <w:tab/>
      </w:r>
      <w:r w:rsidRPr="005D4F35">
        <w:t>Copies of Cited Documents</w:t>
      </w:r>
      <w:r w:rsidRPr="00671988">
        <w:t xml:space="preserve"> </w:t>
      </w:r>
    </w:p>
    <w:p w:rsidR="00671988" w:rsidRDefault="005D4F35" w:rsidP="005D4F35">
      <w:pPr>
        <w:pStyle w:val="Lega"/>
      </w:pPr>
      <w:r>
        <w:tab/>
      </w:r>
      <w:r w:rsidR="00671988" w:rsidRPr="00A4549B">
        <w:t>(a)</w:t>
      </w:r>
      <w:r>
        <w:tab/>
      </w:r>
      <w:r w:rsidR="00671988" w:rsidRPr="00A4549B">
        <w:t>The request referred to in Article</w:t>
      </w:r>
      <w:r w:rsidR="00671988">
        <w:t> </w:t>
      </w:r>
      <w:r w:rsidR="00671988" w:rsidRPr="00A4549B">
        <w:t xml:space="preserve">20(3) may be presented any time during seven years from the international filing date of the international application to which the international search report relates. </w:t>
      </w:r>
    </w:p>
    <w:p w:rsidR="00671988" w:rsidRDefault="005D4F35" w:rsidP="005D4F35">
      <w:pPr>
        <w:pStyle w:val="Lega"/>
      </w:pPr>
      <w:r>
        <w:tab/>
      </w:r>
      <w:r w:rsidR="00671988" w:rsidRPr="00A4549B">
        <w:t>(b)</w:t>
      </w:r>
      <w:r>
        <w:tab/>
      </w:r>
      <w:r w:rsidR="00671988" w:rsidRPr="00A4549B">
        <w:t>The International Searching Authority may require that the party (applicant or designated Office) presenting the request pay to it the cost of preparing and mailing the copies. The level of the cost of preparing copies shall be provided for in the agreements referred to in Article 16(3</w:t>
      </w:r>
      <w:proofErr w:type="gramStart"/>
      <w:r w:rsidR="00671988" w:rsidRPr="00A4549B">
        <w:t>)(</w:t>
      </w:r>
      <w:proofErr w:type="gramEnd"/>
      <w:r w:rsidR="00671988" w:rsidRPr="00A4549B">
        <w:t xml:space="preserve">b) between the International Searching Authorities and the International Bureau. </w:t>
      </w:r>
    </w:p>
    <w:p w:rsidR="00671988" w:rsidRDefault="005D4F35" w:rsidP="005D4F35">
      <w:pPr>
        <w:pStyle w:val="Lega"/>
      </w:pPr>
      <w:r>
        <w:tab/>
      </w:r>
      <w:r w:rsidR="00671988" w:rsidRPr="00A4549B">
        <w:t>(c)</w:t>
      </w:r>
      <w:r>
        <w:tab/>
      </w:r>
      <w:r w:rsidR="00671988" w:rsidRPr="00671988">
        <w:t>[Deleted]</w:t>
      </w:r>
      <w:r w:rsidR="00671988" w:rsidRPr="00A4549B">
        <w:t xml:space="preserve"> </w:t>
      </w:r>
    </w:p>
    <w:p w:rsidR="0029072A" w:rsidRDefault="005D4F35" w:rsidP="005D4F35">
      <w:pPr>
        <w:pStyle w:val="Lega"/>
      </w:pPr>
      <w:r>
        <w:tab/>
        <w:t>(d)</w:t>
      </w:r>
      <w:r>
        <w:tab/>
      </w:r>
      <w:r w:rsidR="00671988" w:rsidRPr="00A4549B">
        <w:t>Any International Searching Authority may perform the obligations referred to in paragraphs</w:t>
      </w:r>
      <w:r w:rsidR="00671988">
        <w:t> </w:t>
      </w:r>
      <w:r w:rsidR="00671988" w:rsidRPr="00A4549B">
        <w:t>(a) and</w:t>
      </w:r>
      <w:r w:rsidR="00671988">
        <w:t> </w:t>
      </w:r>
      <w:r w:rsidR="00671988" w:rsidRPr="00A4549B">
        <w:t>(b) through another agency responsible to it.</w:t>
      </w:r>
    </w:p>
    <w:p w:rsidR="00671988" w:rsidRDefault="00671988" w:rsidP="005D4F35">
      <w:pPr>
        <w:pStyle w:val="LegRule"/>
        <w:pageBreakBefore/>
      </w:pPr>
      <w:r w:rsidRPr="007C62F5">
        <w:t>Rule 71</w:t>
      </w:r>
      <w:r w:rsidR="005D4F35">
        <w:br/>
      </w:r>
      <w:r w:rsidRPr="007C62F5">
        <w:t>Transmittal of the</w:t>
      </w:r>
      <w:r>
        <w:rPr>
          <w:rFonts w:hint="eastAsia"/>
        </w:rPr>
        <w:t xml:space="preserve"> </w:t>
      </w:r>
      <w:r w:rsidRPr="007C62F5">
        <w:t>International Preliminary Examination Report</w:t>
      </w:r>
    </w:p>
    <w:p w:rsidR="00671988" w:rsidRDefault="00671988" w:rsidP="005D4F35">
      <w:pPr>
        <w:pStyle w:val="LegSubRule"/>
      </w:pPr>
      <w:r w:rsidRPr="00930ECB">
        <w:t xml:space="preserve">71.1 </w:t>
      </w:r>
      <w:r>
        <w:tab/>
      </w:r>
      <w:r w:rsidRPr="005D4F35">
        <w:t>Recipients</w:t>
      </w:r>
      <w:r w:rsidRPr="00671988">
        <w:t xml:space="preserve"> </w:t>
      </w:r>
    </w:p>
    <w:p w:rsidR="00671988" w:rsidRPr="00930ECB" w:rsidRDefault="005D4F35" w:rsidP="005D4F35">
      <w:pPr>
        <w:pStyle w:val="Lega"/>
      </w:pPr>
      <w:r>
        <w:tab/>
      </w:r>
      <w:r w:rsidR="00671988" w:rsidRPr="00930ECB">
        <w:t xml:space="preserve">The International Preliminary Examining Authority shall, on the same day, transmit one copy of the international preliminary examination report and its annexes, if any, to the International Bureau, and one copy to the applicant. </w:t>
      </w:r>
    </w:p>
    <w:p w:rsidR="00671988" w:rsidRDefault="00671988" w:rsidP="005D4F35">
      <w:pPr>
        <w:pStyle w:val="LegSubRule"/>
      </w:pPr>
      <w:r w:rsidRPr="00671988">
        <w:t xml:space="preserve">71.2 </w:t>
      </w:r>
      <w:r w:rsidRPr="00671988">
        <w:tab/>
      </w:r>
      <w:r w:rsidRPr="005D4F35">
        <w:t>Copies of Cited Documents</w:t>
      </w:r>
      <w:r w:rsidRPr="00671988">
        <w:t xml:space="preserve"> </w:t>
      </w:r>
    </w:p>
    <w:p w:rsidR="00671988" w:rsidRDefault="005D4F35" w:rsidP="005D4F35">
      <w:pPr>
        <w:pStyle w:val="Lega"/>
      </w:pPr>
      <w:r>
        <w:tab/>
      </w:r>
      <w:r w:rsidR="00671988" w:rsidRPr="00930ECB">
        <w:t>(a)</w:t>
      </w:r>
      <w:r>
        <w:tab/>
      </w:r>
      <w:r w:rsidR="00671988" w:rsidRPr="00930ECB">
        <w:t xml:space="preserve">The request under Article 36(4) may be presented any time during seven years from the international filing date of the international application to which the report relates. </w:t>
      </w:r>
    </w:p>
    <w:p w:rsidR="00671988" w:rsidRDefault="005D4F35" w:rsidP="005D4F35">
      <w:pPr>
        <w:pStyle w:val="Lega"/>
      </w:pPr>
      <w:r>
        <w:tab/>
      </w:r>
      <w:r w:rsidR="00671988" w:rsidRPr="00930ECB">
        <w:t>(b)</w:t>
      </w:r>
      <w:r>
        <w:tab/>
      </w:r>
      <w:r w:rsidR="00671988" w:rsidRPr="00930ECB">
        <w:t>The International Preliminary Examining Authority may require that the party (applicant or elected Office) presenting the request pay to it the cost of preparing and mailing the copies. The level of the cost of preparing copies shall be provided for in the agreements referred to in Article</w:t>
      </w:r>
      <w:r w:rsidR="00671988">
        <w:t> </w:t>
      </w:r>
      <w:r w:rsidR="00671988" w:rsidRPr="00930ECB">
        <w:t xml:space="preserve">32(2) between the International Preliminary Examining Authorities and the International Bureau. </w:t>
      </w:r>
    </w:p>
    <w:p w:rsidR="00671988" w:rsidRDefault="005D4F35" w:rsidP="005D4F35">
      <w:pPr>
        <w:pStyle w:val="Lega"/>
      </w:pPr>
      <w:r>
        <w:tab/>
      </w:r>
      <w:r w:rsidR="00671988" w:rsidRPr="00930ECB">
        <w:t>(c)</w:t>
      </w:r>
      <w:r>
        <w:tab/>
      </w:r>
      <w:r w:rsidR="00671988" w:rsidRPr="00671988">
        <w:t>[Deleted]</w:t>
      </w:r>
    </w:p>
    <w:p w:rsidR="00671988" w:rsidRDefault="005D4F35" w:rsidP="005D4F35">
      <w:pPr>
        <w:pStyle w:val="Lega"/>
      </w:pPr>
      <w:r>
        <w:tab/>
      </w:r>
      <w:r w:rsidR="00671988" w:rsidRPr="00930ECB">
        <w:t>(d)</w:t>
      </w:r>
      <w:r>
        <w:tab/>
      </w:r>
      <w:r w:rsidR="00671988" w:rsidRPr="00930ECB">
        <w:t>Any International Preliminary Examining Authority may perform the obligations referred to in paragraphs</w:t>
      </w:r>
      <w:r w:rsidR="00671988">
        <w:t> </w:t>
      </w:r>
      <w:r w:rsidR="00671988" w:rsidRPr="00930ECB">
        <w:t>(a) and</w:t>
      </w:r>
      <w:r w:rsidR="00671988">
        <w:t> </w:t>
      </w:r>
      <w:r w:rsidR="00671988" w:rsidRPr="00930ECB">
        <w:t>(b) through a</w:t>
      </w:r>
      <w:r w:rsidR="00671988">
        <w:t>nother agency responsible to</w:t>
      </w:r>
      <w:r w:rsidR="00671988">
        <w:rPr>
          <w:rFonts w:hint="eastAsia"/>
        </w:rPr>
        <w:t xml:space="preserve"> it</w:t>
      </w:r>
      <w:r w:rsidR="00671988">
        <w:t>.</w:t>
      </w:r>
    </w:p>
    <w:p w:rsidR="00671988" w:rsidRDefault="00671988" w:rsidP="005D4F35">
      <w:pPr>
        <w:rPr>
          <w:lang w:eastAsia="ko-KR"/>
        </w:rPr>
      </w:pPr>
    </w:p>
    <w:p w:rsidR="00671988" w:rsidRDefault="00671988" w:rsidP="005D4F35">
      <w:pPr>
        <w:rPr>
          <w:lang w:eastAsia="ko-KR"/>
        </w:rPr>
      </w:pPr>
    </w:p>
    <w:p w:rsidR="008713CB" w:rsidRPr="00671988" w:rsidRDefault="00671988" w:rsidP="00671988">
      <w:pPr>
        <w:pStyle w:val="ONUME"/>
        <w:numPr>
          <w:ilvl w:val="0"/>
          <w:numId w:val="0"/>
        </w:numPr>
        <w:ind w:left="5533"/>
      </w:pPr>
      <w:r>
        <w:t>[End of Annex and of document]</w:t>
      </w:r>
    </w:p>
    <w:sectPr w:rsidR="008713CB" w:rsidRPr="00671988" w:rsidSect="00671988">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0FE" w:rsidRDefault="00C720FE">
      <w:r>
        <w:separator/>
      </w:r>
    </w:p>
  </w:endnote>
  <w:endnote w:type="continuationSeparator" w:id="0">
    <w:p w:rsidR="00C720FE" w:rsidRDefault="00C720FE" w:rsidP="003B38C1">
      <w:r>
        <w:separator/>
      </w:r>
    </w:p>
    <w:p w:rsidR="00C720FE" w:rsidRPr="003B38C1" w:rsidRDefault="00C720FE" w:rsidP="003B38C1">
      <w:pPr>
        <w:spacing w:after="60"/>
        <w:rPr>
          <w:sz w:val="17"/>
        </w:rPr>
      </w:pPr>
      <w:r>
        <w:rPr>
          <w:sz w:val="17"/>
        </w:rPr>
        <w:t>[Endnote continued from previous page]</w:t>
      </w:r>
    </w:p>
  </w:endnote>
  <w:endnote w:type="continuationNotice" w:id="1">
    <w:p w:rsidR="00C720FE" w:rsidRPr="003B38C1" w:rsidRDefault="00C720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0FE" w:rsidRDefault="00C720FE">
      <w:r>
        <w:separator/>
      </w:r>
    </w:p>
  </w:footnote>
  <w:footnote w:type="continuationSeparator" w:id="0">
    <w:p w:rsidR="00C720FE" w:rsidRDefault="00C720FE" w:rsidP="008B60B2">
      <w:r>
        <w:separator/>
      </w:r>
    </w:p>
    <w:p w:rsidR="00C720FE" w:rsidRPr="00ED77FB" w:rsidRDefault="00C720FE" w:rsidP="008B60B2">
      <w:pPr>
        <w:spacing w:after="60"/>
        <w:rPr>
          <w:sz w:val="17"/>
          <w:szCs w:val="17"/>
        </w:rPr>
      </w:pPr>
      <w:r w:rsidRPr="00ED77FB">
        <w:rPr>
          <w:sz w:val="17"/>
          <w:szCs w:val="17"/>
        </w:rPr>
        <w:t>[Footnote continued from previous page]</w:t>
      </w:r>
    </w:p>
  </w:footnote>
  <w:footnote w:type="continuationNotice" w:id="1">
    <w:p w:rsidR="00C720FE" w:rsidRPr="00ED77FB" w:rsidRDefault="00C720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720FE" w:rsidP="00477D6B">
    <w:pPr>
      <w:jc w:val="right"/>
    </w:pPr>
    <w:bookmarkStart w:id="6" w:name="Code2"/>
    <w:bookmarkEnd w:id="6"/>
    <w:r>
      <w:t>PCT/MIA/24/8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30CF">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88" w:rsidRDefault="00671988" w:rsidP="00477D6B">
    <w:pPr>
      <w:jc w:val="right"/>
    </w:pPr>
    <w:r>
      <w:t>PCT/MIA/24/8</w:t>
    </w:r>
  </w:p>
  <w:p w:rsidR="00671988" w:rsidRDefault="00671988" w:rsidP="00477D6B">
    <w:pPr>
      <w:jc w:val="right"/>
    </w:pPr>
    <w:r>
      <w:t xml:space="preserve">Annex, page </w:t>
    </w:r>
    <w:r>
      <w:fldChar w:fldCharType="begin"/>
    </w:r>
    <w:r>
      <w:instrText xml:space="preserve"> PAGE  \* MERGEFORMAT </w:instrText>
    </w:r>
    <w:r>
      <w:fldChar w:fldCharType="separate"/>
    </w:r>
    <w:r w:rsidR="009C30CF">
      <w:rPr>
        <w:noProof/>
      </w:rPr>
      <w:t>2</w:t>
    </w:r>
    <w:r>
      <w:fldChar w:fldCharType="end"/>
    </w:r>
  </w:p>
  <w:p w:rsidR="00671988" w:rsidRDefault="00671988" w:rsidP="00477D6B">
    <w:pPr>
      <w:jc w:val="right"/>
    </w:pPr>
  </w:p>
  <w:p w:rsidR="005D4F35" w:rsidRDefault="005D4F3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988" w:rsidRDefault="00671988" w:rsidP="00671988">
    <w:pPr>
      <w:pStyle w:val="Header"/>
      <w:jc w:val="right"/>
    </w:pPr>
    <w:r>
      <w:t>PCT/MIA/24/8</w:t>
    </w:r>
  </w:p>
  <w:p w:rsidR="00671988" w:rsidRDefault="00671988" w:rsidP="00671988">
    <w:pPr>
      <w:pStyle w:val="Header"/>
      <w:jc w:val="right"/>
    </w:pPr>
    <w:r>
      <w:t>ANNEX</w:t>
    </w:r>
  </w:p>
  <w:p w:rsidR="00671988" w:rsidRDefault="00671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FE"/>
    <w:rsid w:val="00043CAA"/>
    <w:rsid w:val="00075432"/>
    <w:rsid w:val="000968ED"/>
    <w:rsid w:val="000F5E56"/>
    <w:rsid w:val="001362EE"/>
    <w:rsid w:val="001832A6"/>
    <w:rsid w:val="002634C4"/>
    <w:rsid w:val="0029072A"/>
    <w:rsid w:val="002928D3"/>
    <w:rsid w:val="002E566A"/>
    <w:rsid w:val="002F1FE6"/>
    <w:rsid w:val="002F4E68"/>
    <w:rsid w:val="002F5358"/>
    <w:rsid w:val="00312F7F"/>
    <w:rsid w:val="00361450"/>
    <w:rsid w:val="003673CF"/>
    <w:rsid w:val="003845C1"/>
    <w:rsid w:val="003A6F89"/>
    <w:rsid w:val="003B38C1"/>
    <w:rsid w:val="003B6786"/>
    <w:rsid w:val="00423E3E"/>
    <w:rsid w:val="00427AF4"/>
    <w:rsid w:val="004647DA"/>
    <w:rsid w:val="00474062"/>
    <w:rsid w:val="00477D6B"/>
    <w:rsid w:val="004B1A75"/>
    <w:rsid w:val="004E21AE"/>
    <w:rsid w:val="005019FF"/>
    <w:rsid w:val="00504A6D"/>
    <w:rsid w:val="0053057A"/>
    <w:rsid w:val="00560A29"/>
    <w:rsid w:val="005A1A84"/>
    <w:rsid w:val="005C6649"/>
    <w:rsid w:val="005D4F35"/>
    <w:rsid w:val="00605827"/>
    <w:rsid w:val="00646050"/>
    <w:rsid w:val="006713CA"/>
    <w:rsid w:val="00671988"/>
    <w:rsid w:val="00676C5C"/>
    <w:rsid w:val="007D1613"/>
    <w:rsid w:val="008713CB"/>
    <w:rsid w:val="008B2CC1"/>
    <w:rsid w:val="008B60B2"/>
    <w:rsid w:val="0090731E"/>
    <w:rsid w:val="00916EE2"/>
    <w:rsid w:val="00966A22"/>
    <w:rsid w:val="0096722F"/>
    <w:rsid w:val="00980843"/>
    <w:rsid w:val="00994911"/>
    <w:rsid w:val="009C30CF"/>
    <w:rsid w:val="009E2791"/>
    <w:rsid w:val="009E3F6F"/>
    <w:rsid w:val="009F499F"/>
    <w:rsid w:val="00A42DAF"/>
    <w:rsid w:val="00A45BD8"/>
    <w:rsid w:val="00A80759"/>
    <w:rsid w:val="00A869B7"/>
    <w:rsid w:val="00AB3806"/>
    <w:rsid w:val="00AC205C"/>
    <w:rsid w:val="00AF0A6B"/>
    <w:rsid w:val="00B05A69"/>
    <w:rsid w:val="00B135F6"/>
    <w:rsid w:val="00B9734B"/>
    <w:rsid w:val="00BA30E2"/>
    <w:rsid w:val="00BE00BF"/>
    <w:rsid w:val="00BE420B"/>
    <w:rsid w:val="00C11BFE"/>
    <w:rsid w:val="00C720FE"/>
    <w:rsid w:val="00CD04F1"/>
    <w:rsid w:val="00D45252"/>
    <w:rsid w:val="00D71B4D"/>
    <w:rsid w:val="00D7653B"/>
    <w:rsid w:val="00D93D55"/>
    <w:rsid w:val="00DE476E"/>
    <w:rsid w:val="00DE7239"/>
    <w:rsid w:val="00E335FE"/>
    <w:rsid w:val="00EC4E49"/>
    <w:rsid w:val="00ED77FB"/>
    <w:rsid w:val="00EE45FA"/>
    <w:rsid w:val="00F66152"/>
    <w:rsid w:val="00F8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20FE"/>
    <w:rPr>
      <w:rFonts w:ascii="Tahoma" w:hAnsi="Tahoma" w:cs="Tahoma"/>
      <w:sz w:val="16"/>
      <w:szCs w:val="16"/>
    </w:rPr>
  </w:style>
  <w:style w:type="character" w:customStyle="1" w:styleId="BalloonTextChar">
    <w:name w:val="Balloon Text Char"/>
    <w:basedOn w:val="DefaultParagraphFont"/>
    <w:link w:val="BalloonText"/>
    <w:rsid w:val="00C720FE"/>
    <w:rPr>
      <w:rFonts w:ascii="Tahoma" w:eastAsia="SimSun" w:hAnsi="Tahoma" w:cs="Tahoma"/>
      <w:sz w:val="16"/>
      <w:szCs w:val="16"/>
      <w:lang w:eastAsia="zh-CN"/>
    </w:rPr>
  </w:style>
  <w:style w:type="character" w:styleId="Hyperlink">
    <w:name w:val="Hyperlink"/>
    <w:basedOn w:val="DefaultParagraphFont"/>
    <w:rsid w:val="002F5358"/>
    <w:rPr>
      <w:color w:val="0000FF" w:themeColor="hyperlink"/>
      <w:u w:val="single"/>
    </w:rPr>
  </w:style>
  <w:style w:type="paragraph" w:styleId="ListParagraph">
    <w:name w:val="List Paragraph"/>
    <w:basedOn w:val="Normal"/>
    <w:uiPriority w:val="34"/>
    <w:qFormat/>
    <w:rsid w:val="002F5358"/>
    <w:pPr>
      <w:ind w:left="720"/>
      <w:contextualSpacing/>
    </w:pPr>
  </w:style>
  <w:style w:type="paragraph" w:customStyle="1" w:styleId="Lega">
    <w:name w:val="Leg (a)"/>
    <w:basedOn w:val="Normal"/>
    <w:rsid w:val="005D4F35"/>
    <w:pPr>
      <w:tabs>
        <w:tab w:val="left" w:pos="454"/>
      </w:tabs>
      <w:spacing w:before="120" w:after="240"/>
    </w:pPr>
    <w:rPr>
      <w:rFonts w:eastAsia="Malgun Gothic" w:cs="Times New Roman"/>
      <w:snapToGrid w:val="0"/>
      <w:lang w:eastAsia="ja-JP"/>
    </w:rPr>
  </w:style>
  <w:style w:type="paragraph" w:customStyle="1" w:styleId="Legiindent">
    <w:name w:val="Leg (i) indent"/>
    <w:basedOn w:val="Normal"/>
    <w:qFormat/>
    <w:rsid w:val="005D4F35"/>
    <w:pPr>
      <w:tabs>
        <w:tab w:val="right" w:pos="1020"/>
        <w:tab w:val="left" w:pos="1191"/>
      </w:tabs>
      <w:spacing w:before="60"/>
      <w:ind w:left="1191" w:hanging="1191"/>
    </w:pPr>
    <w:rPr>
      <w:rFonts w:eastAsia="Times New Roman" w:cs="Times New Roman"/>
      <w:snapToGrid w:val="0"/>
      <w:lang w:eastAsia="ja-JP"/>
    </w:rPr>
  </w:style>
  <w:style w:type="paragraph" w:customStyle="1" w:styleId="LegRule">
    <w:name w:val="Leg Rule #"/>
    <w:basedOn w:val="Normal"/>
    <w:next w:val="Normal"/>
    <w:qFormat/>
    <w:rsid w:val="005D4F35"/>
    <w:pPr>
      <w:jc w:val="center"/>
    </w:pPr>
    <w:rPr>
      <w:b/>
      <w:lang w:eastAsia="ko-KR"/>
    </w:rPr>
  </w:style>
  <w:style w:type="paragraph" w:customStyle="1" w:styleId="LegSubRule">
    <w:name w:val="Leg SubRule #"/>
    <w:basedOn w:val="Normal"/>
    <w:rsid w:val="005D4F35"/>
    <w:pPr>
      <w:keepNext/>
      <w:keepLines/>
      <w:tabs>
        <w:tab w:val="left" w:pos="510"/>
      </w:tabs>
      <w:spacing w:before="360" w:after="240"/>
      <w:ind w:left="533" w:hanging="533"/>
      <w:jc w:val="both"/>
    </w:pPr>
    <w:rPr>
      <w:rFonts w:eastAsia="Malgun Gothic" w:cs="Times New Roman"/>
      <w:i/>
      <w:snapToGrid w:val="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720FE"/>
    <w:rPr>
      <w:rFonts w:ascii="Tahoma" w:hAnsi="Tahoma" w:cs="Tahoma"/>
      <w:sz w:val="16"/>
      <w:szCs w:val="16"/>
    </w:rPr>
  </w:style>
  <w:style w:type="character" w:customStyle="1" w:styleId="BalloonTextChar">
    <w:name w:val="Balloon Text Char"/>
    <w:basedOn w:val="DefaultParagraphFont"/>
    <w:link w:val="BalloonText"/>
    <w:rsid w:val="00C720FE"/>
    <w:rPr>
      <w:rFonts w:ascii="Tahoma" w:eastAsia="SimSun" w:hAnsi="Tahoma" w:cs="Tahoma"/>
      <w:sz w:val="16"/>
      <w:szCs w:val="16"/>
      <w:lang w:eastAsia="zh-CN"/>
    </w:rPr>
  </w:style>
  <w:style w:type="character" w:styleId="Hyperlink">
    <w:name w:val="Hyperlink"/>
    <w:basedOn w:val="DefaultParagraphFont"/>
    <w:rsid w:val="002F5358"/>
    <w:rPr>
      <w:color w:val="0000FF" w:themeColor="hyperlink"/>
      <w:u w:val="single"/>
    </w:rPr>
  </w:style>
  <w:style w:type="paragraph" w:styleId="ListParagraph">
    <w:name w:val="List Paragraph"/>
    <w:basedOn w:val="Normal"/>
    <w:uiPriority w:val="34"/>
    <w:qFormat/>
    <w:rsid w:val="002F5358"/>
    <w:pPr>
      <w:ind w:left="720"/>
      <w:contextualSpacing/>
    </w:pPr>
  </w:style>
  <w:style w:type="paragraph" w:customStyle="1" w:styleId="Lega">
    <w:name w:val="Leg (a)"/>
    <w:basedOn w:val="Normal"/>
    <w:rsid w:val="005D4F35"/>
    <w:pPr>
      <w:tabs>
        <w:tab w:val="left" w:pos="454"/>
      </w:tabs>
      <w:spacing w:before="120" w:after="240"/>
    </w:pPr>
    <w:rPr>
      <w:rFonts w:eastAsia="Malgun Gothic" w:cs="Times New Roman"/>
      <w:snapToGrid w:val="0"/>
      <w:lang w:eastAsia="ja-JP"/>
    </w:rPr>
  </w:style>
  <w:style w:type="paragraph" w:customStyle="1" w:styleId="Legiindent">
    <w:name w:val="Leg (i) indent"/>
    <w:basedOn w:val="Normal"/>
    <w:qFormat/>
    <w:rsid w:val="005D4F35"/>
    <w:pPr>
      <w:tabs>
        <w:tab w:val="right" w:pos="1020"/>
        <w:tab w:val="left" w:pos="1191"/>
      </w:tabs>
      <w:spacing w:before="60"/>
      <w:ind w:left="1191" w:hanging="1191"/>
    </w:pPr>
    <w:rPr>
      <w:rFonts w:eastAsia="Times New Roman" w:cs="Times New Roman"/>
      <w:snapToGrid w:val="0"/>
      <w:lang w:eastAsia="ja-JP"/>
    </w:rPr>
  </w:style>
  <w:style w:type="paragraph" w:customStyle="1" w:styleId="LegRule">
    <w:name w:val="Leg Rule #"/>
    <w:basedOn w:val="Normal"/>
    <w:next w:val="Normal"/>
    <w:qFormat/>
    <w:rsid w:val="005D4F35"/>
    <w:pPr>
      <w:jc w:val="center"/>
    </w:pPr>
    <w:rPr>
      <w:b/>
      <w:lang w:eastAsia="ko-KR"/>
    </w:rPr>
  </w:style>
  <w:style w:type="paragraph" w:customStyle="1" w:styleId="LegSubRule">
    <w:name w:val="Leg SubRule #"/>
    <w:basedOn w:val="Normal"/>
    <w:rsid w:val="005D4F35"/>
    <w:pPr>
      <w:keepNext/>
      <w:keepLines/>
      <w:tabs>
        <w:tab w:val="left" w:pos="510"/>
      </w:tabs>
      <w:spacing w:before="360" w:after="240"/>
      <w:ind w:left="533" w:hanging="533"/>
      <w:jc w:val="both"/>
    </w:pPr>
    <w:rPr>
      <w:rFonts w:eastAsia="Malgun Gothic" w:cs="Times New Roman"/>
      <w:i/>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ipoisa@korea.k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EABF-855C-4D69-9F4D-0A8B02D1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12</TotalTime>
  <Pages>5</Pages>
  <Words>1381</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Transmittal of the Copies of Documents cited in International Search Reports or International Preliminary Examining Reports</dc:subject>
  <dc:creator>MARLOW Thomas</dc:creator>
  <cp:lastModifiedBy>MARLOW Thomas</cp:lastModifiedBy>
  <cp:revision>5</cp:revision>
  <cp:lastPrinted>2017-01-09T17:38:00Z</cp:lastPrinted>
  <dcterms:created xsi:type="dcterms:W3CDTF">2017-01-09T07:52:00Z</dcterms:created>
  <dcterms:modified xsi:type="dcterms:W3CDTF">2017-01-09T17:40:00Z</dcterms:modified>
</cp:coreProperties>
</file>