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431D" w14:textId="0F08B45B" w:rsidR="008B2CC1" w:rsidRPr="00F043DE" w:rsidRDefault="004C2EA0" w:rsidP="00761CD8">
      <w:pPr>
        <w:pBdr>
          <w:bottom w:val="single" w:sz="4" w:space="9" w:color="auto"/>
        </w:pBdr>
        <w:spacing w:after="120"/>
        <w:jc w:val="right"/>
        <w:rPr>
          <w:b/>
          <w:sz w:val="32"/>
          <w:szCs w:val="40"/>
        </w:rPr>
      </w:pPr>
      <w:r>
        <w:rPr>
          <w:noProof/>
          <w:sz w:val="28"/>
          <w:szCs w:val="28"/>
        </w:rPr>
        <w:drawing>
          <wp:inline distT="0" distB="0" distL="0" distR="0" wp14:anchorId="75998885" wp14:editId="1E173BFF">
            <wp:extent cx="3043149" cy="1308100"/>
            <wp:effectExtent l="0" t="0" r="5080" b="6350"/>
            <wp:docPr id="172621462" name="Picture 172621462"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8387BD1" w14:textId="26B8BE2A" w:rsidR="008B2CC1" w:rsidRPr="005F594D" w:rsidRDefault="00761CD8" w:rsidP="00EB2F76">
      <w:pPr>
        <w:jc w:val="right"/>
        <w:rPr>
          <w:rFonts w:ascii="Arial Black" w:hAnsi="Arial Black"/>
          <w:caps/>
          <w:sz w:val="15"/>
        </w:rPr>
      </w:pPr>
      <w:r w:rsidRPr="005F594D">
        <w:rPr>
          <w:rFonts w:ascii="Arial Black" w:hAnsi="Arial Black"/>
          <w:caps/>
          <w:sz w:val="15"/>
        </w:rPr>
        <w:t>PCT/CTC/33/</w:t>
      </w:r>
      <w:r w:rsidR="008607C1">
        <w:rPr>
          <w:rFonts w:ascii="Arial Black" w:hAnsi="Arial Black"/>
          <w:caps/>
          <w:sz w:val="15"/>
        </w:rPr>
        <w:t>8</w:t>
      </w:r>
    </w:p>
    <w:p w14:paraId="49F2B0F4" w14:textId="34728D94" w:rsidR="008B2CC1" w:rsidRPr="001C62FA" w:rsidRDefault="00BA2A04" w:rsidP="00EB2F76">
      <w:pPr>
        <w:jc w:val="right"/>
        <w:rPr>
          <w:rFonts w:ascii="Arial Black" w:hAnsi="Arial Black"/>
          <w:caps/>
          <w:sz w:val="15"/>
          <w:szCs w:val="15"/>
        </w:rPr>
      </w:pPr>
      <w:bookmarkStart w:id="0" w:name="Original"/>
      <w:r>
        <w:rPr>
          <w:rFonts w:ascii="Arial Black" w:hAnsi="Arial Black"/>
          <w:caps/>
          <w:sz w:val="15"/>
        </w:rPr>
        <w:t>ORIGINAL:  ENGLISH / RUSSIAN</w:t>
      </w:r>
    </w:p>
    <w:bookmarkEnd w:id="0"/>
    <w:p w14:paraId="7E7B6B09" w14:textId="115C0704" w:rsidR="008B2CC1" w:rsidRPr="001C62FA" w:rsidRDefault="009564AB" w:rsidP="000A3D97">
      <w:pPr>
        <w:spacing w:after="1200"/>
        <w:jc w:val="right"/>
        <w:rPr>
          <w:rFonts w:ascii="Arial Black" w:hAnsi="Arial Black"/>
          <w:caps/>
          <w:sz w:val="15"/>
          <w:szCs w:val="15"/>
        </w:rPr>
      </w:pPr>
      <w:r>
        <w:rPr>
          <w:rFonts w:ascii="Arial Black" w:hAnsi="Arial Black"/>
          <w:caps/>
          <w:sz w:val="15"/>
        </w:rPr>
        <w:t>DATE</w:t>
      </w:r>
      <w:proofErr w:type="gramStart"/>
      <w:r>
        <w:rPr>
          <w:rFonts w:ascii="Arial Black" w:hAnsi="Arial Black"/>
          <w:caps/>
          <w:sz w:val="15"/>
        </w:rPr>
        <w:t xml:space="preserve">:  </w:t>
      </w:r>
      <w:bookmarkStart w:id="1" w:name="Date"/>
      <w:r>
        <w:rPr>
          <w:rFonts w:ascii="Arial Black" w:hAnsi="Arial Black"/>
          <w:caps/>
          <w:sz w:val="15"/>
        </w:rPr>
        <w:t>December</w:t>
      </w:r>
      <w:proofErr w:type="gramEnd"/>
      <w:r>
        <w:rPr>
          <w:rFonts w:ascii="Arial Black" w:hAnsi="Arial Black"/>
          <w:caps/>
          <w:sz w:val="15"/>
        </w:rPr>
        <w:t xml:space="preserve"> </w:t>
      </w:r>
      <w:r w:rsidR="00765C3A">
        <w:rPr>
          <w:rFonts w:ascii="Arial Black" w:hAnsi="Arial Black"/>
          <w:caps/>
          <w:sz w:val="15"/>
        </w:rPr>
        <w:t>19</w:t>
      </w:r>
      <w:r>
        <w:rPr>
          <w:rFonts w:ascii="Arial Black" w:hAnsi="Arial Black"/>
          <w:caps/>
          <w:sz w:val="15"/>
        </w:rPr>
        <w:t>, 2025</w:t>
      </w:r>
    </w:p>
    <w:bookmarkEnd w:id="1"/>
    <w:p w14:paraId="5FC635C6" w14:textId="77777777" w:rsidR="008B2CC1" w:rsidRPr="009564AB" w:rsidRDefault="009564AB" w:rsidP="004B446A">
      <w:pPr>
        <w:spacing w:after="480"/>
        <w:rPr>
          <w:b/>
          <w:bCs/>
        </w:rPr>
      </w:pPr>
      <w:r>
        <w:rPr>
          <w:b/>
          <w:sz w:val="28"/>
        </w:rPr>
        <w:t>Patent Cooperation Treaty (PCT)</w:t>
      </w:r>
      <w:r>
        <w:rPr>
          <w:b/>
          <w:sz w:val="28"/>
        </w:rPr>
        <w:br/>
        <w:t>Committee for Technical Cooperation</w:t>
      </w:r>
    </w:p>
    <w:p w14:paraId="5209D05C" w14:textId="77777777" w:rsidR="00A90F0A" w:rsidRPr="009564AB" w:rsidRDefault="009564AB" w:rsidP="00A90F0A">
      <w:pPr>
        <w:outlineLvl w:val="1"/>
        <w:rPr>
          <w:b/>
          <w:sz w:val="24"/>
          <w:szCs w:val="24"/>
        </w:rPr>
      </w:pPr>
      <w:r>
        <w:rPr>
          <w:b/>
          <w:sz w:val="24"/>
        </w:rPr>
        <w:t>Thirty-Third Session</w:t>
      </w:r>
    </w:p>
    <w:p w14:paraId="5D8B34AF" w14:textId="77777777" w:rsidR="008B2CC1" w:rsidRPr="009564AB" w:rsidRDefault="009564AB" w:rsidP="00586897">
      <w:pPr>
        <w:spacing w:after="100" w:afterAutospacing="1"/>
        <w:outlineLvl w:val="1"/>
        <w:rPr>
          <w:b/>
          <w:sz w:val="24"/>
          <w:szCs w:val="24"/>
        </w:rPr>
      </w:pPr>
      <w:r>
        <w:rPr>
          <w:b/>
          <w:sz w:val="24"/>
        </w:rPr>
        <w:t>Geneva, February 2 to 6, 2026</w:t>
      </w:r>
    </w:p>
    <w:p w14:paraId="27B01C76" w14:textId="77777777" w:rsidR="00586897" w:rsidRPr="003B4CAA" w:rsidRDefault="00586897" w:rsidP="00586897">
      <w:pPr>
        <w:spacing w:after="100" w:afterAutospacing="1"/>
        <w:outlineLvl w:val="0"/>
        <w:rPr>
          <w:caps/>
          <w:sz w:val="24"/>
          <w:szCs w:val="24"/>
        </w:rPr>
      </w:pPr>
      <w:bookmarkStart w:id="2" w:name="TitleOfDoc"/>
    </w:p>
    <w:p w14:paraId="4071008E" w14:textId="076CF15D" w:rsidR="008B2CC1" w:rsidRPr="00574416" w:rsidRDefault="00574416" w:rsidP="00586897">
      <w:pPr>
        <w:spacing w:after="100" w:afterAutospacing="1"/>
        <w:outlineLvl w:val="0"/>
        <w:rPr>
          <w:caps/>
          <w:sz w:val="24"/>
        </w:rPr>
      </w:pPr>
      <w:r>
        <w:rPr>
          <w:sz w:val="24"/>
        </w:rPr>
        <w:t>EXTENSION OF APPOINTMENT OF THE EURASIAN PATENT OFFICE AS AN INTERNATIONAL SEARCHING AND PRELIMINARY EXAMIN</w:t>
      </w:r>
      <w:r w:rsidR="00A25F5D">
        <w:rPr>
          <w:sz w:val="24"/>
        </w:rPr>
        <w:t>ING</w:t>
      </w:r>
      <w:r>
        <w:rPr>
          <w:sz w:val="24"/>
        </w:rPr>
        <w:t xml:space="preserve"> AUTHORITY UNDER THE PCT</w:t>
      </w:r>
      <w:r>
        <w:rPr>
          <w:caps/>
          <w:sz w:val="24"/>
        </w:rPr>
        <w:t xml:space="preserve"> </w:t>
      </w:r>
    </w:p>
    <w:p w14:paraId="4A2F1F67" w14:textId="56059A08" w:rsidR="002928D3" w:rsidRPr="009564AB" w:rsidRDefault="00574416" w:rsidP="001D4107">
      <w:pPr>
        <w:spacing w:after="1040"/>
        <w:rPr>
          <w:i/>
        </w:rPr>
      </w:pPr>
      <w:bookmarkStart w:id="3" w:name="Prepared"/>
      <w:bookmarkEnd w:id="2"/>
      <w:bookmarkEnd w:id="3"/>
      <w:r>
        <w:rPr>
          <w:i/>
        </w:rPr>
        <w:t>Document prepared by the International Bureau</w:t>
      </w:r>
    </w:p>
    <w:p w14:paraId="0BC287E1" w14:textId="51604286" w:rsidR="00574416" w:rsidRDefault="006250B3" w:rsidP="00574416">
      <w:pPr>
        <w:pStyle w:val="ONUME"/>
      </w:pPr>
      <w:r>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r w:rsidR="002353A8">
        <w:t>.</w:t>
      </w:r>
    </w:p>
    <w:p w14:paraId="40E36714" w14:textId="364F4496" w:rsidR="00574416" w:rsidRDefault="006250B3" w:rsidP="00574416">
      <w:pPr>
        <w:pStyle w:val="ONUME"/>
      </w:pPr>
      <w:r>
        <w:t>On November 2</w:t>
      </w:r>
      <w:r w:rsidR="00B8793E">
        <w:t>4</w:t>
      </w:r>
      <w:r>
        <w:t xml:space="preserve">, 2025, the Eurasian Patent Office submitted </w:t>
      </w:r>
      <w:r w:rsidR="00AD2C66">
        <w:t>its</w:t>
      </w:r>
      <w:r>
        <w:t xml:space="preserve"> application for extension of appointment, which is reproduced in the Annex to this document.</w:t>
      </w:r>
    </w:p>
    <w:p w14:paraId="792C6B24" w14:textId="0DFDF4CE" w:rsidR="00574416" w:rsidRPr="00586897" w:rsidRDefault="00574416" w:rsidP="00652B8E">
      <w:pPr>
        <w:pStyle w:val="ONUME"/>
        <w:tabs>
          <w:tab w:val="left" w:pos="6096"/>
        </w:tabs>
        <w:ind w:left="5533"/>
        <w:rPr>
          <w:i/>
        </w:rPr>
      </w:pPr>
      <w:r>
        <w:rPr>
          <w:i/>
        </w:rPr>
        <w:t>The Committee is invited to give its advice on this matter.</w:t>
      </w:r>
    </w:p>
    <w:p w14:paraId="6EBD4C7F" w14:textId="77777777" w:rsidR="00586897" w:rsidRPr="003B4CAA" w:rsidRDefault="00586897" w:rsidP="00586897">
      <w:pPr>
        <w:pStyle w:val="ONUME"/>
        <w:numPr>
          <w:ilvl w:val="0"/>
          <w:numId w:val="0"/>
        </w:numPr>
        <w:ind w:left="5103" w:firstLine="430"/>
        <w:sectPr w:rsidR="00586897" w:rsidRPr="003B4CAA" w:rsidSect="00586897">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62CEAD11" w14:textId="77777777" w:rsidR="008956A4" w:rsidRPr="000B300D" w:rsidRDefault="008956A4" w:rsidP="00916DFA">
      <w:pPr>
        <w:spacing w:after="100" w:afterAutospacing="1"/>
        <w:outlineLvl w:val="0"/>
        <w:rPr>
          <w:caps/>
          <w:sz w:val="24"/>
          <w:szCs w:val="24"/>
          <w:lang w:val="en-GB"/>
        </w:rPr>
      </w:pPr>
    </w:p>
    <w:p w14:paraId="2F3A38FA" w14:textId="6C390701" w:rsidR="00916DFA" w:rsidRPr="00EC5B23" w:rsidRDefault="00916DFA" w:rsidP="00EC5B23">
      <w:pPr>
        <w:spacing w:after="100" w:afterAutospacing="1"/>
        <w:jc w:val="center"/>
        <w:outlineLvl w:val="0"/>
        <w:rPr>
          <w:caps/>
          <w:szCs w:val="22"/>
        </w:rPr>
      </w:pPr>
      <w:r>
        <w:rPr>
          <w:caps/>
        </w:rPr>
        <w:t>APPLICATION FOR EXTENSION OF APPOINTMENT AS AN INTERNATIONAL SEARCHING AND PRELIMINARY EXAMINING AUTHORITY UNDER THE PCT</w:t>
      </w:r>
    </w:p>
    <w:p w14:paraId="223DFFFD" w14:textId="01D9264D" w:rsidR="00652B8E" w:rsidRPr="00652B8E" w:rsidRDefault="00652B8E" w:rsidP="009242EC">
      <w:pPr>
        <w:pStyle w:val="SectionHeading"/>
      </w:pPr>
      <w:r>
        <w:t>1</w:t>
      </w:r>
      <w:r w:rsidR="002353A8">
        <w:t xml:space="preserve"> -</w:t>
      </w:r>
      <w:r>
        <w:t xml:space="preserve"> General</w:t>
      </w:r>
    </w:p>
    <w:p w14:paraId="3F9259C9" w14:textId="77777777" w:rsidR="00652B8E" w:rsidRDefault="00652B8E" w:rsidP="009242EC">
      <w:pPr>
        <w:pStyle w:val="Question"/>
        <w:spacing w:after="480"/>
      </w:pPr>
      <w:r>
        <w:t>(a)</w:t>
      </w:r>
      <w:r>
        <w:tab/>
        <w:t>Name of Office or intergovernmental organization:</w:t>
      </w:r>
    </w:p>
    <w:p w14:paraId="6C8B5BCB" w14:textId="77777777" w:rsidR="00652B8E" w:rsidRPr="004B1B2B" w:rsidRDefault="00652B8E" w:rsidP="00686A2F">
      <w:pPr>
        <w:pStyle w:val="Answer"/>
        <w:ind w:left="0"/>
      </w:pPr>
      <w:r>
        <w:t>Eurasian Patent Office of the Eurasian Patent Organization (EAPO)</w:t>
      </w:r>
    </w:p>
    <w:p w14:paraId="394D6A8A" w14:textId="77777777" w:rsidR="00652B8E" w:rsidRPr="00603FC4" w:rsidRDefault="00652B8E" w:rsidP="009242EC">
      <w:pPr>
        <w:pStyle w:val="Question"/>
        <w:spacing w:after="480"/>
      </w:pPr>
      <w:r>
        <w:t>(b)</w:t>
      </w:r>
      <w:r>
        <w:tab/>
        <w:t>Name and contact details of official for any queries about this application:</w:t>
      </w:r>
    </w:p>
    <w:p w14:paraId="69FD0A45" w14:textId="77777777" w:rsidR="00652B8E" w:rsidRPr="00603FC4" w:rsidRDefault="00652B8E" w:rsidP="00686A2F">
      <w:pPr>
        <w:pStyle w:val="Answer"/>
        <w:ind w:left="0"/>
      </w:pPr>
      <w:r>
        <w:t>Ms. Galina Alekseevna Mikheeva, Deputy Head, Department of Organizational and Legal Affairs, and Head, International Relations Division,</w:t>
      </w:r>
    </w:p>
    <w:p w14:paraId="2B7FE69D" w14:textId="3479528F" w:rsidR="00652B8E" w:rsidRPr="00C22E6B" w:rsidRDefault="00652B8E" w:rsidP="00686A2F">
      <w:pPr>
        <w:pStyle w:val="Answer"/>
        <w:ind w:left="0"/>
        <w:rPr>
          <w:lang w:val="en-GB"/>
        </w:rPr>
      </w:pPr>
      <w:r w:rsidRPr="00C22E6B">
        <w:rPr>
          <w:lang w:val="en-GB"/>
        </w:rPr>
        <w:t xml:space="preserve">email:  </w:t>
      </w:r>
      <w:r w:rsidRPr="00C22E6B">
        <w:rPr>
          <w:rStyle w:val="Hyperlink"/>
          <w:lang w:val="en-GB"/>
        </w:rPr>
        <w:t>gmikheeva@eapo.org</w:t>
      </w:r>
    </w:p>
    <w:p w14:paraId="64BEDDF0" w14:textId="77777777" w:rsidR="00652B8E" w:rsidRPr="00C22E6B" w:rsidRDefault="00652B8E" w:rsidP="00686A2F">
      <w:pPr>
        <w:pStyle w:val="Answer"/>
        <w:ind w:left="0"/>
        <w:rPr>
          <w:lang w:val="en-GB"/>
        </w:rPr>
      </w:pPr>
      <w:r w:rsidRPr="00C22E6B">
        <w:rPr>
          <w:lang w:val="en-GB"/>
        </w:rPr>
        <w:t>Phone: +7 495 4116161 (108)</w:t>
      </w:r>
    </w:p>
    <w:p w14:paraId="09553647" w14:textId="44E87B34" w:rsidR="00652B8E" w:rsidRDefault="00397B79" w:rsidP="009242EC">
      <w:pPr>
        <w:pStyle w:val="Question"/>
      </w:pPr>
      <w:r>
        <w:t>(c)</w:t>
      </w:r>
      <w:r>
        <w:tab/>
        <w:t>Date on which application for extension of appointment was received by the Director General:</w:t>
      </w:r>
    </w:p>
    <w:p w14:paraId="250FFF76" w14:textId="0581AE29" w:rsidR="00652B8E" w:rsidRPr="006250B3" w:rsidRDefault="00EC5B23" w:rsidP="009242EC">
      <w:pPr>
        <w:pStyle w:val="Answer"/>
        <w:rPr>
          <w:i/>
        </w:rPr>
      </w:pPr>
      <w:bookmarkStart w:id="4" w:name="_Hlk215569136"/>
      <w:r>
        <w:t>November 24, 2025</w:t>
      </w:r>
      <w:bookmarkEnd w:id="4"/>
    </w:p>
    <w:p w14:paraId="71C81826" w14:textId="4AC1A4B9" w:rsidR="00652B8E" w:rsidRPr="00652B8E" w:rsidRDefault="00652B8E" w:rsidP="009242EC">
      <w:pPr>
        <w:pStyle w:val="SectionHeading"/>
      </w:pPr>
      <w:r>
        <w:t>2</w:t>
      </w:r>
      <w:r w:rsidR="002353A8">
        <w:t xml:space="preserve"> -</w:t>
      </w:r>
      <w:r>
        <w:t xml:space="preserve"> Minimum Requirements for Appointment</w:t>
      </w:r>
    </w:p>
    <w:p w14:paraId="2453522F" w14:textId="516BFF6E" w:rsidR="00652B8E" w:rsidRPr="00652B8E" w:rsidRDefault="00652B8E" w:rsidP="009242EC">
      <w:r>
        <w:t xml:space="preserve">In addition to the annual report on the quality management system by the Eurasian Patent Office 2025 (“the QMS Report”, </w:t>
      </w:r>
      <w:hyperlink r:id="rId11" w:anchor="#EA" w:history="1">
        <w:r>
          <w:rPr>
            <w:rStyle w:val="Hyperlink"/>
          </w:rPr>
          <w:t>(https://www.wipo.int/en/web/pct-system/quality/authorities#EA)</w:t>
        </w:r>
      </w:hyperlink>
      <w:r>
        <w:t>, produced in accordance with paragraphs 21.31 and 21.32 of the International Search and Preliminary Examination Guidelines (“the Guidelines”), the Office submits the following information.</w:t>
      </w:r>
    </w:p>
    <w:p w14:paraId="2B84899A" w14:textId="3FB9821F" w:rsidR="00652B8E" w:rsidRPr="00652B8E" w:rsidRDefault="00652B8E" w:rsidP="009242EC">
      <w:pPr>
        <w:pStyle w:val="SectionHeading"/>
      </w:pPr>
      <w:r>
        <w:lastRenderedPageBreak/>
        <w:t>2.1</w:t>
      </w:r>
      <w:r w:rsidR="002353A8">
        <w:t xml:space="preserve"> -</w:t>
      </w:r>
      <w:r>
        <w:t xml:space="preserve"> Search and Examination Capacity</w:t>
      </w:r>
    </w:p>
    <w:p w14:paraId="169F9916" w14:textId="19886B35" w:rsidR="00652B8E" w:rsidRDefault="00652B8E" w:rsidP="009242EC">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03C0A70E" w14:textId="2223E029" w:rsidR="00652B8E" w:rsidRPr="00603FC4" w:rsidRDefault="00652B8E" w:rsidP="009242EC">
      <w:pPr>
        <w:pStyle w:val="RuleQuote"/>
        <w:ind w:left="0"/>
        <w:rPr>
          <w:i w:val="0"/>
          <w:iCs w:val="0"/>
        </w:rPr>
      </w:pPr>
      <w:r>
        <w:rPr>
          <w:i w:val="0"/>
        </w:rPr>
        <w:t xml:space="preserve">The QMS Report provides information from the Office on the infrastructure in place to ensure </w:t>
      </w:r>
      <w:proofErr w:type="gramStart"/>
      <w:r>
        <w:rPr>
          <w:i w:val="0"/>
        </w:rPr>
        <w:t>a sufficient quantity of</w:t>
      </w:r>
      <w:proofErr w:type="gramEnd"/>
      <w:r>
        <w:rPr>
          <w:i w:val="0"/>
        </w:rPr>
        <w:t xml:space="preserve"> technically qualified staff under paragraph 21.15(</w:t>
      </w:r>
      <w:proofErr w:type="spellStart"/>
      <w:r>
        <w:rPr>
          <w:i w:val="0"/>
        </w:rPr>
        <w:t>i</w:t>
      </w:r>
      <w:proofErr w:type="spellEnd"/>
      <w:r>
        <w:rPr>
          <w:i w:val="0"/>
        </w:rPr>
        <w:t xml:space="preserve">) of the Guidelines, and on the training and development programs for staff involved in the search and examination process under paragraph 21.15(vi). The Office also includes the following information on numbers of employees qualified to carry out </w:t>
      </w:r>
      <w:proofErr w:type="gramStart"/>
      <w:r>
        <w:rPr>
          <w:i w:val="0"/>
        </w:rPr>
        <w:t>search</w:t>
      </w:r>
      <w:r w:rsidR="002A1ADB">
        <w:rPr>
          <w:i w:val="0"/>
        </w:rPr>
        <w:t>es</w:t>
      </w:r>
      <w:proofErr w:type="gramEnd"/>
      <w:r>
        <w:rPr>
          <w:i w:val="0"/>
        </w:rPr>
        <w:t xml:space="preserve"> and </w:t>
      </w:r>
      <w:proofErr w:type="gramStart"/>
      <w:r>
        <w:rPr>
          <w:i w:val="0"/>
        </w:rPr>
        <w:t>examination</w:t>
      </w:r>
      <w:proofErr w:type="gramEnd"/>
      <w:r>
        <w:rPr>
          <w:i w:val="0"/>
        </w:rPr>
        <w:t xml:space="preserve">.   </w:t>
      </w:r>
    </w:p>
    <w:p w14:paraId="10D57132" w14:textId="77777777" w:rsidR="00652B8E" w:rsidRPr="00371CBD" w:rsidRDefault="00652B8E" w:rsidP="009242EC">
      <w:pPr>
        <w:pStyle w:val="Question"/>
        <w:spacing w:after="480"/>
      </w:pPr>
      <w:r>
        <w:t>Employees qualified to carry out search and examination:</w:t>
      </w:r>
    </w:p>
    <w:tbl>
      <w:tblPr>
        <w:tblpPr w:leftFromText="180" w:rightFromText="180" w:bottomFromText="200" w:vertAnchor="text" w:horzAnchor="margin" w:tblpX="216" w:tblpY="123"/>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1"/>
        <w:gridCol w:w="2499"/>
        <w:gridCol w:w="2855"/>
      </w:tblGrid>
      <w:tr w:rsidR="00652B8E" w:rsidRPr="00533F95" w14:paraId="00B52E46" w14:textId="77777777" w:rsidTr="00434476">
        <w:trPr>
          <w:cantSplit/>
          <w:trHeight w:val="1167"/>
        </w:trPr>
        <w:tc>
          <w:tcPr>
            <w:tcW w:w="2991" w:type="dxa"/>
            <w:tcBorders>
              <w:top w:val="single" w:sz="4" w:space="0" w:color="auto"/>
              <w:left w:val="single" w:sz="4" w:space="0" w:color="auto"/>
              <w:bottom w:val="single" w:sz="4" w:space="0" w:color="auto"/>
              <w:right w:val="single" w:sz="4" w:space="0" w:color="auto"/>
            </w:tcBorders>
            <w:vAlign w:val="center"/>
            <w:hideMark/>
          </w:tcPr>
          <w:p w14:paraId="67644BFA" w14:textId="77777777" w:rsidR="00652B8E" w:rsidRPr="00223B4C" w:rsidRDefault="00652B8E" w:rsidP="009242EC">
            <w:pPr>
              <w:pStyle w:val="Answer"/>
              <w:rPr>
                <w:b/>
                <w:bCs/>
              </w:rPr>
            </w:pPr>
            <w:r>
              <w:rPr>
                <w:b/>
              </w:rPr>
              <w:t>Technical field</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DC3943C" w14:textId="77777777" w:rsidR="00652B8E" w:rsidRPr="00223B4C" w:rsidRDefault="00652B8E" w:rsidP="009242EC">
            <w:pPr>
              <w:pStyle w:val="Answer"/>
              <w:ind w:left="0"/>
              <w:rPr>
                <w:b/>
              </w:rPr>
            </w:pPr>
            <w:r>
              <w:rPr>
                <w:b/>
              </w:rPr>
              <w:t>Number (in full-time equivalent)</w:t>
            </w:r>
          </w:p>
          <w:p w14:paraId="231A702E" w14:textId="77777777" w:rsidR="00652B8E" w:rsidRPr="00223B4C" w:rsidRDefault="00652B8E" w:rsidP="009242EC">
            <w:pPr>
              <w:pStyle w:val="Answer"/>
              <w:ind w:left="0"/>
              <w:rPr>
                <w:b/>
                <w:bCs/>
              </w:rPr>
            </w:pPr>
          </w:p>
        </w:tc>
        <w:tc>
          <w:tcPr>
            <w:tcW w:w="2855" w:type="dxa"/>
            <w:tcBorders>
              <w:top w:val="single" w:sz="4" w:space="0" w:color="auto"/>
              <w:left w:val="single" w:sz="4" w:space="0" w:color="auto"/>
              <w:bottom w:val="single" w:sz="4" w:space="0" w:color="auto"/>
              <w:right w:val="single" w:sz="4" w:space="0" w:color="auto"/>
            </w:tcBorders>
            <w:hideMark/>
          </w:tcPr>
          <w:p w14:paraId="484E58E5" w14:textId="77777777" w:rsidR="00652B8E" w:rsidRPr="00223B4C" w:rsidRDefault="00652B8E" w:rsidP="009242EC">
            <w:pPr>
              <w:pStyle w:val="Answer"/>
              <w:ind w:left="0"/>
              <w:rPr>
                <w:b/>
              </w:rPr>
            </w:pPr>
            <w:r>
              <w:rPr>
                <w:b/>
              </w:rPr>
              <w:t>Gender representation (men/women)</w:t>
            </w:r>
          </w:p>
        </w:tc>
      </w:tr>
      <w:tr w:rsidR="00652B8E" w:rsidRPr="00533F95" w14:paraId="1E441DCB" w14:textId="77777777" w:rsidTr="00434476">
        <w:trPr>
          <w:cantSplit/>
          <w:trHeight w:val="491"/>
        </w:trPr>
        <w:tc>
          <w:tcPr>
            <w:tcW w:w="2991" w:type="dxa"/>
            <w:tcBorders>
              <w:top w:val="single" w:sz="4" w:space="0" w:color="auto"/>
              <w:left w:val="single" w:sz="4" w:space="0" w:color="auto"/>
              <w:bottom w:val="single" w:sz="4" w:space="0" w:color="auto"/>
              <w:right w:val="single" w:sz="4" w:space="0" w:color="auto"/>
            </w:tcBorders>
            <w:vAlign w:val="center"/>
            <w:hideMark/>
          </w:tcPr>
          <w:p w14:paraId="41BCE82E" w14:textId="77777777" w:rsidR="00652B8E" w:rsidRPr="00223B4C" w:rsidRDefault="00652B8E" w:rsidP="009242EC">
            <w:pPr>
              <w:pStyle w:val="Answer"/>
              <w:ind w:left="0"/>
            </w:pPr>
            <w:r>
              <w:t>Chemistry</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72401C2" w14:textId="77777777" w:rsidR="00652B8E" w:rsidRPr="00223B4C" w:rsidRDefault="00652B8E" w:rsidP="009242EC">
            <w:pPr>
              <w:pStyle w:val="Answer"/>
              <w:ind w:left="0"/>
            </w:pPr>
            <w:r>
              <w:t>34</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B6434A4" w14:textId="77777777" w:rsidR="00652B8E" w:rsidRPr="00223B4C" w:rsidRDefault="00652B8E" w:rsidP="009242EC">
            <w:pPr>
              <w:pStyle w:val="Answer"/>
              <w:ind w:left="0"/>
            </w:pPr>
            <w:r>
              <w:t>13/21</w:t>
            </w:r>
          </w:p>
        </w:tc>
      </w:tr>
      <w:tr w:rsidR="00652B8E" w:rsidRPr="00533F95" w14:paraId="66D92ED0" w14:textId="77777777" w:rsidTr="00434476">
        <w:trPr>
          <w:cantSplit/>
          <w:trHeight w:val="498"/>
        </w:trPr>
        <w:tc>
          <w:tcPr>
            <w:tcW w:w="2991" w:type="dxa"/>
            <w:tcBorders>
              <w:top w:val="single" w:sz="4" w:space="0" w:color="auto"/>
              <w:left w:val="single" w:sz="4" w:space="0" w:color="auto"/>
              <w:bottom w:val="single" w:sz="4" w:space="0" w:color="auto"/>
              <w:right w:val="single" w:sz="4" w:space="0" w:color="auto"/>
            </w:tcBorders>
            <w:vAlign w:val="center"/>
            <w:hideMark/>
          </w:tcPr>
          <w:p w14:paraId="3637C0A6" w14:textId="77777777" w:rsidR="00652B8E" w:rsidRPr="00223B4C" w:rsidRDefault="00652B8E" w:rsidP="009242EC">
            <w:pPr>
              <w:pStyle w:val="Answer"/>
              <w:ind w:left="0"/>
            </w:pPr>
            <w:r>
              <w:t>Biotech</w:t>
            </w:r>
          </w:p>
        </w:tc>
        <w:tc>
          <w:tcPr>
            <w:tcW w:w="2499" w:type="dxa"/>
            <w:tcBorders>
              <w:top w:val="single" w:sz="4" w:space="0" w:color="auto"/>
              <w:left w:val="single" w:sz="4" w:space="0" w:color="auto"/>
              <w:bottom w:val="single" w:sz="4" w:space="0" w:color="auto"/>
              <w:right w:val="single" w:sz="4" w:space="0" w:color="auto"/>
            </w:tcBorders>
            <w:vAlign w:val="center"/>
            <w:hideMark/>
          </w:tcPr>
          <w:p w14:paraId="13E67A39" w14:textId="77777777" w:rsidR="00652B8E" w:rsidRPr="00223B4C" w:rsidRDefault="00652B8E" w:rsidP="009242EC">
            <w:pPr>
              <w:pStyle w:val="Answer"/>
              <w:ind w:left="0"/>
            </w:pPr>
            <w:r>
              <w:t>14</w:t>
            </w:r>
          </w:p>
        </w:tc>
        <w:tc>
          <w:tcPr>
            <w:tcW w:w="2855" w:type="dxa"/>
            <w:tcBorders>
              <w:top w:val="single" w:sz="4" w:space="0" w:color="auto"/>
              <w:left w:val="single" w:sz="4" w:space="0" w:color="auto"/>
              <w:bottom w:val="single" w:sz="4" w:space="0" w:color="auto"/>
              <w:right w:val="single" w:sz="4" w:space="0" w:color="auto"/>
            </w:tcBorders>
            <w:vAlign w:val="center"/>
            <w:hideMark/>
          </w:tcPr>
          <w:p w14:paraId="0BEB8EFD" w14:textId="77777777" w:rsidR="00652B8E" w:rsidRPr="00223B4C" w:rsidRDefault="00652B8E" w:rsidP="009242EC">
            <w:pPr>
              <w:pStyle w:val="Answer"/>
              <w:ind w:left="0"/>
            </w:pPr>
            <w:r>
              <w:t>5/9</w:t>
            </w:r>
          </w:p>
        </w:tc>
      </w:tr>
      <w:tr w:rsidR="00652B8E" w:rsidRPr="00533F95" w14:paraId="4CE0C616" w14:textId="77777777" w:rsidTr="00434476">
        <w:trPr>
          <w:cantSplit/>
          <w:trHeight w:val="664"/>
        </w:trPr>
        <w:tc>
          <w:tcPr>
            <w:tcW w:w="2991" w:type="dxa"/>
            <w:tcBorders>
              <w:top w:val="single" w:sz="4" w:space="0" w:color="auto"/>
              <w:left w:val="single" w:sz="4" w:space="0" w:color="auto"/>
              <w:bottom w:val="single" w:sz="4" w:space="0" w:color="auto"/>
              <w:right w:val="single" w:sz="4" w:space="0" w:color="auto"/>
            </w:tcBorders>
            <w:vAlign w:val="center"/>
            <w:hideMark/>
          </w:tcPr>
          <w:p w14:paraId="34E5D687" w14:textId="77777777" w:rsidR="00652B8E" w:rsidRPr="00223B4C" w:rsidRDefault="00652B8E" w:rsidP="009242EC">
            <w:pPr>
              <w:pStyle w:val="Answer"/>
              <w:ind w:left="0"/>
            </w:pPr>
            <w:r>
              <w:t xml:space="preserve">Pharmaceuticals </w:t>
            </w:r>
            <w:r>
              <w:br/>
              <w:t>and medicine</w:t>
            </w:r>
          </w:p>
        </w:tc>
        <w:tc>
          <w:tcPr>
            <w:tcW w:w="2499" w:type="dxa"/>
            <w:tcBorders>
              <w:top w:val="single" w:sz="4" w:space="0" w:color="auto"/>
              <w:left w:val="single" w:sz="4" w:space="0" w:color="auto"/>
              <w:bottom w:val="single" w:sz="4" w:space="0" w:color="auto"/>
              <w:right w:val="single" w:sz="4" w:space="0" w:color="auto"/>
            </w:tcBorders>
            <w:vAlign w:val="center"/>
            <w:hideMark/>
          </w:tcPr>
          <w:p w14:paraId="7063C145" w14:textId="77777777" w:rsidR="00652B8E" w:rsidRPr="00223B4C" w:rsidRDefault="00652B8E" w:rsidP="009242EC">
            <w:pPr>
              <w:pStyle w:val="Answer"/>
              <w:ind w:left="0"/>
            </w:pPr>
            <w:r>
              <w:t>16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3DFA782A" w14:textId="77777777" w:rsidR="00652B8E" w:rsidRPr="00223B4C" w:rsidRDefault="00652B8E" w:rsidP="009242EC">
            <w:pPr>
              <w:pStyle w:val="Answer"/>
              <w:ind w:left="0"/>
            </w:pPr>
            <w:r>
              <w:t>7/9</w:t>
            </w:r>
          </w:p>
        </w:tc>
      </w:tr>
      <w:tr w:rsidR="00652B8E" w:rsidRPr="00533F95" w14:paraId="72E8B362" w14:textId="77777777" w:rsidTr="00434476">
        <w:trPr>
          <w:cantSplit/>
          <w:trHeight w:val="896"/>
        </w:trPr>
        <w:tc>
          <w:tcPr>
            <w:tcW w:w="2991" w:type="dxa"/>
            <w:tcBorders>
              <w:top w:val="single" w:sz="4" w:space="0" w:color="auto"/>
              <w:left w:val="single" w:sz="4" w:space="0" w:color="auto"/>
              <w:bottom w:val="single" w:sz="4" w:space="0" w:color="auto"/>
              <w:right w:val="single" w:sz="4" w:space="0" w:color="auto"/>
            </w:tcBorders>
            <w:vAlign w:val="center"/>
            <w:hideMark/>
          </w:tcPr>
          <w:p w14:paraId="661C2A3C" w14:textId="77777777" w:rsidR="00652B8E" w:rsidRPr="00223B4C" w:rsidRDefault="00652B8E" w:rsidP="009242EC">
            <w:pPr>
              <w:pStyle w:val="Answer"/>
              <w:ind w:left="0"/>
            </w:pPr>
            <w:r>
              <w:t>Information and communication technologies (ICT)</w:t>
            </w:r>
          </w:p>
        </w:tc>
        <w:tc>
          <w:tcPr>
            <w:tcW w:w="2499" w:type="dxa"/>
            <w:tcBorders>
              <w:top w:val="single" w:sz="4" w:space="0" w:color="auto"/>
              <w:left w:val="single" w:sz="4" w:space="0" w:color="auto"/>
              <w:bottom w:val="single" w:sz="4" w:space="0" w:color="auto"/>
              <w:right w:val="single" w:sz="4" w:space="0" w:color="auto"/>
            </w:tcBorders>
            <w:vAlign w:val="center"/>
            <w:hideMark/>
          </w:tcPr>
          <w:p w14:paraId="618D1D61" w14:textId="77777777" w:rsidR="00652B8E" w:rsidRPr="00223B4C" w:rsidRDefault="00652B8E" w:rsidP="009242EC">
            <w:pPr>
              <w:pStyle w:val="Answer"/>
              <w:ind w:left="0"/>
            </w:pPr>
            <w:r>
              <w:t>15</w:t>
            </w:r>
          </w:p>
        </w:tc>
        <w:tc>
          <w:tcPr>
            <w:tcW w:w="2855" w:type="dxa"/>
            <w:tcBorders>
              <w:top w:val="single" w:sz="4" w:space="0" w:color="auto"/>
              <w:left w:val="single" w:sz="4" w:space="0" w:color="auto"/>
              <w:bottom w:val="single" w:sz="4" w:space="0" w:color="auto"/>
              <w:right w:val="single" w:sz="4" w:space="0" w:color="auto"/>
            </w:tcBorders>
            <w:vAlign w:val="center"/>
            <w:hideMark/>
          </w:tcPr>
          <w:p w14:paraId="7DAD0D6B" w14:textId="77777777" w:rsidR="00652B8E" w:rsidRPr="00223B4C" w:rsidRDefault="00652B8E" w:rsidP="009242EC">
            <w:pPr>
              <w:pStyle w:val="Answer"/>
              <w:ind w:left="0"/>
            </w:pPr>
            <w:r>
              <w:t>12/3</w:t>
            </w:r>
          </w:p>
        </w:tc>
      </w:tr>
      <w:tr w:rsidR="00652B8E" w:rsidRPr="00533F95" w14:paraId="08BE3AFC" w14:textId="77777777" w:rsidTr="00434476">
        <w:trPr>
          <w:cantSplit/>
          <w:trHeight w:val="664"/>
        </w:trPr>
        <w:tc>
          <w:tcPr>
            <w:tcW w:w="2991" w:type="dxa"/>
            <w:tcBorders>
              <w:top w:val="single" w:sz="4" w:space="0" w:color="auto"/>
              <w:left w:val="single" w:sz="4" w:space="0" w:color="auto"/>
              <w:bottom w:val="single" w:sz="4" w:space="0" w:color="auto"/>
              <w:right w:val="single" w:sz="4" w:space="0" w:color="auto"/>
            </w:tcBorders>
            <w:vAlign w:val="center"/>
            <w:hideMark/>
          </w:tcPr>
          <w:p w14:paraId="6436BDFF" w14:textId="77777777" w:rsidR="00652B8E" w:rsidRPr="00223B4C" w:rsidRDefault="00652B8E" w:rsidP="009242EC">
            <w:pPr>
              <w:pStyle w:val="Answer"/>
              <w:ind w:left="0"/>
            </w:pPr>
            <w:r>
              <w:t xml:space="preserve"> Mechanical, electronics</w:t>
            </w:r>
          </w:p>
        </w:tc>
        <w:tc>
          <w:tcPr>
            <w:tcW w:w="2499" w:type="dxa"/>
            <w:tcBorders>
              <w:top w:val="single" w:sz="4" w:space="0" w:color="auto"/>
              <w:left w:val="single" w:sz="4" w:space="0" w:color="auto"/>
              <w:bottom w:val="single" w:sz="4" w:space="0" w:color="auto"/>
              <w:right w:val="single" w:sz="4" w:space="0" w:color="auto"/>
            </w:tcBorders>
            <w:vAlign w:val="center"/>
            <w:hideMark/>
          </w:tcPr>
          <w:p w14:paraId="2323C22B" w14:textId="77777777" w:rsidR="00652B8E" w:rsidRPr="00223B4C" w:rsidRDefault="00652B8E" w:rsidP="009242EC">
            <w:pPr>
              <w:pStyle w:val="Answer"/>
              <w:ind w:left="0"/>
            </w:pPr>
            <w:r>
              <w:t>26</w:t>
            </w:r>
          </w:p>
        </w:tc>
        <w:tc>
          <w:tcPr>
            <w:tcW w:w="2855" w:type="dxa"/>
            <w:tcBorders>
              <w:top w:val="single" w:sz="4" w:space="0" w:color="auto"/>
              <w:left w:val="single" w:sz="4" w:space="0" w:color="auto"/>
              <w:bottom w:val="single" w:sz="4" w:space="0" w:color="auto"/>
              <w:right w:val="single" w:sz="4" w:space="0" w:color="auto"/>
            </w:tcBorders>
            <w:vAlign w:val="center"/>
            <w:hideMark/>
          </w:tcPr>
          <w:p w14:paraId="2DDCBFFE" w14:textId="77777777" w:rsidR="00652B8E" w:rsidRPr="00223B4C" w:rsidRDefault="00652B8E" w:rsidP="009242EC">
            <w:pPr>
              <w:pStyle w:val="Answer"/>
              <w:ind w:left="0"/>
            </w:pPr>
            <w:r>
              <w:t>19/7</w:t>
            </w:r>
          </w:p>
        </w:tc>
      </w:tr>
      <w:tr w:rsidR="00652B8E" w:rsidRPr="00941C9B" w14:paraId="7ACC5713" w14:textId="77777777" w:rsidTr="00434476">
        <w:trPr>
          <w:cantSplit/>
          <w:trHeight w:val="469"/>
        </w:trPr>
        <w:tc>
          <w:tcPr>
            <w:tcW w:w="2991" w:type="dxa"/>
            <w:tcBorders>
              <w:top w:val="single" w:sz="4" w:space="0" w:color="auto"/>
              <w:left w:val="single" w:sz="4" w:space="0" w:color="auto"/>
              <w:bottom w:val="single" w:sz="4" w:space="0" w:color="auto"/>
              <w:right w:val="single" w:sz="4" w:space="0" w:color="auto"/>
            </w:tcBorders>
            <w:vAlign w:val="center"/>
            <w:hideMark/>
          </w:tcPr>
          <w:p w14:paraId="04E98282" w14:textId="77777777" w:rsidR="00652B8E" w:rsidRPr="00223B4C" w:rsidRDefault="00652B8E" w:rsidP="009242EC">
            <w:pPr>
              <w:pStyle w:val="Answer"/>
              <w:ind w:left="0"/>
              <w:rPr>
                <w:b/>
                <w:iCs/>
              </w:rPr>
            </w:pPr>
            <w:r>
              <w:rPr>
                <w:b/>
              </w:rPr>
              <w:t>Total</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D40681B" w14:textId="77777777" w:rsidR="00652B8E" w:rsidRPr="00223B4C" w:rsidRDefault="00652B8E" w:rsidP="009242EC">
            <w:pPr>
              <w:pStyle w:val="Answer"/>
              <w:ind w:left="0"/>
              <w:rPr>
                <w:b/>
                <w:iCs/>
              </w:rPr>
            </w:pPr>
            <w:r>
              <w:rPr>
                <w:b/>
              </w:rPr>
              <w:t>105</w:t>
            </w:r>
          </w:p>
        </w:tc>
        <w:tc>
          <w:tcPr>
            <w:tcW w:w="2855" w:type="dxa"/>
            <w:tcBorders>
              <w:top w:val="single" w:sz="4" w:space="0" w:color="auto"/>
              <w:left w:val="single" w:sz="4" w:space="0" w:color="auto"/>
              <w:bottom w:val="single" w:sz="4" w:space="0" w:color="auto"/>
              <w:right w:val="single" w:sz="4" w:space="0" w:color="auto"/>
            </w:tcBorders>
          </w:tcPr>
          <w:p w14:paraId="7AE69418" w14:textId="77777777" w:rsidR="00652B8E" w:rsidRPr="00223B4C" w:rsidRDefault="00652B8E" w:rsidP="009242EC">
            <w:pPr>
              <w:pStyle w:val="Answer"/>
              <w:ind w:left="0"/>
              <w:rPr>
                <w:b/>
              </w:rPr>
            </w:pPr>
            <w:r>
              <w:rPr>
                <w:b/>
              </w:rPr>
              <w:t>56/49</w:t>
            </w:r>
          </w:p>
        </w:tc>
      </w:tr>
    </w:tbl>
    <w:p w14:paraId="0C356592" w14:textId="0095BBA7" w:rsidR="00652B8E" w:rsidRPr="00371CBD" w:rsidRDefault="00652B8E" w:rsidP="009242EC">
      <w:pPr>
        <w:pStyle w:val="RuleQuote"/>
        <w:ind w:left="0"/>
        <w:rPr>
          <w:i w:val="0"/>
          <w:iCs w:val="0"/>
        </w:rPr>
      </w:pPr>
      <w:r>
        <w:rPr>
          <w:i w:val="0"/>
        </w:rPr>
        <w:lastRenderedPageBreak/>
        <w:t>Other information beyond the QMS Report and the above table</w:t>
      </w:r>
      <w:r w:rsidR="009C1057">
        <w:rPr>
          <w:i w:val="0"/>
        </w:rPr>
        <w:t xml:space="preserve"> </w:t>
      </w:r>
      <w:r w:rsidR="009C1057">
        <w:rPr>
          <w:i w:val="0"/>
          <w:iCs w:val="0"/>
        </w:rPr>
        <w:t>(optional)</w:t>
      </w:r>
      <w:r>
        <w:rPr>
          <w:i w:val="0"/>
        </w:rPr>
        <w:t>:</w:t>
      </w:r>
    </w:p>
    <w:p w14:paraId="77865AA4" w14:textId="451B5D32" w:rsidR="00652B8E" w:rsidRPr="00B91A10" w:rsidRDefault="00652B8E" w:rsidP="009242EC">
      <w:pPr>
        <w:pStyle w:val="Question"/>
        <w:spacing w:before="240" w:after="480"/>
        <w:rPr>
          <w:rFonts w:eastAsia="Times New Roman"/>
          <w:b w:val="0"/>
          <w:kern w:val="32"/>
          <w:szCs w:val="32"/>
        </w:rPr>
      </w:pPr>
      <w:r>
        <w:rPr>
          <w:b w:val="0"/>
        </w:rPr>
        <w:t>The Office’s quality management system is ensured by an inclusive team of professionals from EAPO member States.</w:t>
      </w:r>
      <w:r w:rsidR="008607C1">
        <w:rPr>
          <w:b w:val="0"/>
        </w:rPr>
        <w:t xml:space="preserve"> </w:t>
      </w:r>
      <w:r>
        <w:rPr>
          <w:b w:val="0"/>
        </w:rPr>
        <w:t xml:space="preserve"> In the interests of fostering staff diversity, a scholarship program is run each year to attract experts from countries that are underrepresented among Office staff.</w:t>
      </w:r>
    </w:p>
    <w:p w14:paraId="78504627" w14:textId="0216CCC0" w:rsidR="00652B8E" w:rsidRPr="00652B8E" w:rsidRDefault="00652B8E" w:rsidP="009242EC">
      <w:pPr>
        <w:pStyle w:val="SectionHeading"/>
      </w:pPr>
      <w:r>
        <w:t>2.2</w:t>
      </w:r>
      <w:r w:rsidR="002353A8">
        <w:t xml:space="preserve"> -</w:t>
      </w:r>
      <w:r>
        <w:t> Minimum Documentation – Making Available for Consultation</w:t>
      </w:r>
    </w:p>
    <w:p w14:paraId="3AA03AAF" w14:textId="77777777" w:rsidR="00652B8E" w:rsidRDefault="00652B8E" w:rsidP="009242EC">
      <w:pPr>
        <w:pStyle w:val="RuleQuote"/>
      </w:pPr>
      <w:r>
        <w:t>Rules 36.1(ii) and 63.1(ii)</w:t>
      </w:r>
      <w:proofErr w:type="gramStart"/>
      <w:r>
        <w:t>:  That</w:t>
      </w:r>
      <w:proofErr w:type="gramEnd"/>
      <w:r>
        <w:t xml:space="preserve">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0EED0129" w14:textId="3AA7B4D3" w:rsidR="00AC3291" w:rsidRPr="00365539" w:rsidRDefault="00652B8E" w:rsidP="00AC3291">
      <w:pPr>
        <w:pStyle w:val="RuleQuote"/>
      </w:pPr>
      <w:r>
        <w:t xml:space="preserve">The requirements specified in the Administrative Instructions are set out in </w:t>
      </w:r>
      <w:hyperlink r:id="rId12" w:history="1">
        <w:r>
          <w:rPr>
            <w:rStyle w:val="Hyperlink"/>
          </w:rPr>
          <w:t>Circular C. PCT 1672</w:t>
        </w:r>
      </w:hyperlink>
      <w:r>
        <w:t>, dated June 19, 2024.</w:t>
      </w:r>
    </w:p>
    <w:p w14:paraId="58D27BC7" w14:textId="43CF9393" w:rsidR="00AC3291" w:rsidRPr="00523D75" w:rsidRDefault="00AC3291" w:rsidP="00AC3291">
      <w:pPr>
        <w:pStyle w:val="RuleQuote"/>
        <w:ind w:left="0"/>
      </w:pPr>
      <w:r>
        <w:rPr>
          <w:i w:val="0"/>
          <w:color w:val="000000" w:themeColor="text1"/>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i w:val="0"/>
          <w:color w:val="000000" w:themeColor="text1"/>
        </w:rPr>
        <w:br/>
      </w:r>
      <w:r>
        <w:rPr>
          <w:color w:val="000000" w:themeColor="text1"/>
        </w:rPr>
        <w:br/>
      </w:r>
      <w:r>
        <w:rPr>
          <w:i w:val="0"/>
          <w:color w:val="000000" w:themeColor="text1"/>
        </w:rPr>
        <w:t>Either:</w:t>
      </w:r>
    </w:p>
    <w:p w14:paraId="56270DE5" w14:textId="3D37847D" w:rsidR="00652B8E" w:rsidRPr="00523D75" w:rsidRDefault="00BF4C2A" w:rsidP="009242EC">
      <w:pPr>
        <w:pStyle w:val="Question"/>
        <w:spacing w:after="0"/>
        <w:rPr>
          <w:b w:val="0"/>
        </w:rPr>
      </w:pPr>
      <w:sdt>
        <w:sdtPr>
          <w:rPr>
            <w:b w:val="0"/>
            <w:bCs w:val="0"/>
          </w:rPr>
          <w:id w:val="-178122316"/>
          <w14:checkbox>
            <w14:checked w14:val="1"/>
            <w14:checkedState w14:val="2612" w14:font="MS Gothic"/>
            <w14:uncheckedState w14:val="2610" w14:font="MS Gothic"/>
          </w14:checkbox>
        </w:sdtPr>
        <w:sdtEndPr/>
        <w:sdtContent>
          <w:r w:rsidR="005F594D">
            <w:rPr>
              <w:rFonts w:ascii="MS Gothic" w:eastAsia="MS Gothic" w:hAnsi="MS Gothic" w:hint="eastAsia"/>
              <w:b w:val="0"/>
              <w:bCs w:val="0"/>
            </w:rPr>
            <w:t>☒</w:t>
          </w:r>
        </w:sdtContent>
      </w:sdt>
      <w:r w:rsidR="005F594D">
        <w:t xml:space="preserve"> </w:t>
      </w:r>
      <w:r w:rsidR="00BA2A04" w:rsidRPr="005F594D">
        <w:rPr>
          <w:b w:val="0"/>
          <w:bCs w:val="0"/>
        </w:rPr>
        <w:t xml:space="preserve">The PCT Minimum Documentation Task Force has tested the availability of the patent documentation collections before November 1, 2025, and certifies that the requirements have been met.  The extent and format of the documents that the Office has made available for </w:t>
      </w:r>
      <w:r w:rsidR="00BA2A04">
        <w:rPr>
          <w:b w:val="0"/>
        </w:rPr>
        <w:t xml:space="preserve">consultation were published in the PCT Gazette on October 23, 2025, at: </w:t>
      </w:r>
      <w:hyperlink r:id="rId13" w:anchor="#page=190" w:history="1">
        <w:r w:rsidR="00BA2A04">
          <w:rPr>
            <w:rStyle w:val="Hyperlink"/>
            <w:b w:val="0"/>
          </w:rPr>
          <w:t>https://www.wipo.int/documents/d/pct-system/docs-en-official-notices-officialnotices.pdf#page=190</w:t>
        </w:r>
      </w:hyperlink>
      <w:r w:rsidR="00BA2A04">
        <w:rPr>
          <w:b w:val="0"/>
        </w:rPr>
        <w:t>.</w:t>
      </w:r>
    </w:p>
    <w:p w14:paraId="44D0F8A5" w14:textId="77777777" w:rsidR="00690AE3" w:rsidRPr="00523D75" w:rsidRDefault="00690AE3" w:rsidP="00690AE3">
      <w:pPr>
        <w:pStyle w:val="Answer"/>
      </w:pPr>
    </w:p>
    <w:p w14:paraId="1FDF9C33" w14:textId="77777777" w:rsidR="00690AE3" w:rsidRPr="00523D75" w:rsidRDefault="00690AE3" w:rsidP="00690AE3">
      <w:pPr>
        <w:pStyle w:val="Answer"/>
        <w:ind w:left="0"/>
        <w:rPr>
          <w:color w:val="000000" w:themeColor="text1"/>
        </w:rPr>
      </w:pPr>
      <w:r>
        <w:rPr>
          <w:color w:val="000000" w:themeColor="text1"/>
        </w:rPr>
        <w:t>Or:</w:t>
      </w:r>
    </w:p>
    <w:p w14:paraId="334CF0EB" w14:textId="5B0CA893" w:rsidR="00652B8E" w:rsidRPr="00652B8E" w:rsidRDefault="00BF4C2A" w:rsidP="00690AE3">
      <w:sdt>
        <w:sdtPr>
          <w:rPr>
            <w:color w:val="000000" w:themeColor="text1"/>
            <w:lang w:val="en-GB"/>
          </w:rPr>
          <w:id w:val="229279132"/>
          <w14:checkbox>
            <w14:checked w14:val="0"/>
            <w14:checkedState w14:val="2612" w14:font="MS Gothic"/>
            <w14:uncheckedState w14:val="2610" w14:font="MS Gothic"/>
          </w14:checkbox>
        </w:sdtPr>
        <w:sdtEndPr/>
        <w:sdtContent>
          <w:r w:rsidR="005F594D" w:rsidRPr="000B300D">
            <w:rPr>
              <w:rFonts w:ascii="MS Gothic" w:eastAsia="MS Gothic" w:hAnsi="MS Gothic" w:hint="eastAsia"/>
              <w:color w:val="000000" w:themeColor="text1"/>
              <w:lang w:val="en-GB"/>
            </w:rPr>
            <w:t>☐</w:t>
          </w:r>
        </w:sdtContent>
      </w:sdt>
      <w:r w:rsidR="005F594D">
        <w:t xml:space="preserve"> </w:t>
      </w:r>
      <w:r w:rsidR="00BA2A04">
        <w:t>The Authority reports on the availability of its patent documentation collection as follows, including a timetable for when testing and full availability can be certified by the PCT Minimum Documentation Task Force (see below).</w:t>
      </w:r>
      <w:r w:rsidR="00BA2A04">
        <w:rPr>
          <w:color w:val="000000" w:themeColor="text1"/>
        </w:rPr>
        <w:t xml:space="preserve">  Please also provide details of your Authority File with any links, as appropriate.</w:t>
      </w:r>
    </w:p>
    <w:p w14:paraId="29C34256" w14:textId="23D553CF" w:rsidR="00652B8E" w:rsidRPr="00652B8E" w:rsidRDefault="00652B8E" w:rsidP="009242EC">
      <w:pPr>
        <w:pStyle w:val="SectionHeading"/>
        <w:keepNext w:val="0"/>
      </w:pPr>
      <w:r>
        <w:t>2.3</w:t>
      </w:r>
      <w:r w:rsidR="002353A8">
        <w:t xml:space="preserve"> -</w:t>
      </w:r>
      <w:r>
        <w:t xml:space="preserve"> Minimum Documentation – Access</w:t>
      </w:r>
    </w:p>
    <w:p w14:paraId="42D4A459" w14:textId="77777777" w:rsidR="00652B8E" w:rsidRPr="006175E3" w:rsidRDefault="00652B8E" w:rsidP="009242EC">
      <w:pPr>
        <w:pStyle w:val="RuleQuote"/>
        <w:keepNext w:val="0"/>
        <w:rPr>
          <w:i w:val="0"/>
          <w:iCs w:val="0"/>
        </w:rPr>
      </w:pPr>
      <w:r>
        <w:t>Rules 36.1(iii) and 63.1(iii)</w:t>
      </w:r>
      <w:proofErr w:type="gramStart"/>
      <w:r>
        <w:t>:  That</w:t>
      </w:r>
      <w:proofErr w:type="gramEnd"/>
      <w:r>
        <w:t xml:space="preserve"> Office or organization must have in its possession, or maintain access </w:t>
      </w:r>
      <w:proofErr w:type="gramStart"/>
      <w:r>
        <w:t>to,</w:t>
      </w:r>
      <w:proofErr w:type="gramEnd"/>
      <w:r>
        <w:t xml:space="preserve"> at least the minimum documentation referred to in Rule 34, for search purposes in accordance with the Administrative Instructions.</w:t>
      </w:r>
    </w:p>
    <w:p w14:paraId="72B1D2A1" w14:textId="4E726E56" w:rsidR="00652B8E" w:rsidRDefault="00652B8E" w:rsidP="009242EC">
      <w:pPr>
        <w:pStyle w:val="RuleQuote"/>
        <w:keepNext w:val="0"/>
        <w:ind w:left="0"/>
        <w:rPr>
          <w:i w:val="0"/>
        </w:rPr>
      </w:pPr>
      <w:r>
        <w:rPr>
          <w:i w:val="0"/>
        </w:rPr>
        <w:t>The QMS Report provides information from the Office on the infrastructure in place to ensure that at least the minimum documentation referred to in Rule 34 is available, accessible, properly arranged and maintained for search and examination purposes under paragraph 21.15(iv) of the Guidelines.</w:t>
      </w:r>
    </w:p>
    <w:p w14:paraId="2AEA64B3" w14:textId="77777777" w:rsidR="00652B8E" w:rsidRDefault="00652B8E" w:rsidP="009242EC">
      <w:pPr>
        <w:pStyle w:val="RuleQuote"/>
        <w:ind w:hanging="567"/>
        <w:rPr>
          <w:i w:val="0"/>
        </w:rPr>
      </w:pPr>
      <w:r>
        <w:rPr>
          <w:i w:val="0"/>
        </w:rPr>
        <w:lastRenderedPageBreak/>
        <w:t xml:space="preserve">Other information beyond the QMS Report: </w:t>
      </w:r>
    </w:p>
    <w:p w14:paraId="31B7C777" w14:textId="63D9ECE0" w:rsidR="00652B8E" w:rsidRPr="00AC3291" w:rsidRDefault="00652B8E" w:rsidP="009242EC">
      <w:pPr>
        <w:pStyle w:val="RuleQuote"/>
        <w:ind w:left="0"/>
        <w:rPr>
          <w:i w:val="0"/>
        </w:rPr>
      </w:pPr>
      <w:r>
        <w:rPr>
          <w:i w:val="0"/>
        </w:rPr>
        <w:t>The Office has full access to the minimum documentation required by the PCT for the conduct</w:t>
      </w:r>
      <w:r w:rsidR="005F594D">
        <w:rPr>
          <w:i w:val="0"/>
        </w:rPr>
        <w:t xml:space="preserve"> of</w:t>
      </w:r>
      <w:r>
        <w:rPr>
          <w:i w:val="0"/>
        </w:rPr>
        <w:t xml:space="preserve"> international </w:t>
      </w:r>
      <w:proofErr w:type="gramStart"/>
      <w:r>
        <w:rPr>
          <w:i w:val="0"/>
        </w:rPr>
        <w:t>searches</w:t>
      </w:r>
      <w:proofErr w:type="gramEnd"/>
      <w:r>
        <w:rPr>
          <w:i w:val="0"/>
        </w:rPr>
        <w:t xml:space="preserve">. </w:t>
      </w:r>
      <w:r w:rsidR="008607C1">
        <w:rPr>
          <w:i w:val="0"/>
        </w:rPr>
        <w:t xml:space="preserve"> </w:t>
      </w:r>
      <w:r w:rsidR="005F594D">
        <w:rPr>
          <w:i w:val="0"/>
        </w:rPr>
        <w:t>It</w:t>
      </w:r>
      <w:r>
        <w:rPr>
          <w:i w:val="0"/>
        </w:rPr>
        <w:t xml:space="preserve"> works with patent documentation collections in electronic form, using its own search system, the Eurasian Patent Information System (EAPATIS). EAPATIS contains more than 94 million patent documents, including collections stipulated by the PCT minimum documentation, and a unique database of patent documentation held by the Office and countries of the Eurasian region in Russian. </w:t>
      </w:r>
      <w:bookmarkStart w:id="5" w:name="OLE_LINK7"/>
      <w:r w:rsidR="009C184C">
        <w:rPr>
          <w:i w:val="0"/>
        </w:rPr>
        <w:t xml:space="preserve"> </w:t>
      </w:r>
      <w:r>
        <w:rPr>
          <w:i w:val="0"/>
        </w:rPr>
        <w:t>EAPATIS uses the WIPO Translate machine translation system to assist with bulk document translation and online translation of information from individual documents for review.</w:t>
      </w:r>
      <w:r w:rsidR="008607C1">
        <w:rPr>
          <w:i w:val="0"/>
        </w:rPr>
        <w:t xml:space="preserve"> </w:t>
      </w:r>
      <w:r>
        <w:rPr>
          <w:i w:val="0"/>
        </w:rPr>
        <w:t xml:space="preserve"> </w:t>
      </w:r>
      <w:bookmarkEnd w:id="5"/>
      <w:r>
        <w:rPr>
          <w:i w:val="0"/>
        </w:rPr>
        <w:t xml:space="preserve">The Office has developed its own search engine, with broad search capabilities, for Eurasian applications and patents containing amino acid and/or nucleotide sequences.  </w:t>
      </w:r>
      <w:proofErr w:type="spellStart"/>
      <w:r>
        <w:rPr>
          <w:i w:val="0"/>
        </w:rPr>
        <w:t>Rospatent’s</w:t>
      </w:r>
      <w:proofErr w:type="spellEnd"/>
      <w:r>
        <w:rPr>
          <w:i w:val="0"/>
        </w:rPr>
        <w:t xml:space="preserve"> search platform </w:t>
      </w:r>
      <w:proofErr w:type="spellStart"/>
      <w:r>
        <w:rPr>
          <w:i w:val="0"/>
        </w:rPr>
        <w:t>PatSearch</w:t>
      </w:r>
      <w:proofErr w:type="spellEnd"/>
      <w:r>
        <w:rPr>
          <w:i w:val="0"/>
        </w:rPr>
        <w:t xml:space="preserve"> and free-access systems such as PATENTSCOPE, </w:t>
      </w:r>
      <w:proofErr w:type="spellStart"/>
      <w:r>
        <w:rPr>
          <w:i w:val="0"/>
        </w:rPr>
        <w:t>Espacenet</w:t>
      </w:r>
      <w:proofErr w:type="spellEnd"/>
      <w:r>
        <w:rPr>
          <w:i w:val="0"/>
        </w:rPr>
        <w:t xml:space="preserve">, Google Patents, NCBI and EBI are also used. </w:t>
      </w:r>
      <w:r w:rsidR="008607C1">
        <w:rPr>
          <w:i w:val="0"/>
        </w:rPr>
        <w:t xml:space="preserve"> </w:t>
      </w:r>
      <w:r>
        <w:rPr>
          <w:i w:val="0"/>
        </w:rPr>
        <w:t xml:space="preserve">The Office also provides access to specialized databases such as CAS </w:t>
      </w:r>
      <w:proofErr w:type="spellStart"/>
      <w:r>
        <w:rPr>
          <w:i w:val="0"/>
        </w:rPr>
        <w:t>STNext</w:t>
      </w:r>
      <w:proofErr w:type="spellEnd"/>
      <w:r>
        <w:rPr>
          <w:i w:val="0"/>
        </w:rPr>
        <w:t xml:space="preserve">, The Lens, PubMed and TKDL (a traditional knowledge database). </w:t>
      </w:r>
      <w:r w:rsidR="008607C1">
        <w:rPr>
          <w:i w:val="0"/>
        </w:rPr>
        <w:t xml:space="preserve"> </w:t>
      </w:r>
      <w:r>
        <w:rPr>
          <w:i w:val="0"/>
        </w:rPr>
        <w:t xml:space="preserve">We are working on our own search databases and machine translation tools for expanded collections of patent documents that will form part of the PCT minimum documentation from early 2026. </w:t>
      </w:r>
      <w:r w:rsidR="008607C1">
        <w:rPr>
          <w:i w:val="0"/>
        </w:rPr>
        <w:t xml:space="preserve"> </w:t>
      </w:r>
      <w:r>
        <w:rPr>
          <w:i w:val="0"/>
        </w:rPr>
        <w:t xml:space="preserve">The Office, based on the list of non-patent literature sources provided for in Rule 34.1(b)(iii) of the Regulations under the PCT, has created a catalog of Internet resources, arranged by field of technology, for use in searches. </w:t>
      </w:r>
      <w:r w:rsidR="008607C1">
        <w:rPr>
          <w:i w:val="0"/>
        </w:rPr>
        <w:t xml:space="preserve"> </w:t>
      </w:r>
      <w:r>
        <w:rPr>
          <w:i w:val="0"/>
        </w:rPr>
        <w:t xml:space="preserve">The catalog highlights portal resources (literature on various fields of technology), as well as key resources on specific branches of knowledge such as chemistry, medicine, biotech, physics and others, totaling more than 30 categories. </w:t>
      </w:r>
      <w:r w:rsidR="008607C1">
        <w:rPr>
          <w:i w:val="0"/>
        </w:rPr>
        <w:t xml:space="preserve"> </w:t>
      </w:r>
      <w:r>
        <w:rPr>
          <w:i w:val="0"/>
        </w:rPr>
        <w:t>The Office also maintains and constantly updates its own collection of non-patent literature (about 4 million journals and articles) and is working on providing full-text search for it using the EAPATIS system.  In 2025, the Office made more than 150 sources of specialized non-patent literature in various fields of technology accessible via the platform of the Russian State Public Scientific and Technical Library.</w:t>
      </w:r>
    </w:p>
    <w:p w14:paraId="726BF2E0" w14:textId="265B5E4D" w:rsidR="00652B8E" w:rsidRPr="00652B8E" w:rsidRDefault="00652B8E" w:rsidP="009242EC">
      <w:pPr>
        <w:pStyle w:val="SectionHeading"/>
        <w:keepNext w:val="0"/>
      </w:pPr>
      <w:r>
        <w:t>2.4</w:t>
      </w:r>
      <w:r w:rsidR="002353A8">
        <w:t xml:space="preserve"> -</w:t>
      </w:r>
      <w:r>
        <w:t> Quality Management</w:t>
      </w:r>
    </w:p>
    <w:p w14:paraId="325162A1" w14:textId="77777777" w:rsidR="00652B8E" w:rsidRDefault="00652B8E" w:rsidP="009242EC">
      <w:pPr>
        <w:pStyle w:val="RuleQuote"/>
        <w:keepNext w:val="0"/>
      </w:pPr>
      <w:r>
        <w:t>Rules 36.1(iv) and 63.1(iv)</w:t>
      </w:r>
      <w:proofErr w:type="gramStart"/>
      <w:r>
        <w:t>:  That</w:t>
      </w:r>
      <w:proofErr w:type="gramEnd"/>
      <w:r>
        <w:t xml:space="preserve"> Office or organization must have in place a quality management system and internal review arrangements in accordance with the common rules of international search.</w:t>
      </w:r>
    </w:p>
    <w:p w14:paraId="2024A0EE" w14:textId="77777777" w:rsidR="008B3233" w:rsidRDefault="00652B8E" w:rsidP="008B3233">
      <w:pPr>
        <w:pStyle w:val="RuleQuote"/>
        <w:keepNext w:val="0"/>
        <w:ind w:left="0"/>
        <w:rPr>
          <w:i w:val="0"/>
        </w:rPr>
      </w:pPr>
      <w:r>
        <w:rPr>
          <w:i w:val="0"/>
        </w:rPr>
        <w:t>The QMS Report provides information from the Office on the quality management system in place under Chapter 21 of the Guidelines and includes a report under paragraph 21.09 of the internal review arrangements that are further described in paragraphs 21.27 to 21.30 of the Guidelines.</w:t>
      </w:r>
    </w:p>
    <w:p w14:paraId="58E6F5EA" w14:textId="7267DD58" w:rsidR="008B3233" w:rsidRPr="00145256" w:rsidRDefault="00652B8E" w:rsidP="008B3233">
      <w:pPr>
        <w:pStyle w:val="RuleQuote"/>
        <w:keepNext w:val="0"/>
        <w:ind w:left="0"/>
        <w:rPr>
          <w:i w:val="0"/>
        </w:rPr>
      </w:pPr>
      <w:r>
        <w:rPr>
          <w:i w:val="0"/>
        </w:rPr>
        <w:t>Other information beyond the QM</w:t>
      </w:r>
      <w:r w:rsidRPr="00145256">
        <w:rPr>
          <w:i w:val="0"/>
        </w:rPr>
        <w:t>S Report</w:t>
      </w:r>
      <w:r w:rsidR="001172F8" w:rsidRPr="00145256">
        <w:rPr>
          <w:i w:val="0"/>
        </w:rPr>
        <w:t>:</w:t>
      </w:r>
    </w:p>
    <w:p w14:paraId="5794C5E6" w14:textId="48398B20" w:rsidR="00652B8E" w:rsidRPr="00603FC4" w:rsidRDefault="00652B8E" w:rsidP="008B3233">
      <w:pPr>
        <w:pStyle w:val="RuleQuote"/>
        <w:keepNext w:val="0"/>
        <w:ind w:left="0"/>
        <w:rPr>
          <w:i w:val="0"/>
        </w:rPr>
      </w:pPr>
      <w:r w:rsidRPr="00145256">
        <w:rPr>
          <w:i w:val="0"/>
        </w:rPr>
        <w:t>In 2024, processes performed by the Office, from the filing of Eurasian applications to the publication</w:t>
      </w:r>
      <w:r w:rsidR="001172F8" w:rsidRPr="00145256">
        <w:rPr>
          <w:i w:val="0"/>
        </w:rPr>
        <w:t xml:space="preserve"> of patents</w:t>
      </w:r>
      <w:r w:rsidRPr="00145256">
        <w:rPr>
          <w:i w:val="0"/>
        </w:rPr>
        <w:t xml:space="preserve">, were certified, as </w:t>
      </w:r>
      <w:r w:rsidR="001172F8" w:rsidRPr="00145256">
        <w:rPr>
          <w:i w:val="0"/>
        </w:rPr>
        <w:t xml:space="preserve">is </w:t>
      </w:r>
      <w:r w:rsidRPr="00145256">
        <w:rPr>
          <w:i w:val="0"/>
        </w:rPr>
        <w:t xml:space="preserve">confirmed by the certificate of compliance of its quality management system with ISO 9001:2015. </w:t>
      </w:r>
      <w:r w:rsidR="008607C1">
        <w:rPr>
          <w:i w:val="0"/>
        </w:rPr>
        <w:t xml:space="preserve"> </w:t>
      </w:r>
      <w:r w:rsidRPr="00145256">
        <w:rPr>
          <w:i w:val="0"/>
        </w:rPr>
        <w:t>The certificate was issued by the certification body TÜV Austria (Vienna), registration number 20100243019787.</w:t>
      </w:r>
      <w:r w:rsidR="009C184C">
        <w:rPr>
          <w:i w:val="0"/>
        </w:rPr>
        <w:t xml:space="preserve"> </w:t>
      </w:r>
      <w:r w:rsidRPr="00145256">
        <w:rPr>
          <w:i w:val="0"/>
        </w:rPr>
        <w:t xml:space="preserve"> In the run-up to certification, 20 heads of Office departments and their deputies attended a course on the requirements and implementation of ISO 9001</w:t>
      </w:r>
      <w:r w:rsidR="001172F8" w:rsidRPr="00145256">
        <w:rPr>
          <w:i w:val="0"/>
        </w:rPr>
        <w:t>, which was</w:t>
      </w:r>
      <w:r w:rsidRPr="00145256">
        <w:rPr>
          <w:i w:val="0"/>
        </w:rPr>
        <w:t xml:space="preserve"> </w:t>
      </w:r>
      <w:r w:rsidR="001172F8" w:rsidRPr="00145256">
        <w:rPr>
          <w:i w:val="0"/>
        </w:rPr>
        <w:t>held</w:t>
      </w:r>
      <w:r w:rsidRPr="00145256">
        <w:rPr>
          <w:i w:val="0"/>
        </w:rPr>
        <w:t xml:space="preserve"> by </w:t>
      </w:r>
      <w:r w:rsidR="001172F8" w:rsidRPr="00145256">
        <w:rPr>
          <w:i w:val="0"/>
        </w:rPr>
        <w:t xml:space="preserve">the </w:t>
      </w:r>
      <w:r w:rsidRPr="00145256">
        <w:rPr>
          <w:i w:val="0"/>
        </w:rPr>
        <w:t xml:space="preserve">TÜV Austria Academy. </w:t>
      </w:r>
      <w:r w:rsidR="008607C1">
        <w:rPr>
          <w:i w:val="0"/>
        </w:rPr>
        <w:t xml:space="preserve"> </w:t>
      </w:r>
      <w:r w:rsidR="001172F8" w:rsidRPr="00145256">
        <w:rPr>
          <w:i w:val="0"/>
        </w:rPr>
        <w:t xml:space="preserve">Eleven </w:t>
      </w:r>
      <w:r w:rsidRPr="00145256">
        <w:rPr>
          <w:i w:val="0"/>
        </w:rPr>
        <w:t>of th</w:t>
      </w:r>
      <w:r w:rsidR="001172F8" w:rsidRPr="00145256">
        <w:rPr>
          <w:i w:val="0"/>
        </w:rPr>
        <w:t>ose staff m</w:t>
      </w:r>
      <w:r w:rsidR="001172F8">
        <w:rPr>
          <w:i w:val="0"/>
        </w:rPr>
        <w:t xml:space="preserve">embers </w:t>
      </w:r>
      <w:r>
        <w:rPr>
          <w:i w:val="0"/>
        </w:rPr>
        <w:t xml:space="preserve">were </w:t>
      </w:r>
      <w:r w:rsidR="001172F8">
        <w:rPr>
          <w:i w:val="0"/>
        </w:rPr>
        <w:t xml:space="preserve">also </w:t>
      </w:r>
      <w:r>
        <w:rPr>
          <w:i w:val="0"/>
        </w:rPr>
        <w:t xml:space="preserve">certified after attending a specialized course on conducting internal audits under ISO 9001. </w:t>
      </w:r>
      <w:r w:rsidR="008607C1">
        <w:rPr>
          <w:i w:val="0"/>
        </w:rPr>
        <w:t xml:space="preserve"> </w:t>
      </w:r>
      <w:r>
        <w:rPr>
          <w:i w:val="0"/>
        </w:rPr>
        <w:t>The Office’s quality management system is fully compliant with the requirements of Chapter 21 of the PCT International Search and Preliminary Examination Guidelines.</w:t>
      </w:r>
      <w:r w:rsidR="008607C1">
        <w:rPr>
          <w:i w:val="0"/>
        </w:rPr>
        <w:t xml:space="preserve"> </w:t>
      </w:r>
      <w:r>
        <w:rPr>
          <w:i w:val="0"/>
        </w:rPr>
        <w:t xml:space="preserve"> It is applied </w:t>
      </w:r>
      <w:r w:rsidR="00145256">
        <w:rPr>
          <w:i w:val="0"/>
        </w:rPr>
        <w:t>across</w:t>
      </w:r>
      <w:r>
        <w:rPr>
          <w:i w:val="0"/>
        </w:rPr>
        <w:t xml:space="preserve"> the Office’s work as a receiving and elected Office and as an ISA/IPEA.</w:t>
      </w:r>
    </w:p>
    <w:p w14:paraId="18ED87B3" w14:textId="07D2BFCF" w:rsidR="00652B8E" w:rsidRPr="003B4CAA" w:rsidRDefault="00652B8E" w:rsidP="009242EC">
      <w:pPr>
        <w:pStyle w:val="RuleQuote"/>
        <w:ind w:left="0"/>
        <w:rPr>
          <w:i w:val="0"/>
          <w:iCs w:val="0"/>
        </w:rPr>
      </w:pPr>
      <w:r>
        <w:rPr>
          <w:i w:val="0"/>
        </w:rPr>
        <w:lastRenderedPageBreak/>
        <w:t xml:space="preserve">As part of ongoing efforts to improve its patent search and examination work, an interdepartmental working group on the examination of inventions was set up at the Office’s suggestion by a decision of the EAPO Administrative Council on October 15, 2025. </w:t>
      </w:r>
      <w:r w:rsidR="008607C1">
        <w:rPr>
          <w:i w:val="0"/>
        </w:rPr>
        <w:t xml:space="preserve"> </w:t>
      </w:r>
      <w:r>
        <w:rPr>
          <w:i w:val="0"/>
        </w:rPr>
        <w:t xml:space="preserve">Members include representatives of EAPO member States. </w:t>
      </w:r>
      <w:r w:rsidR="008607C1">
        <w:rPr>
          <w:i w:val="0"/>
        </w:rPr>
        <w:t xml:space="preserve"> </w:t>
      </w:r>
      <w:r>
        <w:rPr>
          <w:i w:val="0"/>
        </w:rPr>
        <w:t xml:space="preserve">The aim of the group is to ensure high quality </w:t>
      </w:r>
      <w:proofErr w:type="gramStart"/>
      <w:r>
        <w:rPr>
          <w:i w:val="0"/>
        </w:rPr>
        <w:t>searches</w:t>
      </w:r>
      <w:proofErr w:type="gramEnd"/>
      <w:r>
        <w:rPr>
          <w:i w:val="0"/>
        </w:rPr>
        <w:t xml:space="preserve"> and effective examination processes, including through the development of AI tools to support the work of examiners and the administration of patent procedures.</w:t>
      </w:r>
    </w:p>
    <w:p w14:paraId="6B7B8C7B" w14:textId="4BD04C41" w:rsidR="00652B8E" w:rsidRPr="00652B8E" w:rsidRDefault="00652B8E" w:rsidP="009242EC">
      <w:pPr>
        <w:pStyle w:val="SectionHeading"/>
        <w:keepNext w:val="0"/>
      </w:pPr>
      <w:r>
        <w:t>3</w:t>
      </w:r>
      <w:r w:rsidR="002353A8">
        <w:t xml:space="preserve"> -</w:t>
      </w:r>
      <w:r>
        <w:t xml:space="preserve"> Scope of Operation</w:t>
      </w:r>
    </w:p>
    <w:p w14:paraId="7DC947B3" w14:textId="5F046C82" w:rsidR="00652B8E" w:rsidRDefault="00652B8E" w:rsidP="009242EC">
      <w:pPr>
        <w:pStyle w:val="Question"/>
        <w:keepNext w:val="0"/>
        <w:spacing w:after="480"/>
      </w:pPr>
      <w:r>
        <w:t>(a)</w:t>
      </w:r>
      <w:r>
        <w:tab/>
        <w:t>Current scope of operation</w:t>
      </w:r>
    </w:p>
    <w:p w14:paraId="2DD08DBF" w14:textId="0AB46C4E" w:rsidR="00652B8E" w:rsidRPr="00365539" w:rsidRDefault="00652B8E" w:rsidP="009242EC">
      <w:pPr>
        <w:pStyle w:val="Question"/>
        <w:keepNext w:val="0"/>
        <w:spacing w:after="480"/>
      </w:pPr>
      <w:r>
        <w:rPr>
          <w:b w:val="0"/>
        </w:rPr>
        <w:t xml:space="preserve">The receiving Offices for which the Office or intergovernmental organization is competent as an International Searching Authority and an International Preliminary Examining Authority, language(s) in which services are offered and other details of scope of operation are listed in the PCT Applicant’s Guide at the following links:  </w:t>
      </w:r>
      <w:bookmarkStart w:id="6" w:name="_Hlk215085102"/>
      <w:r w:rsidR="003B4CAA" w:rsidRPr="00EE11FB">
        <w:rPr>
          <w:rStyle w:val="Hyperlink"/>
        </w:rPr>
        <w:fldChar w:fldCharType="begin"/>
      </w:r>
      <w:r w:rsidR="003B4CAA" w:rsidRPr="00EE11FB">
        <w:rPr>
          <w:rStyle w:val="Hyperlink"/>
        </w:rPr>
        <w:instrText>HYPERLINK "https://pctlegal.wipo.int/eGuide/view-doc.xhtml?doc-code=EA&amp;amp;doc-lang=en%23ISA."</w:instrText>
      </w:r>
      <w:r w:rsidR="00C22E6B" w:rsidRPr="00EE11FB">
        <w:rPr>
          <w:rStyle w:val="Hyperlink"/>
        </w:rPr>
      </w:r>
      <w:r w:rsidR="003B4CAA" w:rsidRPr="00EE11FB">
        <w:rPr>
          <w:rStyle w:val="Hyperlink"/>
        </w:rPr>
        <w:fldChar w:fldCharType="separate"/>
      </w:r>
      <w:r>
        <w:rPr>
          <w:rStyle w:val="Hyperlink"/>
          <w:b w:val="0"/>
        </w:rPr>
        <w:t>https://pctlegal.wipo.int/eGuide/view-doc.xhtml?doc-code=EA&amp;amp;doc-lang=en#ISA.</w:t>
      </w:r>
      <w:r w:rsidR="003B4CAA" w:rsidRPr="00EE11FB">
        <w:rPr>
          <w:rStyle w:val="Hyperlink"/>
        </w:rPr>
        <w:fldChar w:fldCharType="end"/>
      </w:r>
      <w:r>
        <w:rPr>
          <w:b w:val="0"/>
        </w:rPr>
        <w:t xml:space="preserve"> </w:t>
      </w:r>
      <w:hyperlink r:id="rId14" w:anchor="#IPEA" w:history="1">
        <w:r>
          <w:rPr>
            <w:rStyle w:val="Hyperlink"/>
            <w:b w:val="0"/>
          </w:rPr>
          <w:t>https://pctlegal.wipo.int/eGuide/view-doc.xhtml?doc-code=EA&amp;amp;doc-lang=en#IPEA</w:t>
        </w:r>
      </w:hyperlink>
      <w:bookmarkEnd w:id="6"/>
      <w:r>
        <w:rPr>
          <w:b w:val="0"/>
        </w:rPr>
        <w:t xml:space="preserve"> and</w:t>
      </w:r>
    </w:p>
    <w:p w14:paraId="43F7381F" w14:textId="3A1074E9" w:rsidR="00652B8E" w:rsidRPr="003B4CAA" w:rsidRDefault="00652B8E" w:rsidP="009242EC">
      <w:pPr>
        <w:pStyle w:val="Question"/>
        <w:keepNext w:val="0"/>
        <w:spacing w:after="480"/>
      </w:pPr>
      <w:r>
        <w:t>(b)</w:t>
      </w:r>
      <w:r w:rsidR="009C184C">
        <w:tab/>
      </w:r>
      <w:r>
        <w:t xml:space="preserve">Planned changes to scope of operation as an Authority, such the receiving Offices for which the Authority is </w:t>
      </w:r>
      <w:proofErr w:type="gramStart"/>
      <w:r>
        <w:t>competent</w:t>
      </w:r>
      <w:proofErr w:type="gramEnd"/>
      <w:r>
        <w:t xml:space="preserve"> and languages offered (if any):</w:t>
      </w:r>
    </w:p>
    <w:p w14:paraId="7E30E808" w14:textId="34E17FA5" w:rsidR="00652B8E" w:rsidRPr="00652B8E" w:rsidRDefault="00652B8E" w:rsidP="009242EC">
      <w:pPr>
        <w:pStyle w:val="SectionHeading"/>
      </w:pPr>
      <w:r>
        <w:t>4</w:t>
      </w:r>
      <w:r w:rsidR="002353A8">
        <w:t xml:space="preserve"> -</w:t>
      </w:r>
      <w:r>
        <w:t xml:space="preserve"> Other</w:t>
      </w:r>
    </w:p>
    <w:p w14:paraId="354274E4" w14:textId="5C0C641D" w:rsidR="00652B8E" w:rsidRPr="00652B8E" w:rsidRDefault="00652B8E" w:rsidP="009242EC">
      <w:r>
        <w:t xml:space="preserve">Any further information relevant to the extension of </w:t>
      </w:r>
      <w:proofErr w:type="gramStart"/>
      <w:r>
        <w:t>appointment</w:t>
      </w:r>
      <w:proofErr w:type="gramEnd"/>
      <w:r>
        <w:t xml:space="preserve"> as an International Searching and Preliminary Examining Authority:</w:t>
      </w:r>
    </w:p>
    <w:p w14:paraId="518B1D94" w14:textId="77777777" w:rsidR="00652B8E" w:rsidRPr="000B300D" w:rsidRDefault="00652B8E" w:rsidP="009242EC">
      <w:pPr>
        <w:rPr>
          <w:lang w:val="en-GB"/>
        </w:rPr>
      </w:pPr>
    </w:p>
    <w:p w14:paraId="60FA8CEE" w14:textId="3B150A4B" w:rsidR="00652B8E" w:rsidRPr="00652B8E" w:rsidRDefault="00652B8E" w:rsidP="009242EC">
      <w:r>
        <w:t>The Office is the competent ISA/IPEA for all receiving Offices of EAPO member States: Turkmenistan (TM), Belarus (BY), Tajikistan (TJ), Russian Federation (RU), Kazakhstan (KZ), Azerbaijan (AZ), Kyrgyzstan (KG)</w:t>
      </w:r>
      <w:r w:rsidR="00145256">
        <w:t xml:space="preserve"> and</w:t>
      </w:r>
      <w:r>
        <w:t xml:space="preserve"> Armenia (AM). </w:t>
      </w:r>
      <w:r w:rsidR="008607C1">
        <w:t xml:space="preserve"> </w:t>
      </w:r>
      <w:r>
        <w:t>It also handles international applications filed with the Office in its capacity as a receiving Office.</w:t>
      </w:r>
    </w:p>
    <w:p w14:paraId="06FD8252" w14:textId="77777777" w:rsidR="00652B8E" w:rsidRPr="000B300D" w:rsidRDefault="00652B8E" w:rsidP="009242EC">
      <w:pPr>
        <w:rPr>
          <w:lang w:val="en-GB"/>
        </w:rPr>
      </w:pPr>
    </w:p>
    <w:p w14:paraId="467D40EE" w14:textId="3138AB86" w:rsidR="00652B8E" w:rsidRPr="00652B8E" w:rsidRDefault="00652B8E" w:rsidP="009242EC">
      <w:r>
        <w:t>The Office participates in WIPO activities designed to promote and spread awareness of the PCT system in the Eurasian region.</w:t>
      </w:r>
      <w:r w:rsidR="008607C1">
        <w:t xml:space="preserve"> </w:t>
      </w:r>
      <w:r>
        <w:t xml:space="preserve"> In 2025, for instance, representatives of the Office made presentations in a series of WIPO webinars on various aspects of the PCT system, including international searching and preliminary examination procedures.</w:t>
      </w:r>
    </w:p>
    <w:p w14:paraId="4E30CCB1" w14:textId="77777777" w:rsidR="00652B8E" w:rsidRPr="000B300D" w:rsidRDefault="00652B8E" w:rsidP="00652B8E">
      <w:pPr>
        <w:pStyle w:val="SectionHeading"/>
        <w:jc w:val="both"/>
        <w:rPr>
          <w:lang w:val="en-GB"/>
        </w:rPr>
      </w:pPr>
    </w:p>
    <w:p w14:paraId="17C17725" w14:textId="74047D96" w:rsidR="009242EC" w:rsidRPr="009242EC" w:rsidRDefault="009242EC" w:rsidP="009242EC">
      <w:pPr>
        <w:jc w:val="right"/>
      </w:pPr>
      <w:r>
        <w:t>[End of Annex and of document]</w:t>
      </w:r>
    </w:p>
    <w:p w14:paraId="0CD487C4" w14:textId="77777777" w:rsidR="002326AB" w:rsidRPr="000B300D" w:rsidRDefault="002326AB" w:rsidP="002326AB">
      <w:pPr>
        <w:spacing w:after="220"/>
        <w:rPr>
          <w:lang w:val="en-GB"/>
        </w:rPr>
      </w:pPr>
    </w:p>
    <w:sectPr w:rsidR="002326AB" w:rsidRPr="000B300D" w:rsidSect="008956A4">
      <w:headerReference w:type="default" r:id="rId15"/>
      <w:footerReference w:type="even" r:id="rId16"/>
      <w:footerReference w:type="default" r:id="rId17"/>
      <w:headerReference w:type="first" r:id="rId18"/>
      <w:footerReference w:type="first" r:id="rId19"/>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A738" w14:textId="77777777" w:rsidR="00574416" w:rsidRDefault="00574416">
      <w:r>
        <w:separator/>
      </w:r>
    </w:p>
  </w:endnote>
  <w:endnote w:type="continuationSeparator" w:id="0">
    <w:p w14:paraId="0BE29FEC" w14:textId="77777777" w:rsidR="00574416" w:rsidRDefault="00574416" w:rsidP="003B38C1">
      <w:r>
        <w:separator/>
      </w:r>
    </w:p>
    <w:p w14:paraId="101DE034" w14:textId="77777777" w:rsidR="00574416" w:rsidRPr="003B38C1" w:rsidRDefault="00574416" w:rsidP="003B38C1">
      <w:pPr>
        <w:spacing w:after="60"/>
        <w:rPr>
          <w:sz w:val="17"/>
        </w:rPr>
      </w:pPr>
      <w:r>
        <w:rPr>
          <w:sz w:val="17"/>
        </w:rPr>
        <w:t>[Endnote continued from previous page]</w:t>
      </w:r>
    </w:p>
  </w:endnote>
  <w:endnote w:type="continuationNotice" w:id="1">
    <w:p w14:paraId="513837C7" w14:textId="77777777" w:rsidR="00574416" w:rsidRPr="003B38C1" w:rsidRDefault="0057441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A679" w14:textId="734D96F9" w:rsidR="00761CD8" w:rsidRDefault="00761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B439" w14:textId="423E83A8" w:rsidR="00761CD8" w:rsidRDefault="00761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152D" w14:textId="75471005" w:rsidR="00761CD8" w:rsidRDefault="0076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E470" w14:textId="77777777" w:rsidR="00574416" w:rsidRDefault="00574416">
      <w:r>
        <w:separator/>
      </w:r>
    </w:p>
  </w:footnote>
  <w:footnote w:type="continuationSeparator" w:id="0">
    <w:p w14:paraId="3BF7516D" w14:textId="77777777" w:rsidR="00574416" w:rsidRDefault="00574416" w:rsidP="008B60B2">
      <w:r>
        <w:separator/>
      </w:r>
    </w:p>
    <w:p w14:paraId="19FB8583" w14:textId="77777777" w:rsidR="00574416" w:rsidRPr="00ED77FB" w:rsidRDefault="00574416" w:rsidP="008B60B2">
      <w:pPr>
        <w:spacing w:after="60"/>
        <w:rPr>
          <w:sz w:val="17"/>
          <w:szCs w:val="17"/>
        </w:rPr>
      </w:pPr>
      <w:r w:rsidRPr="00ED77FB">
        <w:rPr>
          <w:sz w:val="17"/>
          <w:szCs w:val="17"/>
        </w:rPr>
        <w:t>[Footnote continued from previous page]</w:t>
      </w:r>
    </w:p>
  </w:footnote>
  <w:footnote w:type="continuationNotice" w:id="1">
    <w:p w14:paraId="16467E45" w14:textId="77777777" w:rsidR="00574416" w:rsidRPr="00ED77FB" w:rsidRDefault="0057441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A6DF" w14:textId="77777777" w:rsidR="00586897" w:rsidRDefault="0058689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83C4" w14:textId="7F7C0E37" w:rsidR="008956A4" w:rsidRDefault="008956A4" w:rsidP="008956A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5E01" w14:textId="77777777" w:rsidR="008956A4" w:rsidRDefault="008956A4" w:rsidP="00916DFA">
    <w:pPr>
      <w:jc w:val="right"/>
      <w:rPr>
        <w:lang w:val="fr-FR"/>
      </w:rPr>
    </w:pPr>
  </w:p>
  <w:p w14:paraId="1EADCF4C" w14:textId="2CE730A9" w:rsidR="00916DFA" w:rsidRPr="002D7CC3" w:rsidRDefault="00916DFA" w:rsidP="00916DFA">
    <w:pPr>
      <w:jc w:val="right"/>
    </w:pPr>
    <w:r>
      <w:t>PCT/CTC/33/</w:t>
    </w:r>
    <w:r w:rsidR="008607C1">
      <w:t>8</w:t>
    </w:r>
  </w:p>
  <w:p w14:paraId="0E830BDE" w14:textId="0CF64ECF" w:rsidR="00916DFA" w:rsidRDefault="00916DFA" w:rsidP="00916DFA">
    <w:pPr>
      <w:pStyle w:val="Header"/>
      <w:jc w:val="right"/>
    </w:pPr>
    <w:r>
      <w:t>Annex, page</w:t>
    </w:r>
    <w:sdt>
      <w:sdtPr>
        <w:id w:val="4876065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79F1BD6B" w14:textId="77777777" w:rsidR="00D07C78" w:rsidRDefault="00D07C7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23E9" w14:textId="24E1C50A" w:rsidR="008956A4" w:rsidRDefault="008956A4" w:rsidP="008956A4">
    <w:pPr>
      <w:pStyle w:val="Header"/>
      <w:jc w:val="right"/>
    </w:pPr>
    <w:r>
      <w:t>PCT/CTC/33/</w:t>
    </w:r>
    <w:r w:rsidR="008607C1">
      <w:t>8</w:t>
    </w:r>
  </w:p>
  <w:p w14:paraId="7A3763B3" w14:textId="5D965FE4" w:rsidR="008956A4" w:rsidRDefault="008956A4" w:rsidP="008956A4">
    <w:pPr>
      <w:pStyle w:val="Header"/>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33139">
    <w:abstractNumId w:val="2"/>
  </w:num>
  <w:num w:numId="2" w16cid:durableId="1130896600">
    <w:abstractNumId w:val="4"/>
  </w:num>
  <w:num w:numId="3" w16cid:durableId="1310986793">
    <w:abstractNumId w:val="0"/>
  </w:num>
  <w:num w:numId="4" w16cid:durableId="1556547374">
    <w:abstractNumId w:val="5"/>
  </w:num>
  <w:num w:numId="5" w16cid:durableId="1511680175">
    <w:abstractNumId w:val="1"/>
  </w:num>
  <w:num w:numId="6" w16cid:durableId="100840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16"/>
    <w:rsid w:val="000355FF"/>
    <w:rsid w:val="00043CAA"/>
    <w:rsid w:val="00056816"/>
    <w:rsid w:val="00072AC7"/>
    <w:rsid w:val="00075432"/>
    <w:rsid w:val="000968ED"/>
    <w:rsid w:val="000A3D97"/>
    <w:rsid w:val="000B300D"/>
    <w:rsid w:val="000D46FE"/>
    <w:rsid w:val="000F36DA"/>
    <w:rsid w:val="000F5E56"/>
    <w:rsid w:val="000F7D93"/>
    <w:rsid w:val="0010405E"/>
    <w:rsid w:val="001172F8"/>
    <w:rsid w:val="001362EE"/>
    <w:rsid w:val="00145256"/>
    <w:rsid w:val="001647D5"/>
    <w:rsid w:val="001832A6"/>
    <w:rsid w:val="001863D4"/>
    <w:rsid w:val="00192A3D"/>
    <w:rsid w:val="001C62FA"/>
    <w:rsid w:val="001D4107"/>
    <w:rsid w:val="00203D24"/>
    <w:rsid w:val="0021217E"/>
    <w:rsid w:val="002326AB"/>
    <w:rsid w:val="002353A8"/>
    <w:rsid w:val="00243430"/>
    <w:rsid w:val="002634C4"/>
    <w:rsid w:val="002928D3"/>
    <w:rsid w:val="002A1ADB"/>
    <w:rsid w:val="002B070C"/>
    <w:rsid w:val="002F1FE6"/>
    <w:rsid w:val="002F4E68"/>
    <w:rsid w:val="002F6335"/>
    <w:rsid w:val="00312F7F"/>
    <w:rsid w:val="00325271"/>
    <w:rsid w:val="00361450"/>
    <w:rsid w:val="00365539"/>
    <w:rsid w:val="00366ADD"/>
    <w:rsid w:val="003673CF"/>
    <w:rsid w:val="003845C1"/>
    <w:rsid w:val="00397B79"/>
    <w:rsid w:val="003A6F89"/>
    <w:rsid w:val="003B38C1"/>
    <w:rsid w:val="003B4CAA"/>
    <w:rsid w:val="003C34E9"/>
    <w:rsid w:val="003F54A7"/>
    <w:rsid w:val="00423E3E"/>
    <w:rsid w:val="00427AF4"/>
    <w:rsid w:val="00451D55"/>
    <w:rsid w:val="004647DA"/>
    <w:rsid w:val="00474062"/>
    <w:rsid w:val="00477D6B"/>
    <w:rsid w:val="004B446A"/>
    <w:rsid w:val="004C2EA0"/>
    <w:rsid w:val="005019FF"/>
    <w:rsid w:val="00523D75"/>
    <w:rsid w:val="0052652C"/>
    <w:rsid w:val="0053057A"/>
    <w:rsid w:val="00556076"/>
    <w:rsid w:val="00560A29"/>
    <w:rsid w:val="00571FF9"/>
    <w:rsid w:val="00574416"/>
    <w:rsid w:val="00586897"/>
    <w:rsid w:val="005C6649"/>
    <w:rsid w:val="005F594D"/>
    <w:rsid w:val="00605827"/>
    <w:rsid w:val="006250B3"/>
    <w:rsid w:val="00646050"/>
    <w:rsid w:val="00652B8E"/>
    <w:rsid w:val="006713CA"/>
    <w:rsid w:val="00676C5C"/>
    <w:rsid w:val="00686A2F"/>
    <w:rsid w:val="00690AE3"/>
    <w:rsid w:val="006C322C"/>
    <w:rsid w:val="006F7742"/>
    <w:rsid w:val="0070049D"/>
    <w:rsid w:val="00705CA7"/>
    <w:rsid w:val="00712963"/>
    <w:rsid w:val="00720EFD"/>
    <w:rsid w:val="007543DD"/>
    <w:rsid w:val="00761CD8"/>
    <w:rsid w:val="00765C3A"/>
    <w:rsid w:val="007854AF"/>
    <w:rsid w:val="00793A7C"/>
    <w:rsid w:val="007A398A"/>
    <w:rsid w:val="007D1613"/>
    <w:rsid w:val="007E4593"/>
    <w:rsid w:val="007E4C0E"/>
    <w:rsid w:val="00824216"/>
    <w:rsid w:val="008607C1"/>
    <w:rsid w:val="008956A4"/>
    <w:rsid w:val="008A134B"/>
    <w:rsid w:val="008B2CC1"/>
    <w:rsid w:val="008B3233"/>
    <w:rsid w:val="008B60B2"/>
    <w:rsid w:val="0090731E"/>
    <w:rsid w:val="00916DFA"/>
    <w:rsid w:val="00916EE2"/>
    <w:rsid w:val="009242EC"/>
    <w:rsid w:val="00925D57"/>
    <w:rsid w:val="00932B35"/>
    <w:rsid w:val="00951331"/>
    <w:rsid w:val="009564AB"/>
    <w:rsid w:val="00966A22"/>
    <w:rsid w:val="0096722F"/>
    <w:rsid w:val="00971A75"/>
    <w:rsid w:val="00980843"/>
    <w:rsid w:val="009852C6"/>
    <w:rsid w:val="009C1057"/>
    <w:rsid w:val="009C184C"/>
    <w:rsid w:val="009E2791"/>
    <w:rsid w:val="009E3F6F"/>
    <w:rsid w:val="009F499F"/>
    <w:rsid w:val="00A02CF6"/>
    <w:rsid w:val="00A25F5D"/>
    <w:rsid w:val="00A37342"/>
    <w:rsid w:val="00A42DAF"/>
    <w:rsid w:val="00A45BD8"/>
    <w:rsid w:val="00A869B7"/>
    <w:rsid w:val="00A90F0A"/>
    <w:rsid w:val="00AA7BE0"/>
    <w:rsid w:val="00AC205C"/>
    <w:rsid w:val="00AC3291"/>
    <w:rsid w:val="00AD2C66"/>
    <w:rsid w:val="00AE3DF9"/>
    <w:rsid w:val="00AF0A6B"/>
    <w:rsid w:val="00B03204"/>
    <w:rsid w:val="00B05A69"/>
    <w:rsid w:val="00B3197A"/>
    <w:rsid w:val="00B5536D"/>
    <w:rsid w:val="00B75281"/>
    <w:rsid w:val="00B8793E"/>
    <w:rsid w:val="00B92F1F"/>
    <w:rsid w:val="00B9734B"/>
    <w:rsid w:val="00BA2A04"/>
    <w:rsid w:val="00BA30E2"/>
    <w:rsid w:val="00BC039A"/>
    <w:rsid w:val="00C00276"/>
    <w:rsid w:val="00C11BFE"/>
    <w:rsid w:val="00C22E6B"/>
    <w:rsid w:val="00C33906"/>
    <w:rsid w:val="00C5068F"/>
    <w:rsid w:val="00C86D74"/>
    <w:rsid w:val="00CD04F1"/>
    <w:rsid w:val="00CF681A"/>
    <w:rsid w:val="00D07C78"/>
    <w:rsid w:val="00D33A05"/>
    <w:rsid w:val="00D43C78"/>
    <w:rsid w:val="00D45252"/>
    <w:rsid w:val="00D64550"/>
    <w:rsid w:val="00D71B4D"/>
    <w:rsid w:val="00D93D55"/>
    <w:rsid w:val="00D96D60"/>
    <w:rsid w:val="00DD7B7F"/>
    <w:rsid w:val="00E15015"/>
    <w:rsid w:val="00E335FE"/>
    <w:rsid w:val="00E35192"/>
    <w:rsid w:val="00E820EE"/>
    <w:rsid w:val="00E93703"/>
    <w:rsid w:val="00EA7D6E"/>
    <w:rsid w:val="00EB2F76"/>
    <w:rsid w:val="00EC4E49"/>
    <w:rsid w:val="00EC5B23"/>
    <w:rsid w:val="00ED360C"/>
    <w:rsid w:val="00ED77FB"/>
    <w:rsid w:val="00EE11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D7366"/>
  <w15:docId w15:val="{9BCF510A-FDC7-41F8-B673-38535D8E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uiPriority w:val="99"/>
    <w:locked/>
    <w:rsid w:val="00574416"/>
    <w:rPr>
      <w:rFonts w:ascii="Arial" w:eastAsia="SimSun" w:hAnsi="Arial" w:cs="Arial"/>
      <w:sz w:val="22"/>
      <w:lang w:val="en-US" w:eastAsia="zh-CN"/>
    </w:rPr>
  </w:style>
  <w:style w:type="character" w:customStyle="1" w:styleId="SectionHeadingChar">
    <w:name w:val="Section Heading Char"/>
    <w:link w:val="SectionHeading"/>
    <w:locked/>
    <w:rsid w:val="00652B8E"/>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652B8E"/>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652B8E"/>
    <w:pPr>
      <w:keepNext/>
      <w:keepLines/>
      <w:spacing w:after="240"/>
      <w:ind w:left="567" w:right="567"/>
    </w:pPr>
    <w:rPr>
      <w:bCs/>
      <w:i/>
      <w:iCs/>
    </w:rPr>
  </w:style>
  <w:style w:type="paragraph" w:customStyle="1" w:styleId="Question">
    <w:name w:val="Question"/>
    <w:basedOn w:val="BodyText"/>
    <w:next w:val="Answer"/>
    <w:qFormat/>
    <w:rsid w:val="00652B8E"/>
    <w:pPr>
      <w:keepNext/>
      <w:keepLines/>
    </w:pPr>
    <w:rPr>
      <w:b/>
      <w:bCs/>
      <w:szCs w:val="22"/>
    </w:rPr>
  </w:style>
  <w:style w:type="paragraph" w:customStyle="1" w:styleId="Answer">
    <w:name w:val="Answer"/>
    <w:basedOn w:val="BodyText"/>
    <w:qFormat/>
    <w:rsid w:val="00652B8E"/>
    <w:pPr>
      <w:ind w:left="567"/>
    </w:pPr>
  </w:style>
  <w:style w:type="character" w:styleId="Hyperlink">
    <w:name w:val="Hyperlink"/>
    <w:basedOn w:val="DefaultParagraphFont"/>
    <w:uiPriority w:val="99"/>
    <w:unhideWhenUsed/>
    <w:rsid w:val="00652B8E"/>
    <w:rPr>
      <w:color w:val="0000FF" w:themeColor="hyperlink"/>
      <w:u w:val="single"/>
    </w:rPr>
  </w:style>
  <w:style w:type="character" w:customStyle="1" w:styleId="HeaderChar">
    <w:name w:val="Header Char"/>
    <w:basedOn w:val="DefaultParagraphFont"/>
    <w:link w:val="Header"/>
    <w:uiPriority w:val="99"/>
    <w:rsid w:val="00916DFA"/>
    <w:rPr>
      <w:rFonts w:ascii="Arial" w:eastAsia="SimSun" w:hAnsi="Arial" w:cs="Arial"/>
      <w:sz w:val="22"/>
      <w:lang w:val="en-US" w:eastAsia="zh-CN"/>
    </w:rPr>
  </w:style>
  <w:style w:type="character" w:styleId="FollowedHyperlink">
    <w:name w:val="FollowedHyperlink"/>
    <w:basedOn w:val="DefaultParagraphFont"/>
    <w:semiHidden/>
    <w:unhideWhenUsed/>
    <w:rsid w:val="00EC5B23"/>
    <w:rPr>
      <w:color w:val="800080" w:themeColor="followedHyperlink"/>
      <w:u w:val="single"/>
    </w:rPr>
  </w:style>
  <w:style w:type="character" w:styleId="UnresolvedMention">
    <w:name w:val="Unresolved Mention"/>
    <w:basedOn w:val="DefaultParagraphFont"/>
    <w:uiPriority w:val="99"/>
    <w:semiHidden/>
    <w:unhideWhenUsed/>
    <w:rsid w:val="0082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EA&amp;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(R)</Template>
  <TotalTime>0</TotalTime>
  <Pages>6</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PCT/CTC/33/8</dc:title>
  <dc:creator>NOVRUZOVA Elnara</dc:creator>
  <cp:keywords/>
  <cp:lastModifiedBy>MARLOW Thomas</cp:lastModifiedBy>
  <cp:revision>2</cp:revision>
  <cp:lastPrinted>2025-12-02T13:28:00Z</cp:lastPrinted>
  <dcterms:created xsi:type="dcterms:W3CDTF">2025-12-24T18:01:00Z</dcterms:created>
  <dcterms:modified xsi:type="dcterms:W3CDTF">2025-12-24T18:01:00Z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2025-12-18T20:53:52Z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a98ead41-618d-4f89-b0b1-bba8d549c753</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