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CDA7" w14:textId="77777777" w:rsidR="008B2CC1" w:rsidRPr="00F043DE" w:rsidRDefault="00B92F1F" w:rsidP="0091662D">
      <w:pPr>
        <w:pBdr>
          <w:bottom w:val="single" w:sz="4" w:space="9" w:color="auto"/>
        </w:pBdr>
        <w:spacing w:after="120"/>
        <w:jc w:val="center"/>
        <w:rPr>
          <w:b/>
          <w:sz w:val="32"/>
          <w:szCs w:val="40"/>
        </w:rPr>
      </w:pPr>
      <w:r>
        <w:rPr>
          <w:noProof/>
          <w:sz w:val="28"/>
          <w:szCs w:val="28"/>
          <w:lang w:eastAsia="en-US"/>
        </w:rPr>
        <w:drawing>
          <wp:inline distT="0" distB="0" distL="0" distR="0" wp14:anchorId="61C46287" wp14:editId="4604C45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D396798" w14:textId="0D284161"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E16E5">
        <w:rPr>
          <w:rFonts w:ascii="Arial Black" w:hAnsi="Arial Black"/>
          <w:caps/>
          <w:sz w:val="15"/>
          <w:szCs w:val="15"/>
        </w:rPr>
        <w:t>27</w:t>
      </w:r>
    </w:p>
    <w:p w14:paraId="5E480995" w14:textId="08ED944B"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C43F14">
        <w:rPr>
          <w:rFonts w:ascii="Arial Black" w:hAnsi="Arial Black"/>
          <w:caps/>
          <w:sz w:val="15"/>
          <w:szCs w:val="15"/>
        </w:rPr>
        <w:t>English/Spanish</w:t>
      </w:r>
    </w:p>
    <w:bookmarkEnd w:id="1"/>
    <w:p w14:paraId="0CA49164" w14:textId="45A556A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C43F14">
        <w:rPr>
          <w:rFonts w:ascii="Arial Black" w:hAnsi="Arial Black"/>
          <w:caps/>
          <w:sz w:val="15"/>
          <w:szCs w:val="15"/>
        </w:rPr>
        <w:t>December</w:t>
      </w:r>
      <w:proofErr w:type="gramEnd"/>
      <w:r w:rsidR="00C43F14">
        <w:rPr>
          <w:rFonts w:ascii="Arial Black" w:hAnsi="Arial Black"/>
          <w:caps/>
          <w:sz w:val="15"/>
          <w:szCs w:val="15"/>
        </w:rPr>
        <w:t xml:space="preserve"> </w:t>
      </w:r>
      <w:r w:rsidR="006E2757">
        <w:rPr>
          <w:rFonts w:ascii="Arial Black" w:hAnsi="Arial Black"/>
          <w:caps/>
          <w:sz w:val="15"/>
          <w:szCs w:val="15"/>
        </w:rPr>
        <w:t>1</w:t>
      </w:r>
      <w:r w:rsidR="00797F53">
        <w:rPr>
          <w:rFonts w:ascii="Arial Black" w:hAnsi="Arial Black"/>
          <w:caps/>
          <w:sz w:val="15"/>
          <w:szCs w:val="15"/>
        </w:rPr>
        <w:t>8</w:t>
      </w:r>
      <w:r w:rsidR="00C43F14">
        <w:rPr>
          <w:rFonts w:ascii="Arial Black" w:hAnsi="Arial Black"/>
          <w:caps/>
          <w:sz w:val="15"/>
          <w:szCs w:val="15"/>
        </w:rPr>
        <w:t>, 2025</w:t>
      </w:r>
    </w:p>
    <w:bookmarkEnd w:id="2"/>
    <w:p w14:paraId="206A7143"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2E87D934"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2CA46CC5"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3AED82FB" w14:textId="568CB647" w:rsidR="008B2CC1" w:rsidRPr="003845C1" w:rsidRDefault="00C43F14" w:rsidP="00DD7B7F">
      <w:pPr>
        <w:spacing w:after="360"/>
        <w:outlineLvl w:val="0"/>
        <w:rPr>
          <w:caps/>
          <w:sz w:val="24"/>
        </w:rPr>
      </w:pPr>
      <w:bookmarkStart w:id="3" w:name="TitleOfDoc"/>
      <w:r>
        <w:rPr>
          <w:caps/>
          <w:sz w:val="24"/>
        </w:rPr>
        <w:t>Appointment of the Mexican Institute of Industrial Property as an International Searching and Preliminary Examining Authority Under the PCT</w:t>
      </w:r>
    </w:p>
    <w:p w14:paraId="44C6A09D" w14:textId="2829C27D" w:rsidR="002928D3" w:rsidRPr="00F9165B" w:rsidRDefault="00C43F14" w:rsidP="001D4107">
      <w:pPr>
        <w:spacing w:after="1040"/>
        <w:rPr>
          <w:i/>
        </w:rPr>
      </w:pPr>
      <w:bookmarkStart w:id="4" w:name="Prepared"/>
      <w:bookmarkEnd w:id="3"/>
      <w:bookmarkEnd w:id="4"/>
      <w:r>
        <w:rPr>
          <w:i/>
        </w:rPr>
        <w:t>Document prepared by the International Bureau</w:t>
      </w:r>
    </w:p>
    <w:p w14:paraId="130C812D" w14:textId="2EA48607" w:rsidR="002326AB" w:rsidRDefault="001912D6" w:rsidP="006E2757">
      <w:pPr>
        <w:pStyle w:val="ONUME"/>
      </w:pPr>
      <w:r>
        <w:t>On December 2, 2025, in conformity with paragraph (e) of the procedures set out in the Understanding with regard to the procedures for appointment of International Authorities adopted by the PCT Assembly at its forty-sixth session in 2014, as modified by the Assembly at its fiftieth session in 20</w:t>
      </w:r>
      <w:r w:rsidR="000C5534">
        <w:t>1</w:t>
      </w:r>
      <w:r>
        <w:t xml:space="preserve">8, the Mexican Institute of Industrial Property (IMPI) submitted </w:t>
      </w:r>
      <w:r w:rsidR="00E67A6E">
        <w:t>its</w:t>
      </w:r>
      <w:r w:rsidR="000C5534">
        <w:t xml:space="preserve"> </w:t>
      </w:r>
      <w:r>
        <w:t>application for appointment as an International Searching and Preliminary Examining Authority</w:t>
      </w:r>
      <w:r w:rsidR="006E2757">
        <w:t xml:space="preserve"> (ISA/IPEA)</w:t>
      </w:r>
      <w:r w:rsidR="000C5534">
        <w:t xml:space="preserve">.  The </w:t>
      </w:r>
      <w:r w:rsidR="006E2757">
        <w:t xml:space="preserve">documentation in support of the application </w:t>
      </w:r>
      <w:r w:rsidR="000C5534">
        <w:t>is set out in the Annex</w:t>
      </w:r>
      <w:r w:rsidR="006E2757">
        <w:t>es</w:t>
      </w:r>
      <w:r w:rsidR="000C5534">
        <w:t xml:space="preserve"> </w:t>
      </w:r>
      <w:proofErr w:type="gramStart"/>
      <w:r w:rsidR="000C5534">
        <w:t>to</w:t>
      </w:r>
      <w:proofErr w:type="gramEnd"/>
      <w:r w:rsidR="000C5534">
        <w:t xml:space="preserve"> this document.</w:t>
      </w:r>
      <w:r w:rsidR="006E2757">
        <w:t xml:space="preserve">  Annex I sets out the application by IMPI for appointment as an ISA/</w:t>
      </w:r>
      <w:proofErr w:type="gramStart"/>
      <w:r w:rsidR="006E2757">
        <w:t>IPEA;  Annex</w:t>
      </w:r>
      <w:proofErr w:type="gramEnd"/>
      <w:r w:rsidR="006E2757">
        <w:t xml:space="preserve"> II sets out a report by the Spanish Patent and Trademark Office on the application of IMPI for appointment as an ISA/IPEA.</w:t>
      </w:r>
    </w:p>
    <w:p w14:paraId="3311003E" w14:textId="38175E79" w:rsidR="00DE354C" w:rsidRDefault="00B367AE" w:rsidP="001912D6">
      <w:pPr>
        <w:pStyle w:val="ONUME"/>
      </w:pPr>
      <w:r>
        <w:t>As required by Articles 16(3)(e) and 32(3) of the PCT, before</w:t>
      </w:r>
      <w:r w:rsidR="000C5534">
        <w:t xml:space="preserve"> the PCT Assembly </w:t>
      </w:r>
      <w:proofErr w:type="gramStart"/>
      <w:r>
        <w:t>makes a</w:t>
      </w:r>
      <w:r w:rsidR="000C5534">
        <w:t xml:space="preserve"> decision</w:t>
      </w:r>
      <w:proofErr w:type="gramEnd"/>
      <w:r w:rsidR="000C5534">
        <w:t xml:space="preserve"> on the appointment</w:t>
      </w:r>
      <w:r>
        <w:t xml:space="preserve"> of an Office as an </w:t>
      </w:r>
      <w:r w:rsidR="00185543">
        <w:t>ISA and IPEA</w:t>
      </w:r>
      <w:r w:rsidR="000C5534">
        <w:t xml:space="preserve">, </w:t>
      </w:r>
      <w:r>
        <w:t xml:space="preserve">the Assembly must seek </w:t>
      </w:r>
      <w:r w:rsidR="000C5534">
        <w:t xml:space="preserve">the advice </w:t>
      </w:r>
      <w:r w:rsidR="00DE354C">
        <w:t>of th</w:t>
      </w:r>
      <w:r>
        <w:t>e</w:t>
      </w:r>
      <w:r w:rsidR="00DE354C">
        <w:t xml:space="preserve"> Committee </w:t>
      </w:r>
      <w:r>
        <w:t xml:space="preserve">for Technical Cooperation.  </w:t>
      </w:r>
      <w:r w:rsidR="00DE354C">
        <w:t>Information concerning this process and role of the Committee is set out in document PCT/CTC/33/INF/1.</w:t>
      </w:r>
    </w:p>
    <w:p w14:paraId="1720212D" w14:textId="5A3BC361" w:rsidR="00DE354C" w:rsidRPr="008E61D3" w:rsidRDefault="00DE354C" w:rsidP="008E61D3">
      <w:pPr>
        <w:pStyle w:val="ONUME"/>
        <w:ind w:left="5533"/>
        <w:rPr>
          <w:i/>
        </w:rPr>
      </w:pPr>
      <w:r w:rsidRPr="00DE354C">
        <w:rPr>
          <w:i/>
        </w:rPr>
        <w:t>The Committee is invited to give its advice on this matter.</w:t>
      </w:r>
    </w:p>
    <w:p w14:paraId="27F4D659" w14:textId="1D92D4AA" w:rsidR="000645A0" w:rsidRDefault="00797F53" w:rsidP="00B75B85">
      <w:pPr>
        <w:pStyle w:val="Endofdocument-Annex"/>
        <w:sectPr w:rsidR="000645A0" w:rsidSect="00C43F14">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br/>
      </w:r>
      <w:r w:rsidR="00DE354C">
        <w:t>[Anne</w:t>
      </w:r>
      <w:r w:rsidR="009F2BBB">
        <w:t>x I</w:t>
      </w:r>
      <w:r w:rsidR="006E2757">
        <w:t xml:space="preserve"> </w:t>
      </w:r>
      <w:r w:rsidR="00DE354C">
        <w:t>follow</w:t>
      </w:r>
      <w:r w:rsidR="009F2BBB">
        <w:t>s</w:t>
      </w:r>
      <w:r w:rsidR="00DE354C">
        <w:t>]</w:t>
      </w:r>
    </w:p>
    <w:p w14:paraId="37554AFF" w14:textId="77777777" w:rsidR="000645A0" w:rsidRPr="00BC43AE" w:rsidRDefault="000645A0" w:rsidP="000645A0">
      <w:pPr>
        <w:pStyle w:val="Heading2"/>
        <w:jc w:val="center"/>
      </w:pPr>
      <w:r w:rsidRPr="00BC43AE">
        <w:lastRenderedPageBreak/>
        <w:t>Application for Appointment as an International Searching anD Preliminary Examining Authority under the PCT</w:t>
      </w:r>
    </w:p>
    <w:p w14:paraId="5E2AE882" w14:textId="77777777" w:rsidR="000645A0" w:rsidRPr="000645A0" w:rsidRDefault="000645A0" w:rsidP="000645A0">
      <w:pPr>
        <w:pStyle w:val="SectionHeading"/>
        <w:spacing w:after="0"/>
        <w:rPr>
          <w:lang w:val="en-US"/>
        </w:rPr>
      </w:pPr>
      <w:r w:rsidRPr="000645A0">
        <w:rPr>
          <w:lang w:val="en-US"/>
        </w:rPr>
        <w:t>1 – General</w:t>
      </w:r>
    </w:p>
    <w:p w14:paraId="2F26B532" w14:textId="77777777" w:rsidR="000645A0" w:rsidRPr="00BC43AE" w:rsidRDefault="000645A0" w:rsidP="000645A0">
      <w:pPr>
        <w:pStyle w:val="Question"/>
        <w:spacing w:after="0"/>
      </w:pPr>
      <w:r w:rsidRPr="00BC43AE">
        <w:t>(a)</w:t>
      </w:r>
      <w:r w:rsidRPr="00BC43AE">
        <w:tab/>
        <w:t xml:space="preserve">Name of Office or intergovernmental organization: </w:t>
      </w:r>
    </w:p>
    <w:p w14:paraId="7B01FD34" w14:textId="77777777" w:rsidR="000645A0" w:rsidRPr="00BC43AE" w:rsidRDefault="000645A0" w:rsidP="000645A0">
      <w:pPr>
        <w:pStyle w:val="Question"/>
        <w:spacing w:after="0"/>
        <w:jc w:val="both"/>
        <w:rPr>
          <w:b w:val="0"/>
          <w:bCs w:val="0"/>
          <w:i/>
          <w:iCs/>
        </w:rPr>
      </w:pPr>
      <w:r w:rsidRPr="00BC43AE">
        <w:rPr>
          <w:b w:val="0"/>
          <w:bCs w:val="0"/>
        </w:rPr>
        <w:t>The Mexican Institute of Industrial Property (IMPI).</w:t>
      </w:r>
    </w:p>
    <w:p w14:paraId="0E3D4748" w14:textId="77777777" w:rsidR="000645A0" w:rsidRDefault="000645A0" w:rsidP="000645A0">
      <w:pPr>
        <w:pStyle w:val="Question"/>
        <w:spacing w:after="0"/>
        <w:jc w:val="both"/>
        <w:rPr>
          <w:b w:val="0"/>
          <w:bCs w:val="0"/>
        </w:rPr>
      </w:pPr>
    </w:p>
    <w:p w14:paraId="165B9D05" w14:textId="75BDD264" w:rsidR="000645A0" w:rsidRPr="00BC43AE" w:rsidRDefault="000645A0" w:rsidP="000645A0">
      <w:pPr>
        <w:pStyle w:val="Question"/>
        <w:spacing w:after="0"/>
        <w:jc w:val="both"/>
        <w:rPr>
          <w:b w:val="0"/>
          <w:bCs w:val="0"/>
          <w:i/>
          <w:iCs/>
        </w:rPr>
      </w:pPr>
      <w:r w:rsidRPr="00BC43AE">
        <w:rPr>
          <w:b w:val="0"/>
          <w:bCs w:val="0"/>
        </w:rPr>
        <w:t>On December 10, 1993, the Decree establishing the Mexican Institute of Industrial Property (IMPI), a decentralized public body with legal personality and its own assets, was published in the Official Gazette of the Federation.</w:t>
      </w:r>
    </w:p>
    <w:p w14:paraId="53A3764C" w14:textId="77777777" w:rsidR="000645A0" w:rsidRPr="00BC43AE" w:rsidRDefault="000645A0" w:rsidP="000645A0">
      <w:pPr>
        <w:pStyle w:val="Question"/>
        <w:spacing w:after="0"/>
        <w:jc w:val="both"/>
        <w:rPr>
          <w:b w:val="0"/>
          <w:bCs w:val="0"/>
        </w:rPr>
      </w:pPr>
    </w:p>
    <w:p w14:paraId="40FE2544" w14:textId="77777777" w:rsidR="000645A0" w:rsidRPr="00BC43AE" w:rsidRDefault="000645A0" w:rsidP="000645A0">
      <w:pPr>
        <w:pStyle w:val="Question"/>
        <w:spacing w:after="0"/>
        <w:jc w:val="both"/>
        <w:rPr>
          <w:b w:val="0"/>
          <w:bCs w:val="0"/>
        </w:rPr>
      </w:pPr>
      <w:r w:rsidRPr="00BC43AE">
        <w:rPr>
          <w:b w:val="0"/>
          <w:bCs w:val="0"/>
        </w:rPr>
        <w:t>Since then, the IMPI has professionalized itself to meet the challenges of protecting innovation in Mexico, increase and ensure the promotion of industrial property, and improve its services for the benefit of Mexican inventors and creators.</w:t>
      </w:r>
    </w:p>
    <w:p w14:paraId="70E86B81" w14:textId="77777777" w:rsidR="000645A0" w:rsidRPr="00BC43AE" w:rsidRDefault="000645A0" w:rsidP="000645A0">
      <w:pPr>
        <w:pStyle w:val="Answer"/>
        <w:spacing w:after="0"/>
        <w:ind w:left="0"/>
        <w:jc w:val="both"/>
      </w:pPr>
    </w:p>
    <w:p w14:paraId="1F7130D9" w14:textId="552DC537" w:rsidR="000645A0" w:rsidRPr="00BC43AE" w:rsidRDefault="000645A0" w:rsidP="000645A0">
      <w:pPr>
        <w:pStyle w:val="Question"/>
        <w:spacing w:after="0"/>
        <w:jc w:val="both"/>
        <w:rPr>
          <w:b w:val="0"/>
          <w:bCs w:val="0"/>
        </w:rPr>
      </w:pPr>
      <w:r w:rsidRPr="00BC43AE">
        <w:rPr>
          <w:b w:val="0"/>
          <w:bCs w:val="0"/>
        </w:rPr>
        <w:t>The IMPI has positioned itself as an international benchmark office by promoting greater access to tools for the benefit of users.</w:t>
      </w:r>
      <w:r w:rsidR="00B7334D">
        <w:rPr>
          <w:b w:val="0"/>
          <w:bCs w:val="0"/>
        </w:rPr>
        <w:t xml:space="preserve"> </w:t>
      </w:r>
      <w:r w:rsidRPr="00BC43AE">
        <w:rPr>
          <w:b w:val="0"/>
          <w:bCs w:val="0"/>
        </w:rPr>
        <w:t xml:space="preserve"> Mexico is part of four international industrial property protection systems: the Madrid Protocol (trademarks), the Patent Cooperation Treaty (PCT), the Lisbon Agreement (appellations of origin), and the Hague Agreement (industrial designs).</w:t>
      </w:r>
    </w:p>
    <w:p w14:paraId="546BA768" w14:textId="77777777" w:rsidR="000645A0" w:rsidRPr="00BC43AE" w:rsidRDefault="000645A0" w:rsidP="000645A0">
      <w:pPr>
        <w:pStyle w:val="Answer"/>
        <w:spacing w:after="0"/>
        <w:ind w:left="0"/>
        <w:rPr>
          <w:b/>
          <w:bCs/>
        </w:rPr>
      </w:pPr>
    </w:p>
    <w:p w14:paraId="410231EC" w14:textId="77777777" w:rsidR="000645A0" w:rsidRDefault="000645A0" w:rsidP="000645A0">
      <w:pPr>
        <w:pStyle w:val="Question"/>
        <w:spacing w:after="0"/>
      </w:pPr>
      <w:r w:rsidRPr="00BC43AE">
        <w:t>(b)</w:t>
      </w:r>
      <w:r w:rsidRPr="00BC43AE">
        <w:tab/>
        <w:t>Date on which application for appointment was received by the Director General:</w:t>
      </w:r>
    </w:p>
    <w:p w14:paraId="0C420F37" w14:textId="77777777" w:rsidR="000645A0" w:rsidRPr="00F515E7" w:rsidRDefault="000645A0" w:rsidP="008E61D3">
      <w:pPr>
        <w:pStyle w:val="Answer"/>
        <w:spacing w:after="0"/>
        <w:ind w:left="0"/>
      </w:pPr>
    </w:p>
    <w:p w14:paraId="5D4E7AB5" w14:textId="77777777" w:rsidR="000645A0" w:rsidRPr="00BC43AE" w:rsidRDefault="000645A0" w:rsidP="000645A0">
      <w:pPr>
        <w:pStyle w:val="Answer"/>
        <w:spacing w:after="0"/>
        <w:ind w:left="0"/>
        <w:rPr>
          <w:iCs/>
        </w:rPr>
      </w:pPr>
      <w:r w:rsidRPr="00BC43AE">
        <w:rPr>
          <w:iCs/>
        </w:rPr>
        <w:t>December 2, 2025.</w:t>
      </w:r>
    </w:p>
    <w:p w14:paraId="26C667C5" w14:textId="77777777" w:rsidR="000645A0" w:rsidRPr="00BC43AE" w:rsidRDefault="000645A0" w:rsidP="000645A0">
      <w:pPr>
        <w:pStyle w:val="Answer"/>
        <w:spacing w:after="0"/>
        <w:ind w:left="0"/>
        <w:rPr>
          <w:i/>
        </w:rPr>
      </w:pPr>
    </w:p>
    <w:p w14:paraId="2487A744" w14:textId="77777777" w:rsidR="000645A0" w:rsidRDefault="000645A0" w:rsidP="000645A0">
      <w:pPr>
        <w:pStyle w:val="Question"/>
        <w:spacing w:after="0"/>
      </w:pPr>
      <w:r w:rsidRPr="00BC43AE">
        <w:t>(c)</w:t>
      </w:r>
      <w:r w:rsidRPr="00BC43AE">
        <w:tab/>
        <w:t>Session of the Assembly at which appointment is to be sought:</w:t>
      </w:r>
    </w:p>
    <w:p w14:paraId="0328A61C" w14:textId="77777777" w:rsidR="000645A0" w:rsidRPr="00F515E7" w:rsidRDefault="000645A0" w:rsidP="000645A0">
      <w:pPr>
        <w:pStyle w:val="Answer"/>
        <w:spacing w:after="0"/>
      </w:pPr>
    </w:p>
    <w:p w14:paraId="497941CF" w14:textId="77777777" w:rsidR="000645A0" w:rsidRDefault="000645A0" w:rsidP="000645A0">
      <w:pPr>
        <w:pStyle w:val="Answer"/>
        <w:spacing w:after="0"/>
        <w:ind w:left="0"/>
      </w:pPr>
      <w:r w:rsidRPr="00BC43AE">
        <w:t>Sixty-eighth series of meetings (July 2026).</w:t>
      </w:r>
    </w:p>
    <w:p w14:paraId="4BDE8089" w14:textId="77777777" w:rsidR="000645A0" w:rsidRPr="00BC43AE" w:rsidRDefault="000645A0" w:rsidP="000645A0">
      <w:pPr>
        <w:pStyle w:val="Answer"/>
        <w:spacing w:after="0"/>
        <w:ind w:left="0"/>
      </w:pPr>
    </w:p>
    <w:p w14:paraId="31F5EC8D" w14:textId="77777777" w:rsidR="000645A0" w:rsidRPr="00BC43AE" w:rsidRDefault="000645A0" w:rsidP="000645A0">
      <w:pPr>
        <w:pStyle w:val="Question"/>
      </w:pPr>
      <w:r w:rsidRPr="00BC43AE">
        <w:t>(d)</w:t>
      </w:r>
      <w:r w:rsidRPr="00BC43AE">
        <w:tab/>
        <w:t>Expected date at which operation as ISA/IPEA could commence:</w:t>
      </w:r>
    </w:p>
    <w:p w14:paraId="42809C76" w14:textId="57F3AC31" w:rsidR="000645A0" w:rsidRDefault="000645A0" w:rsidP="000645A0">
      <w:pPr>
        <w:pStyle w:val="Answer"/>
        <w:spacing w:after="0"/>
        <w:ind w:left="0"/>
      </w:pPr>
      <w:r w:rsidRPr="00BC43AE">
        <w:t>January 2027 (tentative date for IMPI)</w:t>
      </w:r>
      <w:r w:rsidR="00B7334D">
        <w:t>.</w:t>
      </w:r>
    </w:p>
    <w:p w14:paraId="5AFF4065" w14:textId="77777777" w:rsidR="000645A0" w:rsidRPr="00BC43AE" w:rsidRDefault="000645A0" w:rsidP="000645A0">
      <w:pPr>
        <w:pStyle w:val="Answer"/>
        <w:spacing w:after="0"/>
        <w:ind w:left="0"/>
      </w:pPr>
    </w:p>
    <w:p w14:paraId="0D564141" w14:textId="77777777" w:rsidR="000645A0" w:rsidRPr="00BC43AE" w:rsidRDefault="000645A0" w:rsidP="000645A0">
      <w:pPr>
        <w:pStyle w:val="Question"/>
      </w:pPr>
      <w:r w:rsidRPr="00BC43AE">
        <w:t>(e)</w:t>
      </w:r>
      <w:r w:rsidRPr="00BC43AE">
        <w:tab/>
        <w:t>Existing ISA/IPEA(s) assisting in assessment of extent to which criteria are met:</w:t>
      </w:r>
    </w:p>
    <w:p w14:paraId="411216EE" w14:textId="77777777" w:rsidR="000645A0" w:rsidRPr="00BC43AE" w:rsidRDefault="000645A0" w:rsidP="000645A0">
      <w:pPr>
        <w:pStyle w:val="Answer"/>
        <w:spacing w:after="0"/>
        <w:ind w:left="0"/>
      </w:pPr>
      <w:r w:rsidRPr="00BC43AE">
        <w:t>Spanish Patent and Trademark Office (OEPM).</w:t>
      </w:r>
    </w:p>
    <w:p w14:paraId="6E068AC4" w14:textId="77777777" w:rsidR="000645A0" w:rsidRPr="000645A0" w:rsidRDefault="000645A0" w:rsidP="000645A0">
      <w:pPr>
        <w:pStyle w:val="SectionHeading"/>
        <w:spacing w:after="0"/>
        <w:rPr>
          <w:lang w:val="en-US"/>
        </w:rPr>
      </w:pPr>
      <w:r w:rsidRPr="000645A0">
        <w:rPr>
          <w:lang w:val="en-US"/>
        </w:rPr>
        <w:t>2 – Minimum Requirements for Appointment</w:t>
      </w:r>
    </w:p>
    <w:p w14:paraId="0C066709" w14:textId="77777777" w:rsidR="000645A0" w:rsidRPr="000645A0" w:rsidRDefault="000645A0" w:rsidP="000645A0">
      <w:pPr>
        <w:pStyle w:val="SectionHeading"/>
        <w:spacing w:before="0" w:after="0" w:line="240" w:lineRule="auto"/>
        <w:rPr>
          <w:lang w:val="en-US"/>
        </w:rPr>
      </w:pPr>
      <w:r w:rsidRPr="000645A0">
        <w:rPr>
          <w:lang w:val="en-US"/>
        </w:rPr>
        <w:t>2.1. Search and examination capacity</w:t>
      </w:r>
    </w:p>
    <w:p w14:paraId="6CAB720C" w14:textId="77777777" w:rsidR="000645A0" w:rsidRPr="00BC43AE" w:rsidRDefault="000645A0" w:rsidP="000645A0">
      <w:pPr>
        <w:jc w:val="both"/>
        <w:rPr>
          <w:i/>
          <w:iCs/>
        </w:rPr>
      </w:pPr>
    </w:p>
    <w:p w14:paraId="084335E4" w14:textId="77777777" w:rsidR="000645A0" w:rsidRPr="00BC43AE" w:rsidRDefault="000645A0" w:rsidP="000645A0">
      <w:pPr>
        <w:pStyle w:val="RuleQuote"/>
      </w:pPr>
      <w:r w:rsidRPr="00BC43AE">
        <w:t>Rules 36.1(</w:t>
      </w:r>
      <w:proofErr w:type="spellStart"/>
      <w:r w:rsidRPr="00BC43AE">
        <w:t>i</w:t>
      </w:r>
      <w:proofErr w:type="spellEnd"/>
      <w:r w:rsidRPr="00BC43AE">
        <w:t>) and 63.1(</w:t>
      </w:r>
      <w:proofErr w:type="spellStart"/>
      <w:r w:rsidRPr="00BC43AE">
        <w:t>i</w:t>
      </w:r>
      <w:proofErr w:type="spellEnd"/>
      <w:r w:rsidRPr="00BC43AE">
        <w:t>)</w:t>
      </w:r>
      <w:proofErr w:type="gramStart"/>
      <w:r w:rsidRPr="00BC43AE">
        <w:t>:  The</w:t>
      </w:r>
      <w:proofErr w:type="gramEnd"/>
      <w:r w:rsidRPr="00BC43AE">
        <w:t xml:space="preserve"> national Office or intergovernmental organization must have at least 100 full-time employees with sufficient technical qualifications to carry out searches and examinations.</w:t>
      </w:r>
    </w:p>
    <w:p w14:paraId="1577254D" w14:textId="77777777" w:rsidR="000645A0" w:rsidRPr="00BC43AE" w:rsidRDefault="000645A0" w:rsidP="000645A0">
      <w:pPr>
        <w:pStyle w:val="Question"/>
        <w:spacing w:after="0"/>
      </w:pPr>
      <w:r w:rsidRPr="00BC43AE">
        <w:t>(a)</w:t>
      </w:r>
      <w:r w:rsidRPr="00BC43AE">
        <w:tab/>
        <w:t>Employees qualified to carry out search and examination:</w:t>
      </w:r>
    </w:p>
    <w:p w14:paraId="16DEBAAA" w14:textId="77777777" w:rsidR="000645A0" w:rsidRPr="00BC43AE" w:rsidRDefault="000645A0" w:rsidP="000645A0">
      <w:pPr>
        <w:jc w:val="both"/>
      </w:pPr>
      <w:r w:rsidRPr="00BC43AE">
        <w:t xml:space="preserve">Currently, the Patent Division has two Subdivisions for Substantive Examination, consisting of five Coordination Units for substantive examination of patents, utility models and industrial designs, according to the technical fields they cover: </w:t>
      </w:r>
    </w:p>
    <w:p w14:paraId="79ABCE5E" w14:textId="77777777" w:rsidR="000645A0" w:rsidRPr="00BC43AE" w:rsidRDefault="000645A0" w:rsidP="000645A0">
      <w:pPr>
        <w:pStyle w:val="ListParagraph"/>
        <w:ind w:left="930"/>
        <w:contextualSpacing w:val="0"/>
        <w:jc w:val="both"/>
        <w:rPr>
          <w:color w:val="0070C0"/>
        </w:rPr>
      </w:pPr>
    </w:p>
    <w:p w14:paraId="4F18D858" w14:textId="77777777" w:rsidR="000645A0" w:rsidRPr="00BC43AE" w:rsidRDefault="000645A0" w:rsidP="000645A0">
      <w:pPr>
        <w:pStyle w:val="ListParagraph"/>
        <w:numPr>
          <w:ilvl w:val="0"/>
          <w:numId w:val="9"/>
        </w:numPr>
        <w:contextualSpacing w:val="0"/>
        <w:jc w:val="both"/>
      </w:pPr>
      <w:bookmarkStart w:id="6" w:name="_Hlk210299785"/>
      <w:r w:rsidRPr="00BC43AE">
        <w:t xml:space="preserve">Patent Substantive Examination Coordination Unit, Mechanical </w:t>
      </w:r>
      <w:bookmarkEnd w:id="6"/>
      <w:r w:rsidRPr="00BC43AE">
        <w:t xml:space="preserve">Field. </w:t>
      </w:r>
    </w:p>
    <w:p w14:paraId="07308CE7" w14:textId="77777777" w:rsidR="000645A0" w:rsidRPr="00BC43AE" w:rsidRDefault="000645A0" w:rsidP="000645A0">
      <w:pPr>
        <w:pStyle w:val="ListParagraph"/>
        <w:numPr>
          <w:ilvl w:val="0"/>
          <w:numId w:val="9"/>
        </w:numPr>
        <w:contextualSpacing w:val="0"/>
        <w:jc w:val="both"/>
      </w:pPr>
      <w:r w:rsidRPr="00BC43AE">
        <w:t>Patent Substantive Examination Coordination Unit, Electrical Field.</w:t>
      </w:r>
    </w:p>
    <w:p w14:paraId="6C9A20BA" w14:textId="77777777" w:rsidR="000645A0" w:rsidRPr="00BC43AE" w:rsidRDefault="000645A0" w:rsidP="000645A0">
      <w:pPr>
        <w:pStyle w:val="ListParagraph"/>
        <w:numPr>
          <w:ilvl w:val="0"/>
          <w:numId w:val="9"/>
        </w:numPr>
        <w:contextualSpacing w:val="0"/>
        <w:jc w:val="both"/>
      </w:pPr>
      <w:r w:rsidRPr="00BC43AE">
        <w:t xml:space="preserve">Patent Substantive Examination Coordination Unit, Chemistry Field. </w:t>
      </w:r>
    </w:p>
    <w:p w14:paraId="6FE68337" w14:textId="77777777" w:rsidR="000645A0" w:rsidRPr="00BC43AE" w:rsidRDefault="000645A0" w:rsidP="000645A0">
      <w:pPr>
        <w:pStyle w:val="ListParagraph"/>
        <w:numPr>
          <w:ilvl w:val="0"/>
          <w:numId w:val="9"/>
        </w:numPr>
        <w:contextualSpacing w:val="0"/>
        <w:jc w:val="both"/>
      </w:pPr>
      <w:r w:rsidRPr="00BC43AE">
        <w:lastRenderedPageBreak/>
        <w:t>Patent Substantive Examination Coordination Unit, Pharmaceutical Field.</w:t>
      </w:r>
    </w:p>
    <w:p w14:paraId="7944DAB9" w14:textId="77777777" w:rsidR="000645A0" w:rsidRPr="00BC43AE" w:rsidRDefault="000645A0" w:rsidP="000645A0">
      <w:pPr>
        <w:pStyle w:val="ListParagraph"/>
        <w:numPr>
          <w:ilvl w:val="0"/>
          <w:numId w:val="9"/>
        </w:numPr>
        <w:contextualSpacing w:val="0"/>
        <w:jc w:val="both"/>
      </w:pPr>
      <w:r w:rsidRPr="00BC43AE">
        <w:t xml:space="preserve">Patent Substantive Examination Coordination Unit, Biotechnology Field. </w:t>
      </w:r>
    </w:p>
    <w:p w14:paraId="6187F440" w14:textId="77777777" w:rsidR="000645A0" w:rsidRPr="00BC43AE" w:rsidRDefault="000645A0" w:rsidP="000645A0">
      <w:pPr>
        <w:jc w:val="both"/>
      </w:pPr>
    </w:p>
    <w:p w14:paraId="37B21DA2" w14:textId="77777777" w:rsidR="000645A0" w:rsidRPr="00BC43AE" w:rsidRDefault="000645A0" w:rsidP="000645A0">
      <w:pPr>
        <w:jc w:val="both"/>
      </w:pPr>
      <w:r w:rsidRPr="00BC43AE">
        <w:t>In all, the substantive examination coordination teams for patents and utility models have 181 substantive examiners who work full-time on search and examination tasks, 10 area supervisors who oversee the examination work of the examiners under their charge and five area coordinators.</w:t>
      </w:r>
    </w:p>
    <w:p w14:paraId="47279649" w14:textId="77777777" w:rsidR="000645A0" w:rsidRPr="00BC43AE" w:rsidRDefault="000645A0" w:rsidP="000645A0">
      <w:pPr>
        <w:jc w:val="both"/>
      </w:pPr>
    </w:p>
    <w:p w14:paraId="54BD3E78" w14:textId="35CCF3CC" w:rsidR="000645A0" w:rsidRPr="00BC43AE" w:rsidRDefault="000645A0" w:rsidP="000645A0">
      <w:pPr>
        <w:jc w:val="both"/>
      </w:pPr>
      <w:r w:rsidRPr="00BC43AE">
        <w:t>The substantive examination team has a high degree of technical specialization.  All members hold bachelor</w:t>
      </w:r>
      <w:r w:rsidR="00185543">
        <w:t>’</w:t>
      </w:r>
      <w:r w:rsidRPr="00BC43AE">
        <w:t>s degrees, 1% hold specializations, 29% hold master</w:t>
      </w:r>
      <w:r w:rsidR="00185543">
        <w:t>’</w:t>
      </w:r>
      <w:r w:rsidRPr="00BC43AE">
        <w:t>s degrees, and 21% hold doctorate degrees, with 3% of these having postdoctoral fellowships.</w:t>
      </w:r>
    </w:p>
    <w:p w14:paraId="7B125429" w14:textId="77777777" w:rsidR="000645A0" w:rsidRPr="00BC43AE" w:rsidRDefault="000645A0" w:rsidP="000645A0">
      <w:pPr>
        <w:jc w:val="both"/>
      </w:pPr>
    </w:p>
    <w:p w14:paraId="0933AF8B" w14:textId="77777777" w:rsidR="000645A0" w:rsidRPr="00BC43AE" w:rsidRDefault="000645A0" w:rsidP="000645A0">
      <w:pPr>
        <w:jc w:val="both"/>
      </w:pPr>
      <w:r w:rsidRPr="00BC43AE">
        <w:t>The team possesses advanced knowledge of English and basic or intermediate knowledge of other languages such as French and German.</w:t>
      </w:r>
    </w:p>
    <w:p w14:paraId="1EE22AB6" w14:textId="77777777" w:rsidR="000645A0" w:rsidRPr="00BC43AE" w:rsidRDefault="000645A0" w:rsidP="000645A0">
      <w:pPr>
        <w:jc w:val="both"/>
      </w:pPr>
    </w:p>
    <w:p w14:paraId="658D38F8" w14:textId="77777777" w:rsidR="000645A0" w:rsidRPr="00BC43AE" w:rsidRDefault="000645A0" w:rsidP="000645A0">
      <w:pPr>
        <w:jc w:val="both"/>
      </w:pPr>
      <w:r w:rsidRPr="00BC43AE">
        <w:t xml:space="preserve">This year, a group of 84 examiners were recruited.  Of these examiners, 79 were assigned to the substantive examination of patents and utility models and are currently undergoing intensive training, which involves conducting substantive examinations with assigned tutors.  They are expected to conduct unsupervised </w:t>
      </w:r>
      <w:proofErr w:type="gramStart"/>
      <w:r w:rsidRPr="00BC43AE">
        <w:t>searches</w:t>
      </w:r>
      <w:proofErr w:type="gramEnd"/>
      <w:r w:rsidRPr="00BC43AE">
        <w:t xml:space="preserve"> and examinations within four months.</w:t>
      </w:r>
    </w:p>
    <w:p w14:paraId="75CF6C6A" w14:textId="77777777" w:rsidR="000645A0" w:rsidRPr="00BC43AE" w:rsidRDefault="000645A0" w:rsidP="000645A0">
      <w:pPr>
        <w:jc w:val="both"/>
        <w:rPr>
          <w:color w:val="0070C0"/>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alified employees to perform searches and examinations"/>
        <w:tblDescription w:val="This table shows the number of full-time equivalent examiners qualified to work in the technical fields of mechanics, electricity/electronics, chemistry and biotechnology, the average experience as examiners in each of the fields, and a breakdown of their qualifications."/>
      </w:tblPr>
      <w:tblGrid>
        <w:gridCol w:w="2186"/>
        <w:gridCol w:w="1941"/>
        <w:gridCol w:w="2551"/>
        <w:gridCol w:w="2551"/>
      </w:tblGrid>
      <w:tr w:rsidR="000645A0" w:rsidRPr="00BC43AE" w14:paraId="1FC974E8" w14:textId="77777777" w:rsidTr="00EA0A7F">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317F150C" w14:textId="77777777" w:rsidR="000645A0" w:rsidRPr="00BC43AE" w:rsidRDefault="000645A0" w:rsidP="00EA0A7F">
            <w:pPr>
              <w:keepNext/>
              <w:keepLines/>
              <w:suppressAutoHyphens/>
              <w:jc w:val="center"/>
              <w:rPr>
                <w:rFonts w:eastAsia="Times New Roman"/>
                <w:b/>
                <w:bCs/>
                <w:color w:val="FFFFFF" w:themeColor="background1"/>
                <w:szCs w:val="22"/>
              </w:rPr>
            </w:pPr>
            <w:r w:rsidRPr="00BC43AE">
              <w:rPr>
                <w:b/>
                <w:color w:val="FFFFFF" w:themeColor="background1"/>
              </w:rPr>
              <w:t>Technical field</w:t>
            </w:r>
          </w:p>
        </w:tc>
        <w:tc>
          <w:tcPr>
            <w:tcW w:w="194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3572E9E" w14:textId="77777777" w:rsidR="000645A0" w:rsidRPr="00BC43AE" w:rsidRDefault="000645A0" w:rsidP="00EA0A7F">
            <w:pPr>
              <w:keepNext/>
              <w:keepLines/>
              <w:suppressAutoHyphens/>
              <w:jc w:val="center"/>
              <w:rPr>
                <w:rFonts w:eastAsia="Times New Roman"/>
                <w:b/>
                <w:bCs/>
                <w:color w:val="FFFFFF" w:themeColor="background1"/>
                <w:szCs w:val="22"/>
              </w:rPr>
            </w:pPr>
            <w:r w:rsidRPr="00BC43AE">
              <w:rPr>
                <w:b/>
                <w:color w:val="FFFFFF" w:themeColor="background1"/>
              </w:rPr>
              <w:t>Number (in full-time equivalent)</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2A46B9E" w14:textId="77777777" w:rsidR="000645A0" w:rsidRPr="00BC43AE" w:rsidRDefault="000645A0" w:rsidP="00EA0A7F">
            <w:pPr>
              <w:suppressAutoHyphens/>
              <w:jc w:val="center"/>
              <w:rPr>
                <w:rFonts w:eastAsia="Times New Roman"/>
                <w:b/>
                <w:bCs/>
                <w:color w:val="FFFFFF" w:themeColor="background1"/>
                <w:szCs w:val="24"/>
              </w:rPr>
            </w:pPr>
            <w:r w:rsidRPr="00BC43AE">
              <w:rPr>
                <w:b/>
                <w:color w:val="FFFFFF" w:themeColor="background1"/>
              </w:rPr>
              <w:t>Average experience as examiners (years)</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28C16EEE" w14:textId="77777777" w:rsidR="000645A0" w:rsidRPr="00BC43AE" w:rsidRDefault="000645A0" w:rsidP="00EA0A7F">
            <w:pPr>
              <w:suppressAutoHyphens/>
              <w:jc w:val="center"/>
              <w:rPr>
                <w:rFonts w:eastAsia="Times New Roman"/>
                <w:b/>
                <w:bCs/>
                <w:color w:val="FFFFFF" w:themeColor="background1"/>
                <w:szCs w:val="24"/>
              </w:rPr>
            </w:pPr>
            <w:r w:rsidRPr="00BC43AE">
              <w:rPr>
                <w:b/>
                <w:color w:val="FFFFFF" w:themeColor="background1"/>
              </w:rPr>
              <w:t>Breakdown of qualifications</w:t>
            </w:r>
          </w:p>
        </w:tc>
      </w:tr>
      <w:tr w:rsidR="000645A0" w:rsidRPr="00BC43AE" w14:paraId="1FC5DAAA"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0E96B6F6" w14:textId="77777777" w:rsidR="000645A0" w:rsidRPr="00BC43AE" w:rsidRDefault="000645A0" w:rsidP="00EA0A7F">
            <w:pPr>
              <w:keepNext/>
              <w:keepLines/>
              <w:suppressAutoHyphens/>
              <w:jc w:val="center"/>
              <w:rPr>
                <w:rFonts w:eastAsia="Times New Roman"/>
                <w:szCs w:val="22"/>
              </w:rPr>
            </w:pPr>
            <w:r w:rsidRPr="00BC43AE">
              <w:t>Mechanical</w:t>
            </w:r>
          </w:p>
        </w:tc>
        <w:tc>
          <w:tcPr>
            <w:tcW w:w="1941" w:type="dxa"/>
            <w:tcBorders>
              <w:top w:val="single" w:sz="4" w:space="0" w:color="auto"/>
              <w:left w:val="single" w:sz="4" w:space="0" w:color="auto"/>
              <w:bottom w:val="single" w:sz="4" w:space="0" w:color="auto"/>
              <w:right w:val="single" w:sz="4" w:space="0" w:color="auto"/>
            </w:tcBorders>
          </w:tcPr>
          <w:p w14:paraId="46F5A434" w14:textId="77777777" w:rsidR="000645A0" w:rsidRPr="00BC43AE" w:rsidRDefault="000645A0" w:rsidP="00EA0A7F">
            <w:pPr>
              <w:keepNext/>
              <w:keepLines/>
              <w:suppressAutoHyphens/>
              <w:jc w:val="center"/>
            </w:pPr>
            <w:r w:rsidRPr="00BC43AE">
              <w:t>57</w:t>
            </w:r>
            <w:r w:rsidRPr="00BC43AE">
              <w:rPr>
                <w:rStyle w:val="FootnoteReference"/>
              </w:rPr>
              <w:footnoteReference w:id="2"/>
            </w:r>
          </w:p>
        </w:tc>
        <w:tc>
          <w:tcPr>
            <w:tcW w:w="2551" w:type="dxa"/>
            <w:tcBorders>
              <w:top w:val="single" w:sz="4" w:space="0" w:color="auto"/>
              <w:left w:val="single" w:sz="4" w:space="0" w:color="auto"/>
              <w:bottom w:val="single" w:sz="4" w:space="0" w:color="auto"/>
              <w:right w:val="single" w:sz="4" w:space="0" w:color="auto"/>
            </w:tcBorders>
          </w:tcPr>
          <w:p w14:paraId="58A93881"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Expert specialists: 15.7 years</w:t>
            </w:r>
          </w:p>
          <w:p w14:paraId="6EE98FFE" w14:textId="77777777" w:rsidR="000645A0" w:rsidRPr="00BC43AE" w:rsidRDefault="000645A0" w:rsidP="00EA0A7F">
            <w:pPr>
              <w:keepNext/>
              <w:keepLines/>
              <w:suppressAutoHyphens/>
              <w:rPr>
                <w:rFonts w:eastAsia="Times New Roman"/>
                <w:szCs w:val="22"/>
                <w:lang w:eastAsia="en-US" w:bidi="he-IL"/>
              </w:rPr>
            </w:pPr>
          </w:p>
          <w:p w14:paraId="1145E907"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Newly hired specialists: 8 months</w:t>
            </w:r>
          </w:p>
        </w:tc>
        <w:tc>
          <w:tcPr>
            <w:tcW w:w="2551" w:type="dxa"/>
            <w:tcBorders>
              <w:top w:val="single" w:sz="4" w:space="0" w:color="auto"/>
              <w:left w:val="single" w:sz="4" w:space="0" w:color="auto"/>
              <w:bottom w:val="single" w:sz="4" w:space="0" w:color="auto"/>
              <w:right w:val="single" w:sz="4" w:space="0" w:color="auto"/>
            </w:tcBorders>
          </w:tcPr>
          <w:p w14:paraId="42097ECB"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1 coordinator</w:t>
            </w:r>
          </w:p>
          <w:p w14:paraId="01521601"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4 supervisors</w:t>
            </w:r>
          </w:p>
          <w:p w14:paraId="4522D930"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 xml:space="preserve">52 examiners: </w:t>
            </w:r>
          </w:p>
          <w:p w14:paraId="64F2E273"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 xml:space="preserve">28 experts </w:t>
            </w:r>
          </w:p>
          <w:p w14:paraId="54E63D2D"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 xml:space="preserve">24 specialists </w:t>
            </w:r>
          </w:p>
        </w:tc>
      </w:tr>
      <w:tr w:rsidR="000645A0" w:rsidRPr="00BC43AE" w14:paraId="2FD52D7C"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04627424" w14:textId="77777777" w:rsidR="000645A0" w:rsidRPr="00BC43AE" w:rsidRDefault="000645A0" w:rsidP="00EA0A7F">
            <w:pPr>
              <w:keepNext/>
              <w:keepLines/>
              <w:suppressAutoHyphens/>
              <w:jc w:val="center"/>
              <w:rPr>
                <w:rFonts w:eastAsia="Times New Roman"/>
                <w:szCs w:val="22"/>
              </w:rPr>
            </w:pPr>
            <w:r w:rsidRPr="00BC43AE">
              <w:t>Electrical/electronic</w:t>
            </w:r>
          </w:p>
        </w:tc>
        <w:tc>
          <w:tcPr>
            <w:tcW w:w="1941" w:type="dxa"/>
            <w:tcBorders>
              <w:top w:val="single" w:sz="4" w:space="0" w:color="auto"/>
              <w:left w:val="single" w:sz="4" w:space="0" w:color="auto"/>
              <w:bottom w:val="single" w:sz="4" w:space="0" w:color="auto"/>
              <w:right w:val="single" w:sz="4" w:space="0" w:color="auto"/>
            </w:tcBorders>
          </w:tcPr>
          <w:p w14:paraId="500E4E63" w14:textId="77777777" w:rsidR="000645A0" w:rsidRPr="00BC43AE" w:rsidRDefault="000645A0" w:rsidP="00EA0A7F">
            <w:pPr>
              <w:keepNext/>
              <w:keepLines/>
              <w:suppressAutoHyphens/>
              <w:jc w:val="center"/>
              <w:rPr>
                <w:rFonts w:eastAsia="Times New Roman"/>
                <w:szCs w:val="22"/>
                <w:lang w:eastAsia="en-US" w:bidi="he-IL"/>
              </w:rPr>
            </w:pPr>
            <w:r w:rsidRPr="00BC43AE">
              <w:rPr>
                <w:rFonts w:eastAsia="Times New Roman"/>
                <w:szCs w:val="22"/>
                <w:lang w:eastAsia="en-US" w:bidi="he-IL"/>
              </w:rPr>
              <w:t>35</w:t>
            </w:r>
          </w:p>
        </w:tc>
        <w:tc>
          <w:tcPr>
            <w:tcW w:w="2551" w:type="dxa"/>
            <w:tcBorders>
              <w:top w:val="single" w:sz="4" w:space="0" w:color="auto"/>
              <w:left w:val="single" w:sz="4" w:space="0" w:color="auto"/>
              <w:bottom w:val="single" w:sz="4" w:space="0" w:color="auto"/>
              <w:right w:val="single" w:sz="4" w:space="0" w:color="auto"/>
            </w:tcBorders>
          </w:tcPr>
          <w:p w14:paraId="4FE2067A"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Experts; 15.8 years</w:t>
            </w:r>
          </w:p>
          <w:p w14:paraId="2D1F6058"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Specialists: 8 months</w:t>
            </w:r>
          </w:p>
        </w:tc>
        <w:tc>
          <w:tcPr>
            <w:tcW w:w="2551" w:type="dxa"/>
            <w:tcBorders>
              <w:top w:val="single" w:sz="4" w:space="0" w:color="auto"/>
              <w:left w:val="single" w:sz="4" w:space="0" w:color="auto"/>
              <w:bottom w:val="single" w:sz="4" w:space="0" w:color="auto"/>
              <w:right w:val="single" w:sz="4" w:space="0" w:color="auto"/>
            </w:tcBorders>
          </w:tcPr>
          <w:p w14:paraId="27BFEAA2"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1 coordinator</w:t>
            </w:r>
          </w:p>
          <w:p w14:paraId="08991A74"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2 supervisors</w:t>
            </w:r>
          </w:p>
          <w:p w14:paraId="74988032"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 xml:space="preserve">32 examiners: </w:t>
            </w:r>
          </w:p>
          <w:p w14:paraId="197AF6E0"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21 experts</w:t>
            </w:r>
          </w:p>
          <w:p w14:paraId="1D5DBAD5"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11 specialists</w:t>
            </w:r>
          </w:p>
        </w:tc>
      </w:tr>
      <w:tr w:rsidR="000645A0" w:rsidRPr="00BC43AE" w14:paraId="5030E8BA"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203EB90D" w14:textId="77777777" w:rsidR="000645A0" w:rsidRPr="00BC43AE" w:rsidRDefault="000645A0" w:rsidP="00EA0A7F">
            <w:pPr>
              <w:keepNext/>
              <w:keepLines/>
              <w:suppressAutoHyphens/>
              <w:jc w:val="center"/>
              <w:rPr>
                <w:rFonts w:eastAsia="Times New Roman"/>
                <w:szCs w:val="22"/>
              </w:rPr>
            </w:pPr>
            <w:r w:rsidRPr="00BC43AE">
              <w:t>Chemistry</w:t>
            </w:r>
          </w:p>
        </w:tc>
        <w:tc>
          <w:tcPr>
            <w:tcW w:w="1941" w:type="dxa"/>
            <w:tcBorders>
              <w:top w:val="single" w:sz="4" w:space="0" w:color="auto"/>
              <w:left w:val="single" w:sz="4" w:space="0" w:color="auto"/>
              <w:bottom w:val="single" w:sz="4" w:space="0" w:color="auto"/>
              <w:right w:val="single" w:sz="4" w:space="0" w:color="auto"/>
            </w:tcBorders>
          </w:tcPr>
          <w:p w14:paraId="214DFABF" w14:textId="77777777" w:rsidR="000645A0" w:rsidRPr="00BC43AE" w:rsidRDefault="000645A0" w:rsidP="00EA0A7F">
            <w:pPr>
              <w:keepNext/>
              <w:keepLines/>
              <w:suppressAutoHyphens/>
              <w:jc w:val="center"/>
              <w:rPr>
                <w:rFonts w:eastAsia="Times New Roman"/>
                <w:szCs w:val="22"/>
                <w:lang w:eastAsia="en-US" w:bidi="he-IL"/>
              </w:rPr>
            </w:pPr>
            <w:r w:rsidRPr="00BC43AE">
              <w:rPr>
                <w:rFonts w:eastAsia="Times New Roman"/>
                <w:szCs w:val="22"/>
                <w:lang w:eastAsia="en-US" w:bidi="he-IL"/>
              </w:rPr>
              <w:t>35</w:t>
            </w:r>
          </w:p>
        </w:tc>
        <w:tc>
          <w:tcPr>
            <w:tcW w:w="2551" w:type="dxa"/>
            <w:tcBorders>
              <w:top w:val="single" w:sz="4" w:space="0" w:color="auto"/>
              <w:left w:val="single" w:sz="4" w:space="0" w:color="auto"/>
              <w:bottom w:val="single" w:sz="4" w:space="0" w:color="auto"/>
              <w:right w:val="single" w:sz="4" w:space="0" w:color="auto"/>
            </w:tcBorders>
          </w:tcPr>
          <w:p w14:paraId="47992EC1"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Experts: 16.4 years</w:t>
            </w:r>
          </w:p>
          <w:p w14:paraId="5AA372E2" w14:textId="77777777" w:rsidR="000645A0" w:rsidRPr="00BC43AE" w:rsidRDefault="000645A0" w:rsidP="00EA0A7F">
            <w:pPr>
              <w:keepNext/>
              <w:keepLines/>
              <w:suppressAutoHyphens/>
              <w:rPr>
                <w:rFonts w:eastAsia="Times New Roman"/>
                <w:szCs w:val="22"/>
                <w:lang w:eastAsia="en-US" w:bidi="he-IL"/>
              </w:rPr>
            </w:pPr>
          </w:p>
          <w:p w14:paraId="4B7B40F6"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Specialists: 8 months</w:t>
            </w:r>
          </w:p>
        </w:tc>
        <w:tc>
          <w:tcPr>
            <w:tcW w:w="2551" w:type="dxa"/>
            <w:tcBorders>
              <w:top w:val="single" w:sz="4" w:space="0" w:color="auto"/>
              <w:left w:val="single" w:sz="4" w:space="0" w:color="auto"/>
              <w:bottom w:val="single" w:sz="4" w:space="0" w:color="auto"/>
              <w:right w:val="single" w:sz="4" w:space="0" w:color="auto"/>
            </w:tcBorders>
          </w:tcPr>
          <w:p w14:paraId="5277F6AE"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1 coordinator</w:t>
            </w:r>
          </w:p>
          <w:p w14:paraId="5F3F5ED4"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1 supervisor</w:t>
            </w:r>
          </w:p>
          <w:p w14:paraId="1D25E141"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33 examiners:</w:t>
            </w:r>
          </w:p>
          <w:p w14:paraId="513F4637"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 xml:space="preserve">18 experts </w:t>
            </w:r>
          </w:p>
          <w:p w14:paraId="03759063"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 xml:space="preserve">15 specialists </w:t>
            </w:r>
          </w:p>
        </w:tc>
      </w:tr>
      <w:tr w:rsidR="000645A0" w:rsidRPr="00BC43AE" w14:paraId="7895465A" w14:textId="77777777" w:rsidTr="00EA0A7F">
        <w:trPr>
          <w:cantSplit/>
          <w:trHeight w:val="1059"/>
        </w:trPr>
        <w:tc>
          <w:tcPr>
            <w:tcW w:w="2186" w:type="dxa"/>
            <w:tcBorders>
              <w:top w:val="single" w:sz="4" w:space="0" w:color="auto"/>
              <w:left w:val="single" w:sz="4" w:space="0" w:color="auto"/>
              <w:bottom w:val="single" w:sz="4" w:space="0" w:color="auto"/>
              <w:right w:val="single" w:sz="4" w:space="0" w:color="auto"/>
            </w:tcBorders>
          </w:tcPr>
          <w:p w14:paraId="7F5CFB56" w14:textId="77777777" w:rsidR="000645A0" w:rsidRPr="00BC43AE" w:rsidRDefault="000645A0" w:rsidP="00EA0A7F">
            <w:pPr>
              <w:keepNext/>
              <w:keepLines/>
              <w:suppressAutoHyphens/>
              <w:jc w:val="center"/>
            </w:pPr>
            <w:r w:rsidRPr="00BC43AE">
              <w:t>Pharmacy</w:t>
            </w:r>
          </w:p>
        </w:tc>
        <w:tc>
          <w:tcPr>
            <w:tcW w:w="1941" w:type="dxa"/>
            <w:tcBorders>
              <w:top w:val="single" w:sz="4" w:space="0" w:color="auto"/>
              <w:left w:val="single" w:sz="4" w:space="0" w:color="auto"/>
              <w:bottom w:val="single" w:sz="4" w:space="0" w:color="auto"/>
              <w:right w:val="single" w:sz="4" w:space="0" w:color="auto"/>
            </w:tcBorders>
          </w:tcPr>
          <w:p w14:paraId="2D23154B" w14:textId="77777777" w:rsidR="000645A0" w:rsidRPr="00BC43AE" w:rsidRDefault="000645A0" w:rsidP="00EA0A7F">
            <w:pPr>
              <w:keepNext/>
              <w:keepLines/>
              <w:suppressAutoHyphens/>
              <w:jc w:val="center"/>
              <w:rPr>
                <w:rFonts w:eastAsia="Times New Roman"/>
                <w:szCs w:val="22"/>
                <w:lang w:eastAsia="en-US" w:bidi="he-IL"/>
              </w:rPr>
            </w:pPr>
            <w:r w:rsidRPr="00BC43AE">
              <w:rPr>
                <w:rFonts w:eastAsia="Times New Roman"/>
                <w:szCs w:val="22"/>
                <w:lang w:eastAsia="en-US" w:bidi="he-IL"/>
              </w:rPr>
              <w:t>33</w:t>
            </w:r>
          </w:p>
        </w:tc>
        <w:tc>
          <w:tcPr>
            <w:tcW w:w="2551" w:type="dxa"/>
            <w:tcBorders>
              <w:top w:val="single" w:sz="4" w:space="0" w:color="auto"/>
              <w:left w:val="single" w:sz="4" w:space="0" w:color="auto"/>
              <w:bottom w:val="single" w:sz="4" w:space="0" w:color="auto"/>
              <w:right w:val="single" w:sz="4" w:space="0" w:color="auto"/>
            </w:tcBorders>
          </w:tcPr>
          <w:p w14:paraId="35F4AC3F"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Experts: 12.82 years</w:t>
            </w:r>
          </w:p>
          <w:p w14:paraId="0680CA1A" w14:textId="77777777" w:rsidR="000645A0" w:rsidRPr="00BC43AE" w:rsidRDefault="000645A0" w:rsidP="00EA0A7F">
            <w:pPr>
              <w:keepNext/>
              <w:keepLines/>
              <w:suppressAutoHyphens/>
              <w:rPr>
                <w:rFonts w:eastAsia="Times New Roman"/>
                <w:szCs w:val="22"/>
                <w:lang w:eastAsia="en-US" w:bidi="he-IL"/>
              </w:rPr>
            </w:pPr>
          </w:p>
          <w:p w14:paraId="15D5F96D"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Specialists: 8 months</w:t>
            </w:r>
          </w:p>
        </w:tc>
        <w:tc>
          <w:tcPr>
            <w:tcW w:w="2551" w:type="dxa"/>
            <w:tcBorders>
              <w:top w:val="single" w:sz="4" w:space="0" w:color="auto"/>
              <w:left w:val="single" w:sz="4" w:space="0" w:color="auto"/>
              <w:bottom w:val="single" w:sz="4" w:space="0" w:color="auto"/>
              <w:right w:val="single" w:sz="4" w:space="0" w:color="auto"/>
            </w:tcBorders>
          </w:tcPr>
          <w:p w14:paraId="4CCE83FE"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 xml:space="preserve">1 coordinator </w:t>
            </w:r>
          </w:p>
          <w:p w14:paraId="29AA865C"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2 supervisors</w:t>
            </w:r>
          </w:p>
          <w:p w14:paraId="0DF13E28"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30 examiners:</w:t>
            </w:r>
          </w:p>
          <w:p w14:paraId="7AEA49FD"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17 experts</w:t>
            </w:r>
          </w:p>
          <w:p w14:paraId="0925575D"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13 specialists</w:t>
            </w:r>
          </w:p>
        </w:tc>
      </w:tr>
      <w:tr w:rsidR="000645A0" w:rsidRPr="00BC43AE" w14:paraId="28A80E10"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11B8D40C" w14:textId="77777777" w:rsidR="000645A0" w:rsidRPr="00BC43AE" w:rsidRDefault="000645A0" w:rsidP="00EA0A7F">
            <w:pPr>
              <w:keepNext/>
              <w:keepLines/>
              <w:suppressAutoHyphens/>
              <w:jc w:val="center"/>
              <w:rPr>
                <w:rFonts w:eastAsia="Times New Roman"/>
                <w:szCs w:val="22"/>
              </w:rPr>
            </w:pPr>
            <w:r w:rsidRPr="00BC43AE">
              <w:t>Biotechnology</w:t>
            </w:r>
          </w:p>
        </w:tc>
        <w:tc>
          <w:tcPr>
            <w:tcW w:w="1941" w:type="dxa"/>
            <w:tcBorders>
              <w:top w:val="single" w:sz="4" w:space="0" w:color="auto"/>
              <w:left w:val="single" w:sz="4" w:space="0" w:color="auto"/>
              <w:bottom w:val="single" w:sz="4" w:space="0" w:color="auto"/>
              <w:right w:val="single" w:sz="4" w:space="0" w:color="auto"/>
            </w:tcBorders>
          </w:tcPr>
          <w:p w14:paraId="7AAB92D1" w14:textId="77777777" w:rsidR="000645A0" w:rsidRPr="00BC43AE" w:rsidRDefault="000645A0" w:rsidP="00EA0A7F">
            <w:pPr>
              <w:keepNext/>
              <w:keepLines/>
              <w:suppressAutoHyphens/>
              <w:jc w:val="center"/>
              <w:rPr>
                <w:rFonts w:eastAsia="Times New Roman"/>
                <w:szCs w:val="22"/>
                <w:lang w:eastAsia="en-US" w:bidi="he-IL"/>
              </w:rPr>
            </w:pPr>
            <w:r w:rsidRPr="00BC43AE">
              <w:rPr>
                <w:rFonts w:eastAsia="Times New Roman"/>
                <w:szCs w:val="22"/>
                <w:lang w:eastAsia="en-US" w:bidi="he-IL"/>
              </w:rPr>
              <w:t>36</w:t>
            </w:r>
          </w:p>
        </w:tc>
        <w:tc>
          <w:tcPr>
            <w:tcW w:w="2551" w:type="dxa"/>
            <w:tcBorders>
              <w:top w:val="single" w:sz="4" w:space="0" w:color="auto"/>
              <w:left w:val="single" w:sz="4" w:space="0" w:color="auto"/>
              <w:bottom w:val="single" w:sz="4" w:space="0" w:color="auto"/>
              <w:right w:val="single" w:sz="4" w:space="0" w:color="auto"/>
            </w:tcBorders>
          </w:tcPr>
          <w:p w14:paraId="232C608D"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Experts: 15.8</w:t>
            </w:r>
          </w:p>
          <w:p w14:paraId="7880C82D" w14:textId="77777777" w:rsidR="000645A0" w:rsidRPr="00BC43AE" w:rsidRDefault="000645A0" w:rsidP="00EA0A7F">
            <w:pPr>
              <w:keepNext/>
              <w:keepLines/>
              <w:suppressAutoHyphens/>
              <w:rPr>
                <w:rFonts w:eastAsia="Times New Roman"/>
                <w:szCs w:val="22"/>
                <w:lang w:eastAsia="en-US" w:bidi="he-IL"/>
              </w:rPr>
            </w:pPr>
          </w:p>
          <w:p w14:paraId="7F8C6712"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Specialists: 8 months</w:t>
            </w:r>
          </w:p>
        </w:tc>
        <w:tc>
          <w:tcPr>
            <w:tcW w:w="2551" w:type="dxa"/>
            <w:tcBorders>
              <w:top w:val="single" w:sz="4" w:space="0" w:color="auto"/>
              <w:left w:val="single" w:sz="4" w:space="0" w:color="auto"/>
              <w:bottom w:val="single" w:sz="4" w:space="0" w:color="auto"/>
              <w:right w:val="single" w:sz="4" w:space="0" w:color="auto"/>
            </w:tcBorders>
          </w:tcPr>
          <w:p w14:paraId="485B2024"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1 coordinator</w:t>
            </w:r>
          </w:p>
          <w:p w14:paraId="6AECCFA1"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 xml:space="preserve">1 supervisor </w:t>
            </w:r>
          </w:p>
          <w:p w14:paraId="19E6496E" w14:textId="77777777" w:rsidR="000645A0" w:rsidRPr="00BC43AE" w:rsidRDefault="000645A0" w:rsidP="00EA0A7F">
            <w:pPr>
              <w:keepNext/>
              <w:keepLines/>
              <w:suppressAutoHyphens/>
              <w:rPr>
                <w:rFonts w:eastAsia="Times New Roman"/>
                <w:szCs w:val="22"/>
                <w:lang w:eastAsia="en-US" w:bidi="he-IL"/>
              </w:rPr>
            </w:pPr>
            <w:r w:rsidRPr="00BC43AE">
              <w:rPr>
                <w:rFonts w:eastAsia="Times New Roman"/>
                <w:szCs w:val="22"/>
                <w:lang w:eastAsia="en-US" w:bidi="he-IL"/>
              </w:rPr>
              <w:t xml:space="preserve">34 examiners: </w:t>
            </w:r>
          </w:p>
          <w:p w14:paraId="329BB0D7"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19 experts</w:t>
            </w:r>
          </w:p>
          <w:p w14:paraId="19DC0492" w14:textId="77777777" w:rsidR="000645A0" w:rsidRPr="00BC43AE" w:rsidRDefault="000645A0" w:rsidP="00EA0A7F">
            <w:pPr>
              <w:keepNext/>
              <w:keepLines/>
              <w:suppressAutoHyphens/>
              <w:ind w:left="300"/>
              <w:rPr>
                <w:rFonts w:eastAsia="Times New Roman"/>
                <w:szCs w:val="22"/>
                <w:lang w:eastAsia="en-US" w:bidi="he-IL"/>
              </w:rPr>
            </w:pPr>
            <w:r w:rsidRPr="00BC43AE">
              <w:rPr>
                <w:rFonts w:eastAsia="Times New Roman"/>
                <w:szCs w:val="22"/>
                <w:lang w:eastAsia="en-US" w:bidi="he-IL"/>
              </w:rPr>
              <w:t>15 specialists</w:t>
            </w:r>
          </w:p>
        </w:tc>
      </w:tr>
      <w:tr w:rsidR="000645A0" w:rsidRPr="00BC43AE" w14:paraId="22741E49"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5230380E" w14:textId="77777777" w:rsidR="000645A0" w:rsidRPr="00BC43AE" w:rsidRDefault="000645A0" w:rsidP="00EA0A7F">
            <w:pPr>
              <w:suppressAutoHyphens/>
              <w:jc w:val="center"/>
              <w:rPr>
                <w:rFonts w:eastAsia="Times New Roman"/>
                <w:i/>
                <w:iCs/>
                <w:szCs w:val="22"/>
              </w:rPr>
            </w:pPr>
            <w:r w:rsidRPr="00BC43AE">
              <w:rPr>
                <w:i/>
              </w:rPr>
              <w:t>Total</w:t>
            </w:r>
          </w:p>
        </w:tc>
        <w:tc>
          <w:tcPr>
            <w:tcW w:w="1941" w:type="dxa"/>
            <w:tcBorders>
              <w:top w:val="single" w:sz="4" w:space="0" w:color="auto"/>
              <w:left w:val="single" w:sz="4" w:space="0" w:color="auto"/>
              <w:bottom w:val="single" w:sz="4" w:space="0" w:color="auto"/>
              <w:right w:val="single" w:sz="4" w:space="0" w:color="auto"/>
            </w:tcBorders>
          </w:tcPr>
          <w:p w14:paraId="1EE34C6D" w14:textId="77777777" w:rsidR="000645A0" w:rsidRPr="00BC43AE" w:rsidRDefault="000645A0" w:rsidP="00EA0A7F">
            <w:pPr>
              <w:suppressAutoHyphens/>
              <w:jc w:val="center"/>
              <w:rPr>
                <w:rFonts w:eastAsia="Times New Roman"/>
                <w:i/>
                <w:iCs/>
                <w:szCs w:val="22"/>
                <w:lang w:eastAsia="en-US" w:bidi="he-IL"/>
              </w:rPr>
            </w:pPr>
            <w:r w:rsidRPr="00BC43AE">
              <w:rPr>
                <w:rFonts w:eastAsia="Times New Roman"/>
                <w:i/>
                <w:iCs/>
                <w:szCs w:val="22"/>
                <w:lang w:eastAsia="en-US" w:bidi="he-IL"/>
              </w:rPr>
              <w:t>196</w:t>
            </w:r>
          </w:p>
        </w:tc>
        <w:tc>
          <w:tcPr>
            <w:tcW w:w="2551" w:type="dxa"/>
            <w:tcBorders>
              <w:top w:val="single" w:sz="4" w:space="0" w:color="auto"/>
              <w:left w:val="single" w:sz="4" w:space="0" w:color="auto"/>
              <w:bottom w:val="single" w:sz="4" w:space="0" w:color="auto"/>
              <w:right w:val="single" w:sz="4" w:space="0" w:color="auto"/>
            </w:tcBorders>
          </w:tcPr>
          <w:p w14:paraId="10F7B530" w14:textId="77777777" w:rsidR="000645A0" w:rsidRPr="00BC43AE" w:rsidRDefault="000645A0" w:rsidP="00EA0A7F">
            <w:pPr>
              <w:suppressAutoHyphens/>
              <w:rPr>
                <w:rFonts w:eastAsia="Times New Roman"/>
                <w:i/>
                <w:iCs/>
                <w:szCs w:val="22"/>
                <w:lang w:eastAsia="en-US" w:bidi="he-IL"/>
              </w:rPr>
            </w:pPr>
          </w:p>
        </w:tc>
        <w:tc>
          <w:tcPr>
            <w:tcW w:w="2551" w:type="dxa"/>
            <w:tcBorders>
              <w:top w:val="single" w:sz="4" w:space="0" w:color="auto"/>
              <w:left w:val="single" w:sz="4" w:space="0" w:color="auto"/>
              <w:bottom w:val="single" w:sz="4" w:space="0" w:color="auto"/>
              <w:right w:val="single" w:sz="4" w:space="0" w:color="auto"/>
            </w:tcBorders>
          </w:tcPr>
          <w:p w14:paraId="09EE9FC6" w14:textId="77777777" w:rsidR="000645A0" w:rsidRPr="00BC43AE" w:rsidRDefault="000645A0" w:rsidP="00EA0A7F">
            <w:pPr>
              <w:suppressAutoHyphens/>
              <w:rPr>
                <w:rFonts w:eastAsia="Times New Roman"/>
                <w:i/>
                <w:iCs/>
                <w:szCs w:val="22"/>
                <w:lang w:eastAsia="en-US" w:bidi="he-IL"/>
              </w:rPr>
            </w:pPr>
            <w:r w:rsidRPr="00BC43AE">
              <w:rPr>
                <w:rFonts w:eastAsia="Times New Roman"/>
                <w:i/>
                <w:iCs/>
                <w:szCs w:val="22"/>
                <w:lang w:eastAsia="en-US" w:bidi="he-IL"/>
              </w:rPr>
              <w:t>196</w:t>
            </w:r>
          </w:p>
        </w:tc>
      </w:tr>
    </w:tbl>
    <w:p w14:paraId="5BBAA891" w14:textId="77777777" w:rsidR="000645A0" w:rsidRPr="00BC43AE" w:rsidRDefault="000645A0" w:rsidP="000645A0">
      <w:pPr>
        <w:pStyle w:val="Question"/>
        <w:spacing w:after="0"/>
      </w:pPr>
    </w:p>
    <w:p w14:paraId="22E1988C" w14:textId="77777777" w:rsidR="000645A0" w:rsidRPr="00BC43AE" w:rsidRDefault="000645A0" w:rsidP="000645A0">
      <w:pPr>
        <w:pStyle w:val="Question"/>
        <w:spacing w:after="0"/>
      </w:pPr>
      <w:r w:rsidRPr="00BC43AE">
        <w:t>(b)</w:t>
      </w:r>
      <w:r w:rsidRPr="00BC43AE">
        <w:tab/>
        <w:t>Training programs</w:t>
      </w:r>
    </w:p>
    <w:p w14:paraId="43A5EC7B" w14:textId="77777777" w:rsidR="000645A0" w:rsidRPr="00BC43AE" w:rsidRDefault="000645A0" w:rsidP="000645A0">
      <w:pPr>
        <w:pStyle w:val="Answer"/>
        <w:spacing w:after="0"/>
        <w:ind w:left="0"/>
        <w:jc w:val="both"/>
      </w:pPr>
    </w:p>
    <w:p w14:paraId="4F6DF84F" w14:textId="77777777" w:rsidR="000645A0" w:rsidRPr="00BC43AE" w:rsidRDefault="000645A0" w:rsidP="000645A0">
      <w:pPr>
        <w:pStyle w:val="Answer"/>
        <w:spacing w:after="0"/>
        <w:ind w:left="0"/>
        <w:jc w:val="both"/>
      </w:pPr>
      <w:r w:rsidRPr="00BC43AE">
        <w:t xml:space="preserve">Through its Patent Division, the IMPI has developed an intensive training program for new examiners, lasting approximately six weeks (see table). </w:t>
      </w:r>
    </w:p>
    <w:p w14:paraId="48DBCF6E" w14:textId="77777777" w:rsidR="000645A0" w:rsidRPr="00BC43AE" w:rsidRDefault="000645A0" w:rsidP="000645A0">
      <w:pPr>
        <w:pStyle w:val="Answer"/>
        <w:spacing w:after="0"/>
        <w:ind w:left="0"/>
        <w:jc w:val="both"/>
      </w:pPr>
    </w:p>
    <w:p w14:paraId="33B19BE8" w14:textId="77777777" w:rsidR="000645A0" w:rsidRPr="00BC43AE" w:rsidRDefault="000645A0" w:rsidP="000645A0">
      <w:pPr>
        <w:pStyle w:val="Answer"/>
        <w:spacing w:after="0"/>
        <w:ind w:left="0"/>
        <w:jc w:val="both"/>
      </w:pPr>
      <w:r w:rsidRPr="00BC43AE">
        <w:t xml:space="preserve">Thereafter, training is provided on the job and supervised by a mentor, who is an experienced examiner, for approximately one year until the new examiners can independently conduct searches and examine the patent applications assigned to them.  The examiners discuss the technical aspects of all work generated with the mentor, the supervisor, and/or the coordinator to standardize examination criteria and reinforce the concepts of patentability in accordance with the examination practices of the IMPI and the provisions of the Federal Law on Industrial Property Protection and other applicable legal provisions. </w:t>
      </w:r>
    </w:p>
    <w:p w14:paraId="3FB6F12B" w14:textId="77777777" w:rsidR="000645A0" w:rsidRPr="00BC43AE" w:rsidRDefault="000645A0" w:rsidP="000645A0">
      <w:pPr>
        <w:pStyle w:val="Answer"/>
        <w:spacing w:after="0"/>
        <w:ind w:left="0"/>
        <w:jc w:val="both"/>
      </w:pPr>
    </w:p>
    <w:p w14:paraId="684EC8F3" w14:textId="77777777" w:rsidR="000645A0" w:rsidRPr="00BC43AE" w:rsidRDefault="000645A0" w:rsidP="000645A0">
      <w:pPr>
        <w:jc w:val="center"/>
        <w:rPr>
          <w:b/>
          <w:szCs w:val="22"/>
        </w:rPr>
      </w:pPr>
      <w:r w:rsidRPr="00BC43AE">
        <w:rPr>
          <w:b/>
          <w:szCs w:val="22"/>
        </w:rPr>
        <w:t>Training program for new substantive examiners of the IMPI Patent Division</w:t>
      </w:r>
    </w:p>
    <w:p w14:paraId="317FF350" w14:textId="77777777" w:rsidR="000645A0" w:rsidRPr="00BC43AE" w:rsidRDefault="000645A0" w:rsidP="000645A0">
      <w:pPr>
        <w:tabs>
          <w:tab w:val="left" w:pos="1999"/>
        </w:tabs>
        <w:rPr>
          <w:sz w:val="20"/>
        </w:rPr>
      </w:pPr>
    </w:p>
    <w:p w14:paraId="14A60028" w14:textId="77777777" w:rsidR="000645A0" w:rsidRPr="00BC43AE" w:rsidRDefault="000645A0" w:rsidP="000645A0">
      <w:pPr>
        <w:jc w:val="center"/>
        <w:rPr>
          <w:b/>
        </w:rPr>
      </w:pPr>
      <w:r w:rsidRPr="00BC43AE">
        <w:rPr>
          <w:b/>
        </w:rPr>
        <w:t>Program</w:t>
      </w:r>
    </w:p>
    <w:p w14:paraId="3F60CBEF" w14:textId="77777777" w:rsidR="000645A0" w:rsidRPr="00BC43AE" w:rsidRDefault="000645A0" w:rsidP="000645A0">
      <w:pPr>
        <w:jc w:val="center"/>
        <w:rPr>
          <w:b/>
          <w:color w:val="245C4F"/>
        </w:rPr>
      </w:pPr>
    </w:p>
    <w:tbl>
      <w:tblPr>
        <w:tblStyle w:val="TableGrid"/>
        <w:tblW w:w="0" w:type="auto"/>
        <w:jc w:val="center"/>
        <w:tblLook w:val="04A0" w:firstRow="1" w:lastRow="0" w:firstColumn="1" w:lastColumn="0" w:noHBand="0" w:noVBand="1"/>
        <w:tblCaption w:val="Training program for new substantive examiners of the IMPI Patent Division"/>
        <w:tblDescription w:val="This table shows the 10 modules that new patent examiners take as part of their training program when joining IMPI"/>
      </w:tblPr>
      <w:tblGrid>
        <w:gridCol w:w="1550"/>
        <w:gridCol w:w="3404"/>
        <w:gridCol w:w="4109"/>
      </w:tblGrid>
      <w:tr w:rsidR="000645A0" w:rsidRPr="00BC43AE" w14:paraId="5D481016" w14:textId="77777777" w:rsidTr="00EA0A7F">
        <w:trPr>
          <w:jc w:val="center"/>
        </w:trPr>
        <w:tc>
          <w:tcPr>
            <w:tcW w:w="1550" w:type="dxa"/>
          </w:tcPr>
          <w:p w14:paraId="7F7C5BA6" w14:textId="77777777" w:rsidR="000645A0" w:rsidRPr="00F82283" w:rsidRDefault="000645A0" w:rsidP="00EA0A7F">
            <w:pPr>
              <w:jc w:val="both"/>
              <w:rPr>
                <w:sz w:val="20"/>
              </w:rPr>
            </w:pPr>
            <w:r w:rsidRPr="00F82283">
              <w:rPr>
                <w:b/>
                <w:sz w:val="20"/>
              </w:rPr>
              <w:t>Objective:</w:t>
            </w:r>
          </w:p>
        </w:tc>
        <w:tc>
          <w:tcPr>
            <w:tcW w:w="7513" w:type="dxa"/>
            <w:gridSpan w:val="2"/>
          </w:tcPr>
          <w:p w14:paraId="60D4E89D" w14:textId="77777777" w:rsidR="000645A0" w:rsidRPr="00F82283" w:rsidRDefault="000645A0" w:rsidP="00EA0A7F">
            <w:pPr>
              <w:jc w:val="both"/>
              <w:rPr>
                <w:sz w:val="20"/>
              </w:rPr>
            </w:pPr>
            <w:r w:rsidRPr="00F82283">
              <w:rPr>
                <w:sz w:val="20"/>
              </w:rPr>
              <w:t xml:space="preserve">To lay down the general guidelines to be followed by patent examiners during substantive examinations, when determining the tasks to be performed and their respective hierarchies. </w:t>
            </w:r>
          </w:p>
          <w:p w14:paraId="62ECABDF" w14:textId="77777777" w:rsidR="000645A0" w:rsidRPr="00F82283" w:rsidRDefault="000645A0" w:rsidP="00EA0A7F">
            <w:pPr>
              <w:jc w:val="both"/>
              <w:rPr>
                <w:sz w:val="20"/>
              </w:rPr>
            </w:pPr>
          </w:p>
          <w:p w14:paraId="2C8A65E0" w14:textId="77777777" w:rsidR="000645A0" w:rsidRPr="00F82283" w:rsidRDefault="000645A0" w:rsidP="00EA0A7F">
            <w:pPr>
              <w:jc w:val="both"/>
              <w:rPr>
                <w:sz w:val="20"/>
              </w:rPr>
            </w:pPr>
            <w:r w:rsidRPr="00F82283">
              <w:rPr>
                <w:sz w:val="20"/>
              </w:rPr>
              <w:t>Duration: 51 hours</w:t>
            </w:r>
          </w:p>
          <w:p w14:paraId="54731060" w14:textId="77777777" w:rsidR="000645A0" w:rsidRPr="00F82283" w:rsidRDefault="000645A0" w:rsidP="00EA0A7F">
            <w:pPr>
              <w:jc w:val="both"/>
              <w:rPr>
                <w:sz w:val="20"/>
              </w:rPr>
            </w:pPr>
          </w:p>
        </w:tc>
      </w:tr>
      <w:tr w:rsidR="000645A0" w:rsidRPr="00BC43AE" w14:paraId="09EA2CB5" w14:textId="77777777" w:rsidTr="00EA0A7F">
        <w:trPr>
          <w:jc w:val="center"/>
        </w:trPr>
        <w:tc>
          <w:tcPr>
            <w:tcW w:w="9063" w:type="dxa"/>
            <w:gridSpan w:val="3"/>
            <w:tcBorders>
              <w:bottom w:val="single" w:sz="4" w:space="0" w:color="auto"/>
            </w:tcBorders>
          </w:tcPr>
          <w:p w14:paraId="309DF455" w14:textId="77777777" w:rsidR="000645A0" w:rsidRPr="008E61D3" w:rsidRDefault="000645A0" w:rsidP="00EA0A7F">
            <w:pPr>
              <w:rPr>
                <w:b/>
                <w:bCs/>
                <w:color w:val="621132"/>
                <w:sz w:val="20"/>
              </w:rPr>
            </w:pPr>
          </w:p>
          <w:p w14:paraId="36B340A3" w14:textId="77777777" w:rsidR="000645A0" w:rsidRPr="008E61D3" w:rsidRDefault="000645A0" w:rsidP="00EA0A7F">
            <w:pPr>
              <w:rPr>
                <w:b/>
                <w:bCs/>
                <w:color w:val="621132"/>
                <w:sz w:val="20"/>
              </w:rPr>
            </w:pPr>
            <w:r w:rsidRPr="008E61D3">
              <w:rPr>
                <w:b/>
                <w:bCs/>
                <w:color w:val="621132"/>
                <w:sz w:val="20"/>
              </w:rPr>
              <w:t>Module I. General knowledge of patent examination</w:t>
            </w:r>
          </w:p>
          <w:p w14:paraId="15C38C4D" w14:textId="77777777" w:rsidR="000645A0" w:rsidRPr="008E61D3" w:rsidRDefault="000645A0" w:rsidP="00EA0A7F">
            <w:pPr>
              <w:jc w:val="both"/>
              <w:rPr>
                <w:color w:val="4A442A" w:themeColor="background2" w:themeShade="40"/>
                <w:sz w:val="20"/>
              </w:rPr>
            </w:pPr>
          </w:p>
        </w:tc>
      </w:tr>
      <w:tr w:rsidR="000645A0" w:rsidRPr="00BC43AE" w14:paraId="400E502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7C1E136"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3E9BD11" w14:textId="77777777" w:rsidR="000645A0" w:rsidRPr="008E61D3" w:rsidRDefault="000645A0" w:rsidP="00EA0A7F">
            <w:pPr>
              <w:jc w:val="center"/>
              <w:rPr>
                <w:b/>
                <w:color w:val="621132"/>
                <w:sz w:val="20"/>
              </w:rPr>
            </w:pPr>
            <w:r w:rsidRPr="008E61D3">
              <w:rPr>
                <w:b/>
                <w:color w:val="621132"/>
                <w:sz w:val="20"/>
              </w:rPr>
              <w:t>Points to discuss/activities</w:t>
            </w:r>
          </w:p>
          <w:p w14:paraId="1907171C" w14:textId="77777777" w:rsidR="000645A0" w:rsidRPr="008E61D3" w:rsidRDefault="000645A0" w:rsidP="00EA0A7F">
            <w:pPr>
              <w:jc w:val="center"/>
              <w:rPr>
                <w:b/>
                <w:color w:val="621132"/>
                <w:sz w:val="20"/>
              </w:rPr>
            </w:pPr>
          </w:p>
        </w:tc>
      </w:tr>
      <w:tr w:rsidR="000645A0" w:rsidRPr="00BC43AE" w14:paraId="0112F93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025F736" w14:textId="40C7ECED" w:rsidR="000645A0" w:rsidRPr="00F82283" w:rsidRDefault="006D70B2" w:rsidP="00EA0A7F">
            <w:pPr>
              <w:pStyle w:val="ListParagraph"/>
              <w:numPr>
                <w:ilvl w:val="0"/>
                <w:numId w:val="10"/>
              </w:numPr>
              <w:ind w:left="459" w:hanging="283"/>
              <w:contextualSpacing w:val="0"/>
              <w:jc w:val="both"/>
              <w:rPr>
                <w:b/>
                <w:bCs/>
                <w:sz w:val="20"/>
              </w:rPr>
            </w:pPr>
            <w:r w:rsidRPr="00F82283">
              <w:rPr>
                <w:b/>
                <w:bCs/>
                <w:sz w:val="20"/>
              </w:rPr>
              <w:t xml:space="preserve"> </w:t>
            </w:r>
            <w:r w:rsidR="000645A0" w:rsidRPr="00F82283">
              <w:rPr>
                <w:b/>
                <w:bCs/>
                <w:sz w:val="20"/>
              </w:rPr>
              <w:t>Introduction</w:t>
            </w:r>
          </w:p>
          <w:p w14:paraId="4B897C94" w14:textId="50D91092" w:rsidR="000645A0" w:rsidRPr="00F82283" w:rsidRDefault="006D70B2" w:rsidP="00EA0A7F">
            <w:pPr>
              <w:pStyle w:val="ListParagraph"/>
              <w:numPr>
                <w:ilvl w:val="1"/>
                <w:numId w:val="10"/>
              </w:numPr>
              <w:ind w:left="459" w:hanging="283"/>
              <w:contextualSpacing w:val="0"/>
              <w:jc w:val="both"/>
              <w:rPr>
                <w:sz w:val="20"/>
              </w:rPr>
            </w:pPr>
            <w:r w:rsidRPr="00F82283">
              <w:rPr>
                <w:sz w:val="20"/>
              </w:rPr>
              <w:t xml:space="preserve"> </w:t>
            </w:r>
            <w:r w:rsidR="000645A0" w:rsidRPr="00F82283">
              <w:rPr>
                <w:sz w:val="20"/>
              </w:rPr>
              <w:t>Introduction to IMPI</w:t>
            </w:r>
          </w:p>
          <w:p w14:paraId="747D08D0" w14:textId="325D8E07" w:rsidR="000645A0" w:rsidRPr="00F82283" w:rsidRDefault="006D70B2" w:rsidP="00EA0A7F">
            <w:pPr>
              <w:pStyle w:val="ListParagraph"/>
              <w:numPr>
                <w:ilvl w:val="1"/>
                <w:numId w:val="10"/>
              </w:numPr>
              <w:ind w:left="459" w:hanging="283"/>
              <w:contextualSpacing w:val="0"/>
              <w:jc w:val="both"/>
              <w:rPr>
                <w:sz w:val="20"/>
              </w:rPr>
            </w:pPr>
            <w:r w:rsidRPr="00F82283">
              <w:rPr>
                <w:sz w:val="20"/>
              </w:rPr>
              <w:t xml:space="preserve"> </w:t>
            </w:r>
            <w:r w:rsidR="000645A0" w:rsidRPr="00F82283">
              <w:rPr>
                <w:sz w:val="20"/>
              </w:rPr>
              <w:t>Structure of the Patent Division</w:t>
            </w:r>
          </w:p>
          <w:p w14:paraId="7BC813FC" w14:textId="2BB66218" w:rsidR="000645A0" w:rsidRPr="00F82283" w:rsidRDefault="006D70B2" w:rsidP="00EA0A7F">
            <w:pPr>
              <w:pStyle w:val="ListParagraph"/>
              <w:numPr>
                <w:ilvl w:val="1"/>
                <w:numId w:val="10"/>
              </w:numPr>
              <w:ind w:left="459" w:hanging="283"/>
              <w:contextualSpacing w:val="0"/>
              <w:jc w:val="both"/>
              <w:rPr>
                <w:sz w:val="20"/>
              </w:rPr>
            </w:pPr>
            <w:r w:rsidRPr="00F82283">
              <w:rPr>
                <w:sz w:val="20"/>
              </w:rPr>
              <w:t xml:space="preserve"> </w:t>
            </w:r>
            <w:r w:rsidR="000645A0" w:rsidRPr="00F82283">
              <w:rPr>
                <w:sz w:val="20"/>
              </w:rPr>
              <w:t>Legal concepts related to inventions: patents, utility models and industrial designs</w:t>
            </w:r>
          </w:p>
          <w:p w14:paraId="45B3B7A3" w14:textId="77777777" w:rsidR="000645A0" w:rsidRPr="00F82283" w:rsidRDefault="000645A0" w:rsidP="00EA0A7F">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A98C341" w14:textId="77777777" w:rsidR="000645A0" w:rsidRPr="00F82283" w:rsidRDefault="000645A0" w:rsidP="00EA0A7F">
            <w:pPr>
              <w:jc w:val="both"/>
              <w:rPr>
                <w:sz w:val="20"/>
              </w:rPr>
            </w:pPr>
          </w:p>
          <w:p w14:paraId="718762B0" w14:textId="77777777" w:rsidR="000645A0" w:rsidRPr="00F82283" w:rsidRDefault="000645A0" w:rsidP="00EA0A7F">
            <w:pPr>
              <w:jc w:val="both"/>
              <w:rPr>
                <w:sz w:val="20"/>
              </w:rPr>
            </w:pPr>
            <w:r w:rsidRPr="00F82283">
              <w:rPr>
                <w:sz w:val="20"/>
              </w:rPr>
              <w:t>What is an invention?</w:t>
            </w:r>
          </w:p>
          <w:p w14:paraId="71E1DE1D" w14:textId="77777777" w:rsidR="000645A0" w:rsidRPr="00F82283" w:rsidRDefault="000645A0" w:rsidP="00EA0A7F">
            <w:pPr>
              <w:jc w:val="both"/>
              <w:rPr>
                <w:b/>
                <w:bCs/>
                <w:sz w:val="20"/>
              </w:rPr>
            </w:pPr>
            <w:r w:rsidRPr="00F82283">
              <w:rPr>
                <w:sz w:val="20"/>
              </w:rPr>
              <w:t>Why is it important to protect a new technological development?</w:t>
            </w:r>
          </w:p>
        </w:tc>
      </w:tr>
      <w:tr w:rsidR="000645A0" w:rsidRPr="00BC43AE" w14:paraId="7E8E23A3"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FEEB3FA" w14:textId="77777777" w:rsidR="000645A0" w:rsidRPr="00F82283" w:rsidRDefault="000645A0" w:rsidP="00EA0A7F">
            <w:pPr>
              <w:ind w:left="176"/>
              <w:jc w:val="both"/>
              <w:rPr>
                <w:b/>
                <w:bCs/>
                <w:sz w:val="20"/>
              </w:rPr>
            </w:pPr>
            <w:r w:rsidRPr="00F82283">
              <w:rPr>
                <w:sz w:val="20"/>
              </w:rPr>
              <w:t>1.4 Federal Law on Industrial Property and its Regulations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37B5C3C" w14:textId="77777777" w:rsidR="000645A0" w:rsidRPr="00F82283" w:rsidRDefault="000645A0" w:rsidP="00EA0A7F">
            <w:pPr>
              <w:jc w:val="both"/>
              <w:rPr>
                <w:sz w:val="20"/>
              </w:rPr>
            </w:pPr>
            <w:r w:rsidRPr="00F82283">
              <w:rPr>
                <w:sz w:val="20"/>
              </w:rPr>
              <w:t>Participants will be provided with links to the national and international legal framework and to the IMPI user guides.</w:t>
            </w:r>
          </w:p>
        </w:tc>
      </w:tr>
      <w:tr w:rsidR="000645A0" w:rsidRPr="00BC43AE" w14:paraId="28D9B22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DFA2D1C" w14:textId="0EDE0FEF" w:rsidR="000645A0" w:rsidRPr="00F82283" w:rsidRDefault="006D70B2" w:rsidP="00EA0A7F">
            <w:pPr>
              <w:pStyle w:val="ListParagraph"/>
              <w:numPr>
                <w:ilvl w:val="1"/>
                <w:numId w:val="11"/>
              </w:numPr>
              <w:ind w:left="459" w:hanging="283"/>
              <w:contextualSpacing w:val="0"/>
              <w:jc w:val="both"/>
              <w:rPr>
                <w:rFonts w:eastAsiaTheme="minorEastAsia"/>
                <w:sz w:val="20"/>
              </w:rPr>
            </w:pPr>
            <w:r w:rsidRPr="00F82283">
              <w:rPr>
                <w:rFonts w:eastAsiaTheme="minorEastAsia"/>
                <w:sz w:val="20"/>
              </w:rPr>
              <w:t xml:space="preserve"> </w:t>
            </w:r>
            <w:r w:rsidR="000645A0" w:rsidRPr="00F82283">
              <w:rPr>
                <w:rFonts w:eastAsiaTheme="minorEastAsia"/>
                <w:sz w:val="20"/>
              </w:rPr>
              <w:t>Types of patent applications:</w:t>
            </w:r>
          </w:p>
          <w:p w14:paraId="71A15F9D" w14:textId="7815F5CC" w:rsidR="000645A0" w:rsidRPr="00F82283" w:rsidRDefault="006D70B2" w:rsidP="00EA0A7F">
            <w:pPr>
              <w:pStyle w:val="ListParagraph"/>
              <w:ind w:left="743" w:hanging="283"/>
              <w:contextualSpacing w:val="0"/>
              <w:jc w:val="both"/>
              <w:rPr>
                <w:rFonts w:eastAsiaTheme="minorEastAsia"/>
                <w:sz w:val="20"/>
              </w:rPr>
            </w:pPr>
            <w:r w:rsidRPr="00F82283">
              <w:rPr>
                <w:rFonts w:eastAsiaTheme="minorEastAsia"/>
                <w:sz w:val="20"/>
              </w:rPr>
              <w:t xml:space="preserve"> </w:t>
            </w:r>
            <w:r w:rsidR="000645A0" w:rsidRPr="00F82283">
              <w:rPr>
                <w:rFonts w:eastAsiaTheme="minorEastAsia"/>
                <w:sz w:val="20"/>
              </w:rPr>
              <w:t>National route</w:t>
            </w:r>
          </w:p>
          <w:p w14:paraId="56DDFF12" w14:textId="7D83993A" w:rsidR="000645A0" w:rsidRPr="00F82283" w:rsidRDefault="006D70B2" w:rsidP="00EA0A7F">
            <w:pPr>
              <w:pStyle w:val="ListParagraph"/>
              <w:ind w:left="743" w:hanging="283"/>
              <w:contextualSpacing w:val="0"/>
              <w:jc w:val="both"/>
              <w:rPr>
                <w:rFonts w:eastAsiaTheme="minorEastAsia"/>
                <w:sz w:val="20"/>
              </w:rPr>
            </w:pPr>
            <w:r w:rsidRPr="00F82283">
              <w:rPr>
                <w:rFonts w:eastAsiaTheme="minorEastAsia"/>
                <w:sz w:val="20"/>
              </w:rPr>
              <w:t xml:space="preserve"> </w:t>
            </w:r>
            <w:r w:rsidR="000645A0" w:rsidRPr="00F82283">
              <w:rPr>
                <w:rFonts w:eastAsiaTheme="minorEastAsia"/>
                <w:sz w:val="20"/>
              </w:rPr>
              <w:t>PCT route</w:t>
            </w:r>
          </w:p>
          <w:p w14:paraId="1D8F4B41" w14:textId="3C9A4BAB" w:rsidR="000645A0" w:rsidRPr="00F82283" w:rsidRDefault="006D70B2" w:rsidP="00EA0A7F">
            <w:pPr>
              <w:pStyle w:val="ListParagraph"/>
              <w:ind w:left="743" w:hanging="283"/>
              <w:contextualSpacing w:val="0"/>
              <w:jc w:val="both"/>
              <w:rPr>
                <w:rFonts w:eastAsiaTheme="minorEastAsia"/>
                <w:sz w:val="20"/>
              </w:rPr>
            </w:pPr>
            <w:r w:rsidRPr="00F82283">
              <w:rPr>
                <w:rFonts w:eastAsiaTheme="minorEastAsia"/>
                <w:sz w:val="20"/>
              </w:rPr>
              <w:t xml:space="preserve"> </w:t>
            </w:r>
            <w:r w:rsidR="000645A0" w:rsidRPr="00F82283">
              <w:rPr>
                <w:rFonts w:eastAsiaTheme="minorEastAsia"/>
                <w:sz w:val="20"/>
              </w:rPr>
              <w:t>Paris Convention route</w:t>
            </w:r>
          </w:p>
          <w:p w14:paraId="1D46BDCE" w14:textId="77777777" w:rsidR="000645A0" w:rsidRPr="00F82283" w:rsidRDefault="000645A0" w:rsidP="00EA0A7F">
            <w:pPr>
              <w:pStyle w:val="ListParagraph"/>
              <w:ind w:left="743" w:hanging="283"/>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AD47BED" w14:textId="77777777" w:rsidR="000645A0" w:rsidRPr="00F82283" w:rsidRDefault="000645A0" w:rsidP="006D70B2">
            <w:pPr>
              <w:jc w:val="both"/>
              <w:rPr>
                <w:sz w:val="20"/>
              </w:rPr>
            </w:pPr>
            <w:r w:rsidRPr="00F82283">
              <w:rPr>
                <w:sz w:val="20"/>
              </w:rPr>
              <w:t>Requirements for filing a patent application</w:t>
            </w:r>
          </w:p>
          <w:p w14:paraId="34A2F928" w14:textId="77777777" w:rsidR="000645A0" w:rsidRPr="00F82283" w:rsidRDefault="000645A0" w:rsidP="006D70B2">
            <w:pPr>
              <w:jc w:val="both"/>
              <w:rPr>
                <w:sz w:val="20"/>
              </w:rPr>
            </w:pPr>
            <w:r w:rsidRPr="00F82283">
              <w:rPr>
                <w:sz w:val="20"/>
              </w:rPr>
              <w:t>Processing an international application (PCT)</w:t>
            </w:r>
          </w:p>
          <w:p w14:paraId="6B3D4700" w14:textId="77777777" w:rsidR="000645A0" w:rsidRPr="00F82283" w:rsidRDefault="000645A0" w:rsidP="006D70B2">
            <w:pPr>
              <w:jc w:val="both"/>
              <w:rPr>
                <w:b/>
                <w:bCs/>
                <w:sz w:val="20"/>
              </w:rPr>
            </w:pPr>
            <w:r w:rsidRPr="00F82283">
              <w:rPr>
                <w:sz w:val="20"/>
              </w:rPr>
              <w:t>Processing an application via the Paris Convention</w:t>
            </w:r>
          </w:p>
        </w:tc>
      </w:tr>
      <w:tr w:rsidR="000645A0" w:rsidRPr="00BC43AE" w14:paraId="5C083AF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9546D5" w14:textId="0655B3DE" w:rsidR="000645A0" w:rsidRPr="00F82283" w:rsidRDefault="006D70B2" w:rsidP="00EA0A7F">
            <w:pPr>
              <w:pStyle w:val="ListParagraph"/>
              <w:numPr>
                <w:ilvl w:val="1"/>
                <w:numId w:val="11"/>
              </w:numPr>
              <w:ind w:left="459" w:hanging="283"/>
              <w:contextualSpacing w:val="0"/>
              <w:jc w:val="both"/>
              <w:rPr>
                <w:rFonts w:eastAsiaTheme="minorEastAsia"/>
                <w:sz w:val="20"/>
              </w:rPr>
            </w:pPr>
            <w:r w:rsidRPr="00F82283">
              <w:rPr>
                <w:rFonts w:eastAsiaTheme="minorEastAsia"/>
                <w:sz w:val="20"/>
              </w:rPr>
              <w:t xml:space="preserve"> </w:t>
            </w:r>
            <w:r w:rsidR="000645A0" w:rsidRPr="00F82283">
              <w:rPr>
                <w:rFonts w:eastAsiaTheme="minorEastAsia"/>
                <w:sz w:val="20"/>
              </w:rPr>
              <w:t>Functions of the substantive examiner:</w:t>
            </w:r>
          </w:p>
          <w:p w14:paraId="73CB3517" w14:textId="77777777" w:rsidR="000645A0" w:rsidRPr="00F82283" w:rsidRDefault="000645A0" w:rsidP="00EA0A7F">
            <w:pPr>
              <w:pStyle w:val="ListParagraph"/>
              <w:ind w:left="459"/>
              <w:contextualSpacing w:val="0"/>
              <w:jc w:val="both"/>
              <w:rPr>
                <w:rFonts w:eastAsiaTheme="minorEastAsia"/>
                <w:sz w:val="20"/>
              </w:rPr>
            </w:pPr>
            <w:r w:rsidRPr="00F82283">
              <w:rPr>
                <w:rFonts w:eastAsiaTheme="minorEastAsia"/>
                <w:sz w:val="20"/>
              </w:rPr>
              <w:t>Technical functions associated with substantive examination</w:t>
            </w:r>
          </w:p>
          <w:p w14:paraId="55C099C8" w14:textId="77777777" w:rsidR="000645A0" w:rsidRPr="00F82283" w:rsidRDefault="000645A0" w:rsidP="00EA0A7F">
            <w:pPr>
              <w:pStyle w:val="ListParagraph"/>
              <w:ind w:left="459"/>
              <w:contextualSpacing w:val="0"/>
              <w:jc w:val="both"/>
              <w:rPr>
                <w:rFonts w:eastAsiaTheme="minorEastAsia"/>
                <w:sz w:val="20"/>
              </w:rPr>
            </w:pPr>
            <w:r w:rsidRPr="00F82283">
              <w:rPr>
                <w:rFonts w:eastAsiaTheme="minorEastAsia"/>
                <w:sz w:val="20"/>
              </w:rPr>
              <w:t>Ethics of the patent examiner</w:t>
            </w:r>
          </w:p>
          <w:p w14:paraId="58D8732F" w14:textId="77777777" w:rsidR="000645A0" w:rsidRPr="00F82283" w:rsidRDefault="000645A0" w:rsidP="00EA0A7F">
            <w:pPr>
              <w:pStyle w:val="ListParagraph"/>
              <w:ind w:left="459"/>
              <w:contextualSpacing w:val="0"/>
              <w:jc w:val="both"/>
              <w:rPr>
                <w:rFonts w:eastAsiaTheme="minorEastAsia"/>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2C7B0A3" w14:textId="77777777" w:rsidR="000645A0" w:rsidRPr="00F82283" w:rsidRDefault="000645A0" w:rsidP="00EA0A7F">
            <w:pPr>
              <w:jc w:val="both"/>
              <w:rPr>
                <w:sz w:val="20"/>
              </w:rPr>
            </w:pPr>
            <w:r w:rsidRPr="00F82283">
              <w:rPr>
                <w:sz w:val="20"/>
              </w:rPr>
              <w:t>Activities to be performed, confidentiality, conflict of interest, one-year hiatus at the end of the contract, before engaging in the same activity</w:t>
            </w:r>
          </w:p>
          <w:p w14:paraId="41D01988" w14:textId="77777777" w:rsidR="000645A0" w:rsidRPr="00F82283" w:rsidRDefault="000645A0" w:rsidP="00EA0A7F">
            <w:pPr>
              <w:jc w:val="both"/>
              <w:rPr>
                <w:sz w:val="20"/>
              </w:rPr>
            </w:pPr>
            <w:r w:rsidRPr="00F82283">
              <w:rPr>
                <w:sz w:val="20"/>
              </w:rPr>
              <w:t>Communication via the Patent Module (</w:t>
            </w:r>
            <w:proofErr w:type="spellStart"/>
            <w:r w:rsidRPr="00F82283">
              <w:rPr>
                <w:sz w:val="20"/>
              </w:rPr>
              <w:t>PatMod</w:t>
            </w:r>
            <w:proofErr w:type="spellEnd"/>
            <w:r w:rsidRPr="00F82283">
              <w:rPr>
                <w:sz w:val="20"/>
              </w:rPr>
              <w:t>).</w:t>
            </w:r>
          </w:p>
          <w:p w14:paraId="677058B6" w14:textId="77777777" w:rsidR="000645A0" w:rsidRPr="00F82283" w:rsidRDefault="000645A0" w:rsidP="00EA0A7F">
            <w:pPr>
              <w:jc w:val="both"/>
              <w:rPr>
                <w:sz w:val="20"/>
              </w:rPr>
            </w:pPr>
            <w:r w:rsidRPr="00F82283">
              <w:rPr>
                <w:sz w:val="20"/>
              </w:rPr>
              <w:t>Code of Ethics and Ethics Committee</w:t>
            </w:r>
          </w:p>
        </w:tc>
      </w:tr>
      <w:tr w:rsidR="000645A0" w:rsidRPr="00BC43AE" w14:paraId="12841C2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CA4748" w14:textId="77777777" w:rsidR="000645A0" w:rsidRPr="00F82283" w:rsidRDefault="000645A0" w:rsidP="00EA0A7F">
            <w:pPr>
              <w:pStyle w:val="ListParagraph"/>
              <w:numPr>
                <w:ilvl w:val="1"/>
                <w:numId w:val="11"/>
              </w:numPr>
              <w:tabs>
                <w:tab w:val="left" w:pos="514"/>
              </w:tabs>
              <w:ind w:hanging="643"/>
              <w:contextualSpacing w:val="0"/>
              <w:jc w:val="both"/>
              <w:rPr>
                <w:sz w:val="20"/>
              </w:rPr>
            </w:pPr>
            <w:r w:rsidRPr="00F82283">
              <w:rPr>
                <w:sz w:val="20"/>
              </w:rPr>
              <w:t>The life cycle of a file</w:t>
            </w:r>
          </w:p>
          <w:p w14:paraId="651D682D" w14:textId="77777777" w:rsidR="000645A0" w:rsidRPr="00F82283" w:rsidRDefault="000645A0" w:rsidP="00EA0A7F">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4326A14" w14:textId="77777777" w:rsidR="000645A0" w:rsidRPr="00F82283" w:rsidRDefault="000645A0" w:rsidP="00EA0A7F">
            <w:pPr>
              <w:tabs>
                <w:tab w:val="left" w:pos="514"/>
              </w:tabs>
              <w:ind w:left="516" w:hanging="516"/>
              <w:rPr>
                <w:sz w:val="20"/>
              </w:rPr>
            </w:pPr>
            <w:r w:rsidRPr="00F82283">
              <w:rPr>
                <w:sz w:val="20"/>
              </w:rPr>
              <w:t>Processing a patent application (timeline).</w:t>
            </w:r>
          </w:p>
          <w:p w14:paraId="0D1C520B" w14:textId="77777777" w:rsidR="000645A0" w:rsidRPr="00F82283" w:rsidRDefault="000645A0" w:rsidP="00EA0A7F">
            <w:pPr>
              <w:ind w:left="38" w:hanging="38"/>
              <w:rPr>
                <w:b/>
                <w:bCs/>
                <w:sz w:val="20"/>
              </w:rPr>
            </w:pPr>
            <w:r w:rsidRPr="00F82283">
              <w:rPr>
                <w:sz w:val="20"/>
              </w:rPr>
              <w:t>The tasks involved in each department in granting a patent (window, formal, substantive and legal)</w:t>
            </w:r>
          </w:p>
        </w:tc>
      </w:tr>
      <w:tr w:rsidR="000645A0" w:rsidRPr="00BC43AE" w14:paraId="13FCC12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137F74D" w14:textId="77777777" w:rsidR="000645A0" w:rsidRPr="00F82283" w:rsidRDefault="000645A0" w:rsidP="00EA0A7F">
            <w:pPr>
              <w:pStyle w:val="ListParagraph"/>
              <w:numPr>
                <w:ilvl w:val="1"/>
                <w:numId w:val="11"/>
              </w:numPr>
              <w:tabs>
                <w:tab w:val="left" w:pos="514"/>
              </w:tabs>
              <w:ind w:hanging="643"/>
              <w:contextualSpacing w:val="0"/>
              <w:jc w:val="both"/>
              <w:rPr>
                <w:sz w:val="20"/>
              </w:rPr>
            </w:pPr>
            <w:r w:rsidRPr="00F82283">
              <w:rPr>
                <w:sz w:val="20"/>
              </w:rPr>
              <w:t>Exceptions to patentability and non-inventions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B173299" w14:textId="77777777" w:rsidR="000645A0" w:rsidRPr="00F82283" w:rsidRDefault="000645A0" w:rsidP="006D70B2">
            <w:pPr>
              <w:tabs>
                <w:tab w:val="left" w:pos="514"/>
              </w:tabs>
              <w:rPr>
                <w:sz w:val="20"/>
              </w:rPr>
            </w:pPr>
            <w:r w:rsidRPr="00F82283">
              <w:rPr>
                <w:sz w:val="20"/>
              </w:rPr>
              <w:t>Identification of cases of exceptions or non-inventions</w:t>
            </w:r>
          </w:p>
        </w:tc>
      </w:tr>
      <w:tr w:rsidR="000645A0" w:rsidRPr="00BC43AE" w14:paraId="16C49021"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628B6131" w14:textId="77777777" w:rsidR="000645A0" w:rsidRPr="008E61D3" w:rsidRDefault="000645A0" w:rsidP="006D70B2">
            <w:pPr>
              <w:keepNext/>
              <w:keepLines/>
              <w:rPr>
                <w:b/>
                <w:bCs/>
                <w:color w:val="621132"/>
                <w:sz w:val="20"/>
              </w:rPr>
            </w:pPr>
            <w:r w:rsidRPr="008E61D3">
              <w:rPr>
                <w:b/>
                <w:bCs/>
                <w:color w:val="621132"/>
                <w:sz w:val="20"/>
              </w:rPr>
              <w:lastRenderedPageBreak/>
              <w:t>Module II. How to work on a patent application?</w:t>
            </w:r>
          </w:p>
          <w:p w14:paraId="181C7516" w14:textId="77777777" w:rsidR="000645A0" w:rsidRPr="008E61D3" w:rsidRDefault="000645A0" w:rsidP="006D70B2">
            <w:pPr>
              <w:keepNext/>
              <w:keepLines/>
              <w:tabs>
                <w:tab w:val="left" w:pos="514"/>
              </w:tabs>
              <w:ind w:left="516" w:hanging="516"/>
              <w:rPr>
                <w:color w:val="13322B"/>
                <w:sz w:val="20"/>
              </w:rPr>
            </w:pPr>
          </w:p>
        </w:tc>
      </w:tr>
      <w:tr w:rsidR="000645A0" w:rsidRPr="00BC43AE" w14:paraId="3AC14CCA"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DDA123D" w14:textId="77777777" w:rsidR="000645A0" w:rsidRPr="008E61D3" w:rsidRDefault="000645A0" w:rsidP="006D70B2">
            <w:pPr>
              <w:keepNext/>
              <w:keepLines/>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01FA763F" w14:textId="77777777" w:rsidR="000645A0" w:rsidRPr="008E61D3" w:rsidRDefault="000645A0" w:rsidP="00EA0A7F">
            <w:pPr>
              <w:jc w:val="center"/>
              <w:rPr>
                <w:b/>
                <w:color w:val="621132"/>
                <w:sz w:val="20"/>
              </w:rPr>
            </w:pPr>
            <w:r w:rsidRPr="008E61D3">
              <w:rPr>
                <w:b/>
                <w:color w:val="621132"/>
                <w:sz w:val="20"/>
              </w:rPr>
              <w:t>Points to be covered/activities</w:t>
            </w:r>
          </w:p>
          <w:p w14:paraId="0096F854" w14:textId="77777777" w:rsidR="000645A0" w:rsidRPr="008E61D3" w:rsidRDefault="000645A0" w:rsidP="00EA0A7F">
            <w:pPr>
              <w:jc w:val="center"/>
              <w:rPr>
                <w:b/>
                <w:color w:val="621132"/>
                <w:sz w:val="20"/>
              </w:rPr>
            </w:pPr>
          </w:p>
        </w:tc>
      </w:tr>
      <w:tr w:rsidR="000645A0" w:rsidRPr="00BC43AE" w14:paraId="6AFFB1FA"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24ABBA8B" w14:textId="513A331E" w:rsidR="000645A0" w:rsidRPr="00F82283" w:rsidRDefault="006D70B2" w:rsidP="006D70B2">
            <w:pPr>
              <w:pStyle w:val="ListParagraph"/>
              <w:keepNext/>
              <w:keepLines/>
              <w:numPr>
                <w:ilvl w:val="0"/>
                <w:numId w:val="10"/>
              </w:numPr>
              <w:ind w:left="459" w:hanging="283"/>
              <w:contextualSpacing w:val="0"/>
              <w:jc w:val="both"/>
              <w:rPr>
                <w:b/>
                <w:bCs/>
                <w:sz w:val="20"/>
              </w:rPr>
            </w:pPr>
            <w:r w:rsidRPr="00F82283">
              <w:rPr>
                <w:b/>
                <w:bCs/>
                <w:sz w:val="20"/>
              </w:rPr>
              <w:t xml:space="preserve"> </w:t>
            </w:r>
            <w:r w:rsidR="000645A0" w:rsidRPr="00F82283">
              <w:rPr>
                <w:b/>
                <w:bCs/>
                <w:sz w:val="20"/>
              </w:rPr>
              <w:t>Overview</w:t>
            </w:r>
          </w:p>
          <w:p w14:paraId="6B203312" w14:textId="1FC3AC9C" w:rsidR="000645A0" w:rsidRPr="00F82283" w:rsidRDefault="006D70B2" w:rsidP="006D70B2">
            <w:pPr>
              <w:pStyle w:val="ListParagraph"/>
              <w:keepNext/>
              <w:keepLines/>
              <w:numPr>
                <w:ilvl w:val="1"/>
                <w:numId w:val="10"/>
              </w:numPr>
              <w:ind w:left="459" w:hanging="283"/>
              <w:contextualSpacing w:val="0"/>
              <w:jc w:val="both"/>
              <w:rPr>
                <w:sz w:val="20"/>
              </w:rPr>
            </w:pPr>
            <w:r w:rsidRPr="00F82283">
              <w:rPr>
                <w:sz w:val="20"/>
              </w:rPr>
              <w:t xml:space="preserve">  </w:t>
            </w:r>
            <w:r w:rsidR="000645A0" w:rsidRPr="00F82283">
              <w:rPr>
                <w:sz w:val="20"/>
              </w:rPr>
              <w:t>Study of an application</w:t>
            </w:r>
          </w:p>
          <w:p w14:paraId="4D542BCE" w14:textId="30C1A5B0" w:rsidR="000645A0" w:rsidRPr="00F82283" w:rsidRDefault="006D70B2" w:rsidP="006D70B2">
            <w:pPr>
              <w:pStyle w:val="ListParagraph"/>
              <w:keepNext/>
              <w:keepLines/>
              <w:numPr>
                <w:ilvl w:val="1"/>
                <w:numId w:val="10"/>
              </w:numPr>
              <w:ind w:left="459" w:hanging="283"/>
              <w:contextualSpacing w:val="0"/>
              <w:jc w:val="both"/>
              <w:rPr>
                <w:sz w:val="20"/>
              </w:rPr>
            </w:pPr>
            <w:r w:rsidRPr="00F82283">
              <w:rPr>
                <w:sz w:val="20"/>
              </w:rPr>
              <w:t xml:space="preserve">  </w:t>
            </w:r>
            <w:r w:rsidR="000645A0" w:rsidRPr="00F82283">
              <w:rPr>
                <w:sz w:val="20"/>
              </w:rPr>
              <w:t>Formal criteria:</w:t>
            </w:r>
          </w:p>
          <w:p w14:paraId="312157D3" w14:textId="77777777" w:rsidR="000645A0" w:rsidRPr="00F82283" w:rsidRDefault="000645A0" w:rsidP="006D70B2">
            <w:pPr>
              <w:pStyle w:val="ListParagraph"/>
              <w:keepNext/>
              <w:keepLines/>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E5CF07D" w14:textId="77777777" w:rsidR="000645A0" w:rsidRPr="00F82283" w:rsidRDefault="000645A0" w:rsidP="00EA0A7F">
            <w:pPr>
              <w:jc w:val="both"/>
              <w:rPr>
                <w:sz w:val="20"/>
              </w:rPr>
            </w:pPr>
            <w:r w:rsidRPr="00F82283">
              <w:rPr>
                <w:sz w:val="20"/>
              </w:rPr>
              <w:t>How is a patent application file structured?</w:t>
            </w:r>
          </w:p>
          <w:p w14:paraId="3E82BA63" w14:textId="77777777" w:rsidR="000645A0" w:rsidRPr="00F82283" w:rsidRDefault="000645A0" w:rsidP="00EA0A7F">
            <w:pPr>
              <w:jc w:val="both"/>
              <w:rPr>
                <w:sz w:val="20"/>
              </w:rPr>
            </w:pPr>
            <w:r w:rsidRPr="00F82283">
              <w:rPr>
                <w:sz w:val="20"/>
              </w:rPr>
              <w:t>General guidelines for conducting a substantive examination</w:t>
            </w:r>
          </w:p>
          <w:p w14:paraId="38352CAD" w14:textId="77777777" w:rsidR="000645A0" w:rsidRPr="00F82283" w:rsidRDefault="000645A0" w:rsidP="00EA0A7F">
            <w:pPr>
              <w:jc w:val="both"/>
              <w:rPr>
                <w:b/>
                <w:bCs/>
                <w:sz w:val="20"/>
              </w:rPr>
            </w:pPr>
            <w:r w:rsidRPr="00F82283">
              <w:rPr>
                <w:sz w:val="20"/>
              </w:rPr>
              <w:t>Assign each participant five patent application files. A copy of the agreement establishing the rules for filing applications with the IMPI will be provided.</w:t>
            </w:r>
          </w:p>
        </w:tc>
      </w:tr>
      <w:tr w:rsidR="000645A0" w:rsidRPr="00BC43AE" w14:paraId="41357761"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EAA2B9F" w14:textId="71D88300" w:rsidR="006D70B2" w:rsidRPr="00F82283" w:rsidRDefault="006D70B2" w:rsidP="006D70B2">
            <w:pPr>
              <w:pStyle w:val="ListParagraph"/>
              <w:ind w:left="459" w:hanging="283"/>
              <w:contextualSpacing w:val="0"/>
              <w:jc w:val="both"/>
              <w:rPr>
                <w:rFonts w:eastAsiaTheme="minorEastAsia"/>
                <w:sz w:val="20"/>
              </w:rPr>
            </w:pPr>
            <w:r w:rsidRPr="00F82283">
              <w:rPr>
                <w:rFonts w:eastAsiaTheme="minorEastAsia"/>
                <w:sz w:val="20"/>
              </w:rPr>
              <w:t>2.2.1 Review of the description:</w:t>
            </w:r>
          </w:p>
          <w:p w14:paraId="7D6367C6" w14:textId="77777777" w:rsidR="006D70B2" w:rsidRPr="00F82283" w:rsidRDefault="006D70B2" w:rsidP="006D70B2">
            <w:pPr>
              <w:ind w:left="1168" w:hanging="621"/>
              <w:jc w:val="both"/>
              <w:rPr>
                <w:rFonts w:eastAsiaTheme="minorHAnsi"/>
                <w:sz w:val="20"/>
              </w:rPr>
            </w:pPr>
            <w:r w:rsidRPr="00F82283">
              <w:rPr>
                <w:rFonts w:eastAsiaTheme="minorHAnsi"/>
                <w:sz w:val="20"/>
              </w:rPr>
              <w:t>Technological area</w:t>
            </w:r>
          </w:p>
          <w:p w14:paraId="69910586" w14:textId="77777777" w:rsidR="006D70B2" w:rsidRPr="00F82283" w:rsidRDefault="006D70B2" w:rsidP="006D70B2">
            <w:pPr>
              <w:ind w:left="1168" w:hanging="621"/>
              <w:jc w:val="both"/>
              <w:rPr>
                <w:rFonts w:eastAsiaTheme="minorHAnsi"/>
                <w:sz w:val="20"/>
              </w:rPr>
            </w:pPr>
            <w:r w:rsidRPr="00F82283">
              <w:rPr>
                <w:rFonts w:eastAsiaTheme="minorHAnsi"/>
                <w:sz w:val="20"/>
              </w:rPr>
              <w:t>Background</w:t>
            </w:r>
          </w:p>
          <w:p w14:paraId="7B8DC369" w14:textId="77777777" w:rsidR="006D70B2" w:rsidRPr="00F82283" w:rsidRDefault="006D70B2" w:rsidP="006D70B2">
            <w:pPr>
              <w:ind w:left="1168" w:hanging="621"/>
              <w:jc w:val="both"/>
              <w:rPr>
                <w:rFonts w:eastAsiaTheme="minorHAnsi"/>
                <w:sz w:val="20"/>
              </w:rPr>
            </w:pPr>
            <w:r w:rsidRPr="00F82283">
              <w:rPr>
                <w:rFonts w:eastAsiaTheme="minorHAnsi"/>
                <w:sz w:val="20"/>
              </w:rPr>
              <w:t>Description of the drawings</w:t>
            </w:r>
          </w:p>
          <w:p w14:paraId="088E9C44" w14:textId="77777777" w:rsidR="006D70B2" w:rsidRPr="00F82283" w:rsidRDefault="006D70B2" w:rsidP="006D70B2">
            <w:pPr>
              <w:ind w:left="1168" w:hanging="621"/>
              <w:jc w:val="both"/>
              <w:rPr>
                <w:rFonts w:eastAsiaTheme="minorHAnsi"/>
                <w:sz w:val="20"/>
              </w:rPr>
            </w:pPr>
            <w:r w:rsidRPr="00F82283">
              <w:rPr>
                <w:rFonts w:eastAsiaTheme="minorHAnsi"/>
                <w:sz w:val="20"/>
              </w:rPr>
              <w:t>Examples</w:t>
            </w:r>
          </w:p>
          <w:p w14:paraId="233AE3E7" w14:textId="620D9FC3" w:rsidR="006D70B2" w:rsidRPr="00F82283" w:rsidRDefault="006D70B2" w:rsidP="006D70B2">
            <w:pPr>
              <w:ind w:left="1168" w:hanging="621"/>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545D090" w14:textId="77777777" w:rsidR="000645A0" w:rsidRPr="00F82283" w:rsidRDefault="000645A0" w:rsidP="00EA0A7F">
            <w:pPr>
              <w:tabs>
                <w:tab w:val="left" w:pos="972"/>
              </w:tabs>
              <w:jc w:val="both"/>
              <w:rPr>
                <w:sz w:val="20"/>
              </w:rPr>
            </w:pPr>
            <w:r w:rsidRPr="00F82283">
              <w:rPr>
                <w:sz w:val="20"/>
              </w:rPr>
              <w:t>Explain the purpose of the description:</w:t>
            </w:r>
          </w:p>
          <w:p w14:paraId="025EEE45"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explain what should be reviewed</w:t>
            </w:r>
          </w:p>
          <w:p w14:paraId="0EE78B43"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proofErr w:type="gramStart"/>
            <w:r w:rsidRPr="00F82283">
              <w:rPr>
                <w:sz w:val="20"/>
              </w:rPr>
              <w:t>use</w:t>
            </w:r>
            <w:proofErr w:type="gramEnd"/>
            <w:r w:rsidRPr="00F82283">
              <w:rPr>
                <w:sz w:val="20"/>
              </w:rPr>
              <w:t xml:space="preserve"> a case study, show how the review should be carried out  </w:t>
            </w:r>
          </w:p>
          <w:p w14:paraId="63D633AD"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work on the file, reviewing only the description</w:t>
            </w:r>
          </w:p>
          <w:p w14:paraId="2B895661"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ask participants to write down all their observations</w:t>
            </w:r>
          </w:p>
          <w:p w14:paraId="4EC39B9B"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if there are any questions, the instructor will provide an explanation to all participants</w:t>
            </w:r>
          </w:p>
        </w:tc>
      </w:tr>
      <w:tr w:rsidR="000645A0" w:rsidRPr="00BC43AE" w14:paraId="1F876764"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3D2485" w14:textId="58C8F7FD" w:rsidR="006D70B2" w:rsidRPr="00F82283" w:rsidRDefault="006D70B2" w:rsidP="006D70B2">
            <w:pPr>
              <w:pStyle w:val="ListParagraph"/>
              <w:ind w:left="459" w:hanging="283"/>
              <w:contextualSpacing w:val="0"/>
              <w:jc w:val="both"/>
              <w:rPr>
                <w:rFonts w:eastAsiaTheme="minorEastAsia"/>
                <w:sz w:val="20"/>
              </w:rPr>
            </w:pPr>
            <w:r w:rsidRPr="00F82283">
              <w:rPr>
                <w:rFonts w:eastAsiaTheme="minorEastAsia"/>
                <w:sz w:val="20"/>
              </w:rPr>
              <w:t>2.2.2 Review of figures:</w:t>
            </w:r>
          </w:p>
          <w:p w14:paraId="78902230" w14:textId="77777777" w:rsidR="000645A0" w:rsidRPr="00F82283" w:rsidRDefault="000645A0" w:rsidP="00EA0A7F">
            <w:pPr>
              <w:pStyle w:val="ListParagraph"/>
              <w:ind w:left="601"/>
              <w:contextualSpacing w:val="0"/>
              <w:jc w:val="both"/>
              <w:rPr>
                <w:sz w:val="20"/>
              </w:rPr>
            </w:pPr>
            <w:r w:rsidRPr="00F82283">
              <w:rPr>
                <w:sz w:val="20"/>
              </w:rPr>
              <w:t>Explain the purpose of the figures</w:t>
            </w:r>
          </w:p>
          <w:p w14:paraId="4C7C7217" w14:textId="77777777" w:rsidR="000645A0" w:rsidRPr="00F82283" w:rsidRDefault="000645A0" w:rsidP="00EA0A7F">
            <w:pPr>
              <w:pStyle w:val="ListParagraph"/>
              <w:ind w:left="601"/>
              <w:contextualSpacing w:val="0"/>
              <w:jc w:val="both"/>
              <w:rPr>
                <w:b/>
                <w:bCs/>
                <w:sz w:val="20"/>
              </w:rPr>
            </w:pPr>
            <w:r w:rsidRPr="00F82283">
              <w:rPr>
                <w:sz w:val="20"/>
              </w:rPr>
              <w:t>Explain what should be reviewed</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D31B080" w14:textId="77777777" w:rsidR="000645A0" w:rsidRPr="00F82283" w:rsidRDefault="000645A0" w:rsidP="00EA0A7F">
            <w:pPr>
              <w:ind w:left="227" w:hanging="227"/>
              <w:jc w:val="both"/>
              <w:rPr>
                <w:rFonts w:eastAsiaTheme="minorHAnsi"/>
                <w:sz w:val="20"/>
              </w:rPr>
            </w:pPr>
            <w:r w:rsidRPr="00F82283">
              <w:rPr>
                <w:rFonts w:eastAsiaTheme="minorHAnsi"/>
                <w:sz w:val="20"/>
              </w:rPr>
              <w:t>Rules for presenting figures</w:t>
            </w:r>
          </w:p>
          <w:p w14:paraId="564CF7AA"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Use a case study to show how the review should be performed.</w:t>
            </w:r>
          </w:p>
          <w:p w14:paraId="61C61471"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work on the file, reviewing only the description</w:t>
            </w:r>
          </w:p>
          <w:p w14:paraId="070B0B2C"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 xml:space="preserve">ask participants to write down all their observations </w:t>
            </w:r>
          </w:p>
          <w:p w14:paraId="4DB83B79"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proofErr w:type="gramStart"/>
            <w:r w:rsidRPr="00F82283">
              <w:rPr>
                <w:sz w:val="20"/>
              </w:rPr>
              <w:t>if</w:t>
            </w:r>
            <w:proofErr w:type="gramEnd"/>
            <w:r w:rsidRPr="00F82283">
              <w:rPr>
                <w:sz w:val="20"/>
              </w:rPr>
              <w:t xml:space="preserve"> there are any questions, the instructor will provide an explanation to all participants</w:t>
            </w:r>
          </w:p>
          <w:p w14:paraId="2FCE7C68" w14:textId="77777777" w:rsidR="000645A0" w:rsidRPr="00F82283" w:rsidRDefault="000645A0" w:rsidP="00EA0A7F">
            <w:pPr>
              <w:ind w:left="227" w:hanging="227"/>
              <w:jc w:val="both"/>
              <w:rPr>
                <w:b/>
                <w:bCs/>
                <w:sz w:val="20"/>
              </w:rPr>
            </w:pPr>
          </w:p>
        </w:tc>
      </w:tr>
      <w:tr w:rsidR="000645A0" w:rsidRPr="00BC43AE" w14:paraId="7959E02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896375A" w14:textId="1B1A3DFE" w:rsidR="000645A0" w:rsidRPr="00F82283" w:rsidRDefault="000645A0" w:rsidP="00EA0A7F">
            <w:pPr>
              <w:pStyle w:val="ListParagraph"/>
              <w:ind w:left="459" w:hanging="283"/>
              <w:contextualSpacing w:val="0"/>
              <w:jc w:val="both"/>
              <w:rPr>
                <w:rFonts w:eastAsiaTheme="minorEastAsia"/>
                <w:sz w:val="20"/>
              </w:rPr>
            </w:pPr>
            <w:r w:rsidRPr="00F82283">
              <w:rPr>
                <w:rFonts w:eastAsiaTheme="minorEastAsia"/>
                <w:sz w:val="20"/>
              </w:rPr>
              <w:t>2.2.3</w:t>
            </w:r>
            <w:r w:rsidR="006D70B2" w:rsidRPr="00F82283">
              <w:rPr>
                <w:rFonts w:eastAsiaTheme="minorEastAsia"/>
                <w:sz w:val="20"/>
              </w:rPr>
              <w:t xml:space="preserve"> </w:t>
            </w:r>
            <w:r w:rsidRPr="00F82283">
              <w:rPr>
                <w:rFonts w:eastAsiaTheme="minorEastAsia"/>
                <w:sz w:val="20"/>
              </w:rPr>
              <w:t>Review of claims:</w:t>
            </w:r>
          </w:p>
          <w:p w14:paraId="25D6513D" w14:textId="77777777" w:rsidR="000645A0" w:rsidRPr="00F82283" w:rsidRDefault="000645A0" w:rsidP="00EA0A7F">
            <w:pPr>
              <w:pStyle w:val="ListParagraph"/>
              <w:ind w:left="601"/>
              <w:contextualSpacing w:val="0"/>
              <w:jc w:val="both"/>
              <w:rPr>
                <w:sz w:val="20"/>
              </w:rPr>
            </w:pPr>
            <w:r w:rsidRPr="00F82283">
              <w:rPr>
                <w:sz w:val="20"/>
              </w:rPr>
              <w:t>Explain the purpose of the claims</w:t>
            </w:r>
          </w:p>
          <w:p w14:paraId="29F746F6" w14:textId="77777777" w:rsidR="000645A0" w:rsidRPr="00F82283" w:rsidRDefault="000645A0" w:rsidP="00EA0A7F">
            <w:pPr>
              <w:pStyle w:val="ListParagraph"/>
              <w:ind w:left="601"/>
              <w:contextualSpacing w:val="0"/>
              <w:jc w:val="both"/>
              <w:rPr>
                <w:rFonts w:eastAsiaTheme="minorEastAsia"/>
                <w:sz w:val="20"/>
              </w:rPr>
            </w:pPr>
            <w:r w:rsidRPr="00F82283">
              <w:rPr>
                <w:sz w:val="20"/>
              </w:rPr>
              <w:t>Explain what needs to be reviewed</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E6A0EE2" w14:textId="77777777" w:rsidR="000645A0" w:rsidRPr="00F82283" w:rsidRDefault="000645A0" w:rsidP="00EA0A7F">
            <w:pPr>
              <w:ind w:left="227" w:hanging="227"/>
              <w:jc w:val="both"/>
              <w:rPr>
                <w:rFonts w:eastAsiaTheme="minorHAnsi"/>
                <w:sz w:val="20"/>
              </w:rPr>
            </w:pPr>
            <w:r w:rsidRPr="00F82283">
              <w:rPr>
                <w:rFonts w:eastAsiaTheme="minorHAnsi"/>
                <w:sz w:val="20"/>
              </w:rPr>
              <w:t>Rules for presenting claims</w:t>
            </w:r>
          </w:p>
          <w:p w14:paraId="15C99A78"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 xml:space="preserve">Use a case study to show how the review should be performed.  </w:t>
            </w:r>
          </w:p>
          <w:p w14:paraId="7237A111"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work on the file by reviewing only the description</w:t>
            </w:r>
          </w:p>
          <w:p w14:paraId="5B2B0136"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 xml:space="preserve">ask participants to write down all their observations </w:t>
            </w:r>
          </w:p>
          <w:p w14:paraId="1BDA4E29"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proofErr w:type="gramStart"/>
            <w:r w:rsidRPr="00F82283">
              <w:rPr>
                <w:sz w:val="20"/>
              </w:rPr>
              <w:t>if</w:t>
            </w:r>
            <w:proofErr w:type="gramEnd"/>
            <w:r w:rsidRPr="00F82283">
              <w:rPr>
                <w:sz w:val="20"/>
              </w:rPr>
              <w:t xml:space="preserve"> there are any questions, the instructor will provide an explanation to all participants</w:t>
            </w:r>
          </w:p>
          <w:p w14:paraId="20F530B2" w14:textId="77777777" w:rsidR="000645A0" w:rsidRPr="00F82283" w:rsidRDefault="000645A0" w:rsidP="00EA0A7F">
            <w:pPr>
              <w:jc w:val="both"/>
              <w:rPr>
                <w:sz w:val="20"/>
              </w:rPr>
            </w:pPr>
          </w:p>
        </w:tc>
      </w:tr>
      <w:tr w:rsidR="000645A0" w:rsidRPr="00BC43AE" w14:paraId="79583CEA"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7F9EB14" w14:textId="071A6826" w:rsidR="000645A0" w:rsidRPr="00F82283" w:rsidRDefault="000645A0" w:rsidP="00EA0A7F">
            <w:pPr>
              <w:ind w:left="318" w:hanging="142"/>
              <w:jc w:val="both"/>
              <w:rPr>
                <w:sz w:val="20"/>
              </w:rPr>
            </w:pPr>
            <w:r w:rsidRPr="00F82283">
              <w:rPr>
                <w:sz w:val="20"/>
              </w:rPr>
              <w:t>2.2.4 Review of the title:</w:t>
            </w:r>
          </w:p>
          <w:p w14:paraId="19BC11BE" w14:textId="77777777" w:rsidR="000645A0" w:rsidRPr="00F82283" w:rsidRDefault="000645A0" w:rsidP="00EA0A7F">
            <w:pPr>
              <w:pStyle w:val="ListParagraph"/>
              <w:ind w:left="601"/>
              <w:contextualSpacing w:val="0"/>
              <w:jc w:val="both"/>
              <w:rPr>
                <w:sz w:val="20"/>
              </w:rPr>
            </w:pPr>
            <w:r w:rsidRPr="00F82283">
              <w:rPr>
                <w:sz w:val="20"/>
              </w:rPr>
              <w:t>Explain the purpose of the title</w:t>
            </w:r>
          </w:p>
          <w:p w14:paraId="5F0177B2" w14:textId="77777777" w:rsidR="000645A0" w:rsidRPr="00F82283" w:rsidRDefault="000645A0" w:rsidP="00EA0A7F">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659C10D" w14:textId="77777777" w:rsidR="000645A0" w:rsidRPr="00F82283" w:rsidRDefault="000645A0" w:rsidP="00EA0A7F">
            <w:pPr>
              <w:ind w:left="227" w:hanging="227"/>
              <w:jc w:val="both"/>
              <w:rPr>
                <w:rFonts w:eastAsiaTheme="minorHAnsi"/>
                <w:sz w:val="20"/>
              </w:rPr>
            </w:pPr>
            <w:r w:rsidRPr="00F82283">
              <w:rPr>
                <w:rFonts w:eastAsiaTheme="minorHAnsi"/>
                <w:sz w:val="20"/>
              </w:rPr>
              <w:t>Rules for presenting the title</w:t>
            </w:r>
          </w:p>
          <w:p w14:paraId="4C500450"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Use a case study to show how the review should be performed.</w:t>
            </w:r>
          </w:p>
          <w:p w14:paraId="34C23CD1"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Work on the file, reviewing only the description.</w:t>
            </w:r>
          </w:p>
          <w:p w14:paraId="1AA3E9E8"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 xml:space="preserve">ask participants to note down all observations </w:t>
            </w:r>
          </w:p>
          <w:p w14:paraId="1D5123CD"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proofErr w:type="gramStart"/>
            <w:r w:rsidRPr="00F82283">
              <w:rPr>
                <w:sz w:val="20"/>
              </w:rPr>
              <w:t>if</w:t>
            </w:r>
            <w:proofErr w:type="gramEnd"/>
            <w:r w:rsidRPr="00F82283">
              <w:rPr>
                <w:sz w:val="20"/>
              </w:rPr>
              <w:t xml:space="preserve"> there are any questions, the instructor will provide an explanation to all participants</w:t>
            </w:r>
          </w:p>
          <w:p w14:paraId="4CD743FE" w14:textId="77777777" w:rsidR="000645A0" w:rsidRPr="00F82283" w:rsidRDefault="000645A0" w:rsidP="00EA0A7F">
            <w:pPr>
              <w:ind w:left="38" w:hanging="38"/>
              <w:rPr>
                <w:b/>
                <w:bCs/>
                <w:sz w:val="20"/>
              </w:rPr>
            </w:pPr>
          </w:p>
        </w:tc>
      </w:tr>
      <w:tr w:rsidR="000645A0" w:rsidRPr="00BC43AE" w14:paraId="3089CE6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925CE73" w14:textId="77777777" w:rsidR="000645A0" w:rsidRPr="00F82283" w:rsidRDefault="000645A0" w:rsidP="006D70B2">
            <w:pPr>
              <w:pStyle w:val="ListParagraph"/>
              <w:keepNext/>
              <w:ind w:left="459" w:hanging="283"/>
              <w:contextualSpacing w:val="0"/>
              <w:jc w:val="both"/>
              <w:rPr>
                <w:rFonts w:eastAsiaTheme="minorEastAsia"/>
                <w:sz w:val="20"/>
              </w:rPr>
            </w:pPr>
            <w:r w:rsidRPr="00F82283">
              <w:rPr>
                <w:sz w:val="20"/>
              </w:rPr>
              <w:lastRenderedPageBreak/>
              <w:t xml:space="preserve">2.2.5 </w:t>
            </w:r>
            <w:r w:rsidRPr="00F82283">
              <w:rPr>
                <w:rFonts w:eastAsiaTheme="minorEastAsia"/>
                <w:sz w:val="20"/>
              </w:rPr>
              <w:t>Review of the summary:</w:t>
            </w:r>
          </w:p>
          <w:p w14:paraId="76005D8D" w14:textId="1204D811" w:rsidR="000645A0" w:rsidRPr="00F82283" w:rsidRDefault="006D70B2" w:rsidP="006C73C5">
            <w:pPr>
              <w:pStyle w:val="ListParagraph"/>
              <w:keepNext/>
              <w:ind w:left="601"/>
              <w:contextualSpacing w:val="0"/>
              <w:jc w:val="both"/>
              <w:rPr>
                <w:sz w:val="20"/>
              </w:rPr>
            </w:pPr>
            <w:r w:rsidRPr="00F82283">
              <w:rPr>
                <w:sz w:val="20"/>
              </w:rPr>
              <w:t>E</w:t>
            </w:r>
            <w:r w:rsidR="000645A0" w:rsidRPr="00F82283">
              <w:rPr>
                <w:sz w:val="20"/>
              </w:rPr>
              <w:t>xplain the purpose of the summary</w:t>
            </w:r>
            <w:r w:rsidR="006C73C5" w:rsidRPr="00F82283">
              <w:rPr>
                <w:sz w:val="20"/>
              </w:rPr>
              <w:br/>
              <w:t>Explain what should be reviewed</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711D97F"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Use a case study to show how the review should be performed.</w:t>
            </w:r>
          </w:p>
          <w:p w14:paraId="52D18692"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Work on the file, reviewing only the description.</w:t>
            </w:r>
          </w:p>
          <w:p w14:paraId="4B247A09"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r w:rsidRPr="00F82283">
              <w:rPr>
                <w:sz w:val="20"/>
              </w:rPr>
              <w:t xml:space="preserve">ask participants to write down all their observations </w:t>
            </w:r>
          </w:p>
          <w:p w14:paraId="516A93CB" w14:textId="77777777" w:rsidR="000645A0" w:rsidRPr="00F82283" w:rsidRDefault="000645A0" w:rsidP="00EA0A7F">
            <w:pPr>
              <w:pStyle w:val="ListParagraph"/>
              <w:numPr>
                <w:ilvl w:val="0"/>
                <w:numId w:val="12"/>
              </w:numPr>
              <w:tabs>
                <w:tab w:val="left" w:pos="972"/>
              </w:tabs>
              <w:ind w:left="180" w:hanging="142"/>
              <w:contextualSpacing w:val="0"/>
              <w:jc w:val="both"/>
              <w:rPr>
                <w:sz w:val="20"/>
              </w:rPr>
            </w:pPr>
            <w:proofErr w:type="gramStart"/>
            <w:r w:rsidRPr="00F82283">
              <w:rPr>
                <w:sz w:val="20"/>
              </w:rPr>
              <w:t>if</w:t>
            </w:r>
            <w:proofErr w:type="gramEnd"/>
            <w:r w:rsidRPr="00F82283">
              <w:rPr>
                <w:sz w:val="20"/>
              </w:rPr>
              <w:t xml:space="preserve"> there are any questions, the instructor will provide an explanation to all participants</w:t>
            </w:r>
          </w:p>
          <w:p w14:paraId="00B4BB80" w14:textId="77777777" w:rsidR="000645A0" w:rsidRPr="00F82283" w:rsidRDefault="000645A0" w:rsidP="00EA0A7F">
            <w:pPr>
              <w:ind w:left="38" w:hanging="38"/>
              <w:rPr>
                <w:b/>
                <w:bCs/>
                <w:sz w:val="20"/>
              </w:rPr>
            </w:pPr>
          </w:p>
        </w:tc>
      </w:tr>
      <w:tr w:rsidR="000645A0" w:rsidRPr="00BC43AE" w14:paraId="21BF241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1C11CE4" w14:textId="77777777" w:rsidR="000645A0" w:rsidRPr="00F82283" w:rsidRDefault="000645A0" w:rsidP="00EA0A7F">
            <w:pPr>
              <w:pStyle w:val="ListParagraph"/>
              <w:tabs>
                <w:tab w:val="left" w:pos="514"/>
              </w:tabs>
              <w:ind w:left="601" w:hanging="425"/>
              <w:contextualSpacing w:val="0"/>
              <w:jc w:val="both"/>
              <w:rPr>
                <w:sz w:val="20"/>
              </w:rPr>
            </w:pPr>
            <w:r w:rsidRPr="00F82283">
              <w:rPr>
                <w:sz w:val="20"/>
              </w:rPr>
              <w:t>2.2.6 Review of Annexes:</w:t>
            </w:r>
          </w:p>
          <w:p w14:paraId="587E2E61" w14:textId="77777777" w:rsidR="000645A0" w:rsidRPr="00F82283" w:rsidRDefault="000645A0" w:rsidP="00EA0A7F">
            <w:pPr>
              <w:pStyle w:val="ListParagraph"/>
              <w:tabs>
                <w:tab w:val="left" w:pos="514"/>
              </w:tabs>
              <w:ind w:left="601"/>
              <w:contextualSpacing w:val="0"/>
              <w:jc w:val="both"/>
              <w:rPr>
                <w:sz w:val="20"/>
              </w:rPr>
            </w:pPr>
            <w:r w:rsidRPr="00F82283">
              <w:rPr>
                <w:sz w:val="20"/>
              </w:rPr>
              <w:t>Presentation of sequence listings</w:t>
            </w:r>
          </w:p>
          <w:p w14:paraId="7BC635BC" w14:textId="77777777" w:rsidR="000645A0" w:rsidRPr="00F82283" w:rsidRDefault="000645A0" w:rsidP="00EA0A7F">
            <w:pPr>
              <w:pStyle w:val="ListParagraph"/>
              <w:tabs>
                <w:tab w:val="left" w:pos="514"/>
              </w:tabs>
              <w:ind w:left="601"/>
              <w:contextualSpacing w:val="0"/>
              <w:jc w:val="both"/>
              <w:rPr>
                <w:sz w:val="20"/>
              </w:rPr>
            </w:pPr>
            <w:r w:rsidRPr="00F82283">
              <w:rPr>
                <w:sz w:val="20"/>
              </w:rPr>
              <w:t>Records of biological material deposits</w:t>
            </w:r>
          </w:p>
          <w:p w14:paraId="7E08646E" w14:textId="77777777" w:rsidR="000645A0" w:rsidRPr="00F82283" w:rsidRDefault="000645A0" w:rsidP="00EA0A7F">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301C8F9" w14:textId="77777777" w:rsidR="000645A0" w:rsidRPr="00F82283" w:rsidRDefault="000645A0" w:rsidP="00EA0A7F">
            <w:pPr>
              <w:ind w:left="38" w:hanging="38"/>
              <w:rPr>
                <w:rFonts w:eastAsiaTheme="minorHAnsi"/>
                <w:sz w:val="20"/>
              </w:rPr>
            </w:pPr>
            <w:r w:rsidRPr="00F82283">
              <w:rPr>
                <w:rFonts w:eastAsiaTheme="minorHAnsi"/>
                <w:sz w:val="20"/>
              </w:rPr>
              <w:t>Standard ST.26/Rules for sequence submission</w:t>
            </w:r>
          </w:p>
          <w:p w14:paraId="1687B96C" w14:textId="77777777" w:rsidR="000645A0" w:rsidRPr="00F82283" w:rsidRDefault="000645A0" w:rsidP="00EA0A7F">
            <w:pPr>
              <w:ind w:left="38" w:hanging="38"/>
              <w:rPr>
                <w:rFonts w:eastAsiaTheme="minorHAnsi"/>
                <w:sz w:val="20"/>
              </w:rPr>
            </w:pPr>
            <w:r w:rsidRPr="00F82283">
              <w:rPr>
                <w:rFonts w:eastAsiaTheme="minorHAnsi"/>
                <w:sz w:val="20"/>
              </w:rPr>
              <w:t>Budapest Treaty</w:t>
            </w:r>
          </w:p>
          <w:p w14:paraId="6FE12A37" w14:textId="77777777" w:rsidR="000645A0" w:rsidRPr="00F82283" w:rsidRDefault="000645A0" w:rsidP="00EA0A7F">
            <w:pPr>
              <w:ind w:left="38" w:hanging="38"/>
              <w:rPr>
                <w:rFonts w:eastAsiaTheme="minorHAnsi"/>
                <w:sz w:val="20"/>
              </w:rPr>
            </w:pPr>
            <w:r w:rsidRPr="00F82283">
              <w:rPr>
                <w:rFonts w:eastAsiaTheme="minorHAnsi"/>
                <w:sz w:val="20"/>
              </w:rPr>
              <w:t>International depository authorities</w:t>
            </w:r>
          </w:p>
          <w:p w14:paraId="2C1D72D9" w14:textId="13C4FC94" w:rsidR="000645A0" w:rsidRPr="00F82283" w:rsidRDefault="000645A0" w:rsidP="00EA0A7F">
            <w:pPr>
              <w:ind w:left="38" w:hanging="38"/>
              <w:rPr>
                <w:rFonts w:eastAsiaTheme="minorHAnsi"/>
                <w:sz w:val="20"/>
              </w:rPr>
            </w:pPr>
            <w:r w:rsidRPr="00F82283">
              <w:rPr>
                <w:rFonts w:eastAsiaTheme="minorHAnsi"/>
                <w:sz w:val="20"/>
              </w:rPr>
              <w:t>Depositary office: Collection of</w:t>
            </w:r>
            <w:r w:rsidR="006D70B2" w:rsidRPr="00F82283">
              <w:rPr>
                <w:rFonts w:eastAsiaTheme="minorHAnsi"/>
                <w:sz w:val="20"/>
              </w:rPr>
              <w:t xml:space="preserve"> </w:t>
            </w:r>
            <w:r w:rsidRPr="00F82283">
              <w:rPr>
                <w:rFonts w:eastAsiaTheme="minorHAnsi"/>
                <w:sz w:val="20"/>
              </w:rPr>
              <w:t>Microorganisms of the National Genetic Resources Centre</w:t>
            </w:r>
          </w:p>
          <w:p w14:paraId="00CBB3D8" w14:textId="77777777" w:rsidR="000645A0" w:rsidRPr="00F82283" w:rsidRDefault="000645A0" w:rsidP="00EA0A7F">
            <w:pPr>
              <w:ind w:left="38" w:hanging="38"/>
              <w:rPr>
                <w:b/>
                <w:bCs/>
                <w:sz w:val="20"/>
              </w:rPr>
            </w:pPr>
          </w:p>
        </w:tc>
      </w:tr>
      <w:tr w:rsidR="000645A0" w:rsidRPr="00BC43AE" w14:paraId="295B580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CD91A51" w14:textId="77777777" w:rsidR="000645A0" w:rsidRPr="00F82283" w:rsidRDefault="000645A0" w:rsidP="00EA0A7F">
            <w:pPr>
              <w:pStyle w:val="ListParagraph"/>
              <w:tabs>
                <w:tab w:val="left" w:pos="514"/>
              </w:tabs>
              <w:ind w:left="601" w:hanging="425"/>
              <w:contextualSpacing w:val="0"/>
              <w:jc w:val="both"/>
              <w:rPr>
                <w:sz w:val="20"/>
              </w:rPr>
            </w:pPr>
            <w:r w:rsidRPr="00F82283">
              <w:rPr>
                <w:b/>
                <w:bCs/>
                <w:sz w:val="20"/>
              </w:rPr>
              <w:t xml:space="preserve">2.3 </w:t>
            </w:r>
            <w:r w:rsidRPr="00F82283">
              <w:rPr>
                <w:sz w:val="20"/>
              </w:rPr>
              <w:t>Patent application files</w:t>
            </w:r>
          </w:p>
          <w:p w14:paraId="6FD37A17" w14:textId="77777777" w:rsidR="000645A0" w:rsidRPr="00F82283" w:rsidRDefault="000645A0" w:rsidP="00EA0A7F">
            <w:pPr>
              <w:pStyle w:val="ListParagraph"/>
              <w:ind w:left="176"/>
              <w:contextualSpacing w:val="0"/>
              <w:jc w:val="both"/>
              <w:rPr>
                <w:sz w:val="20"/>
              </w:rPr>
            </w:pPr>
            <w:r w:rsidRPr="00F82283">
              <w:rPr>
                <w:sz w:val="20"/>
              </w:rPr>
              <w:t>2.3.1 Explain the concept of priority</w:t>
            </w:r>
          </w:p>
          <w:p w14:paraId="1EFFB2A7" w14:textId="77777777" w:rsidR="000645A0" w:rsidRPr="00F82283" w:rsidRDefault="000645A0" w:rsidP="00EA0A7F">
            <w:pPr>
              <w:pStyle w:val="ListParagraph"/>
              <w:ind w:left="176"/>
              <w:contextualSpacing w:val="0"/>
              <w:jc w:val="both"/>
              <w:rPr>
                <w:sz w:val="20"/>
              </w:rPr>
            </w:pPr>
            <w:r w:rsidRPr="00F82283">
              <w:rPr>
                <w:sz w:val="20"/>
              </w:rPr>
              <w:t>2.3.2 Explain the concept of prior disclosure</w:t>
            </w:r>
          </w:p>
          <w:p w14:paraId="52757287" w14:textId="2B03F65D" w:rsidR="000645A0" w:rsidRPr="00F82283" w:rsidRDefault="000645A0" w:rsidP="00EA0A7F">
            <w:pPr>
              <w:pStyle w:val="ListParagraph"/>
              <w:ind w:left="176"/>
              <w:contextualSpacing w:val="0"/>
              <w:jc w:val="both"/>
              <w:rPr>
                <w:sz w:val="20"/>
              </w:rPr>
            </w:pPr>
            <w:r w:rsidRPr="00F82283">
              <w:rPr>
                <w:sz w:val="20"/>
              </w:rPr>
              <w:t xml:space="preserve">2.3.3 Explain the concept of </w:t>
            </w:r>
            <w:r w:rsidR="006C73C5" w:rsidRPr="00F82283">
              <w:rPr>
                <w:sz w:val="20"/>
              </w:rPr>
              <w:t>p</w:t>
            </w:r>
            <w:r w:rsidRPr="00F82283">
              <w:rPr>
                <w:sz w:val="20"/>
              </w:rPr>
              <w:t xml:space="preserve">atent </w:t>
            </w:r>
            <w:r w:rsidR="006C73C5" w:rsidRPr="00F82283">
              <w:rPr>
                <w:sz w:val="20"/>
              </w:rPr>
              <w:t>f</w:t>
            </w:r>
            <w:r w:rsidRPr="00F82283">
              <w:rPr>
                <w:sz w:val="20"/>
              </w:rPr>
              <w:t>amily</w:t>
            </w:r>
          </w:p>
          <w:p w14:paraId="7EB79847" w14:textId="77777777" w:rsidR="000645A0" w:rsidRPr="00F82283" w:rsidRDefault="000645A0" w:rsidP="00EA0A7F">
            <w:pPr>
              <w:pStyle w:val="ListParagraph"/>
              <w:tabs>
                <w:tab w:val="left" w:pos="514"/>
              </w:tabs>
              <w:ind w:left="601"/>
              <w:contextualSpacing w:val="0"/>
              <w:jc w:val="both"/>
              <w:rPr>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459E9EE" w14:textId="77777777" w:rsidR="000645A0" w:rsidRPr="00F82283" w:rsidRDefault="000645A0" w:rsidP="00EA0A7F">
            <w:pPr>
              <w:ind w:left="38" w:hanging="38"/>
              <w:rPr>
                <w:rFonts w:eastAsiaTheme="minorHAnsi"/>
                <w:sz w:val="20"/>
              </w:rPr>
            </w:pPr>
            <w:r w:rsidRPr="00F82283">
              <w:rPr>
                <w:rFonts w:eastAsiaTheme="minorHAnsi"/>
                <w:sz w:val="20"/>
              </w:rPr>
              <w:t>Show examples of:</w:t>
            </w:r>
          </w:p>
          <w:p w14:paraId="68703F54" w14:textId="77777777" w:rsidR="000645A0" w:rsidRPr="00F82283" w:rsidRDefault="000645A0" w:rsidP="00EA0A7F">
            <w:pPr>
              <w:ind w:left="38" w:hanging="38"/>
              <w:rPr>
                <w:rFonts w:eastAsiaTheme="minorHAnsi"/>
                <w:sz w:val="20"/>
              </w:rPr>
            </w:pPr>
            <w:r w:rsidRPr="00F82283">
              <w:rPr>
                <w:rFonts w:eastAsiaTheme="minorHAnsi"/>
                <w:sz w:val="20"/>
              </w:rPr>
              <w:t>PCT files with and without priority</w:t>
            </w:r>
          </w:p>
          <w:p w14:paraId="353A5AA0" w14:textId="77777777" w:rsidR="000645A0" w:rsidRPr="00F82283" w:rsidRDefault="000645A0" w:rsidP="00EA0A7F">
            <w:pPr>
              <w:ind w:left="38" w:hanging="38"/>
              <w:rPr>
                <w:rFonts w:eastAsiaTheme="minorHAnsi"/>
                <w:sz w:val="20"/>
              </w:rPr>
            </w:pPr>
            <w:r w:rsidRPr="00F82283">
              <w:rPr>
                <w:rFonts w:eastAsiaTheme="minorHAnsi"/>
                <w:sz w:val="20"/>
              </w:rPr>
              <w:t>Paris Convention files (concept of priority)</w:t>
            </w:r>
          </w:p>
          <w:p w14:paraId="1AB36F30" w14:textId="77777777" w:rsidR="000645A0" w:rsidRPr="00F82283" w:rsidRDefault="000645A0" w:rsidP="00EA0A7F">
            <w:pPr>
              <w:ind w:left="38" w:hanging="38"/>
              <w:rPr>
                <w:rFonts w:eastAsiaTheme="minorHAnsi"/>
                <w:sz w:val="20"/>
              </w:rPr>
            </w:pPr>
            <w:r w:rsidRPr="00F82283">
              <w:rPr>
                <w:rFonts w:eastAsiaTheme="minorHAnsi"/>
                <w:sz w:val="20"/>
              </w:rPr>
              <w:t>National files with prior disclosure</w:t>
            </w:r>
          </w:p>
          <w:p w14:paraId="70BD4DB7" w14:textId="77777777" w:rsidR="000645A0" w:rsidRPr="00F82283" w:rsidRDefault="000645A0" w:rsidP="00EA0A7F">
            <w:pPr>
              <w:ind w:left="38" w:hanging="38"/>
              <w:rPr>
                <w:b/>
                <w:bCs/>
                <w:sz w:val="20"/>
              </w:rPr>
            </w:pPr>
            <w:r w:rsidRPr="00F82283">
              <w:rPr>
                <w:rFonts w:eastAsiaTheme="minorHAnsi"/>
                <w:sz w:val="20"/>
              </w:rPr>
              <w:t>Comparison of priority document with national application</w:t>
            </w:r>
          </w:p>
        </w:tc>
      </w:tr>
      <w:tr w:rsidR="000645A0" w:rsidRPr="00BC43AE" w14:paraId="25A9550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04D93DC" w14:textId="77777777" w:rsidR="000645A0" w:rsidRPr="008E61D3" w:rsidRDefault="000645A0" w:rsidP="00EA0A7F">
            <w:pPr>
              <w:rPr>
                <w:b/>
                <w:bCs/>
                <w:color w:val="621132"/>
                <w:sz w:val="20"/>
              </w:rPr>
            </w:pPr>
            <w:r w:rsidRPr="008E61D3">
              <w:rPr>
                <w:b/>
                <w:bCs/>
                <w:color w:val="621132"/>
                <w:sz w:val="20"/>
              </w:rPr>
              <w:t>Module III. Classification Schemes.</w:t>
            </w:r>
          </w:p>
          <w:p w14:paraId="2B2E2E0C" w14:textId="77777777" w:rsidR="000645A0" w:rsidRPr="008E61D3" w:rsidRDefault="000645A0" w:rsidP="00EA0A7F">
            <w:pPr>
              <w:ind w:left="38" w:hanging="38"/>
              <w:rPr>
                <w:rFonts w:eastAsiaTheme="minorHAnsi"/>
                <w:color w:val="13322B"/>
                <w:sz w:val="20"/>
              </w:rPr>
            </w:pPr>
          </w:p>
        </w:tc>
      </w:tr>
      <w:tr w:rsidR="000645A0" w:rsidRPr="00BC43AE" w14:paraId="6F4335C7"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C2EEE9D"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F84E269" w14:textId="77777777" w:rsidR="000645A0" w:rsidRPr="008E61D3" w:rsidRDefault="000645A0" w:rsidP="00EA0A7F">
            <w:pPr>
              <w:jc w:val="center"/>
              <w:rPr>
                <w:b/>
                <w:color w:val="621132"/>
                <w:sz w:val="20"/>
              </w:rPr>
            </w:pPr>
            <w:r w:rsidRPr="008E61D3">
              <w:rPr>
                <w:b/>
                <w:color w:val="621132"/>
                <w:sz w:val="20"/>
              </w:rPr>
              <w:t>Topics to be covered/activities</w:t>
            </w:r>
          </w:p>
          <w:p w14:paraId="07EECD36" w14:textId="77777777" w:rsidR="000645A0" w:rsidRPr="008E61D3" w:rsidRDefault="000645A0" w:rsidP="00EA0A7F">
            <w:pPr>
              <w:jc w:val="center"/>
              <w:rPr>
                <w:b/>
                <w:color w:val="621132"/>
                <w:sz w:val="20"/>
              </w:rPr>
            </w:pPr>
          </w:p>
        </w:tc>
      </w:tr>
      <w:tr w:rsidR="000645A0" w:rsidRPr="00BC43AE" w14:paraId="579155F0"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0731719" w14:textId="77777777" w:rsidR="000645A0" w:rsidRPr="00F82283" w:rsidRDefault="000645A0" w:rsidP="00EA0A7F">
            <w:pPr>
              <w:pStyle w:val="ListParagraph"/>
              <w:numPr>
                <w:ilvl w:val="0"/>
                <w:numId w:val="10"/>
              </w:numPr>
              <w:ind w:left="459" w:hanging="283"/>
              <w:contextualSpacing w:val="0"/>
              <w:jc w:val="both"/>
              <w:rPr>
                <w:b/>
                <w:bCs/>
                <w:sz w:val="20"/>
              </w:rPr>
            </w:pPr>
            <w:r w:rsidRPr="00F82283">
              <w:rPr>
                <w:b/>
                <w:bCs/>
                <w:sz w:val="20"/>
              </w:rPr>
              <w:t>Introduction to the use of classification systems</w:t>
            </w:r>
          </w:p>
          <w:p w14:paraId="5A49BAAD" w14:textId="77777777" w:rsidR="000645A0" w:rsidRPr="00F82283" w:rsidRDefault="000645A0" w:rsidP="006C73C5">
            <w:pPr>
              <w:jc w:val="both"/>
              <w:rPr>
                <w:b/>
                <w:bCs/>
                <w:sz w:val="20"/>
              </w:rPr>
            </w:pPr>
          </w:p>
          <w:p w14:paraId="598B5936" w14:textId="5EE1C549" w:rsidR="000645A0" w:rsidRPr="00F82283" w:rsidRDefault="006C73C5" w:rsidP="00EA0A7F">
            <w:pPr>
              <w:pStyle w:val="ListParagraph"/>
              <w:numPr>
                <w:ilvl w:val="1"/>
                <w:numId w:val="10"/>
              </w:numPr>
              <w:ind w:left="459" w:hanging="283"/>
              <w:contextualSpacing w:val="0"/>
              <w:jc w:val="both"/>
              <w:rPr>
                <w:sz w:val="20"/>
              </w:rPr>
            </w:pPr>
            <w:r w:rsidRPr="00F82283">
              <w:rPr>
                <w:sz w:val="20"/>
              </w:rPr>
              <w:t xml:space="preserve"> </w:t>
            </w:r>
            <w:r w:rsidR="000645A0" w:rsidRPr="00F82283">
              <w:rPr>
                <w:sz w:val="20"/>
              </w:rPr>
              <w:t>International Patent Classification</w:t>
            </w:r>
          </w:p>
          <w:p w14:paraId="51EA542B" w14:textId="77777777" w:rsidR="000645A0" w:rsidRPr="00F82283" w:rsidRDefault="000645A0" w:rsidP="00EA0A7F">
            <w:pPr>
              <w:pStyle w:val="ListParagraph"/>
              <w:ind w:left="459"/>
              <w:contextualSpacing w:val="0"/>
              <w:jc w:val="both"/>
              <w:rPr>
                <w:sz w:val="20"/>
              </w:rPr>
            </w:pPr>
          </w:p>
          <w:p w14:paraId="25ABD083" w14:textId="77777777" w:rsidR="000645A0" w:rsidRPr="00F82283" w:rsidRDefault="000645A0" w:rsidP="00EA0A7F">
            <w:pPr>
              <w:pStyle w:val="ListParagraph"/>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B6AF1BA" w14:textId="77777777" w:rsidR="000645A0" w:rsidRPr="00F82283" w:rsidRDefault="000645A0" w:rsidP="00EA0A7F">
            <w:pPr>
              <w:jc w:val="both"/>
              <w:rPr>
                <w:sz w:val="20"/>
              </w:rPr>
            </w:pPr>
          </w:p>
          <w:p w14:paraId="60C858FD" w14:textId="77777777" w:rsidR="000645A0" w:rsidRPr="00F82283" w:rsidRDefault="000645A0" w:rsidP="00EA0A7F">
            <w:pPr>
              <w:jc w:val="both"/>
              <w:rPr>
                <w:sz w:val="20"/>
              </w:rPr>
            </w:pPr>
            <w:r w:rsidRPr="00F82283">
              <w:rPr>
                <w:sz w:val="20"/>
              </w:rPr>
              <w:t>Assignment of classification symbols (format, hierarchical structure).</w:t>
            </w:r>
          </w:p>
          <w:p w14:paraId="010ADBBF" w14:textId="77777777" w:rsidR="000645A0" w:rsidRPr="00F82283" w:rsidRDefault="000645A0" w:rsidP="00EA0A7F">
            <w:pPr>
              <w:jc w:val="both"/>
              <w:rPr>
                <w:sz w:val="20"/>
              </w:rPr>
            </w:pPr>
            <w:r w:rsidRPr="00F82283">
              <w:rPr>
                <w:sz w:val="20"/>
              </w:rPr>
              <w:t>Explain how to classify according to classification schemes using a sample file</w:t>
            </w:r>
          </w:p>
          <w:p w14:paraId="189CEF34" w14:textId="77777777" w:rsidR="000645A0" w:rsidRPr="00F82283" w:rsidRDefault="000645A0" w:rsidP="00EA0A7F">
            <w:pPr>
              <w:jc w:val="both"/>
              <w:rPr>
                <w:b/>
                <w:bCs/>
                <w:sz w:val="20"/>
              </w:rPr>
            </w:pPr>
          </w:p>
        </w:tc>
      </w:tr>
      <w:tr w:rsidR="000645A0" w:rsidRPr="00BC43AE" w14:paraId="4632EBC3"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D9AB86E" w14:textId="77777777" w:rsidR="000645A0" w:rsidRPr="00F82283" w:rsidRDefault="000645A0" w:rsidP="00EA0A7F">
            <w:pPr>
              <w:ind w:left="176"/>
              <w:jc w:val="both"/>
              <w:rPr>
                <w:b/>
                <w:bCs/>
                <w:sz w:val="20"/>
              </w:rPr>
            </w:pPr>
            <w:r w:rsidRPr="00F82283">
              <w:rPr>
                <w:b/>
                <w:bCs/>
                <w:sz w:val="20"/>
              </w:rPr>
              <w:t xml:space="preserve">3.2 </w:t>
            </w:r>
            <w:r w:rsidRPr="00F82283">
              <w:rPr>
                <w:sz w:val="20"/>
              </w:rPr>
              <w:t>Cooperative Patent Classification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3A24D32" w14:textId="77777777" w:rsidR="000645A0" w:rsidRPr="00F82283" w:rsidRDefault="000645A0" w:rsidP="00EA0A7F">
            <w:pPr>
              <w:jc w:val="both"/>
              <w:rPr>
                <w:sz w:val="20"/>
              </w:rPr>
            </w:pPr>
            <w:r w:rsidRPr="00F82283">
              <w:rPr>
                <w:sz w:val="20"/>
              </w:rPr>
              <w:t xml:space="preserve">Advantages of using classification symbols for technical </w:t>
            </w:r>
            <w:proofErr w:type="gramStart"/>
            <w:r w:rsidRPr="00F82283">
              <w:rPr>
                <w:sz w:val="20"/>
              </w:rPr>
              <w:t>searches</w:t>
            </w:r>
            <w:proofErr w:type="gramEnd"/>
            <w:r w:rsidRPr="00F82283">
              <w:rPr>
                <w:sz w:val="20"/>
              </w:rPr>
              <w:t>.</w:t>
            </w:r>
          </w:p>
          <w:p w14:paraId="74784D1B" w14:textId="77777777" w:rsidR="000645A0" w:rsidRPr="00F82283" w:rsidRDefault="000645A0" w:rsidP="00EA0A7F">
            <w:pPr>
              <w:jc w:val="both"/>
              <w:rPr>
                <w:sz w:val="20"/>
              </w:rPr>
            </w:pPr>
            <w:r w:rsidRPr="00F82283">
              <w:rPr>
                <w:sz w:val="20"/>
              </w:rPr>
              <w:t xml:space="preserve">Using the </w:t>
            </w:r>
            <w:proofErr w:type="spellStart"/>
            <w:r w:rsidRPr="00F82283">
              <w:rPr>
                <w:sz w:val="20"/>
              </w:rPr>
              <w:t>ProClass</w:t>
            </w:r>
            <w:proofErr w:type="spellEnd"/>
            <w:r w:rsidRPr="00F82283">
              <w:rPr>
                <w:sz w:val="20"/>
              </w:rPr>
              <w:t xml:space="preserve"> tool</w:t>
            </w:r>
          </w:p>
        </w:tc>
      </w:tr>
      <w:tr w:rsidR="000645A0" w:rsidRPr="00BC43AE" w14:paraId="5BA6EC1B"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A8B617F" w14:textId="77777777" w:rsidR="000645A0" w:rsidRPr="008E61D3" w:rsidRDefault="000645A0" w:rsidP="00EA0A7F">
            <w:pPr>
              <w:keepNext/>
              <w:rPr>
                <w:b/>
                <w:bCs/>
                <w:color w:val="621132"/>
                <w:sz w:val="20"/>
              </w:rPr>
            </w:pPr>
            <w:r w:rsidRPr="008E61D3">
              <w:rPr>
                <w:b/>
                <w:bCs/>
                <w:color w:val="621132"/>
                <w:sz w:val="20"/>
              </w:rPr>
              <w:t>Module IV. Establishing the state of the art.</w:t>
            </w:r>
          </w:p>
          <w:p w14:paraId="40280DD1" w14:textId="77777777" w:rsidR="000645A0" w:rsidRPr="008E61D3" w:rsidRDefault="000645A0" w:rsidP="00EA0A7F">
            <w:pPr>
              <w:keepNext/>
              <w:jc w:val="both"/>
              <w:rPr>
                <w:color w:val="13322B"/>
                <w:sz w:val="20"/>
              </w:rPr>
            </w:pPr>
          </w:p>
        </w:tc>
      </w:tr>
      <w:tr w:rsidR="000645A0" w:rsidRPr="00BC43AE" w14:paraId="7DB260D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DBCB834" w14:textId="77777777" w:rsidR="000645A0" w:rsidRPr="008E61D3" w:rsidRDefault="000645A0" w:rsidP="00EA0A7F">
            <w:pPr>
              <w:keepNext/>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BF3680D" w14:textId="77777777" w:rsidR="000645A0" w:rsidRPr="008E61D3" w:rsidRDefault="000645A0" w:rsidP="00EA0A7F">
            <w:pPr>
              <w:jc w:val="center"/>
              <w:rPr>
                <w:b/>
                <w:color w:val="621132"/>
                <w:sz w:val="20"/>
              </w:rPr>
            </w:pPr>
            <w:r w:rsidRPr="008E61D3">
              <w:rPr>
                <w:b/>
                <w:color w:val="621132"/>
                <w:sz w:val="20"/>
              </w:rPr>
              <w:t>Points to be covered/activities</w:t>
            </w:r>
          </w:p>
          <w:p w14:paraId="03EB874E" w14:textId="77777777" w:rsidR="000645A0" w:rsidRPr="008E61D3" w:rsidRDefault="000645A0" w:rsidP="00EA0A7F">
            <w:pPr>
              <w:jc w:val="center"/>
              <w:rPr>
                <w:b/>
                <w:color w:val="621132"/>
                <w:sz w:val="20"/>
              </w:rPr>
            </w:pPr>
          </w:p>
        </w:tc>
      </w:tr>
      <w:tr w:rsidR="000645A0" w:rsidRPr="00BC43AE" w14:paraId="0B92FED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F3B4B4A" w14:textId="77777777" w:rsidR="000645A0" w:rsidRPr="00F82283" w:rsidRDefault="000645A0" w:rsidP="00EA0A7F">
            <w:pPr>
              <w:pStyle w:val="ListParagraph"/>
              <w:numPr>
                <w:ilvl w:val="0"/>
                <w:numId w:val="10"/>
              </w:numPr>
              <w:ind w:left="459" w:hanging="280"/>
              <w:contextualSpacing w:val="0"/>
              <w:jc w:val="both"/>
              <w:rPr>
                <w:b/>
                <w:bCs/>
                <w:sz w:val="20"/>
              </w:rPr>
            </w:pPr>
            <w:r w:rsidRPr="00F82283">
              <w:rPr>
                <w:b/>
                <w:bCs/>
                <w:sz w:val="20"/>
              </w:rPr>
              <w:t xml:space="preserve">Search strategies  </w:t>
            </w:r>
          </w:p>
          <w:p w14:paraId="60C42E85" w14:textId="77777777" w:rsidR="000645A0" w:rsidRPr="00F82283" w:rsidRDefault="000645A0" w:rsidP="00EA0A7F">
            <w:pPr>
              <w:pStyle w:val="ListParagraph"/>
              <w:ind w:left="459"/>
              <w:contextualSpacing w:val="0"/>
              <w:jc w:val="both"/>
              <w:rPr>
                <w:b/>
                <w:bCs/>
                <w:sz w:val="20"/>
              </w:rPr>
            </w:pPr>
          </w:p>
          <w:p w14:paraId="61399FF2" w14:textId="12F64EC5" w:rsidR="000645A0" w:rsidRPr="00F82283" w:rsidRDefault="006C73C5" w:rsidP="00EA0A7F">
            <w:pPr>
              <w:pStyle w:val="ListParagraph"/>
              <w:numPr>
                <w:ilvl w:val="1"/>
                <w:numId w:val="10"/>
              </w:numPr>
              <w:ind w:left="462" w:hanging="283"/>
              <w:contextualSpacing w:val="0"/>
              <w:jc w:val="both"/>
              <w:rPr>
                <w:sz w:val="20"/>
              </w:rPr>
            </w:pPr>
            <w:r w:rsidRPr="00F82283">
              <w:rPr>
                <w:sz w:val="20"/>
              </w:rPr>
              <w:t xml:space="preserve"> </w:t>
            </w:r>
            <w:r w:rsidR="000645A0" w:rsidRPr="00F82283">
              <w:rPr>
                <w:sz w:val="20"/>
              </w:rPr>
              <w:t>Criteria for establishing the state of the art (PCT, Paris Convention and national applications)</w:t>
            </w:r>
          </w:p>
          <w:p w14:paraId="7AB9FBE0" w14:textId="77777777" w:rsidR="000645A0" w:rsidRPr="00F82283" w:rsidRDefault="000645A0" w:rsidP="00EA0A7F">
            <w:pPr>
              <w:ind w:left="179"/>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C00AEF8" w14:textId="77777777" w:rsidR="000645A0" w:rsidRPr="00F82283" w:rsidRDefault="000645A0" w:rsidP="00EA0A7F">
            <w:pPr>
              <w:jc w:val="both"/>
              <w:rPr>
                <w:sz w:val="20"/>
              </w:rPr>
            </w:pPr>
          </w:p>
          <w:p w14:paraId="51453DD4" w14:textId="77777777" w:rsidR="000645A0" w:rsidRPr="00F82283" w:rsidRDefault="000645A0" w:rsidP="00EA0A7F">
            <w:pPr>
              <w:jc w:val="both"/>
              <w:rPr>
                <w:sz w:val="20"/>
              </w:rPr>
            </w:pPr>
            <w:r w:rsidRPr="00F82283">
              <w:rPr>
                <w:sz w:val="20"/>
              </w:rPr>
              <w:t>What to search for?  Information on the invention/Additional information</w:t>
            </w:r>
          </w:p>
          <w:p w14:paraId="6861D0C5" w14:textId="77777777" w:rsidR="000645A0" w:rsidRPr="00F82283" w:rsidRDefault="000645A0" w:rsidP="00EA0A7F">
            <w:pPr>
              <w:jc w:val="both"/>
              <w:rPr>
                <w:b/>
                <w:bCs/>
                <w:sz w:val="20"/>
              </w:rPr>
            </w:pPr>
            <w:r w:rsidRPr="00F82283">
              <w:rPr>
                <w:sz w:val="20"/>
              </w:rPr>
              <w:t>Use of the Search Report template</w:t>
            </w:r>
          </w:p>
        </w:tc>
      </w:tr>
      <w:tr w:rsidR="000645A0" w:rsidRPr="00BC43AE" w14:paraId="7B6B8937"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1475FD0" w14:textId="77777777" w:rsidR="000645A0" w:rsidRPr="00F82283" w:rsidRDefault="000645A0" w:rsidP="00EA0A7F">
            <w:pPr>
              <w:pStyle w:val="ListParagraph"/>
              <w:numPr>
                <w:ilvl w:val="2"/>
                <w:numId w:val="10"/>
              </w:numPr>
              <w:ind w:left="1029" w:hanging="567"/>
              <w:contextualSpacing w:val="0"/>
              <w:jc w:val="both"/>
              <w:rPr>
                <w:sz w:val="20"/>
              </w:rPr>
            </w:pPr>
            <w:r w:rsidRPr="00F82283">
              <w:rPr>
                <w:sz w:val="20"/>
              </w:rPr>
              <w:t>SAGPAT</w:t>
            </w:r>
          </w:p>
          <w:p w14:paraId="4A338302" w14:textId="2A672F95" w:rsidR="000645A0" w:rsidRPr="00F82283" w:rsidRDefault="000645A0" w:rsidP="00EA0A7F">
            <w:pPr>
              <w:pStyle w:val="ListParagraph"/>
              <w:numPr>
                <w:ilvl w:val="2"/>
                <w:numId w:val="10"/>
              </w:numPr>
              <w:ind w:left="1029" w:hanging="567"/>
              <w:contextualSpacing w:val="0"/>
              <w:jc w:val="both"/>
              <w:rPr>
                <w:sz w:val="20"/>
              </w:rPr>
            </w:pPr>
            <w:r w:rsidRPr="00F82283">
              <w:rPr>
                <w:sz w:val="20"/>
              </w:rPr>
              <w:t xml:space="preserve">The Industrial Property Gazette Information System (SIGA) and </w:t>
            </w:r>
            <w:proofErr w:type="spellStart"/>
            <w:r w:rsidRPr="00F82283">
              <w:rPr>
                <w:sz w:val="20"/>
              </w:rPr>
              <w:t>ViDoc</w:t>
            </w:r>
            <w:proofErr w:type="spellEnd"/>
            <w:r w:rsidRPr="00F82283">
              <w:rPr>
                <w:sz w:val="20"/>
              </w:rPr>
              <w:t xml:space="preserve"> (a</w:t>
            </w:r>
            <w:r w:rsidR="006C73C5" w:rsidRPr="00F82283">
              <w:t> </w:t>
            </w:r>
            <w:r w:rsidRPr="00F82283">
              <w:rPr>
                <w:sz w:val="20"/>
              </w:rPr>
              <w:t>document viewer)</w:t>
            </w:r>
          </w:p>
          <w:p w14:paraId="3535B267" w14:textId="77777777" w:rsidR="000645A0" w:rsidRPr="00F82283" w:rsidRDefault="000645A0" w:rsidP="00EA0A7F">
            <w:pPr>
              <w:ind w:left="176"/>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809E89D" w14:textId="77777777" w:rsidR="000645A0" w:rsidRPr="00F82283" w:rsidRDefault="000645A0" w:rsidP="00EA0A7F">
            <w:pPr>
              <w:jc w:val="both"/>
              <w:rPr>
                <w:sz w:val="20"/>
              </w:rPr>
            </w:pPr>
            <w:r w:rsidRPr="00F82283">
              <w:rPr>
                <w:sz w:val="20"/>
              </w:rPr>
              <w:t>Search for national patent application</w:t>
            </w:r>
          </w:p>
          <w:p w14:paraId="5F2DCF03" w14:textId="77777777" w:rsidR="000645A0" w:rsidRPr="00F82283" w:rsidRDefault="000645A0" w:rsidP="00EA0A7F">
            <w:pPr>
              <w:jc w:val="both"/>
              <w:rPr>
                <w:sz w:val="20"/>
              </w:rPr>
            </w:pPr>
            <w:r w:rsidRPr="00F82283">
              <w:rPr>
                <w:sz w:val="20"/>
              </w:rPr>
              <w:t>Search for PCT application, Paris Convention</w:t>
            </w:r>
          </w:p>
        </w:tc>
      </w:tr>
      <w:tr w:rsidR="000645A0" w:rsidRPr="00BC43AE" w14:paraId="7AC5A789"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77C0F18" w14:textId="77777777" w:rsidR="000645A0" w:rsidRPr="00F82283" w:rsidRDefault="000645A0" w:rsidP="00EA0A7F">
            <w:pPr>
              <w:pStyle w:val="ListParagraph"/>
              <w:ind w:left="1029" w:hanging="569"/>
              <w:contextualSpacing w:val="0"/>
              <w:jc w:val="both"/>
              <w:rPr>
                <w:sz w:val="20"/>
              </w:rPr>
            </w:pPr>
            <w:r w:rsidRPr="00F82283">
              <w:rPr>
                <w:sz w:val="20"/>
              </w:rPr>
              <w:t>4.1.3 ESPACENET and PATENTSCOPE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D5BFF56" w14:textId="77777777" w:rsidR="000645A0" w:rsidRPr="00F82283" w:rsidRDefault="000645A0" w:rsidP="00EA0A7F">
            <w:pPr>
              <w:ind w:left="29" w:hanging="29"/>
              <w:rPr>
                <w:sz w:val="20"/>
              </w:rPr>
            </w:pPr>
            <w:r w:rsidRPr="00F82283">
              <w:rPr>
                <w:sz w:val="20"/>
              </w:rPr>
              <w:t xml:space="preserve">Search in ESPACENET </w:t>
            </w:r>
          </w:p>
          <w:p w14:paraId="6D5F4421" w14:textId="77777777" w:rsidR="000645A0" w:rsidRPr="00F82283" w:rsidRDefault="000645A0" w:rsidP="00EA0A7F">
            <w:pPr>
              <w:ind w:left="29" w:hanging="29"/>
              <w:rPr>
                <w:sz w:val="20"/>
              </w:rPr>
            </w:pPr>
            <w:r w:rsidRPr="00F82283">
              <w:rPr>
                <w:sz w:val="20"/>
              </w:rPr>
              <w:t xml:space="preserve">Retrieve search report, IPER </w:t>
            </w:r>
          </w:p>
        </w:tc>
      </w:tr>
      <w:tr w:rsidR="000645A0" w:rsidRPr="00BC43AE" w14:paraId="33CEA84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BB93539" w14:textId="77777777" w:rsidR="000645A0" w:rsidRPr="00F82283" w:rsidRDefault="000645A0" w:rsidP="00EA0A7F">
            <w:pPr>
              <w:pStyle w:val="ListParagraph"/>
              <w:numPr>
                <w:ilvl w:val="2"/>
                <w:numId w:val="13"/>
              </w:numPr>
              <w:ind w:left="1029" w:hanging="567"/>
              <w:contextualSpacing w:val="0"/>
              <w:jc w:val="both"/>
              <w:rPr>
                <w:sz w:val="20"/>
              </w:rPr>
            </w:pPr>
            <w:r w:rsidRPr="00F82283">
              <w:rPr>
                <w:sz w:val="20"/>
              </w:rPr>
              <w:lastRenderedPageBreak/>
              <w:t>CLARIVATE</w:t>
            </w:r>
          </w:p>
          <w:p w14:paraId="5B3B8853" w14:textId="77777777" w:rsidR="000645A0" w:rsidRPr="00F82283" w:rsidRDefault="000645A0" w:rsidP="00EA0A7F">
            <w:pPr>
              <w:pStyle w:val="ListParagraph"/>
              <w:numPr>
                <w:ilvl w:val="2"/>
                <w:numId w:val="13"/>
              </w:numPr>
              <w:ind w:left="1029" w:hanging="567"/>
              <w:contextualSpacing w:val="0"/>
              <w:jc w:val="both"/>
              <w:rPr>
                <w:sz w:val="20"/>
              </w:rPr>
            </w:pPr>
            <w:proofErr w:type="spellStart"/>
            <w:r w:rsidRPr="00F82283">
              <w:rPr>
                <w:sz w:val="20"/>
              </w:rPr>
              <w:t>SequenceBase</w:t>
            </w:r>
            <w:proofErr w:type="spellEnd"/>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5E9AFF9" w14:textId="77777777" w:rsidR="000645A0" w:rsidRPr="00F82283" w:rsidRDefault="000645A0" w:rsidP="00EA0A7F">
            <w:pPr>
              <w:ind w:left="29" w:hanging="29"/>
              <w:rPr>
                <w:sz w:val="20"/>
              </w:rPr>
            </w:pPr>
            <w:r w:rsidRPr="00F82283">
              <w:rPr>
                <w:sz w:val="20"/>
              </w:rPr>
              <w:t>Search for patent documents and non-patent literature</w:t>
            </w:r>
          </w:p>
          <w:p w14:paraId="41109270" w14:textId="77777777" w:rsidR="000645A0" w:rsidRPr="00F82283" w:rsidRDefault="000645A0" w:rsidP="00EA0A7F">
            <w:pPr>
              <w:ind w:left="29" w:hanging="29"/>
              <w:rPr>
                <w:sz w:val="20"/>
              </w:rPr>
            </w:pPr>
            <w:r w:rsidRPr="00F82283">
              <w:rPr>
                <w:sz w:val="20"/>
              </w:rPr>
              <w:t>Sequence search</w:t>
            </w:r>
          </w:p>
        </w:tc>
      </w:tr>
      <w:tr w:rsidR="000645A0" w:rsidRPr="00BC43AE" w14:paraId="1B4736A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19B017" w14:textId="77777777" w:rsidR="000645A0" w:rsidRPr="00F82283" w:rsidRDefault="000645A0" w:rsidP="00EA0A7F">
            <w:pPr>
              <w:pStyle w:val="ListParagraph"/>
              <w:ind w:left="1029" w:hanging="569"/>
              <w:contextualSpacing w:val="0"/>
              <w:jc w:val="both"/>
              <w:rPr>
                <w:sz w:val="20"/>
              </w:rPr>
            </w:pPr>
            <w:r w:rsidRPr="00F82283">
              <w:rPr>
                <w:sz w:val="20"/>
              </w:rPr>
              <w:t>4.1.6 Contents of a search report</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6851A1A" w14:textId="77777777" w:rsidR="000645A0" w:rsidRPr="00F82283" w:rsidRDefault="000645A0" w:rsidP="00EA0A7F">
            <w:pPr>
              <w:ind w:left="29" w:hanging="29"/>
              <w:rPr>
                <w:sz w:val="20"/>
              </w:rPr>
            </w:pPr>
            <w:r w:rsidRPr="00F82283">
              <w:rPr>
                <w:sz w:val="20"/>
              </w:rPr>
              <w:t>Preparation of search reports for national files</w:t>
            </w:r>
          </w:p>
        </w:tc>
      </w:tr>
      <w:tr w:rsidR="000645A0" w:rsidRPr="00BC43AE" w14:paraId="75B3C89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60985E2" w14:textId="77777777" w:rsidR="000645A0" w:rsidRPr="008E61D3" w:rsidRDefault="000645A0" w:rsidP="00EA0A7F">
            <w:pPr>
              <w:rPr>
                <w:b/>
                <w:bCs/>
                <w:color w:val="621132"/>
                <w:sz w:val="20"/>
              </w:rPr>
            </w:pPr>
            <w:r w:rsidRPr="008E61D3">
              <w:rPr>
                <w:b/>
                <w:bCs/>
                <w:color w:val="621132"/>
                <w:sz w:val="20"/>
              </w:rPr>
              <w:t>Module V. Other patent offices</w:t>
            </w:r>
          </w:p>
          <w:p w14:paraId="0661EC52" w14:textId="77777777" w:rsidR="000645A0" w:rsidRPr="008E61D3" w:rsidRDefault="000645A0" w:rsidP="006C73C5">
            <w:pPr>
              <w:rPr>
                <w:color w:val="13322B"/>
                <w:sz w:val="20"/>
              </w:rPr>
            </w:pPr>
          </w:p>
        </w:tc>
      </w:tr>
      <w:tr w:rsidR="000645A0" w:rsidRPr="00BC43AE" w14:paraId="6F2BCBB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D247CDE"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4BD702ED" w14:textId="77777777" w:rsidR="000645A0" w:rsidRPr="008E61D3" w:rsidRDefault="000645A0" w:rsidP="00EA0A7F">
            <w:pPr>
              <w:jc w:val="center"/>
              <w:rPr>
                <w:b/>
                <w:color w:val="621132"/>
                <w:sz w:val="20"/>
              </w:rPr>
            </w:pPr>
            <w:r w:rsidRPr="008E61D3">
              <w:rPr>
                <w:b/>
                <w:color w:val="621132"/>
                <w:sz w:val="20"/>
              </w:rPr>
              <w:t>Points to be covered/activities</w:t>
            </w:r>
          </w:p>
          <w:p w14:paraId="1298135F" w14:textId="77777777" w:rsidR="000645A0" w:rsidRPr="008E61D3" w:rsidRDefault="000645A0" w:rsidP="00EA0A7F">
            <w:pPr>
              <w:jc w:val="center"/>
              <w:rPr>
                <w:b/>
                <w:color w:val="621132"/>
                <w:sz w:val="20"/>
              </w:rPr>
            </w:pPr>
          </w:p>
        </w:tc>
      </w:tr>
      <w:tr w:rsidR="000645A0" w:rsidRPr="00BC43AE" w14:paraId="2D9DAB1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77A16EB" w14:textId="422506F2" w:rsidR="000645A0" w:rsidRPr="00F82283" w:rsidRDefault="000645A0" w:rsidP="006C73C5">
            <w:pPr>
              <w:pStyle w:val="ListParagraph"/>
              <w:numPr>
                <w:ilvl w:val="0"/>
                <w:numId w:val="10"/>
              </w:numPr>
              <w:ind w:left="321" w:hanging="284"/>
              <w:contextualSpacing w:val="0"/>
              <w:jc w:val="both"/>
              <w:rPr>
                <w:b/>
                <w:bCs/>
                <w:sz w:val="20"/>
              </w:rPr>
            </w:pPr>
            <w:r w:rsidRPr="00F82283">
              <w:rPr>
                <w:b/>
                <w:bCs/>
                <w:sz w:val="20"/>
              </w:rPr>
              <w:t>Retrieval of work products from other offices</w:t>
            </w:r>
          </w:p>
          <w:p w14:paraId="61CE1833" w14:textId="3F9DD255" w:rsidR="000645A0" w:rsidRPr="00F82283" w:rsidRDefault="000645A0" w:rsidP="00185543">
            <w:pPr>
              <w:pStyle w:val="ListParagraph"/>
              <w:numPr>
                <w:ilvl w:val="1"/>
                <w:numId w:val="10"/>
              </w:numPr>
              <w:ind w:left="680" w:hanging="340"/>
              <w:contextualSpacing w:val="0"/>
              <w:jc w:val="both"/>
              <w:rPr>
                <w:sz w:val="20"/>
              </w:rPr>
            </w:pPr>
            <w:r w:rsidRPr="00F82283">
              <w:rPr>
                <w:sz w:val="20"/>
              </w:rPr>
              <w:t>Explanation of the United States Patent and Trademark Office (USPTO) server</w:t>
            </w:r>
          </w:p>
          <w:p w14:paraId="3A834CC5" w14:textId="249ACE4A" w:rsidR="000645A0" w:rsidRPr="00F82283" w:rsidRDefault="000645A0" w:rsidP="00185543">
            <w:pPr>
              <w:pStyle w:val="ListParagraph"/>
              <w:numPr>
                <w:ilvl w:val="1"/>
                <w:numId w:val="10"/>
              </w:numPr>
              <w:ind w:left="680" w:hanging="340"/>
              <w:contextualSpacing w:val="0"/>
              <w:jc w:val="both"/>
              <w:rPr>
                <w:sz w:val="20"/>
              </w:rPr>
            </w:pPr>
            <w:r w:rsidRPr="00F82283">
              <w:rPr>
                <w:sz w:val="20"/>
              </w:rPr>
              <w:t>Explanation of the Japan Patent Office server</w:t>
            </w:r>
          </w:p>
          <w:p w14:paraId="5A24FF27" w14:textId="61E8A454" w:rsidR="000645A0" w:rsidRPr="00F82283" w:rsidRDefault="000645A0" w:rsidP="00185543">
            <w:pPr>
              <w:pStyle w:val="ListParagraph"/>
              <w:numPr>
                <w:ilvl w:val="1"/>
                <w:numId w:val="10"/>
              </w:numPr>
              <w:ind w:left="680" w:hanging="340"/>
              <w:contextualSpacing w:val="0"/>
              <w:jc w:val="both"/>
              <w:rPr>
                <w:sz w:val="20"/>
              </w:rPr>
            </w:pPr>
            <w:r w:rsidRPr="00F82283">
              <w:rPr>
                <w:sz w:val="20"/>
              </w:rPr>
              <w:t xml:space="preserve">Explanation of the </w:t>
            </w:r>
            <w:r w:rsidR="00185543" w:rsidRPr="00F82283">
              <w:rPr>
                <w:sz w:val="20"/>
              </w:rPr>
              <w:t>Ministry of</w:t>
            </w:r>
            <w:r w:rsidRPr="00F82283">
              <w:rPr>
                <w:sz w:val="20"/>
              </w:rPr>
              <w:t xml:space="preserve"> Intellectual Property Office </w:t>
            </w:r>
            <w:r w:rsidR="00185543" w:rsidRPr="00F82283">
              <w:rPr>
                <w:sz w:val="20"/>
              </w:rPr>
              <w:t xml:space="preserve">(MOIP) – Republic of Korea </w:t>
            </w:r>
            <w:r w:rsidRPr="00F82283">
              <w:rPr>
                <w:sz w:val="20"/>
              </w:rPr>
              <w:t>server</w:t>
            </w:r>
          </w:p>
          <w:p w14:paraId="585D4FFC" w14:textId="287596FE" w:rsidR="000645A0" w:rsidRPr="00F82283" w:rsidRDefault="000645A0" w:rsidP="00185543">
            <w:pPr>
              <w:pStyle w:val="ListParagraph"/>
              <w:numPr>
                <w:ilvl w:val="1"/>
                <w:numId w:val="10"/>
              </w:numPr>
              <w:ind w:left="680" w:hanging="340"/>
              <w:contextualSpacing w:val="0"/>
              <w:jc w:val="both"/>
              <w:rPr>
                <w:sz w:val="20"/>
              </w:rPr>
            </w:pPr>
            <w:r w:rsidRPr="00F82283">
              <w:rPr>
                <w:sz w:val="20"/>
              </w:rPr>
              <w:t>Explanation of the Canadian Intellectual Property O</w:t>
            </w:r>
            <w:r w:rsidR="006C73C5" w:rsidRPr="00F82283">
              <w:rPr>
                <w:sz w:val="20"/>
              </w:rPr>
              <w:t>ffice</w:t>
            </w:r>
            <w:r w:rsidRPr="00F82283">
              <w:rPr>
                <w:sz w:val="20"/>
              </w:rPr>
              <w:t xml:space="preserve"> server</w:t>
            </w:r>
          </w:p>
          <w:p w14:paraId="0ED26811" w14:textId="77777777" w:rsidR="000645A0" w:rsidRPr="00F82283" w:rsidRDefault="000645A0" w:rsidP="00EA0A7F">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8EF0EC5" w14:textId="77777777" w:rsidR="000645A0" w:rsidRPr="00F82283" w:rsidRDefault="000645A0" w:rsidP="00EA0A7F">
            <w:pPr>
              <w:jc w:val="both"/>
              <w:rPr>
                <w:sz w:val="20"/>
              </w:rPr>
            </w:pPr>
          </w:p>
          <w:p w14:paraId="4616770E" w14:textId="77777777" w:rsidR="000645A0" w:rsidRPr="00F82283" w:rsidRDefault="000645A0" w:rsidP="00EA0A7F">
            <w:pPr>
              <w:jc w:val="both"/>
              <w:rPr>
                <w:sz w:val="20"/>
              </w:rPr>
            </w:pPr>
            <w:r w:rsidRPr="00F82283">
              <w:rPr>
                <w:sz w:val="20"/>
              </w:rPr>
              <w:t>Explain the procedure and codes used in other patent offices.</w:t>
            </w:r>
          </w:p>
          <w:p w14:paraId="66E2259B" w14:textId="77777777" w:rsidR="000645A0" w:rsidRPr="00F82283" w:rsidRDefault="000645A0" w:rsidP="00EA0A7F">
            <w:pPr>
              <w:jc w:val="both"/>
              <w:rPr>
                <w:sz w:val="20"/>
              </w:rPr>
            </w:pPr>
            <w:proofErr w:type="gramStart"/>
            <w:r w:rsidRPr="00F82283">
              <w:rPr>
                <w:sz w:val="20"/>
              </w:rPr>
              <w:t>Retrieve</w:t>
            </w:r>
            <w:proofErr w:type="gramEnd"/>
            <w:r w:rsidRPr="00F82283">
              <w:rPr>
                <w:sz w:val="20"/>
              </w:rPr>
              <w:t xml:space="preserve"> other patents granted</w:t>
            </w:r>
          </w:p>
          <w:p w14:paraId="0CC99D21" w14:textId="77777777" w:rsidR="000645A0" w:rsidRPr="00F82283" w:rsidRDefault="000645A0" w:rsidP="00EA0A7F">
            <w:pPr>
              <w:jc w:val="both"/>
              <w:rPr>
                <w:b/>
                <w:bCs/>
                <w:sz w:val="20"/>
              </w:rPr>
            </w:pPr>
          </w:p>
        </w:tc>
      </w:tr>
      <w:tr w:rsidR="000645A0" w:rsidRPr="00BC43AE" w14:paraId="575BC33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4B982BA" w14:textId="0F580F53" w:rsidR="000645A0" w:rsidRPr="00F82283" w:rsidRDefault="000645A0" w:rsidP="006C73C5">
            <w:pPr>
              <w:pStyle w:val="ListParagraph"/>
              <w:ind w:left="323"/>
              <w:contextualSpacing w:val="0"/>
              <w:jc w:val="both"/>
              <w:rPr>
                <w:b/>
                <w:bCs/>
                <w:sz w:val="20"/>
              </w:rPr>
            </w:pPr>
            <w:r w:rsidRPr="00F82283">
              <w:rPr>
                <w:b/>
                <w:bCs/>
                <w:sz w:val="20"/>
              </w:rPr>
              <w:t>5.5</w:t>
            </w:r>
            <w:r w:rsidR="006C73C5" w:rsidRPr="00F82283">
              <w:rPr>
                <w:b/>
                <w:bCs/>
                <w:sz w:val="20"/>
              </w:rPr>
              <w:t xml:space="preserve"> </w:t>
            </w:r>
            <w:r w:rsidRPr="00F82283">
              <w:rPr>
                <w:rFonts w:eastAsia="Noto Sans"/>
                <w:sz w:val="20"/>
              </w:rPr>
              <w:t>Reviewing a patent application with its counterpart granted in another office.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BD8C63B" w14:textId="77777777" w:rsidR="000645A0" w:rsidRPr="00F82283" w:rsidRDefault="000645A0" w:rsidP="00EA0A7F">
            <w:pPr>
              <w:jc w:val="both"/>
              <w:rPr>
                <w:sz w:val="20"/>
              </w:rPr>
            </w:pPr>
            <w:r w:rsidRPr="00F82283">
              <w:rPr>
                <w:sz w:val="20"/>
              </w:rPr>
              <w:t>Comparison between patents granted with respect to the application filed with the IMPI</w:t>
            </w:r>
          </w:p>
          <w:p w14:paraId="363982CD" w14:textId="77777777" w:rsidR="000645A0" w:rsidRPr="00F82283" w:rsidRDefault="000645A0" w:rsidP="00EA0A7F">
            <w:pPr>
              <w:jc w:val="both"/>
              <w:rPr>
                <w:sz w:val="20"/>
              </w:rPr>
            </w:pPr>
          </w:p>
        </w:tc>
      </w:tr>
      <w:tr w:rsidR="000645A0" w:rsidRPr="00BC43AE" w14:paraId="5974D0A0"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65E1A61" w14:textId="77777777" w:rsidR="000645A0" w:rsidRPr="008E61D3" w:rsidRDefault="000645A0" w:rsidP="00EA0A7F">
            <w:pPr>
              <w:rPr>
                <w:b/>
                <w:bCs/>
                <w:color w:val="621132"/>
                <w:sz w:val="20"/>
              </w:rPr>
            </w:pPr>
            <w:r w:rsidRPr="008E61D3">
              <w:rPr>
                <w:b/>
                <w:bCs/>
                <w:color w:val="621132"/>
                <w:sz w:val="20"/>
              </w:rPr>
              <w:t>Module VI. Legal criteria for patentability</w:t>
            </w:r>
          </w:p>
          <w:p w14:paraId="1326FAEB" w14:textId="77777777" w:rsidR="000645A0" w:rsidRPr="008E61D3" w:rsidRDefault="000645A0" w:rsidP="00EA0A7F">
            <w:pPr>
              <w:jc w:val="both"/>
              <w:rPr>
                <w:color w:val="13322B"/>
                <w:sz w:val="20"/>
              </w:rPr>
            </w:pPr>
          </w:p>
        </w:tc>
      </w:tr>
      <w:tr w:rsidR="000645A0" w:rsidRPr="00BC43AE" w14:paraId="561EC424"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174805C"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D6D3B64" w14:textId="77777777" w:rsidR="000645A0" w:rsidRPr="008E61D3" w:rsidRDefault="000645A0" w:rsidP="00EA0A7F">
            <w:pPr>
              <w:jc w:val="center"/>
              <w:rPr>
                <w:b/>
                <w:color w:val="621132"/>
                <w:sz w:val="20"/>
              </w:rPr>
            </w:pPr>
            <w:r w:rsidRPr="008E61D3">
              <w:rPr>
                <w:b/>
                <w:color w:val="621132"/>
                <w:sz w:val="20"/>
              </w:rPr>
              <w:t>Points to be covered/activities</w:t>
            </w:r>
          </w:p>
          <w:p w14:paraId="028C2973" w14:textId="77777777" w:rsidR="000645A0" w:rsidRPr="008E61D3" w:rsidRDefault="000645A0" w:rsidP="00EA0A7F">
            <w:pPr>
              <w:jc w:val="center"/>
              <w:rPr>
                <w:b/>
                <w:color w:val="621132"/>
                <w:sz w:val="20"/>
              </w:rPr>
            </w:pPr>
          </w:p>
        </w:tc>
      </w:tr>
      <w:tr w:rsidR="000645A0" w:rsidRPr="00BC43AE" w14:paraId="06B18D09"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B19596C" w14:textId="398E06C0" w:rsidR="000645A0" w:rsidRPr="00F82283" w:rsidRDefault="006C73C5" w:rsidP="006C73C5">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Novelty</w:t>
            </w:r>
          </w:p>
          <w:p w14:paraId="370678F3" w14:textId="77777777" w:rsidR="006C73C5" w:rsidRPr="00F82283" w:rsidRDefault="006C73C5" w:rsidP="006C73C5">
            <w:pPr>
              <w:pStyle w:val="ListParagraph"/>
              <w:numPr>
                <w:ilvl w:val="2"/>
                <w:numId w:val="14"/>
              </w:numPr>
              <w:ind w:left="890" w:hanging="567"/>
              <w:contextualSpacing w:val="0"/>
              <w:jc w:val="both"/>
              <w:rPr>
                <w:sz w:val="20"/>
              </w:rPr>
            </w:pPr>
            <w:r w:rsidRPr="00F82283">
              <w:rPr>
                <w:sz w:val="20"/>
              </w:rPr>
              <w:t>Explanation of the criteria and their principle</w:t>
            </w:r>
          </w:p>
          <w:p w14:paraId="15DC9870" w14:textId="00FA4AFD" w:rsidR="000645A0" w:rsidRPr="00F82283" w:rsidRDefault="006C73C5" w:rsidP="00DD3E7F">
            <w:pPr>
              <w:pStyle w:val="ListParagraph"/>
              <w:numPr>
                <w:ilvl w:val="2"/>
                <w:numId w:val="14"/>
              </w:numPr>
              <w:ind w:left="890" w:hanging="567"/>
              <w:contextualSpacing w:val="0"/>
              <w:jc w:val="both"/>
              <w:rPr>
                <w:sz w:val="20"/>
              </w:rPr>
            </w:pPr>
            <w:r w:rsidRPr="00F82283">
              <w:rPr>
                <w:sz w:val="20"/>
              </w:rPr>
              <w:t>Explanation of legal background</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AD0C7DE" w14:textId="77777777" w:rsidR="000645A0" w:rsidRPr="00F82283" w:rsidRDefault="000645A0" w:rsidP="00EA0A7F">
            <w:pPr>
              <w:jc w:val="both"/>
              <w:rPr>
                <w:sz w:val="20"/>
              </w:rPr>
            </w:pPr>
          </w:p>
          <w:p w14:paraId="46907EEB" w14:textId="77777777" w:rsidR="000645A0" w:rsidRPr="00F82283" w:rsidRDefault="000645A0" w:rsidP="00EA0A7F">
            <w:pPr>
              <w:jc w:val="both"/>
              <w:rPr>
                <w:sz w:val="20"/>
              </w:rPr>
            </w:pPr>
            <w:r w:rsidRPr="00F82283">
              <w:rPr>
                <w:sz w:val="20"/>
              </w:rPr>
              <w:t>Explain the procedure and codes used in other patent offices.</w:t>
            </w:r>
          </w:p>
          <w:p w14:paraId="3061CD19" w14:textId="77777777" w:rsidR="000645A0" w:rsidRPr="00F82283" w:rsidRDefault="000645A0" w:rsidP="00EA0A7F">
            <w:pPr>
              <w:jc w:val="both"/>
              <w:rPr>
                <w:sz w:val="20"/>
              </w:rPr>
            </w:pPr>
            <w:proofErr w:type="gramStart"/>
            <w:r w:rsidRPr="00F82283">
              <w:rPr>
                <w:sz w:val="20"/>
              </w:rPr>
              <w:t>Retrieve</w:t>
            </w:r>
            <w:proofErr w:type="gramEnd"/>
            <w:r w:rsidRPr="00F82283">
              <w:rPr>
                <w:sz w:val="20"/>
              </w:rPr>
              <w:t xml:space="preserve"> other patents granted</w:t>
            </w:r>
          </w:p>
          <w:p w14:paraId="3305F5C0" w14:textId="77777777" w:rsidR="000645A0" w:rsidRPr="00F82283" w:rsidRDefault="000645A0" w:rsidP="00EA0A7F">
            <w:pPr>
              <w:jc w:val="both"/>
              <w:rPr>
                <w:b/>
                <w:bCs/>
                <w:sz w:val="20"/>
              </w:rPr>
            </w:pPr>
          </w:p>
        </w:tc>
      </w:tr>
      <w:tr w:rsidR="000645A0" w:rsidRPr="00BC43AE" w14:paraId="51DBCE3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0BA28F9" w14:textId="0F8E8A6B" w:rsidR="000645A0" w:rsidRPr="00F82283" w:rsidRDefault="006C73C5" w:rsidP="00DD3E7F">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Inventive step</w:t>
            </w:r>
          </w:p>
          <w:p w14:paraId="50C291A0" w14:textId="77777777" w:rsidR="000645A0" w:rsidRPr="00F82283" w:rsidRDefault="000645A0" w:rsidP="006C73C5">
            <w:pPr>
              <w:pStyle w:val="ListParagraph"/>
              <w:numPr>
                <w:ilvl w:val="2"/>
                <w:numId w:val="14"/>
              </w:numPr>
              <w:ind w:left="890" w:hanging="567"/>
              <w:contextualSpacing w:val="0"/>
              <w:jc w:val="both"/>
              <w:rPr>
                <w:sz w:val="20"/>
              </w:rPr>
            </w:pPr>
            <w:r w:rsidRPr="00F82283">
              <w:rPr>
                <w:sz w:val="20"/>
              </w:rPr>
              <w:t>Explanation of the criteria and their principle</w:t>
            </w:r>
          </w:p>
          <w:p w14:paraId="6E7B9179" w14:textId="392C1926" w:rsidR="006C73C5" w:rsidRPr="00F82283" w:rsidRDefault="006C73C5" w:rsidP="006C73C5">
            <w:pPr>
              <w:pStyle w:val="ListParagraph"/>
              <w:numPr>
                <w:ilvl w:val="2"/>
                <w:numId w:val="14"/>
              </w:numPr>
              <w:ind w:left="890" w:hanging="567"/>
              <w:contextualSpacing w:val="0"/>
              <w:jc w:val="both"/>
              <w:rPr>
                <w:sz w:val="20"/>
              </w:rPr>
            </w:pPr>
            <w:r w:rsidRPr="00F82283">
              <w:rPr>
                <w:sz w:val="20"/>
              </w:rPr>
              <w:t>Explanation of legal background</w:t>
            </w:r>
          </w:p>
          <w:p w14:paraId="2F1C4E38" w14:textId="0A99D573" w:rsidR="000645A0" w:rsidRPr="00F82283" w:rsidRDefault="000645A0" w:rsidP="006C73C5">
            <w:pPr>
              <w:pStyle w:val="ListParagraph"/>
              <w:numPr>
                <w:ilvl w:val="2"/>
                <w:numId w:val="14"/>
              </w:numPr>
              <w:ind w:left="890" w:hanging="567"/>
              <w:contextualSpacing w:val="0"/>
              <w:jc w:val="both"/>
              <w:rPr>
                <w:sz w:val="20"/>
              </w:rPr>
            </w:pPr>
            <w:r w:rsidRPr="00F82283">
              <w:rPr>
                <w:sz w:val="20"/>
              </w:rPr>
              <w:t>Brief overview of the problem-solution approach</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BF17EAD" w14:textId="77777777" w:rsidR="000645A0" w:rsidRPr="00F82283" w:rsidRDefault="000645A0" w:rsidP="00EA0A7F">
            <w:pPr>
              <w:jc w:val="both"/>
              <w:rPr>
                <w:sz w:val="20"/>
              </w:rPr>
            </w:pPr>
          </w:p>
          <w:p w14:paraId="2A95A5DD" w14:textId="77777777" w:rsidR="000645A0" w:rsidRPr="00F82283" w:rsidRDefault="000645A0" w:rsidP="00EA0A7F">
            <w:pPr>
              <w:jc w:val="both"/>
              <w:rPr>
                <w:sz w:val="20"/>
              </w:rPr>
            </w:pPr>
            <w:r w:rsidRPr="00F82283">
              <w:rPr>
                <w:sz w:val="20"/>
              </w:rPr>
              <w:t>Ask applicants to apply the problem-solution approach.</w:t>
            </w:r>
          </w:p>
          <w:p w14:paraId="4A08E23B" w14:textId="77777777" w:rsidR="000645A0" w:rsidRPr="00F82283" w:rsidRDefault="000645A0" w:rsidP="00EA0A7F">
            <w:pPr>
              <w:jc w:val="both"/>
              <w:rPr>
                <w:sz w:val="20"/>
              </w:rPr>
            </w:pPr>
            <w:r w:rsidRPr="00F82283">
              <w:rPr>
                <w:sz w:val="20"/>
              </w:rPr>
              <w:t>Discuss the results in a group</w:t>
            </w:r>
          </w:p>
        </w:tc>
      </w:tr>
      <w:tr w:rsidR="000645A0" w:rsidRPr="00BC43AE" w14:paraId="2209166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882290E" w14:textId="7DA2DCC6" w:rsidR="000645A0" w:rsidRPr="00F82283" w:rsidRDefault="006C73C5" w:rsidP="00EA0A7F">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Industrial application</w:t>
            </w:r>
          </w:p>
          <w:p w14:paraId="67811DDA" w14:textId="77777777"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criteria and their principle</w:t>
            </w:r>
          </w:p>
          <w:p w14:paraId="0646BE50" w14:textId="70291EFE" w:rsidR="000645A0" w:rsidRPr="00F82283" w:rsidRDefault="00DD3E7F" w:rsidP="00DD3E7F">
            <w:pPr>
              <w:pStyle w:val="ListParagraph"/>
              <w:numPr>
                <w:ilvl w:val="2"/>
                <w:numId w:val="14"/>
              </w:numPr>
              <w:ind w:left="890" w:hanging="567"/>
              <w:contextualSpacing w:val="0"/>
              <w:jc w:val="both"/>
              <w:rPr>
                <w:sz w:val="20"/>
              </w:rPr>
            </w:pPr>
            <w:r w:rsidRPr="00F82283">
              <w:rPr>
                <w:sz w:val="20"/>
              </w:rPr>
              <w:t>Explanation of legal background</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2FFC7D9" w14:textId="77777777" w:rsidR="000645A0" w:rsidRPr="00F82283" w:rsidRDefault="000645A0" w:rsidP="00EA0A7F">
            <w:pPr>
              <w:jc w:val="both"/>
              <w:rPr>
                <w:sz w:val="20"/>
              </w:rPr>
            </w:pPr>
          </w:p>
          <w:p w14:paraId="42506A41" w14:textId="77777777" w:rsidR="000645A0" w:rsidRPr="00F82283" w:rsidRDefault="000645A0" w:rsidP="00EA0A7F">
            <w:pPr>
              <w:jc w:val="both"/>
              <w:rPr>
                <w:sz w:val="20"/>
              </w:rPr>
            </w:pPr>
            <w:r w:rsidRPr="00F82283">
              <w:rPr>
                <w:sz w:val="20"/>
              </w:rPr>
              <w:t>Discuss some examples of lack of industrial application.</w:t>
            </w:r>
          </w:p>
        </w:tc>
      </w:tr>
      <w:tr w:rsidR="000645A0" w:rsidRPr="00BC43AE" w14:paraId="05B69191"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F09376F" w14:textId="4E17187B" w:rsidR="000645A0" w:rsidRPr="00F82283" w:rsidRDefault="006C73C5" w:rsidP="00DD3E7F">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Clarity</w:t>
            </w:r>
          </w:p>
          <w:p w14:paraId="0B6DF0A3" w14:textId="77777777"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criteria and their principle</w:t>
            </w:r>
          </w:p>
          <w:p w14:paraId="36F0FE62" w14:textId="71857011" w:rsidR="000645A0" w:rsidRPr="00F82283" w:rsidRDefault="00DD3E7F" w:rsidP="00DD3E7F">
            <w:pPr>
              <w:pStyle w:val="ListParagraph"/>
              <w:numPr>
                <w:ilvl w:val="2"/>
                <w:numId w:val="14"/>
              </w:numPr>
              <w:ind w:left="890" w:hanging="567"/>
              <w:contextualSpacing w:val="0"/>
              <w:jc w:val="both"/>
              <w:rPr>
                <w:b/>
                <w:bCs/>
                <w:sz w:val="20"/>
              </w:rPr>
            </w:pPr>
            <w:r w:rsidRPr="00F82283">
              <w:rPr>
                <w:sz w:val="20"/>
              </w:rPr>
              <w:t xml:space="preserve">Explanation of legal background </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65BBDFB" w14:textId="77777777" w:rsidR="000645A0" w:rsidRPr="00F82283" w:rsidRDefault="000645A0" w:rsidP="00EA0A7F">
            <w:pPr>
              <w:jc w:val="both"/>
              <w:rPr>
                <w:sz w:val="20"/>
              </w:rPr>
            </w:pPr>
          </w:p>
          <w:p w14:paraId="08497913" w14:textId="77777777" w:rsidR="000645A0" w:rsidRPr="00F82283" w:rsidRDefault="000645A0" w:rsidP="00EA0A7F">
            <w:pPr>
              <w:jc w:val="both"/>
              <w:rPr>
                <w:sz w:val="20"/>
              </w:rPr>
            </w:pPr>
            <w:r w:rsidRPr="00F82283">
              <w:rPr>
                <w:sz w:val="20"/>
              </w:rPr>
              <w:t>Discuss some examples of lack of clarity</w:t>
            </w:r>
          </w:p>
        </w:tc>
      </w:tr>
      <w:tr w:rsidR="000645A0" w:rsidRPr="00BC43AE" w14:paraId="4E0D7719"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7FB1BFA" w14:textId="52F81272" w:rsidR="000645A0" w:rsidRPr="00F82283" w:rsidRDefault="006C73C5" w:rsidP="00EA0A7F">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Sufficiency of description</w:t>
            </w:r>
          </w:p>
          <w:p w14:paraId="34147845" w14:textId="17C497D7"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reasons for this requirement</w:t>
            </w:r>
          </w:p>
          <w:p w14:paraId="1E98E35D" w14:textId="556A8981"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legal requirements</w:t>
            </w:r>
          </w:p>
          <w:p w14:paraId="558B6BAC" w14:textId="0711595C" w:rsidR="000645A0" w:rsidRPr="00F82283" w:rsidRDefault="00DD3E7F" w:rsidP="00DD3E7F">
            <w:pPr>
              <w:pStyle w:val="ListParagraph"/>
              <w:numPr>
                <w:ilvl w:val="2"/>
                <w:numId w:val="14"/>
              </w:numPr>
              <w:ind w:left="890" w:hanging="567"/>
              <w:contextualSpacing w:val="0"/>
              <w:jc w:val="both"/>
              <w:rPr>
                <w:sz w:val="20"/>
              </w:rPr>
            </w:pPr>
            <w:r w:rsidRPr="00F82283">
              <w:rPr>
                <w:sz w:val="20"/>
              </w:rPr>
              <w:t>Explanation of how to assess this requirement</w:t>
            </w:r>
          </w:p>
          <w:p w14:paraId="60AE7BF3" w14:textId="77777777" w:rsidR="000645A0" w:rsidRPr="00F82283" w:rsidRDefault="000645A0" w:rsidP="00EA0A7F">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0D60AA5" w14:textId="77777777" w:rsidR="000645A0" w:rsidRPr="00F82283" w:rsidRDefault="000645A0" w:rsidP="00EA0A7F">
            <w:pPr>
              <w:jc w:val="both"/>
              <w:rPr>
                <w:sz w:val="20"/>
              </w:rPr>
            </w:pPr>
          </w:p>
          <w:p w14:paraId="4E632EF6" w14:textId="77777777" w:rsidR="000645A0" w:rsidRPr="00F82283" w:rsidRDefault="000645A0" w:rsidP="00EA0A7F">
            <w:pPr>
              <w:jc w:val="both"/>
              <w:rPr>
                <w:sz w:val="20"/>
              </w:rPr>
            </w:pPr>
            <w:r w:rsidRPr="00F82283">
              <w:rPr>
                <w:sz w:val="20"/>
              </w:rPr>
              <w:t>Discuss some examples of lack of sufficiency of description</w:t>
            </w:r>
          </w:p>
        </w:tc>
      </w:tr>
      <w:tr w:rsidR="000645A0" w:rsidRPr="00BC43AE" w14:paraId="7E82223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59ECADA" w14:textId="11E89188" w:rsidR="000645A0" w:rsidRPr="00F82283" w:rsidRDefault="006C73C5" w:rsidP="00DD3E7F">
            <w:pPr>
              <w:pStyle w:val="ListParagraph"/>
              <w:keepNext/>
              <w:numPr>
                <w:ilvl w:val="1"/>
                <w:numId w:val="14"/>
              </w:numPr>
              <w:ind w:left="321" w:hanging="284"/>
              <w:contextualSpacing w:val="0"/>
              <w:jc w:val="both"/>
              <w:rPr>
                <w:b/>
                <w:bCs/>
                <w:sz w:val="20"/>
              </w:rPr>
            </w:pPr>
            <w:r w:rsidRPr="00F82283">
              <w:rPr>
                <w:b/>
                <w:bCs/>
                <w:sz w:val="20"/>
              </w:rPr>
              <w:lastRenderedPageBreak/>
              <w:t xml:space="preserve"> </w:t>
            </w:r>
            <w:r w:rsidR="000645A0" w:rsidRPr="00F82283">
              <w:rPr>
                <w:b/>
                <w:bCs/>
                <w:sz w:val="20"/>
              </w:rPr>
              <w:t>Unity of invention</w:t>
            </w:r>
          </w:p>
          <w:p w14:paraId="0950E96D" w14:textId="4AAC748A"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reasons for this criterion</w:t>
            </w:r>
          </w:p>
          <w:p w14:paraId="6D6738CB" w14:textId="10143C15" w:rsidR="00DD3E7F" w:rsidRPr="00F82283" w:rsidRDefault="00DD3E7F" w:rsidP="00DD3E7F">
            <w:pPr>
              <w:pStyle w:val="ListParagraph"/>
              <w:numPr>
                <w:ilvl w:val="2"/>
                <w:numId w:val="14"/>
              </w:numPr>
              <w:ind w:left="890" w:hanging="567"/>
              <w:contextualSpacing w:val="0"/>
              <w:jc w:val="both"/>
              <w:rPr>
                <w:sz w:val="20"/>
              </w:rPr>
            </w:pPr>
            <w:r w:rsidRPr="00F82283">
              <w:rPr>
                <w:sz w:val="20"/>
              </w:rPr>
              <w:t>Explanation of the legal background</w:t>
            </w:r>
          </w:p>
          <w:p w14:paraId="6E03E49C" w14:textId="77777777" w:rsidR="000645A0" w:rsidRPr="00F82283" w:rsidRDefault="000645A0" w:rsidP="00DD3E7F">
            <w:pPr>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6662704" w14:textId="77777777" w:rsidR="000645A0" w:rsidRPr="00F82283" w:rsidRDefault="000645A0" w:rsidP="00EA0A7F">
            <w:pPr>
              <w:jc w:val="both"/>
              <w:rPr>
                <w:sz w:val="20"/>
              </w:rPr>
            </w:pPr>
          </w:p>
          <w:p w14:paraId="37F37F1F" w14:textId="77777777" w:rsidR="000645A0" w:rsidRPr="00F82283" w:rsidRDefault="000645A0" w:rsidP="00EA0A7F">
            <w:pPr>
              <w:jc w:val="both"/>
              <w:rPr>
                <w:sz w:val="20"/>
              </w:rPr>
            </w:pPr>
            <w:r w:rsidRPr="00F82283">
              <w:rPr>
                <w:sz w:val="20"/>
              </w:rPr>
              <w:t xml:space="preserve">Lack of unity of invention </w:t>
            </w:r>
            <w:r w:rsidRPr="00F82283">
              <w:rPr>
                <w:i/>
                <w:iCs/>
                <w:sz w:val="20"/>
              </w:rPr>
              <w:t>a priori</w:t>
            </w:r>
          </w:p>
          <w:p w14:paraId="1360AAB8" w14:textId="77777777" w:rsidR="000645A0" w:rsidRPr="00F82283" w:rsidRDefault="000645A0" w:rsidP="00EA0A7F">
            <w:pPr>
              <w:jc w:val="both"/>
              <w:rPr>
                <w:sz w:val="20"/>
              </w:rPr>
            </w:pPr>
            <w:r w:rsidRPr="00F82283">
              <w:rPr>
                <w:sz w:val="20"/>
              </w:rPr>
              <w:t xml:space="preserve">Lack of unity of invention </w:t>
            </w:r>
            <w:r w:rsidRPr="00F82283">
              <w:rPr>
                <w:i/>
                <w:iCs/>
                <w:sz w:val="20"/>
              </w:rPr>
              <w:t>a posteriori</w:t>
            </w:r>
          </w:p>
        </w:tc>
      </w:tr>
      <w:tr w:rsidR="000645A0" w:rsidRPr="00BC43AE" w14:paraId="37F4D69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16896B6" w14:textId="2223DA63" w:rsidR="000645A0" w:rsidRPr="00F82283" w:rsidRDefault="006C73C5" w:rsidP="00EA0A7F">
            <w:pPr>
              <w:pStyle w:val="ListParagraph"/>
              <w:numPr>
                <w:ilvl w:val="1"/>
                <w:numId w:val="14"/>
              </w:numPr>
              <w:ind w:left="321" w:hanging="284"/>
              <w:contextualSpacing w:val="0"/>
              <w:jc w:val="both"/>
              <w:rPr>
                <w:b/>
                <w:bCs/>
                <w:sz w:val="20"/>
              </w:rPr>
            </w:pPr>
            <w:r w:rsidRPr="00F82283">
              <w:rPr>
                <w:b/>
                <w:bCs/>
                <w:sz w:val="20"/>
              </w:rPr>
              <w:t xml:space="preserve"> </w:t>
            </w:r>
            <w:r w:rsidR="000645A0" w:rsidRPr="00F82283">
              <w:rPr>
                <w:b/>
                <w:bCs/>
                <w:sz w:val="20"/>
              </w:rPr>
              <w:t>Divisional applications</w:t>
            </w:r>
          </w:p>
          <w:p w14:paraId="0D67581A" w14:textId="6E19F24D" w:rsidR="00DD3E7F" w:rsidRPr="00F82283" w:rsidRDefault="00DD3E7F" w:rsidP="00DD3E7F">
            <w:pPr>
              <w:pStyle w:val="ListParagraph"/>
              <w:numPr>
                <w:ilvl w:val="2"/>
                <w:numId w:val="14"/>
              </w:numPr>
              <w:ind w:left="890" w:hanging="567"/>
              <w:contextualSpacing w:val="0"/>
              <w:jc w:val="both"/>
              <w:rPr>
                <w:sz w:val="20"/>
              </w:rPr>
            </w:pPr>
            <w:r w:rsidRPr="00F82283">
              <w:rPr>
                <w:sz w:val="20"/>
              </w:rPr>
              <w:t>Origin</w:t>
            </w:r>
          </w:p>
          <w:p w14:paraId="50AB915F" w14:textId="7B4E0E03" w:rsidR="00DD3E7F" w:rsidRPr="00F82283" w:rsidRDefault="00DD3E7F" w:rsidP="00DD3E7F">
            <w:pPr>
              <w:pStyle w:val="ListParagraph"/>
              <w:numPr>
                <w:ilvl w:val="2"/>
                <w:numId w:val="14"/>
              </w:numPr>
              <w:ind w:left="890" w:hanging="567"/>
              <w:contextualSpacing w:val="0"/>
              <w:jc w:val="both"/>
              <w:rPr>
                <w:sz w:val="20"/>
              </w:rPr>
            </w:pPr>
            <w:r w:rsidRPr="00F82283">
              <w:rPr>
                <w:sz w:val="20"/>
              </w:rPr>
              <w:t>Criteria under the Federal Law of the Protection of Industrial Property</w:t>
            </w:r>
          </w:p>
          <w:p w14:paraId="4DCC4E8C" w14:textId="77777777" w:rsidR="000645A0" w:rsidRPr="00F82283" w:rsidRDefault="000645A0" w:rsidP="00DD3E7F">
            <w:pPr>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1EE2DB2" w14:textId="77777777" w:rsidR="000645A0" w:rsidRPr="00F82283" w:rsidRDefault="000645A0" w:rsidP="00EA0A7F">
            <w:pPr>
              <w:jc w:val="both"/>
              <w:rPr>
                <w:sz w:val="20"/>
              </w:rPr>
            </w:pPr>
          </w:p>
          <w:p w14:paraId="195BE187" w14:textId="77777777" w:rsidR="000645A0" w:rsidRPr="00F82283" w:rsidRDefault="000645A0" w:rsidP="00EA0A7F">
            <w:pPr>
              <w:jc w:val="both"/>
              <w:rPr>
                <w:sz w:val="20"/>
              </w:rPr>
            </w:pPr>
            <w:r w:rsidRPr="00F82283">
              <w:rPr>
                <w:sz w:val="20"/>
              </w:rPr>
              <w:t>Explain the concepts of parent application and child application</w:t>
            </w:r>
          </w:p>
          <w:p w14:paraId="74E7C60A" w14:textId="77777777" w:rsidR="000645A0" w:rsidRPr="00F82283" w:rsidRDefault="000645A0" w:rsidP="00EA0A7F">
            <w:pPr>
              <w:jc w:val="both"/>
              <w:rPr>
                <w:sz w:val="20"/>
              </w:rPr>
            </w:pPr>
            <w:r w:rsidRPr="00F82283">
              <w:rPr>
                <w:sz w:val="20"/>
              </w:rPr>
              <w:t>Deadlines for filing a divisional application</w:t>
            </w:r>
          </w:p>
          <w:p w14:paraId="7AA57134" w14:textId="77777777" w:rsidR="000645A0" w:rsidRPr="00F82283" w:rsidRDefault="000645A0" w:rsidP="00EA0A7F">
            <w:pPr>
              <w:jc w:val="both"/>
              <w:rPr>
                <w:sz w:val="20"/>
              </w:rPr>
            </w:pPr>
            <w:r w:rsidRPr="00F82283">
              <w:rPr>
                <w:sz w:val="20"/>
              </w:rPr>
              <w:t>Filing at the request of the IMPI</w:t>
            </w:r>
          </w:p>
        </w:tc>
      </w:tr>
      <w:tr w:rsidR="000645A0" w:rsidRPr="00BC43AE" w14:paraId="1EE059E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46D9650D" w14:textId="77777777" w:rsidR="000645A0" w:rsidRPr="008E61D3" w:rsidRDefault="000645A0" w:rsidP="00EA0A7F">
            <w:pPr>
              <w:rPr>
                <w:b/>
                <w:bCs/>
                <w:color w:val="621132"/>
                <w:sz w:val="20"/>
              </w:rPr>
            </w:pPr>
            <w:r w:rsidRPr="008E61D3">
              <w:rPr>
                <w:b/>
                <w:bCs/>
                <w:color w:val="621132"/>
                <w:sz w:val="20"/>
              </w:rPr>
              <w:t>Module VII. Official actions</w:t>
            </w:r>
          </w:p>
          <w:p w14:paraId="1D0689C7" w14:textId="77777777" w:rsidR="000645A0" w:rsidRPr="008E61D3" w:rsidRDefault="000645A0" w:rsidP="00EA0A7F">
            <w:pPr>
              <w:jc w:val="both"/>
              <w:rPr>
                <w:color w:val="13322B"/>
                <w:sz w:val="20"/>
              </w:rPr>
            </w:pPr>
          </w:p>
        </w:tc>
      </w:tr>
      <w:tr w:rsidR="000645A0" w:rsidRPr="00BC43AE" w14:paraId="01908D12"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FE5DF1E"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0AD4076" w14:textId="77777777" w:rsidR="000645A0" w:rsidRPr="008E61D3" w:rsidRDefault="000645A0" w:rsidP="00EA0A7F">
            <w:pPr>
              <w:jc w:val="center"/>
              <w:rPr>
                <w:b/>
                <w:color w:val="621132"/>
                <w:sz w:val="20"/>
              </w:rPr>
            </w:pPr>
            <w:r w:rsidRPr="008E61D3">
              <w:rPr>
                <w:b/>
                <w:color w:val="621132"/>
                <w:sz w:val="20"/>
              </w:rPr>
              <w:t>Points to be covered/activities</w:t>
            </w:r>
          </w:p>
          <w:p w14:paraId="218EE269" w14:textId="77777777" w:rsidR="000645A0" w:rsidRPr="008E61D3" w:rsidRDefault="000645A0" w:rsidP="00EA0A7F">
            <w:pPr>
              <w:jc w:val="center"/>
              <w:rPr>
                <w:b/>
                <w:color w:val="621132"/>
                <w:sz w:val="20"/>
              </w:rPr>
            </w:pPr>
          </w:p>
        </w:tc>
      </w:tr>
      <w:tr w:rsidR="000645A0" w:rsidRPr="00BC43AE" w14:paraId="4246973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5F3304AF" w14:textId="3B393008" w:rsidR="000645A0" w:rsidRPr="00F82283" w:rsidRDefault="000645A0" w:rsidP="00DD3E7F">
            <w:pPr>
              <w:pStyle w:val="ListParagraph"/>
              <w:numPr>
                <w:ilvl w:val="0"/>
                <w:numId w:val="16"/>
              </w:numPr>
              <w:ind w:left="311" w:hanging="284"/>
              <w:contextualSpacing w:val="0"/>
              <w:jc w:val="both"/>
              <w:rPr>
                <w:b/>
                <w:bCs/>
                <w:sz w:val="20"/>
              </w:rPr>
            </w:pPr>
            <w:r w:rsidRPr="00F82283">
              <w:rPr>
                <w:b/>
                <w:bCs/>
                <w:sz w:val="20"/>
              </w:rPr>
              <w:t>Drafting an official action</w:t>
            </w:r>
          </w:p>
          <w:p w14:paraId="43479889" w14:textId="59DBC722" w:rsidR="000645A0" w:rsidRPr="00F82283" w:rsidRDefault="000645A0" w:rsidP="00185543">
            <w:pPr>
              <w:pStyle w:val="ListParagraph"/>
              <w:numPr>
                <w:ilvl w:val="1"/>
                <w:numId w:val="17"/>
              </w:numPr>
              <w:ind w:left="680" w:hanging="340"/>
              <w:contextualSpacing w:val="0"/>
              <w:jc w:val="both"/>
              <w:rPr>
                <w:sz w:val="20"/>
              </w:rPr>
            </w:pPr>
            <w:r w:rsidRPr="00F82283">
              <w:rPr>
                <w:sz w:val="20"/>
              </w:rPr>
              <w:t xml:space="preserve">Purpose of </w:t>
            </w:r>
            <w:proofErr w:type="gramStart"/>
            <w:r w:rsidRPr="00F82283">
              <w:rPr>
                <w:sz w:val="20"/>
              </w:rPr>
              <w:t>an official</w:t>
            </w:r>
            <w:proofErr w:type="gramEnd"/>
            <w:r w:rsidRPr="00F82283">
              <w:rPr>
                <w:sz w:val="20"/>
              </w:rPr>
              <w:t xml:space="preserve"> action</w:t>
            </w:r>
          </w:p>
          <w:p w14:paraId="2CB39198" w14:textId="3ECD023D" w:rsidR="000645A0" w:rsidRPr="00F82283" w:rsidRDefault="000645A0" w:rsidP="00185543">
            <w:pPr>
              <w:pStyle w:val="ListParagraph"/>
              <w:numPr>
                <w:ilvl w:val="1"/>
                <w:numId w:val="17"/>
              </w:numPr>
              <w:ind w:left="680" w:hanging="340"/>
              <w:contextualSpacing w:val="0"/>
              <w:jc w:val="both"/>
              <w:rPr>
                <w:sz w:val="20"/>
              </w:rPr>
            </w:pPr>
            <w:r w:rsidRPr="00F82283">
              <w:rPr>
                <w:sz w:val="20"/>
              </w:rPr>
              <w:t>Importance of order and structure in an official action</w:t>
            </w:r>
          </w:p>
          <w:p w14:paraId="7FE5352E" w14:textId="5F734F8C" w:rsidR="000645A0" w:rsidRPr="00F82283" w:rsidRDefault="000645A0" w:rsidP="00185543">
            <w:pPr>
              <w:pStyle w:val="ListParagraph"/>
              <w:numPr>
                <w:ilvl w:val="1"/>
                <w:numId w:val="17"/>
              </w:numPr>
              <w:ind w:left="680" w:hanging="340"/>
              <w:contextualSpacing w:val="0"/>
              <w:jc w:val="both"/>
              <w:rPr>
                <w:sz w:val="20"/>
              </w:rPr>
            </w:pPr>
            <w:r w:rsidRPr="00F82283">
              <w:rPr>
                <w:sz w:val="20"/>
              </w:rPr>
              <w:t>Formulation of objections</w:t>
            </w:r>
          </w:p>
          <w:p w14:paraId="1736120F" w14:textId="77777777" w:rsidR="000645A0" w:rsidRPr="00F82283" w:rsidRDefault="000645A0" w:rsidP="00EA0A7F">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05F961B" w14:textId="77777777" w:rsidR="000645A0" w:rsidRPr="00F82283" w:rsidRDefault="000645A0" w:rsidP="00EA0A7F">
            <w:pPr>
              <w:jc w:val="both"/>
              <w:rPr>
                <w:sz w:val="20"/>
              </w:rPr>
            </w:pPr>
          </w:p>
          <w:p w14:paraId="3E0E3651" w14:textId="77777777" w:rsidR="000645A0" w:rsidRPr="00F82283" w:rsidRDefault="000645A0" w:rsidP="00EA0A7F">
            <w:pPr>
              <w:jc w:val="both"/>
              <w:rPr>
                <w:b/>
                <w:bCs/>
                <w:sz w:val="20"/>
              </w:rPr>
            </w:pPr>
            <w:r w:rsidRPr="00F82283">
              <w:rPr>
                <w:sz w:val="20"/>
              </w:rPr>
              <w:t xml:space="preserve">Assign each participant five patent application files. Provide participants with the verification document for substantive examination (worksheet) </w:t>
            </w:r>
          </w:p>
        </w:tc>
      </w:tr>
      <w:tr w:rsidR="000645A0" w:rsidRPr="00BC43AE" w14:paraId="66D2E98B"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8C7532B" w14:textId="2BBAFBB7" w:rsidR="000645A0" w:rsidRPr="00F82283" w:rsidRDefault="000645A0" w:rsidP="00185543">
            <w:pPr>
              <w:pStyle w:val="ListParagraph"/>
              <w:numPr>
                <w:ilvl w:val="1"/>
                <w:numId w:val="17"/>
              </w:numPr>
              <w:ind w:left="680" w:hanging="340"/>
              <w:contextualSpacing w:val="0"/>
              <w:jc w:val="both"/>
              <w:rPr>
                <w:sz w:val="20"/>
              </w:rPr>
            </w:pPr>
            <w:r w:rsidRPr="00F82283">
              <w:rPr>
                <w:sz w:val="20"/>
              </w:rPr>
              <w:t>Types and structure of official actions</w:t>
            </w:r>
            <w:proofErr w:type="gramStart"/>
            <w:r w:rsidRPr="00F82283">
              <w:rPr>
                <w:sz w:val="20"/>
              </w:rPr>
              <w:t>:  formal</w:t>
            </w:r>
            <w:proofErr w:type="gramEnd"/>
            <w:r w:rsidRPr="00F82283">
              <w:rPr>
                <w:sz w:val="20"/>
              </w:rPr>
              <w:t xml:space="preserve"> examination</w:t>
            </w:r>
          </w:p>
          <w:p w14:paraId="41CE78FB" w14:textId="77777777" w:rsidR="000645A0" w:rsidRPr="00F82283" w:rsidRDefault="000645A0" w:rsidP="00185543">
            <w:pPr>
              <w:pStyle w:val="ListParagraph"/>
              <w:ind w:left="1803" w:hanging="1208"/>
              <w:contextualSpacing w:val="0"/>
              <w:jc w:val="both"/>
              <w:rPr>
                <w:sz w:val="20"/>
              </w:rPr>
            </w:pPr>
            <w:r w:rsidRPr="00F82283">
              <w:rPr>
                <w:sz w:val="20"/>
              </w:rPr>
              <w:t>7.4.1 Formal requirements and approvals</w:t>
            </w:r>
          </w:p>
          <w:p w14:paraId="2903FF4A" w14:textId="77777777" w:rsidR="000645A0" w:rsidRPr="00F82283" w:rsidRDefault="000645A0" w:rsidP="00EA0A7F">
            <w:pPr>
              <w:pStyle w:val="ListParagraph"/>
              <w:ind w:left="1800" w:hanging="1206"/>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9658603" w14:textId="77777777" w:rsidR="000645A0" w:rsidRPr="00F82283" w:rsidRDefault="000645A0" w:rsidP="00EA0A7F">
            <w:pPr>
              <w:jc w:val="both"/>
              <w:rPr>
                <w:sz w:val="20"/>
              </w:rPr>
            </w:pPr>
            <w:r w:rsidRPr="00F82283">
              <w:rPr>
                <w:sz w:val="20"/>
              </w:rPr>
              <w:t>Review examples of official actions on formal matters</w:t>
            </w:r>
          </w:p>
        </w:tc>
      </w:tr>
      <w:tr w:rsidR="000645A0" w:rsidRPr="00BC43AE" w14:paraId="67E09A0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7F511B" w14:textId="32F4B96E" w:rsidR="000645A0" w:rsidRPr="00F82283" w:rsidRDefault="000645A0" w:rsidP="00185543">
            <w:pPr>
              <w:pStyle w:val="ListParagraph"/>
              <w:numPr>
                <w:ilvl w:val="1"/>
                <w:numId w:val="17"/>
              </w:numPr>
              <w:ind w:left="680" w:hanging="340"/>
              <w:contextualSpacing w:val="0"/>
              <w:jc w:val="both"/>
              <w:rPr>
                <w:sz w:val="20"/>
              </w:rPr>
            </w:pPr>
            <w:r w:rsidRPr="00F82283">
              <w:rPr>
                <w:sz w:val="20"/>
              </w:rPr>
              <w:t>Types and structure of official actions: substantive examination</w:t>
            </w:r>
          </w:p>
          <w:p w14:paraId="0120DAB5" w14:textId="77777777" w:rsidR="00DD3E7F" w:rsidRPr="00F82283" w:rsidRDefault="00DD3E7F" w:rsidP="00DD3E7F">
            <w:pPr>
              <w:pStyle w:val="ListParagraph"/>
              <w:ind w:left="594"/>
              <w:contextualSpacing w:val="0"/>
              <w:jc w:val="both"/>
              <w:rPr>
                <w:sz w:val="20"/>
              </w:rPr>
            </w:pPr>
          </w:p>
          <w:p w14:paraId="29576335" w14:textId="77777777" w:rsidR="000645A0" w:rsidRPr="00F82283" w:rsidRDefault="000645A0" w:rsidP="00EA0A7F">
            <w:pPr>
              <w:pStyle w:val="ListParagraph"/>
              <w:numPr>
                <w:ilvl w:val="2"/>
                <w:numId w:val="17"/>
              </w:numPr>
              <w:ind w:left="1161" w:hanging="567"/>
              <w:contextualSpacing w:val="0"/>
              <w:jc w:val="both"/>
              <w:rPr>
                <w:sz w:val="20"/>
              </w:rPr>
            </w:pPr>
            <w:r w:rsidRPr="00F82283">
              <w:rPr>
                <w:sz w:val="20"/>
              </w:rPr>
              <w:t>Substantive requirements</w:t>
            </w:r>
          </w:p>
          <w:p w14:paraId="1885BF66" w14:textId="77777777" w:rsidR="000645A0" w:rsidRPr="00F82283" w:rsidRDefault="000645A0" w:rsidP="00EA0A7F">
            <w:pPr>
              <w:pStyle w:val="ListParagraph"/>
              <w:numPr>
                <w:ilvl w:val="2"/>
                <w:numId w:val="17"/>
              </w:numPr>
              <w:ind w:left="1161" w:hanging="567"/>
              <w:contextualSpacing w:val="0"/>
              <w:jc w:val="both"/>
              <w:rPr>
                <w:sz w:val="20"/>
              </w:rPr>
            </w:pPr>
            <w:r w:rsidRPr="00F82283">
              <w:rPr>
                <w:sz w:val="20"/>
              </w:rPr>
              <w:t>Payment requirement</w:t>
            </w:r>
          </w:p>
          <w:p w14:paraId="5E0C690B" w14:textId="77777777" w:rsidR="000645A0" w:rsidRPr="00F82283" w:rsidRDefault="000645A0" w:rsidP="00EA0A7F">
            <w:pPr>
              <w:pStyle w:val="ListParagraph"/>
              <w:numPr>
                <w:ilvl w:val="2"/>
                <w:numId w:val="17"/>
              </w:numPr>
              <w:ind w:left="1161" w:hanging="567"/>
              <w:contextualSpacing w:val="0"/>
              <w:jc w:val="both"/>
              <w:rPr>
                <w:sz w:val="20"/>
              </w:rPr>
            </w:pPr>
            <w:r w:rsidRPr="00F82283">
              <w:rPr>
                <w:sz w:val="20"/>
              </w:rPr>
              <w:t>Payment notices</w:t>
            </w:r>
          </w:p>
          <w:p w14:paraId="1D26C5A8" w14:textId="77777777" w:rsidR="000645A0" w:rsidRPr="00F82283" w:rsidRDefault="000645A0" w:rsidP="00EA0A7F">
            <w:pPr>
              <w:pStyle w:val="ListParagraph"/>
              <w:numPr>
                <w:ilvl w:val="2"/>
                <w:numId w:val="17"/>
              </w:numPr>
              <w:ind w:left="1161" w:hanging="567"/>
              <w:contextualSpacing w:val="0"/>
              <w:jc w:val="both"/>
              <w:rPr>
                <w:sz w:val="20"/>
              </w:rPr>
            </w:pPr>
            <w:r w:rsidRPr="00F82283">
              <w:rPr>
                <w:sz w:val="20"/>
              </w:rPr>
              <w:t>Abandonments</w:t>
            </w:r>
          </w:p>
          <w:p w14:paraId="73797EC4" w14:textId="77777777" w:rsidR="000645A0" w:rsidRPr="00F82283" w:rsidRDefault="000645A0" w:rsidP="00EA0A7F">
            <w:pPr>
              <w:pStyle w:val="ListParagraph"/>
              <w:numPr>
                <w:ilvl w:val="2"/>
                <w:numId w:val="17"/>
              </w:numPr>
              <w:ind w:left="1161" w:hanging="567"/>
              <w:contextualSpacing w:val="0"/>
              <w:jc w:val="both"/>
              <w:rPr>
                <w:sz w:val="20"/>
              </w:rPr>
            </w:pPr>
            <w:r w:rsidRPr="00F82283">
              <w:rPr>
                <w:sz w:val="20"/>
              </w:rPr>
              <w:t>Negatives</w:t>
            </w:r>
          </w:p>
          <w:p w14:paraId="17012303" w14:textId="77777777" w:rsidR="000645A0" w:rsidRPr="00F82283" w:rsidRDefault="000645A0" w:rsidP="00EA0A7F">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1A8DCAB" w14:textId="29AE105A" w:rsidR="000645A0" w:rsidRPr="00F82283" w:rsidRDefault="000645A0" w:rsidP="00EA0A7F">
            <w:pPr>
              <w:jc w:val="both"/>
              <w:rPr>
                <w:sz w:val="20"/>
              </w:rPr>
            </w:pPr>
            <w:r w:rsidRPr="00F82283">
              <w:rPr>
                <w:sz w:val="20"/>
              </w:rPr>
              <w:t>Review examples of official actions on formal matters</w:t>
            </w:r>
          </w:p>
          <w:p w14:paraId="06955718" w14:textId="77777777" w:rsidR="00DD3E7F" w:rsidRPr="00F82283" w:rsidRDefault="00DD3E7F" w:rsidP="00EA0A7F">
            <w:pPr>
              <w:jc w:val="both"/>
              <w:rPr>
                <w:sz w:val="20"/>
              </w:rPr>
            </w:pPr>
          </w:p>
          <w:p w14:paraId="662656E6" w14:textId="77777777" w:rsidR="000645A0" w:rsidRPr="00F82283" w:rsidRDefault="000645A0" w:rsidP="00EA0A7F">
            <w:pPr>
              <w:jc w:val="both"/>
              <w:rPr>
                <w:sz w:val="20"/>
              </w:rPr>
            </w:pPr>
            <w:r w:rsidRPr="00F82283">
              <w:rPr>
                <w:sz w:val="20"/>
              </w:rPr>
              <w:t>Discuss with trainee examiners the elements necessary for drafting an official action using a case study</w:t>
            </w:r>
          </w:p>
        </w:tc>
      </w:tr>
      <w:tr w:rsidR="000645A0" w:rsidRPr="00BC43AE" w14:paraId="0E2A6D5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E821500" w14:textId="77777777" w:rsidR="000645A0" w:rsidRPr="00F82283" w:rsidRDefault="000645A0" w:rsidP="00185543">
            <w:pPr>
              <w:pStyle w:val="ListParagraph"/>
              <w:numPr>
                <w:ilvl w:val="1"/>
                <w:numId w:val="17"/>
              </w:numPr>
              <w:ind w:left="680" w:hanging="340"/>
              <w:contextualSpacing w:val="0"/>
              <w:jc w:val="both"/>
              <w:rPr>
                <w:sz w:val="20"/>
              </w:rPr>
            </w:pPr>
            <w:r w:rsidRPr="00F82283">
              <w:rPr>
                <w:sz w:val="20"/>
              </w:rPr>
              <w:t>Legal basis for official actions and their interpretation (Federal Law for the Protection of Industrial Property)</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F6C70A6" w14:textId="77777777" w:rsidR="000645A0" w:rsidRPr="00F82283" w:rsidRDefault="000645A0" w:rsidP="00EA0A7F">
            <w:pPr>
              <w:jc w:val="both"/>
              <w:rPr>
                <w:sz w:val="20"/>
              </w:rPr>
            </w:pPr>
          </w:p>
        </w:tc>
      </w:tr>
      <w:tr w:rsidR="000645A0" w:rsidRPr="00BC43AE" w14:paraId="2DCE06C6"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CB2798E" w14:textId="77777777" w:rsidR="000645A0" w:rsidRPr="00F82283" w:rsidRDefault="000645A0" w:rsidP="00EA0A7F">
            <w:pPr>
              <w:pStyle w:val="ListParagraph"/>
              <w:ind w:left="594"/>
              <w:contextualSpacing w:val="0"/>
              <w:jc w:val="both"/>
              <w:rPr>
                <w:sz w:val="20"/>
              </w:rPr>
            </w:pPr>
            <w:r w:rsidRPr="00F82283">
              <w:rPr>
                <w:sz w:val="20"/>
              </w:rPr>
              <w:t>Working session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5EDFE39" w14:textId="77777777" w:rsidR="000645A0" w:rsidRPr="00F82283" w:rsidRDefault="000645A0" w:rsidP="00EA0A7F">
            <w:pPr>
              <w:jc w:val="both"/>
              <w:rPr>
                <w:sz w:val="20"/>
              </w:rPr>
            </w:pPr>
            <w:r w:rsidRPr="00F82283">
              <w:rPr>
                <w:sz w:val="20"/>
              </w:rPr>
              <w:t>Working in groups under each technical field and supported by a specialist in each area, examiners will review one of their files based on the verification document for substantive examination (worksheet), using the knowledge acquired in the first part of the course.</w:t>
            </w:r>
          </w:p>
          <w:p w14:paraId="063EAF0C" w14:textId="77777777" w:rsidR="000645A0" w:rsidRPr="00F82283" w:rsidRDefault="000645A0" w:rsidP="00EA0A7F">
            <w:pPr>
              <w:jc w:val="both"/>
              <w:rPr>
                <w:sz w:val="20"/>
              </w:rPr>
            </w:pPr>
            <w:r w:rsidRPr="00F82283">
              <w:rPr>
                <w:sz w:val="20"/>
              </w:rPr>
              <w:t xml:space="preserve">                                                                                                                                                       </w:t>
            </w:r>
          </w:p>
        </w:tc>
      </w:tr>
      <w:tr w:rsidR="000645A0" w:rsidRPr="00BC43AE" w14:paraId="354E5923"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E6A23C" w14:textId="77777777" w:rsidR="000645A0" w:rsidRPr="00F82283" w:rsidRDefault="000645A0" w:rsidP="00EA0A7F">
            <w:pPr>
              <w:pStyle w:val="ListParagraph"/>
              <w:ind w:left="594"/>
              <w:contextualSpacing w:val="0"/>
              <w:jc w:val="both"/>
              <w:rPr>
                <w:sz w:val="20"/>
              </w:rPr>
            </w:pPr>
            <w:r w:rsidRPr="00F82283">
              <w:rPr>
                <w:sz w:val="20"/>
              </w:rPr>
              <w:t>Working session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E4A4902" w14:textId="77777777" w:rsidR="00DD3E7F" w:rsidRPr="00F82283" w:rsidRDefault="000645A0" w:rsidP="00EA0A7F">
            <w:pPr>
              <w:jc w:val="both"/>
              <w:rPr>
                <w:sz w:val="20"/>
              </w:rPr>
            </w:pPr>
            <w:r w:rsidRPr="00F82283">
              <w:rPr>
                <w:sz w:val="20"/>
              </w:rPr>
              <w:t xml:space="preserve">Identify in the assigned file: </w:t>
            </w:r>
          </w:p>
          <w:p w14:paraId="51EABC80" w14:textId="7D129E27" w:rsidR="000645A0" w:rsidRPr="00F82283" w:rsidRDefault="000645A0" w:rsidP="00EA0A7F">
            <w:pPr>
              <w:jc w:val="both"/>
              <w:rPr>
                <w:sz w:val="20"/>
              </w:rPr>
            </w:pPr>
            <w:r w:rsidRPr="00F82283">
              <w:rPr>
                <w:sz w:val="20"/>
              </w:rPr>
              <w:t>What is the invention?  What is the technical problem?  How is it solved?  Discuss the results in a group.</w:t>
            </w:r>
          </w:p>
        </w:tc>
      </w:tr>
      <w:tr w:rsidR="000645A0" w:rsidRPr="00BC43AE" w14:paraId="361C7930"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9BE5701" w14:textId="77777777" w:rsidR="000645A0" w:rsidRPr="008E61D3" w:rsidRDefault="000645A0" w:rsidP="00DD3E7F">
            <w:pPr>
              <w:keepNext/>
              <w:jc w:val="both"/>
              <w:rPr>
                <w:color w:val="13322B"/>
                <w:sz w:val="20"/>
              </w:rPr>
            </w:pPr>
            <w:r w:rsidRPr="008E61D3">
              <w:rPr>
                <w:b/>
                <w:bCs/>
                <w:color w:val="621132"/>
                <w:sz w:val="20"/>
              </w:rPr>
              <w:lastRenderedPageBreak/>
              <w:t>Module VIII. Specific technical fields</w:t>
            </w:r>
          </w:p>
        </w:tc>
      </w:tr>
      <w:tr w:rsidR="000645A0" w:rsidRPr="00BC43AE" w14:paraId="6F65DE7F"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D61E646" w14:textId="77777777" w:rsidR="000645A0" w:rsidRPr="008E61D3" w:rsidRDefault="000645A0" w:rsidP="00DD3E7F">
            <w:pPr>
              <w:keepNext/>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FCC0258" w14:textId="77777777" w:rsidR="000645A0" w:rsidRPr="008E61D3" w:rsidRDefault="000645A0" w:rsidP="00DD3E7F">
            <w:pPr>
              <w:keepNext/>
              <w:jc w:val="center"/>
              <w:rPr>
                <w:b/>
                <w:color w:val="621132"/>
                <w:sz w:val="20"/>
              </w:rPr>
            </w:pPr>
            <w:r w:rsidRPr="008E61D3">
              <w:rPr>
                <w:b/>
                <w:color w:val="621132"/>
                <w:sz w:val="20"/>
              </w:rPr>
              <w:t>Points to be covered/activities</w:t>
            </w:r>
          </w:p>
          <w:p w14:paraId="4082A7A3" w14:textId="77777777" w:rsidR="000645A0" w:rsidRPr="008E61D3" w:rsidRDefault="000645A0" w:rsidP="00DD3E7F">
            <w:pPr>
              <w:keepNext/>
              <w:jc w:val="center"/>
              <w:rPr>
                <w:b/>
                <w:color w:val="621132"/>
                <w:sz w:val="20"/>
              </w:rPr>
            </w:pPr>
          </w:p>
        </w:tc>
      </w:tr>
      <w:tr w:rsidR="000645A0" w:rsidRPr="00BC43AE" w14:paraId="7DD4D593"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13BFA7B" w14:textId="55417280" w:rsidR="000645A0" w:rsidRPr="00F82283" w:rsidRDefault="000645A0" w:rsidP="00DD3E7F">
            <w:pPr>
              <w:pStyle w:val="ListParagraph"/>
              <w:keepNext/>
              <w:numPr>
                <w:ilvl w:val="1"/>
                <w:numId w:val="18"/>
              </w:numPr>
              <w:contextualSpacing w:val="0"/>
              <w:jc w:val="both"/>
              <w:rPr>
                <w:b/>
                <w:bCs/>
                <w:sz w:val="20"/>
              </w:rPr>
            </w:pPr>
            <w:r w:rsidRPr="00F82283">
              <w:rPr>
                <w:b/>
                <w:bCs/>
                <w:sz w:val="20"/>
              </w:rPr>
              <w:t>Computer-implemented inventions.</w:t>
            </w:r>
          </w:p>
          <w:p w14:paraId="750500D2" w14:textId="77777777" w:rsidR="000645A0" w:rsidRPr="00F82283" w:rsidRDefault="000645A0" w:rsidP="00DD3E7F">
            <w:pPr>
              <w:pStyle w:val="ListParagraph"/>
              <w:keepNext/>
              <w:numPr>
                <w:ilvl w:val="2"/>
                <w:numId w:val="18"/>
              </w:numPr>
              <w:contextualSpacing w:val="0"/>
              <w:jc w:val="both"/>
              <w:rPr>
                <w:sz w:val="20"/>
              </w:rPr>
            </w:pPr>
            <w:r w:rsidRPr="00F82283">
              <w:rPr>
                <w:sz w:val="20"/>
              </w:rPr>
              <w:t xml:space="preserve">Technical problem </w:t>
            </w:r>
          </w:p>
          <w:p w14:paraId="5BFD64B6" w14:textId="77777777" w:rsidR="000645A0" w:rsidRPr="00F82283" w:rsidRDefault="000645A0" w:rsidP="00DD3E7F">
            <w:pPr>
              <w:pStyle w:val="ListParagraph"/>
              <w:keepNext/>
              <w:numPr>
                <w:ilvl w:val="2"/>
                <w:numId w:val="18"/>
              </w:numPr>
              <w:contextualSpacing w:val="0"/>
              <w:jc w:val="both"/>
              <w:rPr>
                <w:sz w:val="20"/>
              </w:rPr>
            </w:pPr>
            <w:r w:rsidRPr="00F82283">
              <w:rPr>
                <w:sz w:val="20"/>
              </w:rPr>
              <w:t xml:space="preserve">Sufficiency of description </w:t>
            </w:r>
          </w:p>
          <w:p w14:paraId="230D7934" w14:textId="77777777" w:rsidR="000645A0" w:rsidRPr="00F82283" w:rsidRDefault="000645A0" w:rsidP="00DD3E7F">
            <w:pPr>
              <w:pStyle w:val="ListParagraph"/>
              <w:keepNext/>
              <w:numPr>
                <w:ilvl w:val="2"/>
                <w:numId w:val="18"/>
              </w:numPr>
              <w:contextualSpacing w:val="0"/>
              <w:jc w:val="both"/>
              <w:rPr>
                <w:sz w:val="20"/>
              </w:rPr>
            </w:pPr>
            <w:r w:rsidRPr="00F82283">
              <w:rPr>
                <w:sz w:val="20"/>
              </w:rPr>
              <w:t xml:space="preserve">Type of claims </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6EF869F" w14:textId="77777777" w:rsidR="000645A0" w:rsidRPr="00F82283" w:rsidRDefault="000645A0" w:rsidP="00DD3E7F">
            <w:pPr>
              <w:keepNext/>
              <w:jc w:val="both"/>
              <w:rPr>
                <w:sz w:val="20"/>
              </w:rPr>
            </w:pPr>
          </w:p>
          <w:p w14:paraId="3E0C6D95" w14:textId="77777777" w:rsidR="000645A0" w:rsidRPr="00F82283" w:rsidRDefault="000645A0" w:rsidP="00DD3E7F">
            <w:pPr>
              <w:keepNext/>
              <w:jc w:val="both"/>
              <w:rPr>
                <w:b/>
                <w:bCs/>
                <w:sz w:val="20"/>
              </w:rPr>
            </w:pPr>
            <w:r w:rsidRPr="00F82283">
              <w:rPr>
                <w:sz w:val="20"/>
              </w:rPr>
              <w:t>Review of examples from different cases</w:t>
            </w:r>
          </w:p>
        </w:tc>
      </w:tr>
      <w:tr w:rsidR="000645A0" w:rsidRPr="00BC43AE" w14:paraId="56CFD0F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374865A" w14:textId="502FF367" w:rsidR="000645A0" w:rsidRPr="00F82283" w:rsidRDefault="000645A0" w:rsidP="00EA0A7F">
            <w:pPr>
              <w:pStyle w:val="ListParagraph"/>
              <w:numPr>
                <w:ilvl w:val="1"/>
                <w:numId w:val="18"/>
              </w:numPr>
              <w:ind w:left="357" w:hanging="357"/>
              <w:contextualSpacing w:val="0"/>
              <w:jc w:val="both"/>
              <w:rPr>
                <w:b/>
                <w:bCs/>
                <w:sz w:val="20"/>
              </w:rPr>
            </w:pPr>
            <w:r w:rsidRPr="00F82283">
              <w:rPr>
                <w:b/>
                <w:bCs/>
                <w:sz w:val="20"/>
              </w:rPr>
              <w:t>Biotechnological inventions</w:t>
            </w:r>
          </w:p>
          <w:p w14:paraId="2852D5DB" w14:textId="08BC93CE" w:rsidR="000645A0" w:rsidRPr="00F82283" w:rsidRDefault="00DD3E7F" w:rsidP="00DD3E7F">
            <w:pPr>
              <w:pStyle w:val="ListParagraph"/>
              <w:numPr>
                <w:ilvl w:val="2"/>
                <w:numId w:val="18"/>
              </w:numPr>
              <w:tabs>
                <w:tab w:val="left" w:pos="489"/>
              </w:tabs>
              <w:contextualSpacing w:val="0"/>
              <w:jc w:val="both"/>
              <w:rPr>
                <w:sz w:val="20"/>
              </w:rPr>
            </w:pPr>
            <w:r w:rsidRPr="00F82283">
              <w:rPr>
                <w:sz w:val="20"/>
              </w:rPr>
              <w:t xml:space="preserve">     </w:t>
            </w:r>
            <w:r w:rsidR="000645A0" w:rsidRPr="00F82283">
              <w:rPr>
                <w:sz w:val="20"/>
              </w:rPr>
              <w:t>Involving sequence listings</w:t>
            </w:r>
          </w:p>
          <w:p w14:paraId="0CE2FE04" w14:textId="2557415A" w:rsidR="000645A0" w:rsidRPr="00F82283" w:rsidRDefault="00DD3E7F" w:rsidP="00DD3E7F">
            <w:pPr>
              <w:pStyle w:val="ListParagraph"/>
              <w:numPr>
                <w:ilvl w:val="2"/>
                <w:numId w:val="18"/>
              </w:numPr>
              <w:tabs>
                <w:tab w:val="left" w:pos="489"/>
              </w:tabs>
              <w:contextualSpacing w:val="0"/>
              <w:jc w:val="both"/>
              <w:rPr>
                <w:sz w:val="20"/>
              </w:rPr>
            </w:pPr>
            <w:r w:rsidRPr="00F82283">
              <w:rPr>
                <w:sz w:val="20"/>
              </w:rPr>
              <w:t xml:space="preserve">     </w:t>
            </w:r>
            <w:r w:rsidR="000645A0" w:rsidRPr="00F82283">
              <w:rPr>
                <w:sz w:val="20"/>
              </w:rPr>
              <w:t xml:space="preserve">Involving biological material </w:t>
            </w:r>
            <w:proofErr w:type="gramStart"/>
            <w:r w:rsidR="000645A0" w:rsidRPr="00F82283">
              <w:rPr>
                <w:sz w:val="20"/>
              </w:rPr>
              <w:t>deposit</w:t>
            </w:r>
            <w:proofErr w:type="gramEnd"/>
            <w:r w:rsidR="000645A0" w:rsidRPr="00F82283">
              <w:rPr>
                <w:sz w:val="20"/>
              </w:rPr>
              <w:t xml:space="preserve"> records.</w:t>
            </w:r>
          </w:p>
          <w:p w14:paraId="7B378F8E" w14:textId="77777777" w:rsidR="000645A0" w:rsidRPr="00F82283" w:rsidRDefault="000645A0" w:rsidP="00EA0A7F">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D8B2BF4" w14:textId="77777777" w:rsidR="000645A0" w:rsidRPr="00F82283" w:rsidRDefault="000645A0" w:rsidP="00EA0A7F">
            <w:pPr>
              <w:jc w:val="both"/>
              <w:rPr>
                <w:sz w:val="20"/>
              </w:rPr>
            </w:pPr>
          </w:p>
          <w:p w14:paraId="7F2202BC" w14:textId="77777777" w:rsidR="000645A0" w:rsidRPr="00F82283" w:rsidRDefault="000645A0" w:rsidP="00EA0A7F">
            <w:pPr>
              <w:jc w:val="both"/>
              <w:rPr>
                <w:sz w:val="20"/>
              </w:rPr>
            </w:pPr>
            <w:r w:rsidRPr="00F82283">
              <w:rPr>
                <w:sz w:val="20"/>
              </w:rPr>
              <w:t>Change of filing date (due to deposit)</w:t>
            </w:r>
          </w:p>
        </w:tc>
      </w:tr>
      <w:tr w:rsidR="000645A0" w:rsidRPr="00BC43AE" w14:paraId="548E8564"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4CC50C1" w14:textId="3546D3BF" w:rsidR="000645A0" w:rsidRPr="00F82283" w:rsidRDefault="000645A0" w:rsidP="00EA0A7F">
            <w:pPr>
              <w:pStyle w:val="ListParagraph"/>
              <w:numPr>
                <w:ilvl w:val="1"/>
                <w:numId w:val="18"/>
              </w:numPr>
              <w:ind w:left="357" w:hanging="357"/>
              <w:contextualSpacing w:val="0"/>
              <w:jc w:val="both"/>
              <w:rPr>
                <w:b/>
                <w:bCs/>
                <w:sz w:val="20"/>
              </w:rPr>
            </w:pPr>
            <w:r w:rsidRPr="00F82283">
              <w:rPr>
                <w:b/>
                <w:bCs/>
                <w:sz w:val="20"/>
              </w:rPr>
              <w:t>Pharmaceutical inventions</w:t>
            </w:r>
          </w:p>
          <w:p w14:paraId="3D42D20E" w14:textId="4AA8B128" w:rsidR="000645A0" w:rsidRPr="00F82283" w:rsidRDefault="00EB5CA4" w:rsidP="00DD3E7F">
            <w:pPr>
              <w:pStyle w:val="ListParagraph"/>
              <w:numPr>
                <w:ilvl w:val="2"/>
                <w:numId w:val="18"/>
              </w:numPr>
              <w:ind w:left="425" w:hanging="425"/>
              <w:contextualSpacing w:val="0"/>
              <w:jc w:val="both"/>
              <w:rPr>
                <w:sz w:val="20"/>
              </w:rPr>
            </w:pPr>
            <w:r w:rsidRPr="00F82283">
              <w:rPr>
                <w:sz w:val="20"/>
              </w:rPr>
              <w:t xml:space="preserve">    </w:t>
            </w:r>
            <w:r w:rsidR="000645A0" w:rsidRPr="00F82283">
              <w:rPr>
                <w:sz w:val="20"/>
              </w:rPr>
              <w:t>First and second pharmaceutical use</w:t>
            </w:r>
          </w:p>
          <w:p w14:paraId="47814A0A" w14:textId="7F527912" w:rsidR="000645A0" w:rsidRPr="00F82283" w:rsidRDefault="00EB5CA4" w:rsidP="00DD3E7F">
            <w:pPr>
              <w:pStyle w:val="ListParagraph"/>
              <w:numPr>
                <w:ilvl w:val="2"/>
                <w:numId w:val="18"/>
              </w:numPr>
              <w:ind w:left="425" w:hanging="425"/>
              <w:contextualSpacing w:val="0"/>
              <w:jc w:val="both"/>
              <w:rPr>
                <w:sz w:val="20"/>
              </w:rPr>
            </w:pPr>
            <w:r w:rsidRPr="00F82283">
              <w:rPr>
                <w:sz w:val="20"/>
              </w:rPr>
              <w:t xml:space="preserve">    </w:t>
            </w:r>
            <w:r w:rsidR="000645A0" w:rsidRPr="00F82283">
              <w:rPr>
                <w:sz w:val="20"/>
              </w:rPr>
              <w:t>Markush formulas</w:t>
            </w:r>
          </w:p>
          <w:p w14:paraId="46022B23" w14:textId="62008691" w:rsidR="000645A0" w:rsidRPr="00F82283" w:rsidRDefault="00EB5CA4" w:rsidP="00DD3E7F">
            <w:pPr>
              <w:pStyle w:val="ListParagraph"/>
              <w:numPr>
                <w:ilvl w:val="2"/>
                <w:numId w:val="18"/>
              </w:numPr>
              <w:ind w:left="425" w:hanging="425"/>
              <w:contextualSpacing w:val="0"/>
              <w:jc w:val="both"/>
              <w:rPr>
                <w:sz w:val="20"/>
              </w:rPr>
            </w:pPr>
            <w:r w:rsidRPr="00F82283">
              <w:rPr>
                <w:sz w:val="20"/>
              </w:rPr>
              <w:t xml:space="preserve">    </w:t>
            </w:r>
            <w:r w:rsidR="000645A0" w:rsidRPr="00F82283">
              <w:rPr>
                <w:sz w:val="20"/>
              </w:rPr>
              <w:t>Active ingredient protection</w:t>
            </w:r>
          </w:p>
          <w:p w14:paraId="5C3DBED2" w14:textId="77777777" w:rsidR="000645A0" w:rsidRPr="00F82283" w:rsidRDefault="000645A0" w:rsidP="00EA0A7F">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7CE67B7" w14:textId="77777777" w:rsidR="000645A0" w:rsidRPr="00F82283" w:rsidRDefault="000645A0" w:rsidP="00EA0A7F">
            <w:pPr>
              <w:jc w:val="both"/>
              <w:rPr>
                <w:sz w:val="20"/>
              </w:rPr>
            </w:pPr>
          </w:p>
          <w:p w14:paraId="546DA0C2" w14:textId="77777777" w:rsidR="000645A0" w:rsidRPr="00F82283" w:rsidRDefault="000645A0" w:rsidP="00EA0A7F">
            <w:pPr>
              <w:jc w:val="both"/>
              <w:rPr>
                <w:sz w:val="20"/>
              </w:rPr>
            </w:pPr>
            <w:r w:rsidRPr="00F82283">
              <w:rPr>
                <w:sz w:val="20"/>
              </w:rPr>
              <w:t>Review of examples of different cases of pharmaceutical uses</w:t>
            </w:r>
          </w:p>
          <w:p w14:paraId="0CBD250C" w14:textId="77777777" w:rsidR="000645A0" w:rsidRPr="00F82283" w:rsidRDefault="000645A0" w:rsidP="00EA0A7F">
            <w:pPr>
              <w:jc w:val="both"/>
              <w:rPr>
                <w:sz w:val="20"/>
              </w:rPr>
            </w:pPr>
            <w:r w:rsidRPr="00F82283">
              <w:rPr>
                <w:sz w:val="20"/>
              </w:rPr>
              <w:t>Review of the Medicines Gazette</w:t>
            </w:r>
          </w:p>
          <w:p w14:paraId="4F42E66B" w14:textId="77777777" w:rsidR="000645A0" w:rsidRPr="00F82283" w:rsidRDefault="000645A0" w:rsidP="00EA0A7F">
            <w:pPr>
              <w:jc w:val="both"/>
              <w:rPr>
                <w:sz w:val="20"/>
              </w:rPr>
            </w:pPr>
          </w:p>
        </w:tc>
      </w:tr>
      <w:tr w:rsidR="000645A0" w:rsidRPr="00BC43AE" w14:paraId="6C959398"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AA02418" w14:textId="77777777" w:rsidR="000645A0" w:rsidRPr="008E61D3" w:rsidRDefault="000645A0" w:rsidP="00EA0A7F">
            <w:pPr>
              <w:jc w:val="both"/>
              <w:rPr>
                <w:color w:val="13322B"/>
                <w:sz w:val="20"/>
              </w:rPr>
            </w:pPr>
            <w:r w:rsidRPr="008E61D3">
              <w:rPr>
                <w:b/>
                <w:bCs/>
                <w:color w:val="621132"/>
                <w:sz w:val="20"/>
              </w:rPr>
              <w:t>Module IX. Complementary topics</w:t>
            </w:r>
          </w:p>
        </w:tc>
      </w:tr>
      <w:tr w:rsidR="000645A0" w:rsidRPr="00BC43AE" w14:paraId="63CFCEB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14C1732"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F229F13" w14:textId="77777777" w:rsidR="000645A0" w:rsidRPr="008E61D3" w:rsidRDefault="000645A0" w:rsidP="00EA0A7F">
            <w:pPr>
              <w:jc w:val="center"/>
              <w:rPr>
                <w:b/>
                <w:color w:val="621132"/>
                <w:sz w:val="20"/>
              </w:rPr>
            </w:pPr>
            <w:r w:rsidRPr="008E61D3">
              <w:rPr>
                <w:b/>
                <w:color w:val="621132"/>
                <w:sz w:val="20"/>
              </w:rPr>
              <w:t>Points to be covered/activities</w:t>
            </w:r>
          </w:p>
          <w:p w14:paraId="0E3D6170" w14:textId="77777777" w:rsidR="000645A0" w:rsidRPr="008E61D3" w:rsidRDefault="000645A0" w:rsidP="00EA0A7F">
            <w:pPr>
              <w:jc w:val="center"/>
              <w:rPr>
                <w:b/>
                <w:color w:val="621132"/>
                <w:sz w:val="20"/>
              </w:rPr>
            </w:pPr>
          </w:p>
        </w:tc>
      </w:tr>
      <w:tr w:rsidR="000645A0" w:rsidRPr="00BC43AE" w14:paraId="483C7DF1"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63B2CAF" w14:textId="77777777" w:rsidR="000645A0" w:rsidRPr="00F82283" w:rsidRDefault="000645A0" w:rsidP="00EB5CA4">
            <w:pPr>
              <w:pStyle w:val="ListParagraph"/>
              <w:numPr>
                <w:ilvl w:val="1"/>
                <w:numId w:val="19"/>
              </w:numPr>
              <w:ind w:left="284" w:hanging="284"/>
              <w:contextualSpacing w:val="0"/>
              <w:jc w:val="both"/>
              <w:rPr>
                <w:b/>
                <w:bCs/>
                <w:sz w:val="20"/>
              </w:rPr>
            </w:pPr>
            <w:r w:rsidRPr="00F82283">
              <w:rPr>
                <w:b/>
                <w:bCs/>
                <w:sz w:val="20"/>
              </w:rPr>
              <w:t>Titling and preservation of rights</w:t>
            </w:r>
          </w:p>
          <w:p w14:paraId="172E115D" w14:textId="77777777" w:rsidR="000645A0" w:rsidRPr="00F82283" w:rsidRDefault="000645A0" w:rsidP="00EA0A7F">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D5CE3D1" w14:textId="77777777" w:rsidR="000645A0" w:rsidRPr="00F82283" w:rsidRDefault="000645A0" w:rsidP="00EA0A7F">
            <w:pPr>
              <w:jc w:val="both"/>
              <w:rPr>
                <w:sz w:val="20"/>
              </w:rPr>
            </w:pPr>
            <w:r w:rsidRPr="00F82283">
              <w:rPr>
                <w:sz w:val="20"/>
              </w:rPr>
              <w:t>Integration of technical reports</w:t>
            </w:r>
          </w:p>
          <w:p w14:paraId="4F9CAA42" w14:textId="6002B563" w:rsidR="000645A0" w:rsidRPr="00F82283" w:rsidRDefault="000645A0" w:rsidP="00EA0A7F">
            <w:pPr>
              <w:jc w:val="both"/>
              <w:rPr>
                <w:b/>
                <w:bCs/>
                <w:sz w:val="20"/>
              </w:rPr>
            </w:pPr>
            <w:r w:rsidRPr="00F82283">
              <w:rPr>
                <w:sz w:val="20"/>
              </w:rPr>
              <w:t xml:space="preserve">SIAI module for </w:t>
            </w:r>
            <w:r w:rsidR="00185543" w:rsidRPr="00F82283">
              <w:rPr>
                <w:sz w:val="20"/>
              </w:rPr>
              <w:t>“</w:t>
            </w:r>
            <w:r w:rsidRPr="00F82283">
              <w:rPr>
                <w:sz w:val="20"/>
              </w:rPr>
              <w:t>Technical Report Management</w:t>
            </w:r>
            <w:r w:rsidR="00185543" w:rsidRPr="00F82283">
              <w:rPr>
                <w:sz w:val="20"/>
              </w:rPr>
              <w:t>”</w:t>
            </w:r>
          </w:p>
        </w:tc>
      </w:tr>
      <w:tr w:rsidR="000645A0" w:rsidRPr="00BC43AE" w14:paraId="61E12925"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B869D4" w14:textId="77777777" w:rsidR="000645A0" w:rsidRPr="00F82283" w:rsidRDefault="000645A0" w:rsidP="00EB5CA4">
            <w:pPr>
              <w:pStyle w:val="ListParagraph"/>
              <w:numPr>
                <w:ilvl w:val="1"/>
                <w:numId w:val="19"/>
              </w:numPr>
              <w:ind w:left="357" w:hanging="357"/>
              <w:contextualSpacing w:val="0"/>
              <w:jc w:val="both"/>
              <w:rPr>
                <w:b/>
                <w:bCs/>
                <w:sz w:val="20"/>
              </w:rPr>
            </w:pPr>
            <w:r w:rsidRPr="00F82283">
              <w:rPr>
                <w:b/>
                <w:bCs/>
                <w:sz w:val="20"/>
              </w:rPr>
              <w:t>Acceleration mechanisms for patents</w:t>
            </w:r>
          </w:p>
          <w:p w14:paraId="64C0DDB4" w14:textId="77777777" w:rsidR="000645A0" w:rsidRPr="00F82283" w:rsidRDefault="000645A0" w:rsidP="00EA0A7F">
            <w:pPr>
              <w:jc w:val="both"/>
              <w:rPr>
                <w:sz w:val="20"/>
              </w:rPr>
            </w:pPr>
          </w:p>
          <w:p w14:paraId="56062D9D" w14:textId="77777777" w:rsidR="000645A0" w:rsidRPr="00F82283" w:rsidRDefault="000645A0" w:rsidP="00EB5CA4">
            <w:pPr>
              <w:pStyle w:val="ListParagraph"/>
              <w:numPr>
                <w:ilvl w:val="2"/>
                <w:numId w:val="19"/>
              </w:numPr>
              <w:tabs>
                <w:tab w:val="left" w:pos="489"/>
              </w:tabs>
              <w:ind w:left="851" w:hanging="851"/>
              <w:contextualSpacing w:val="0"/>
              <w:jc w:val="both"/>
              <w:rPr>
                <w:sz w:val="20"/>
              </w:rPr>
            </w:pPr>
            <w:r w:rsidRPr="00F82283">
              <w:rPr>
                <w:sz w:val="20"/>
              </w:rPr>
              <w:t xml:space="preserve">PPH (Patent Prosecution Highway), APG, </w:t>
            </w:r>
          </w:p>
          <w:p w14:paraId="4610B71A" w14:textId="77777777" w:rsidR="000645A0" w:rsidRPr="00F82283" w:rsidRDefault="000645A0" w:rsidP="00EB5CA4">
            <w:pPr>
              <w:pStyle w:val="ListParagraph"/>
              <w:numPr>
                <w:ilvl w:val="2"/>
                <w:numId w:val="19"/>
              </w:numPr>
              <w:tabs>
                <w:tab w:val="left" w:pos="489"/>
              </w:tabs>
              <w:ind w:left="851" w:hanging="851"/>
              <w:contextualSpacing w:val="0"/>
              <w:jc w:val="both"/>
              <w:rPr>
                <w:sz w:val="20"/>
              </w:rPr>
            </w:pPr>
            <w:r w:rsidRPr="00F82283">
              <w:rPr>
                <w:sz w:val="20"/>
              </w:rPr>
              <w:t>PAMX</w:t>
            </w:r>
          </w:p>
          <w:p w14:paraId="0A4D3CD6" w14:textId="77777777" w:rsidR="000645A0" w:rsidRPr="00F82283" w:rsidRDefault="000645A0" w:rsidP="00EA0A7F">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0238FCB" w14:textId="77777777" w:rsidR="000645A0" w:rsidRPr="00F82283" w:rsidRDefault="000645A0" w:rsidP="00EA0A7F">
            <w:pPr>
              <w:jc w:val="both"/>
              <w:rPr>
                <w:sz w:val="20"/>
              </w:rPr>
            </w:pPr>
          </w:p>
          <w:p w14:paraId="7F504578" w14:textId="77777777" w:rsidR="000645A0" w:rsidRPr="00F82283" w:rsidRDefault="000645A0" w:rsidP="00EA0A7F">
            <w:pPr>
              <w:jc w:val="both"/>
              <w:rPr>
                <w:sz w:val="20"/>
              </w:rPr>
            </w:pPr>
            <w:r w:rsidRPr="00F82283">
              <w:rPr>
                <w:sz w:val="20"/>
              </w:rPr>
              <w:t>Modalities in PPH agreements</w:t>
            </w:r>
          </w:p>
          <w:p w14:paraId="45860DEC" w14:textId="77777777" w:rsidR="000645A0" w:rsidRPr="00F82283" w:rsidRDefault="000645A0" w:rsidP="00EA0A7F">
            <w:pPr>
              <w:jc w:val="both"/>
              <w:rPr>
                <w:sz w:val="20"/>
              </w:rPr>
            </w:pPr>
            <w:r w:rsidRPr="00F82283">
              <w:rPr>
                <w:sz w:val="20"/>
              </w:rPr>
              <w:t>Participation requirements</w:t>
            </w:r>
          </w:p>
          <w:p w14:paraId="42D0DDFE" w14:textId="77777777" w:rsidR="000645A0" w:rsidRPr="00F82283" w:rsidRDefault="000645A0" w:rsidP="00EA0A7F">
            <w:pPr>
              <w:jc w:val="both"/>
              <w:rPr>
                <w:sz w:val="20"/>
              </w:rPr>
            </w:pPr>
            <w:r w:rsidRPr="00F82283">
              <w:rPr>
                <w:sz w:val="20"/>
              </w:rPr>
              <w:t>Differences among acceleration mechanisms</w:t>
            </w:r>
          </w:p>
        </w:tc>
      </w:tr>
      <w:tr w:rsidR="000645A0" w:rsidRPr="00BC43AE" w14:paraId="5D4FD04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5F46269" w14:textId="77777777" w:rsidR="000645A0" w:rsidRPr="00F82283" w:rsidRDefault="000645A0" w:rsidP="00EB5CA4">
            <w:pPr>
              <w:pStyle w:val="ListParagraph"/>
              <w:numPr>
                <w:ilvl w:val="1"/>
                <w:numId w:val="19"/>
              </w:numPr>
              <w:ind w:left="357" w:hanging="357"/>
              <w:contextualSpacing w:val="0"/>
              <w:jc w:val="both"/>
              <w:rPr>
                <w:b/>
                <w:bCs/>
                <w:sz w:val="20"/>
              </w:rPr>
            </w:pPr>
            <w:r w:rsidRPr="00F82283">
              <w:rPr>
                <w:b/>
                <w:bCs/>
                <w:sz w:val="20"/>
              </w:rPr>
              <w:t>Third-party observations</w:t>
            </w:r>
          </w:p>
          <w:p w14:paraId="5B70142F" w14:textId="77777777" w:rsidR="000645A0" w:rsidRPr="00F82283" w:rsidRDefault="000645A0" w:rsidP="00EA0A7F">
            <w:pPr>
              <w:pStyle w:val="ListParagraph"/>
              <w:ind w:left="48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5C33832" w14:textId="77777777" w:rsidR="000645A0" w:rsidRPr="00F82283" w:rsidRDefault="000645A0" w:rsidP="00EA0A7F">
            <w:pPr>
              <w:jc w:val="both"/>
              <w:rPr>
                <w:sz w:val="20"/>
              </w:rPr>
            </w:pPr>
            <w:r w:rsidRPr="00F82283">
              <w:rPr>
                <w:sz w:val="20"/>
              </w:rPr>
              <w:t>Various situations in which third-party observations are submitted.</w:t>
            </w:r>
          </w:p>
        </w:tc>
      </w:tr>
      <w:tr w:rsidR="000645A0" w:rsidRPr="00BC43AE" w14:paraId="71174ECA"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9F6D072" w14:textId="77777777" w:rsidR="000645A0" w:rsidRPr="00F82283" w:rsidRDefault="000645A0" w:rsidP="00EB5CA4">
            <w:pPr>
              <w:pStyle w:val="ListParagraph"/>
              <w:numPr>
                <w:ilvl w:val="1"/>
                <w:numId w:val="19"/>
              </w:numPr>
              <w:ind w:left="357" w:hanging="357"/>
              <w:contextualSpacing w:val="0"/>
              <w:jc w:val="both"/>
              <w:rPr>
                <w:b/>
                <w:bCs/>
                <w:sz w:val="20"/>
              </w:rPr>
            </w:pPr>
            <w:r w:rsidRPr="00F82283">
              <w:rPr>
                <w:b/>
                <w:bCs/>
                <w:sz w:val="20"/>
              </w:rPr>
              <w:t>PCT and Paris Convention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CA78146" w14:textId="77777777" w:rsidR="000645A0" w:rsidRPr="00F82283" w:rsidRDefault="000645A0" w:rsidP="00EA0A7F">
            <w:pPr>
              <w:jc w:val="both"/>
              <w:rPr>
                <w:sz w:val="20"/>
              </w:rPr>
            </w:pPr>
          </w:p>
        </w:tc>
      </w:tr>
      <w:tr w:rsidR="000645A0" w:rsidRPr="00BC43AE" w14:paraId="5B5D437D"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6369F09" w14:textId="77777777" w:rsidR="000645A0" w:rsidRPr="00F82283" w:rsidRDefault="000645A0" w:rsidP="00EB5CA4">
            <w:pPr>
              <w:pStyle w:val="ListParagraph"/>
              <w:numPr>
                <w:ilvl w:val="1"/>
                <w:numId w:val="19"/>
              </w:numPr>
              <w:ind w:left="357" w:hanging="357"/>
              <w:contextualSpacing w:val="0"/>
              <w:jc w:val="both"/>
              <w:rPr>
                <w:b/>
                <w:bCs/>
                <w:sz w:val="20"/>
              </w:rPr>
            </w:pPr>
            <w:r w:rsidRPr="00F82283">
              <w:rPr>
                <w:b/>
                <w:bCs/>
                <w:sz w:val="20"/>
              </w:rPr>
              <w:t>International organizations and treaties applicable to the patent system</w:t>
            </w:r>
          </w:p>
          <w:p w14:paraId="187FD54B" w14:textId="77777777" w:rsidR="000645A0" w:rsidRPr="00F82283" w:rsidRDefault="000645A0" w:rsidP="00EA0A7F">
            <w:pPr>
              <w:jc w:val="both"/>
              <w:rPr>
                <w:sz w:val="20"/>
              </w:rPr>
            </w:pPr>
          </w:p>
          <w:p w14:paraId="7B265A7C" w14:textId="77777777" w:rsidR="000645A0" w:rsidRPr="00F82283" w:rsidRDefault="000645A0" w:rsidP="00EB5CA4">
            <w:pPr>
              <w:pStyle w:val="ListParagraph"/>
              <w:numPr>
                <w:ilvl w:val="2"/>
                <w:numId w:val="19"/>
              </w:numPr>
              <w:ind w:left="567" w:hanging="567"/>
              <w:contextualSpacing w:val="0"/>
              <w:jc w:val="both"/>
              <w:rPr>
                <w:sz w:val="20"/>
              </w:rPr>
            </w:pPr>
            <w:r w:rsidRPr="00F82283">
              <w:rPr>
                <w:sz w:val="20"/>
              </w:rPr>
              <w:t>WIPO</w:t>
            </w:r>
          </w:p>
          <w:p w14:paraId="096A48C0" w14:textId="77777777" w:rsidR="000645A0" w:rsidRPr="00F82283" w:rsidRDefault="000645A0" w:rsidP="00EB5CA4">
            <w:pPr>
              <w:pStyle w:val="ListParagraph"/>
              <w:numPr>
                <w:ilvl w:val="2"/>
                <w:numId w:val="19"/>
              </w:numPr>
              <w:ind w:left="567" w:hanging="567"/>
              <w:contextualSpacing w:val="0"/>
              <w:jc w:val="both"/>
              <w:rPr>
                <w:sz w:val="20"/>
              </w:rPr>
            </w:pPr>
            <w:r w:rsidRPr="00F82283">
              <w:rPr>
                <w:sz w:val="20"/>
              </w:rPr>
              <w:t>European Patent Office (EPO)</w:t>
            </w:r>
          </w:p>
          <w:p w14:paraId="4D75B169" w14:textId="3441D62D" w:rsidR="000645A0" w:rsidRPr="00F82283" w:rsidRDefault="000645A0" w:rsidP="00EB5CA4">
            <w:pPr>
              <w:pStyle w:val="ListParagraph"/>
              <w:numPr>
                <w:ilvl w:val="2"/>
                <w:numId w:val="19"/>
              </w:numPr>
              <w:ind w:left="567" w:hanging="567"/>
              <w:contextualSpacing w:val="0"/>
              <w:jc w:val="both"/>
              <w:rPr>
                <w:sz w:val="20"/>
              </w:rPr>
            </w:pPr>
            <w:r w:rsidRPr="00F82283">
              <w:rPr>
                <w:sz w:val="20"/>
              </w:rPr>
              <w:t>Agreement on the Trade-Related Aspects of Intellectual Property Rights</w:t>
            </w:r>
          </w:p>
          <w:p w14:paraId="3723E3CF" w14:textId="77777777" w:rsidR="000645A0" w:rsidRPr="00F82283" w:rsidRDefault="000645A0" w:rsidP="00EB5CA4">
            <w:pPr>
              <w:pStyle w:val="ListParagraph"/>
              <w:numPr>
                <w:ilvl w:val="2"/>
                <w:numId w:val="19"/>
              </w:numPr>
              <w:ind w:left="567" w:hanging="567"/>
              <w:contextualSpacing w:val="0"/>
              <w:jc w:val="both"/>
              <w:rPr>
                <w:sz w:val="20"/>
              </w:rPr>
            </w:pPr>
            <w:r w:rsidRPr="00F82283">
              <w:rPr>
                <w:sz w:val="20"/>
              </w:rPr>
              <w:t>Paris Convention</w:t>
            </w:r>
          </w:p>
          <w:p w14:paraId="76E74DCB" w14:textId="77777777" w:rsidR="000645A0" w:rsidRPr="00F82283" w:rsidRDefault="000645A0" w:rsidP="00EB5CA4">
            <w:pPr>
              <w:pStyle w:val="ListParagraph"/>
              <w:numPr>
                <w:ilvl w:val="2"/>
                <w:numId w:val="19"/>
              </w:numPr>
              <w:ind w:left="567" w:hanging="567"/>
              <w:contextualSpacing w:val="0"/>
              <w:jc w:val="both"/>
              <w:rPr>
                <w:sz w:val="20"/>
              </w:rPr>
            </w:pPr>
            <w:r w:rsidRPr="00F82283">
              <w:rPr>
                <w:sz w:val="20"/>
              </w:rPr>
              <w:t>USMCA provisions</w:t>
            </w:r>
          </w:p>
          <w:p w14:paraId="22A05D88" w14:textId="77777777" w:rsidR="000645A0" w:rsidRPr="00F82283" w:rsidRDefault="000645A0" w:rsidP="00EA0A7F">
            <w:pPr>
              <w:ind w:left="72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D30FCC0" w14:textId="77777777" w:rsidR="000645A0" w:rsidRPr="008E61D3" w:rsidRDefault="000645A0" w:rsidP="00EA0A7F">
            <w:pPr>
              <w:jc w:val="both"/>
              <w:rPr>
                <w:color w:val="13322B"/>
                <w:sz w:val="20"/>
              </w:rPr>
            </w:pPr>
          </w:p>
        </w:tc>
      </w:tr>
      <w:tr w:rsidR="000645A0" w:rsidRPr="00BC43AE" w14:paraId="3D96F44C"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3F3086D" w14:textId="77777777" w:rsidR="000645A0" w:rsidRPr="008E61D3" w:rsidRDefault="000645A0" w:rsidP="00EA0A7F">
            <w:pPr>
              <w:jc w:val="both"/>
              <w:rPr>
                <w:color w:val="13322B"/>
                <w:sz w:val="20"/>
              </w:rPr>
            </w:pPr>
            <w:r w:rsidRPr="008E61D3">
              <w:rPr>
                <w:b/>
                <w:bCs/>
                <w:color w:val="621132"/>
                <w:sz w:val="20"/>
              </w:rPr>
              <w:t>Module X. Utility models</w:t>
            </w:r>
          </w:p>
        </w:tc>
      </w:tr>
      <w:tr w:rsidR="000645A0" w:rsidRPr="00BC43AE" w14:paraId="3471F114"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326D203" w14:textId="77777777" w:rsidR="000645A0" w:rsidRPr="008E61D3" w:rsidRDefault="000645A0" w:rsidP="00EA0A7F">
            <w:pPr>
              <w:jc w:val="center"/>
              <w:rPr>
                <w:b/>
                <w:color w:val="621132"/>
                <w:sz w:val="20"/>
              </w:rPr>
            </w:pPr>
            <w:r w:rsidRPr="008E61D3">
              <w:rPr>
                <w:b/>
                <w:color w:val="621132"/>
                <w:sz w:val="20"/>
              </w:rPr>
              <w:t>Topic</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353A517" w14:textId="77777777" w:rsidR="000645A0" w:rsidRPr="008E61D3" w:rsidRDefault="000645A0" w:rsidP="00EA0A7F">
            <w:pPr>
              <w:jc w:val="center"/>
              <w:rPr>
                <w:b/>
                <w:color w:val="621132"/>
                <w:sz w:val="20"/>
              </w:rPr>
            </w:pPr>
            <w:r w:rsidRPr="008E61D3">
              <w:rPr>
                <w:b/>
                <w:color w:val="621132"/>
                <w:sz w:val="20"/>
              </w:rPr>
              <w:t>Topics to be covered/activities</w:t>
            </w:r>
          </w:p>
          <w:p w14:paraId="1AF141B1" w14:textId="77777777" w:rsidR="000645A0" w:rsidRPr="008E61D3" w:rsidRDefault="000645A0" w:rsidP="00EA0A7F">
            <w:pPr>
              <w:jc w:val="center"/>
              <w:rPr>
                <w:b/>
                <w:color w:val="621132"/>
                <w:sz w:val="20"/>
              </w:rPr>
            </w:pPr>
          </w:p>
        </w:tc>
      </w:tr>
      <w:tr w:rsidR="000645A0" w:rsidRPr="00BC43AE" w14:paraId="399602AE" w14:textId="77777777" w:rsidTr="00EA0A7F">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23A5493" w14:textId="77777777" w:rsidR="000645A0" w:rsidRPr="00F82283" w:rsidRDefault="000645A0" w:rsidP="00EB5CA4">
            <w:pPr>
              <w:pStyle w:val="ListParagraph"/>
              <w:numPr>
                <w:ilvl w:val="1"/>
                <w:numId w:val="20"/>
              </w:numPr>
              <w:ind w:left="425" w:hanging="425"/>
              <w:contextualSpacing w:val="0"/>
              <w:jc w:val="both"/>
              <w:rPr>
                <w:b/>
                <w:bCs/>
                <w:sz w:val="20"/>
              </w:rPr>
            </w:pPr>
            <w:r w:rsidRPr="00F82283">
              <w:rPr>
                <w:b/>
                <w:bCs/>
                <w:sz w:val="20"/>
              </w:rPr>
              <w:t>Study of a utility model application</w:t>
            </w:r>
          </w:p>
          <w:p w14:paraId="62CB49BE" w14:textId="77777777" w:rsidR="000645A0" w:rsidRPr="00F82283" w:rsidRDefault="000645A0" w:rsidP="00EA0A7F">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BD8DCA9" w14:textId="77777777" w:rsidR="000645A0" w:rsidRPr="00F82283" w:rsidRDefault="000645A0" w:rsidP="00EA0A7F">
            <w:pPr>
              <w:jc w:val="both"/>
              <w:rPr>
                <w:b/>
                <w:bCs/>
                <w:sz w:val="20"/>
              </w:rPr>
            </w:pPr>
            <w:r w:rsidRPr="00F82283">
              <w:rPr>
                <w:sz w:val="20"/>
              </w:rPr>
              <w:t>Review examples of different cases of utility models</w:t>
            </w:r>
          </w:p>
        </w:tc>
      </w:tr>
    </w:tbl>
    <w:p w14:paraId="4AF1AB65" w14:textId="77777777" w:rsidR="000645A0" w:rsidRPr="00BC43AE" w:rsidRDefault="000645A0" w:rsidP="000645A0">
      <w:pPr>
        <w:rPr>
          <w:rFonts w:ascii="Montserrat Light" w:hAnsi="Montserrat Light"/>
          <w:sz w:val="20"/>
        </w:rPr>
      </w:pPr>
    </w:p>
    <w:p w14:paraId="344927E5" w14:textId="2491AA52" w:rsidR="000645A0" w:rsidRPr="00BC43AE" w:rsidRDefault="000645A0" w:rsidP="000645A0">
      <w:pPr>
        <w:pStyle w:val="Answer"/>
        <w:spacing w:after="0"/>
        <w:ind w:left="0"/>
        <w:jc w:val="both"/>
      </w:pPr>
      <w:r w:rsidRPr="00BC43AE">
        <w:t xml:space="preserve">Training for the substantive examination team is ongoing. Examiners are required to take the general courses offered by the WIPO Academy, </w:t>
      </w:r>
      <w:r w:rsidR="00185543">
        <w:t>“</w:t>
      </w:r>
      <w:r w:rsidRPr="00BC43AE">
        <w:t>Intellectual Property Course DL-001</w:t>
      </w:r>
      <w:r w:rsidR="00185543">
        <w:t>”</w:t>
      </w:r>
      <w:r w:rsidRPr="00BC43AE">
        <w:t xml:space="preserve"> and </w:t>
      </w:r>
      <w:r w:rsidR="00185543">
        <w:t>“</w:t>
      </w:r>
      <w:r w:rsidRPr="00BC43AE">
        <w:t>Basic Intellectual Property Course DL-101S</w:t>
      </w:r>
      <w:r w:rsidR="00185543">
        <w:t>”</w:t>
      </w:r>
      <w:r w:rsidRPr="00BC43AE">
        <w:t>.</w:t>
      </w:r>
    </w:p>
    <w:p w14:paraId="758C4CBD" w14:textId="77777777" w:rsidR="000645A0" w:rsidRPr="00BC43AE" w:rsidRDefault="000645A0" w:rsidP="000645A0">
      <w:pPr>
        <w:pStyle w:val="Answer"/>
        <w:spacing w:after="0"/>
        <w:ind w:left="0"/>
        <w:jc w:val="both"/>
      </w:pPr>
    </w:p>
    <w:p w14:paraId="2268D29E" w14:textId="77777777" w:rsidR="000645A0" w:rsidRPr="00BC43AE" w:rsidRDefault="000645A0" w:rsidP="000645A0">
      <w:pPr>
        <w:pStyle w:val="Answer"/>
        <w:spacing w:after="0"/>
        <w:ind w:left="0"/>
        <w:jc w:val="both"/>
      </w:pPr>
      <w:r w:rsidRPr="00BC43AE">
        <w:t>Under the IMPI regulations, all staff must receive a minimum of 40 hours of training per year, a percentage of which must be specialized training.</w:t>
      </w:r>
    </w:p>
    <w:p w14:paraId="2A64B6DD" w14:textId="77777777" w:rsidR="000645A0" w:rsidRPr="00BC43AE" w:rsidRDefault="000645A0" w:rsidP="000645A0">
      <w:pPr>
        <w:pStyle w:val="Answer"/>
        <w:spacing w:after="0"/>
        <w:ind w:left="0"/>
        <w:jc w:val="both"/>
      </w:pPr>
    </w:p>
    <w:p w14:paraId="74C8105A" w14:textId="77777777" w:rsidR="000645A0" w:rsidRPr="00BC43AE" w:rsidRDefault="000645A0" w:rsidP="000645A0">
      <w:pPr>
        <w:pStyle w:val="Answer"/>
        <w:spacing w:after="0"/>
        <w:ind w:left="0"/>
        <w:jc w:val="both"/>
      </w:pPr>
      <w:r w:rsidRPr="00BC43AE">
        <w:t>Examiners receive training in core technical subjects to update their knowledge of the technical field which they examine and of patent examination criteria.</w:t>
      </w:r>
    </w:p>
    <w:p w14:paraId="3A284541" w14:textId="77777777" w:rsidR="000645A0" w:rsidRPr="00BC43AE" w:rsidRDefault="000645A0" w:rsidP="000645A0">
      <w:pPr>
        <w:pStyle w:val="Answer"/>
        <w:spacing w:after="0"/>
        <w:ind w:left="0"/>
        <w:jc w:val="both"/>
      </w:pPr>
    </w:p>
    <w:p w14:paraId="35F5B27E" w14:textId="77777777" w:rsidR="000645A0" w:rsidRPr="00BC43AE" w:rsidRDefault="000645A0" w:rsidP="000645A0">
      <w:pPr>
        <w:pStyle w:val="Answer"/>
        <w:spacing w:after="0"/>
        <w:ind w:left="0"/>
        <w:jc w:val="both"/>
      </w:pPr>
      <w:r w:rsidRPr="00BC43AE">
        <w:t xml:space="preserve">This training includes courses on prior art searches, up-to-date guides on the use of search tools and databases, and specialized courses on specific topics offered by the various patent offices with which the IMPI cooperates, such as the USPTO, the EPO and the Japan Patent Office. </w:t>
      </w:r>
    </w:p>
    <w:p w14:paraId="2DCD6A7C" w14:textId="77777777" w:rsidR="000645A0" w:rsidRPr="00BC43AE" w:rsidRDefault="000645A0" w:rsidP="000645A0">
      <w:pPr>
        <w:pStyle w:val="Answer"/>
        <w:spacing w:after="0"/>
        <w:ind w:left="0"/>
        <w:jc w:val="both"/>
      </w:pPr>
    </w:p>
    <w:p w14:paraId="3C7AE14D" w14:textId="5CC25549" w:rsidR="000645A0" w:rsidRPr="00BC43AE" w:rsidRDefault="000645A0" w:rsidP="000645A0">
      <w:pPr>
        <w:pStyle w:val="Answer"/>
        <w:spacing w:after="0"/>
        <w:ind w:left="0"/>
        <w:jc w:val="both"/>
      </w:pPr>
      <w:r w:rsidRPr="00BC43AE">
        <w:t>In 2007, the IMPI has established a system of cooperation with Latin American and Caribbean countries, known as the Patent Application Management Support System for Central American Countries and the Dominican Republic.</w:t>
      </w:r>
      <w:r w:rsidR="00185543">
        <w:t xml:space="preserve"> </w:t>
      </w:r>
      <w:r w:rsidRPr="00BC43AE">
        <w:t xml:space="preserve"> It uses the system to share with these offices the results of substantive examinations of applications filed with the IMPI and these offices to streamline procedures and avoid duplication of searches and examinations. </w:t>
      </w:r>
    </w:p>
    <w:p w14:paraId="51222109" w14:textId="77777777" w:rsidR="000645A0" w:rsidRPr="00BC43AE" w:rsidRDefault="000645A0" w:rsidP="000645A0">
      <w:pPr>
        <w:pStyle w:val="Answer"/>
        <w:spacing w:after="0"/>
        <w:ind w:left="0"/>
        <w:jc w:val="both"/>
      </w:pPr>
    </w:p>
    <w:p w14:paraId="255A3CD9" w14:textId="77777777" w:rsidR="000645A0" w:rsidRPr="00BC43AE" w:rsidRDefault="000645A0" w:rsidP="000645A0">
      <w:pPr>
        <w:pStyle w:val="Answer"/>
        <w:spacing w:after="0"/>
        <w:ind w:left="0"/>
        <w:jc w:val="both"/>
      </w:pPr>
      <w:r w:rsidRPr="00BC43AE">
        <w:t>As part of this cooperation, the IMPI also supports prior art searches and issues opinions on the patentability of national applications filed with the industrial property offices of Latin American and Caribbean countries, even when they do not have applications corresponding with those filed with the IMPI.</w:t>
      </w:r>
    </w:p>
    <w:p w14:paraId="11DD1DDD" w14:textId="77777777" w:rsidR="000645A0" w:rsidRPr="00BC43AE" w:rsidRDefault="000645A0" w:rsidP="000645A0">
      <w:pPr>
        <w:pStyle w:val="Answer"/>
        <w:spacing w:after="0"/>
        <w:ind w:left="0"/>
        <w:jc w:val="both"/>
      </w:pPr>
    </w:p>
    <w:p w14:paraId="6ACF5045" w14:textId="1ECE0A0B" w:rsidR="000645A0" w:rsidRPr="00BC43AE" w:rsidRDefault="000645A0" w:rsidP="000645A0">
      <w:pPr>
        <w:pStyle w:val="Answer"/>
        <w:spacing w:after="0"/>
        <w:ind w:left="0"/>
        <w:jc w:val="both"/>
      </w:pPr>
      <w:r w:rsidRPr="00BC43AE">
        <w:t>The results of examinations, searches and patentability opinions are shared with participating countries through the electronic portal developed by IMPI for this purpose:</w:t>
      </w:r>
      <w:hyperlink r:id="rId13" w:history="1">
        <w:r w:rsidRPr="00BC43AE">
          <w:rPr>
            <w:rStyle w:val="Hyperlink"/>
          </w:rPr>
          <w:t xml:space="preserve"> https://cadopat.impi.gob.mx/</w:t>
        </w:r>
      </w:hyperlink>
    </w:p>
    <w:p w14:paraId="2E474E9E" w14:textId="77777777" w:rsidR="000645A0" w:rsidRPr="000645A0" w:rsidRDefault="000645A0" w:rsidP="000645A0">
      <w:pPr>
        <w:pStyle w:val="SectionHeading"/>
        <w:spacing w:after="0"/>
        <w:rPr>
          <w:lang w:val="en-US"/>
        </w:rPr>
      </w:pPr>
      <w:r w:rsidRPr="000645A0">
        <w:rPr>
          <w:lang w:val="en-US"/>
        </w:rPr>
        <w:t>2.2 –Minimum Documentation – Making Available for Consultation</w:t>
      </w:r>
    </w:p>
    <w:p w14:paraId="009FDE71" w14:textId="77777777" w:rsidR="000645A0" w:rsidRPr="00BC43AE" w:rsidRDefault="000645A0" w:rsidP="000645A0">
      <w:pPr>
        <w:pStyle w:val="RuleQuote"/>
      </w:pPr>
      <w:r w:rsidRPr="00BC43AE">
        <w:t>Rules 36.1(ii) and 63.1(ii)</w:t>
      </w:r>
      <w:proofErr w:type="gramStart"/>
      <w:r w:rsidRPr="00BC43AE">
        <w:t>:  That</w:t>
      </w:r>
      <w:proofErr w:type="gramEnd"/>
      <w:r w:rsidRPr="00BC43AE">
        <w:t xml:space="preserve">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10253CC4" w14:textId="5365861F" w:rsidR="000645A0" w:rsidRPr="00BC43AE" w:rsidRDefault="000645A0" w:rsidP="000645A0">
      <w:pPr>
        <w:pStyle w:val="RuleQuote"/>
        <w:rPr>
          <w:szCs w:val="24"/>
        </w:rPr>
      </w:pPr>
      <w:r w:rsidRPr="00BC43AE">
        <w:t xml:space="preserve">The requirements specified in the Administrative Instructions are set out in </w:t>
      </w:r>
      <w:hyperlink r:id="rId14" w:history="1">
        <w:r w:rsidRPr="00BC43AE">
          <w:rPr>
            <w:rStyle w:val="Hyperlink"/>
          </w:rPr>
          <w:t>Circular C. PCT 1672</w:t>
        </w:r>
      </w:hyperlink>
      <w:r w:rsidRPr="00BC43AE">
        <w:t>, dated June 19, 2024.</w:t>
      </w:r>
    </w:p>
    <w:p w14:paraId="2830448A" w14:textId="4688D3C1" w:rsidR="000645A0" w:rsidRDefault="000645A0" w:rsidP="00F540AD">
      <w:pPr>
        <w:pStyle w:val="Question"/>
        <w:spacing w:after="0"/>
        <w:jc w:val="both"/>
        <w:rPr>
          <w:b w:val="0"/>
        </w:rPr>
      </w:pPr>
      <w:r w:rsidRPr="00BC43AE">
        <w:rPr>
          <w:b w:val="0"/>
        </w:rPr>
        <w:t>The making available for consultation, as part of the minimum documentation referred to in Rule 34, of patents granted and patent applications published by the Office or, where applicable, by the Offices forming part of the intergovernmental organization, in accordance with the agreement adopted by the PCT Assembly in paragraph 8 of document PCT/A/55/2, is reported as follows:</w:t>
      </w:r>
      <w:bookmarkStart w:id="7" w:name="_Hlk203740750"/>
    </w:p>
    <w:p w14:paraId="7F7756CF" w14:textId="77777777" w:rsidR="00F540AD" w:rsidRPr="00F540AD" w:rsidRDefault="00F540AD" w:rsidP="00185543">
      <w:pPr>
        <w:pStyle w:val="Answer"/>
        <w:ind w:left="0"/>
      </w:pPr>
    </w:p>
    <w:p w14:paraId="5EC22A96" w14:textId="77777777" w:rsidR="000645A0" w:rsidRPr="00BC43AE" w:rsidRDefault="00B12E7D" w:rsidP="000645A0">
      <w:pPr>
        <w:pStyle w:val="Question"/>
        <w:keepNext w:val="0"/>
        <w:spacing w:after="0"/>
        <w:jc w:val="both"/>
      </w:pPr>
      <w:sdt>
        <w:sdtPr>
          <w:rPr>
            <w:b w:val="0"/>
            <w:bCs w:val="0"/>
          </w:rPr>
          <w:id w:val="-1361976290"/>
          <w14:checkbox>
            <w14:checked w14:val="0"/>
            <w14:checkedState w14:val="2612" w14:font="MS Gothic"/>
            <w14:uncheckedState w14:val="2610" w14:font="MS Gothic"/>
          </w14:checkbox>
        </w:sdtPr>
        <w:sdtEndPr/>
        <w:sdtContent>
          <w:r w:rsidR="000645A0" w:rsidRPr="00BC43AE">
            <w:rPr>
              <w:rFonts w:ascii="MS Gothic" w:eastAsia="MS Gothic" w:hAnsi="MS Gothic"/>
              <w:b w:val="0"/>
              <w:bCs w:val="0"/>
            </w:rPr>
            <w:t xml:space="preserve">☐ </w:t>
          </w:r>
        </w:sdtContent>
      </w:sdt>
      <w:r w:rsidR="000645A0" w:rsidRPr="00BC43AE">
        <w:rPr>
          <w:b w:val="0"/>
        </w:rPr>
        <w:t>The Office has notified the International Bureau, in accordance with Rule 31.4(d)(</w:t>
      </w:r>
      <w:proofErr w:type="spellStart"/>
      <w:r w:rsidR="000645A0" w:rsidRPr="00BC43AE">
        <w:rPr>
          <w:b w:val="0"/>
        </w:rPr>
        <w:t>i</w:t>
      </w:r>
      <w:proofErr w:type="spellEnd"/>
      <w:r w:rsidR="000645A0" w:rsidRPr="00BC43AE">
        <w:rPr>
          <w:b w:val="0"/>
        </w:rPr>
        <w:t xml:space="preserve">), that its patent documents and, where applicable, its utility model documents are available to the International Searching Authorities with effect from [DATE]. The most recent reference file, detailing the scope of the available patent documents and, where applicable, utility model documents, was submitted to the International Bureau on [DATE] and can be consulted at the following link: [LINK]. </w:t>
      </w:r>
    </w:p>
    <w:p w14:paraId="59E8AF22" w14:textId="77777777" w:rsidR="000645A0" w:rsidRPr="00BC43AE" w:rsidRDefault="000645A0" w:rsidP="000645A0">
      <w:pPr>
        <w:pStyle w:val="Answer"/>
        <w:spacing w:after="0"/>
        <w:ind w:left="0"/>
        <w:jc w:val="both"/>
      </w:pPr>
    </w:p>
    <w:p w14:paraId="4E9381BE" w14:textId="77777777" w:rsidR="000645A0" w:rsidRPr="00BC43AE" w:rsidRDefault="000645A0" w:rsidP="000645A0">
      <w:pPr>
        <w:pStyle w:val="Answer"/>
        <w:spacing w:after="0"/>
        <w:ind w:left="0"/>
        <w:jc w:val="both"/>
      </w:pPr>
      <w:r w:rsidRPr="00BC43AE">
        <w:t>Or:</w:t>
      </w:r>
    </w:p>
    <w:p w14:paraId="0BE5406D" w14:textId="77777777" w:rsidR="000645A0" w:rsidRPr="00BC43AE" w:rsidRDefault="000645A0" w:rsidP="000645A0">
      <w:pPr>
        <w:pStyle w:val="Answer"/>
        <w:spacing w:after="0"/>
        <w:ind w:left="0"/>
        <w:jc w:val="both"/>
      </w:pPr>
    </w:p>
    <w:p w14:paraId="74E54660" w14:textId="06400874" w:rsidR="000645A0" w:rsidRPr="00BC43AE" w:rsidRDefault="00B12E7D" w:rsidP="000645A0">
      <w:pPr>
        <w:pStyle w:val="Answer"/>
        <w:spacing w:after="0"/>
        <w:ind w:left="0"/>
        <w:jc w:val="both"/>
      </w:pPr>
      <w:sdt>
        <w:sdtPr>
          <w:id w:val="-114837606"/>
          <w14:checkbox>
            <w14:checked w14:val="1"/>
            <w14:checkedState w14:val="2612" w14:font="MS Gothic"/>
            <w14:uncheckedState w14:val="2610" w14:font="MS Gothic"/>
          </w14:checkbox>
        </w:sdtPr>
        <w:sdtEndPr/>
        <w:sdtContent>
          <w:r w:rsidR="000645A0" w:rsidRPr="00BC43AE">
            <w:rPr>
              <w:rFonts w:ascii="MS Gothic" w:eastAsia="MS Gothic" w:hAnsi="MS Gothic"/>
            </w:rPr>
            <w:t xml:space="preserve">☒ </w:t>
          </w:r>
        </w:sdtContent>
      </w:sdt>
      <w:r w:rsidR="000645A0" w:rsidRPr="00BC43AE">
        <w:t xml:space="preserve">The Office reports on the availability of its collection of </w:t>
      </w:r>
      <w:proofErr w:type="gramStart"/>
      <w:r w:rsidR="000645A0" w:rsidRPr="00BC43AE">
        <w:t>patent</w:t>
      </w:r>
      <w:proofErr w:type="gramEnd"/>
      <w:r w:rsidR="000645A0" w:rsidRPr="00BC43AE">
        <w:t xml:space="preserve"> and, where applicable, utility model documentation, as indicated below, including a timetable for testing and when availability can be certified and notified to the International Bureau, pursuant to Rule 34.1(d)(</w:t>
      </w:r>
      <w:proofErr w:type="spellStart"/>
      <w:r w:rsidR="000645A0" w:rsidRPr="00BC43AE">
        <w:t>i</w:t>
      </w:r>
      <w:proofErr w:type="spellEnd"/>
      <w:r w:rsidR="000645A0" w:rsidRPr="00BC43AE">
        <w:t xml:space="preserve">). Please also </w:t>
      </w:r>
      <w:r w:rsidR="000645A0" w:rsidRPr="00BC43AE">
        <w:lastRenderedPageBreak/>
        <w:t>provide details on the coverage of your reference file, as required in paragraphs 7 to 13 of Annex</w:t>
      </w:r>
      <w:r w:rsidR="00185543">
        <w:t> </w:t>
      </w:r>
      <w:r w:rsidR="000645A0" w:rsidRPr="00BC43AE">
        <w:t xml:space="preserve">H to the Administrative Instructions, including the relevant links. </w:t>
      </w:r>
    </w:p>
    <w:p w14:paraId="1AC9B43C" w14:textId="77777777" w:rsidR="000645A0" w:rsidRPr="00BC43AE" w:rsidRDefault="000645A0" w:rsidP="000645A0">
      <w:pPr>
        <w:pStyle w:val="Answer"/>
        <w:spacing w:after="0"/>
        <w:ind w:left="0"/>
      </w:pPr>
    </w:p>
    <w:tbl>
      <w:tblPr>
        <w:tblStyle w:val="TableGrid"/>
        <w:tblW w:w="0" w:type="auto"/>
        <w:tblLook w:val="04A0" w:firstRow="1" w:lastRow="0" w:firstColumn="1" w:lastColumn="0" w:noHBand="0" w:noVBand="1"/>
        <w:tblCaption w:val="Patent and Utility Model Documents made available by IMPI"/>
        <w:tblDescription w:val="This table shows the types of patent and utility model documents made available by IMPI, giving the dates of publicatoin, format of documents and availability of the documents."/>
      </w:tblPr>
      <w:tblGrid>
        <w:gridCol w:w="2231"/>
        <w:gridCol w:w="1318"/>
        <w:gridCol w:w="1318"/>
        <w:gridCol w:w="2295"/>
        <w:gridCol w:w="1901"/>
      </w:tblGrid>
      <w:tr w:rsidR="000645A0" w:rsidRPr="00BC43AE" w14:paraId="3ACC4447" w14:textId="77777777" w:rsidTr="00EA0A7F">
        <w:tc>
          <w:tcPr>
            <w:tcW w:w="2231" w:type="dxa"/>
            <w:vMerge w:val="restart"/>
          </w:tcPr>
          <w:bookmarkEnd w:id="7"/>
          <w:p w14:paraId="47140FE1" w14:textId="77777777" w:rsidR="000645A0" w:rsidRPr="00BC43AE" w:rsidRDefault="000645A0" w:rsidP="00EA0A7F">
            <w:pPr>
              <w:keepNext/>
              <w:rPr>
                <w:b/>
                <w:bCs/>
              </w:rPr>
            </w:pPr>
            <w:r w:rsidRPr="00BC43AE">
              <w:rPr>
                <w:b/>
              </w:rPr>
              <w:t xml:space="preserve">Type of document </w:t>
            </w:r>
          </w:p>
        </w:tc>
        <w:tc>
          <w:tcPr>
            <w:tcW w:w="2636" w:type="dxa"/>
            <w:gridSpan w:val="2"/>
          </w:tcPr>
          <w:p w14:paraId="67B1F969" w14:textId="77777777" w:rsidR="000645A0" w:rsidRPr="00BC43AE" w:rsidRDefault="000645A0" w:rsidP="00EA0A7F">
            <w:pPr>
              <w:keepNext/>
              <w:rPr>
                <w:b/>
                <w:bCs/>
              </w:rPr>
            </w:pPr>
            <w:r w:rsidRPr="00BC43AE">
              <w:rPr>
                <w:b/>
              </w:rPr>
              <w:t>Publication dates</w:t>
            </w:r>
          </w:p>
        </w:tc>
        <w:tc>
          <w:tcPr>
            <w:tcW w:w="2295" w:type="dxa"/>
            <w:vMerge w:val="restart"/>
          </w:tcPr>
          <w:p w14:paraId="31BA26B5" w14:textId="77777777" w:rsidR="000645A0" w:rsidRPr="00BC43AE" w:rsidRDefault="000645A0" w:rsidP="00EA0A7F">
            <w:pPr>
              <w:keepNext/>
              <w:rPr>
                <w:b/>
                <w:bCs/>
              </w:rPr>
            </w:pPr>
            <w:r w:rsidRPr="00BC43AE">
              <w:rPr>
                <w:b/>
              </w:rPr>
              <w:t>Format of documents</w:t>
            </w:r>
          </w:p>
        </w:tc>
        <w:tc>
          <w:tcPr>
            <w:tcW w:w="1901" w:type="dxa"/>
            <w:vMerge w:val="restart"/>
          </w:tcPr>
          <w:p w14:paraId="4D6BC75E" w14:textId="77777777" w:rsidR="000645A0" w:rsidRPr="00BC43AE" w:rsidRDefault="000645A0" w:rsidP="00EA0A7F">
            <w:pPr>
              <w:keepNext/>
              <w:rPr>
                <w:b/>
                <w:bCs/>
              </w:rPr>
            </w:pPr>
            <w:r w:rsidRPr="00BC43AE">
              <w:rPr>
                <w:b/>
              </w:rPr>
              <w:t>Availability and source of documents</w:t>
            </w:r>
          </w:p>
        </w:tc>
      </w:tr>
      <w:tr w:rsidR="000645A0" w:rsidRPr="00BC43AE" w14:paraId="39306E1B" w14:textId="77777777" w:rsidTr="00EA0A7F">
        <w:tc>
          <w:tcPr>
            <w:tcW w:w="2231" w:type="dxa"/>
            <w:vMerge/>
          </w:tcPr>
          <w:p w14:paraId="49643D8C" w14:textId="77777777" w:rsidR="000645A0" w:rsidRPr="00BC43AE" w:rsidRDefault="000645A0" w:rsidP="00EA0A7F">
            <w:pPr>
              <w:keepNext/>
            </w:pPr>
          </w:p>
        </w:tc>
        <w:tc>
          <w:tcPr>
            <w:tcW w:w="1318" w:type="dxa"/>
          </w:tcPr>
          <w:p w14:paraId="2599F0F6" w14:textId="77777777" w:rsidR="000645A0" w:rsidRPr="00BC43AE" w:rsidRDefault="000645A0" w:rsidP="00EA0A7F">
            <w:pPr>
              <w:keepNext/>
            </w:pPr>
            <w:r w:rsidRPr="00BC43AE">
              <w:t>From</w:t>
            </w:r>
          </w:p>
        </w:tc>
        <w:tc>
          <w:tcPr>
            <w:tcW w:w="1318" w:type="dxa"/>
          </w:tcPr>
          <w:p w14:paraId="1DBDE3B0" w14:textId="77777777" w:rsidR="000645A0" w:rsidRPr="00BC43AE" w:rsidRDefault="000645A0" w:rsidP="00EA0A7F">
            <w:pPr>
              <w:keepNext/>
            </w:pPr>
            <w:r w:rsidRPr="00BC43AE">
              <w:t>To</w:t>
            </w:r>
          </w:p>
        </w:tc>
        <w:tc>
          <w:tcPr>
            <w:tcW w:w="2295" w:type="dxa"/>
            <w:vMerge/>
          </w:tcPr>
          <w:p w14:paraId="18D49402" w14:textId="77777777" w:rsidR="000645A0" w:rsidRPr="00BC43AE" w:rsidRDefault="000645A0" w:rsidP="00EA0A7F">
            <w:pPr>
              <w:keepNext/>
            </w:pPr>
          </w:p>
        </w:tc>
        <w:tc>
          <w:tcPr>
            <w:tcW w:w="1901" w:type="dxa"/>
            <w:vMerge/>
          </w:tcPr>
          <w:p w14:paraId="2E3EC5A1" w14:textId="77777777" w:rsidR="000645A0" w:rsidRPr="00BC43AE" w:rsidRDefault="000645A0" w:rsidP="00EA0A7F">
            <w:pPr>
              <w:keepNext/>
            </w:pPr>
          </w:p>
        </w:tc>
      </w:tr>
      <w:tr w:rsidR="000645A0" w:rsidRPr="00BC43AE" w14:paraId="03CC2737" w14:textId="77777777" w:rsidTr="00EA0A7F">
        <w:sdt>
          <w:sdtPr>
            <w:id w:val="93906492"/>
            <w15:repeatingSection/>
          </w:sdtPr>
          <w:sdtEndPr/>
          <w:sdtContent>
            <w:sdt>
              <w:sdtPr>
                <w:id w:val="159594162"/>
                <w:placeholder>
                  <w:docPart w:val="DEBAF86EF367422E8F078AA3DCACC484"/>
                </w:placeholder>
                <w15:repeatingSectionItem/>
              </w:sdtPr>
              <w:sdtEndPr/>
              <w:sdtContent>
                <w:sdt>
                  <w:sdtPr>
                    <w:id w:val="-294450074"/>
                    <w:placeholder>
                      <w:docPart w:val="055E2ECE9D574A32AEACFF7922A9ACDA"/>
                    </w:placeholder>
                  </w:sdtPr>
                  <w:sdtEndPr/>
                  <w:sdtContent>
                    <w:sdt>
                      <w:sdtPr>
                        <w:alias w:val="Elija el tipo de documento"/>
                        <w:tag w:val="Choose type of document"/>
                        <w:id w:val="267597427"/>
                        <w:placeholder>
                          <w:docPart w:val="F06CC6F3BF9C49ADAA8CDEE70AE9C761"/>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11FCD9A1" w14:textId="77777777" w:rsidR="000645A0" w:rsidRPr="00BC43AE" w:rsidRDefault="000645A0" w:rsidP="00EA0A7F">
                            <w:pPr>
                              <w:keepNext/>
                            </w:pPr>
                            <w:r w:rsidRPr="00BC43AE">
                              <w:t>Published national or regional patent application</w:t>
                            </w:r>
                          </w:p>
                        </w:tc>
                      </w:sdtContent>
                    </w:sdt>
                  </w:sdtContent>
                </w:sdt>
              </w:sdtContent>
            </w:sdt>
          </w:sdtContent>
        </w:sdt>
        <w:sdt>
          <w:sdtPr>
            <w:id w:val="978192166"/>
            <w:placeholder>
              <w:docPart w:val="7CD4D136AF134EABAB712AC106E7AB90"/>
            </w:placeholder>
            <w:date w:fullDate="2001-01-01T00:00:00Z">
              <w:dateFormat w:val="dd/MM/yyyy"/>
              <w:lid w:val="es-ES"/>
              <w:storeMappedDataAs w:val="dateTime"/>
              <w:calendar w:val="gregorian"/>
            </w:date>
          </w:sdtPr>
          <w:sdtEndPr/>
          <w:sdtContent>
            <w:tc>
              <w:tcPr>
                <w:tcW w:w="1318" w:type="dxa"/>
              </w:tcPr>
              <w:p w14:paraId="2C35A478" w14:textId="77777777" w:rsidR="000645A0" w:rsidRPr="00BC43AE" w:rsidRDefault="000645A0" w:rsidP="00EA0A7F">
                <w:pPr>
                  <w:keepNext/>
                </w:pPr>
                <w:r w:rsidRPr="00BC43AE">
                  <w:t>01/01/2001</w:t>
                </w:r>
              </w:p>
            </w:tc>
          </w:sdtContent>
        </w:sdt>
        <w:sdt>
          <w:sdtPr>
            <w:id w:val="268434937"/>
            <w:placeholder>
              <w:docPart w:val="7CD4D136AF134EABAB712AC106E7AB90"/>
            </w:placeholder>
            <w:date w:fullDate="2025-01-09T00:00:00Z">
              <w:dateFormat w:val="dd/MM/yyyy"/>
              <w:lid w:val="es-ES"/>
              <w:storeMappedDataAs w:val="dateTime"/>
              <w:calendar w:val="gregorian"/>
            </w:date>
          </w:sdtPr>
          <w:sdtEndPr/>
          <w:sdtContent>
            <w:tc>
              <w:tcPr>
                <w:tcW w:w="1318" w:type="dxa"/>
              </w:tcPr>
              <w:p w14:paraId="20F3652A" w14:textId="77777777" w:rsidR="000645A0" w:rsidRPr="00BC43AE" w:rsidRDefault="000645A0" w:rsidP="00EA0A7F">
                <w:pPr>
                  <w:keepNext/>
                </w:pPr>
                <w:r w:rsidRPr="00BC43AE">
                  <w:t>09/01/2025</w:t>
                </w:r>
              </w:p>
            </w:tc>
          </w:sdtContent>
        </w:sdt>
        <w:sdt>
          <w:sdtPr>
            <w:alias w:val="Formato del documento"/>
            <w:tag w:val="Format of document"/>
            <w:id w:val="905654371"/>
            <w:placeholder>
              <w:docPart w:val="F06CC6F3BF9C49ADAA8CDEE70AE9C761"/>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347CC05E" w14:textId="77777777" w:rsidR="000645A0" w:rsidRPr="00BC43AE" w:rsidRDefault="000645A0" w:rsidP="00EA0A7F">
                <w:pPr>
                  <w:keepNext/>
                </w:pPr>
                <w:r w:rsidRPr="00BC43AE">
                  <w:t>PDF (text)</w:t>
                </w:r>
              </w:p>
            </w:tc>
          </w:sdtContent>
        </w:sdt>
        <w:sdt>
          <w:sdtPr>
            <w:alias w:val="Fuente del documento"/>
            <w:tag w:val="Source of Document"/>
            <w:id w:val="1994527957"/>
            <w:placeholder>
              <w:docPart w:val="F06CC6F3BF9C49ADAA8CDEE70AE9C761"/>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30ECB442" w14:textId="77777777" w:rsidR="000645A0" w:rsidRPr="00BC43AE" w:rsidRDefault="000645A0" w:rsidP="00EA0A7F">
                <w:pPr>
                  <w:keepNext/>
                </w:pPr>
                <w:r w:rsidRPr="00BC43AE">
                  <w:t>Online repository hosted by this Office</w:t>
                </w:r>
              </w:p>
            </w:tc>
          </w:sdtContent>
        </w:sdt>
      </w:tr>
      <w:tr w:rsidR="0091662D" w:rsidRPr="00BC43AE" w14:paraId="472C1A50" w14:textId="77777777" w:rsidTr="00EA0A7F">
        <w:tc>
          <w:tcPr>
            <w:tcW w:w="2231" w:type="dxa"/>
          </w:tcPr>
          <w:sdt>
            <w:sdtPr>
              <w:id w:val="-180273803"/>
              <w:placeholder>
                <w:docPart w:val="023E041406694D3380754697602E526C"/>
              </w:placeholder>
            </w:sdtPr>
            <w:sdtContent>
              <w:sdt>
                <w:sdtPr>
                  <w:alias w:val="Elija el tipo de documento"/>
                  <w:tag w:val="Choose type of document"/>
                  <w:id w:val="-193152905"/>
                  <w:placeholder>
                    <w:docPart w:val="8A5AFE64B7BD494BAE0FE8388F4E8B6C"/>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Content>
                  <w:p w14:paraId="0AFE7EF5" w14:textId="28165C55" w:rsidR="0091662D" w:rsidRDefault="0091662D" w:rsidP="0091662D">
                    <w:r w:rsidRPr="00BC43AE">
                      <w:t>Published national or regional patent</w:t>
                    </w:r>
                  </w:p>
                </w:sdtContent>
              </w:sdt>
            </w:sdtContent>
          </w:sdt>
          <w:p w14:paraId="79565E89" w14:textId="77777777" w:rsidR="0091662D" w:rsidRDefault="0091662D" w:rsidP="00EA0A7F">
            <w:pPr>
              <w:keepNext/>
            </w:pPr>
          </w:p>
        </w:tc>
        <w:sdt>
          <w:sdtPr>
            <w:id w:val="-1090378067"/>
            <w:placeholder>
              <w:docPart w:val="DDDBA12912714D109697770558E11957"/>
            </w:placeholder>
            <w:date w:fullDate="2001-01-01T00:00:00Z">
              <w:dateFormat w:val="dd/MM/yyyy"/>
              <w:lid w:val="es-ES"/>
              <w:storeMappedDataAs w:val="dateTime"/>
              <w:calendar w:val="gregorian"/>
            </w:date>
          </w:sdtPr>
          <w:sdtContent>
            <w:tc>
              <w:tcPr>
                <w:tcW w:w="1318" w:type="dxa"/>
              </w:tcPr>
              <w:p w14:paraId="0175AB21" w14:textId="06D757AA" w:rsidR="0091662D" w:rsidRDefault="0091662D" w:rsidP="00EA0A7F">
                <w:pPr>
                  <w:keepNext/>
                </w:pPr>
                <w:r w:rsidRPr="00BC43AE">
                  <w:t>01/01/2001</w:t>
                </w:r>
              </w:p>
            </w:tc>
          </w:sdtContent>
        </w:sdt>
        <w:sdt>
          <w:sdtPr>
            <w:id w:val="894705709"/>
            <w:placeholder>
              <w:docPart w:val="2652A1445A24407F99605BD84A0467D1"/>
            </w:placeholder>
            <w:date w:fullDate="2025-01-09T00:00:00Z">
              <w:dateFormat w:val="dd/MM/yyyy"/>
              <w:lid w:val="es-ES"/>
              <w:storeMappedDataAs w:val="dateTime"/>
              <w:calendar w:val="gregorian"/>
            </w:date>
          </w:sdtPr>
          <w:sdtContent>
            <w:tc>
              <w:tcPr>
                <w:tcW w:w="1318" w:type="dxa"/>
              </w:tcPr>
              <w:p w14:paraId="1A32C01F" w14:textId="5904B86F" w:rsidR="0091662D" w:rsidRDefault="0091662D" w:rsidP="00EA0A7F">
                <w:pPr>
                  <w:keepNext/>
                </w:pPr>
                <w:r w:rsidRPr="00BC43AE">
                  <w:t>09/01/2025</w:t>
                </w:r>
              </w:p>
            </w:tc>
          </w:sdtContent>
        </w:sdt>
        <w:sdt>
          <w:sdtPr>
            <w:alias w:val="Formato del documento"/>
            <w:tag w:val="Format of document"/>
            <w:id w:val="-1927184335"/>
            <w:placeholder>
              <w:docPart w:val="42C89929247F4876BC8690471D44F92D"/>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2295" w:type="dxa"/>
              </w:tcPr>
              <w:p w14:paraId="28012268" w14:textId="1CEECFC4" w:rsidR="0091662D" w:rsidRDefault="0091662D" w:rsidP="00EA0A7F">
                <w:pPr>
                  <w:keepNext/>
                </w:pPr>
                <w:r w:rsidRPr="00BC43AE">
                  <w:t>PDF (text)</w:t>
                </w:r>
              </w:p>
            </w:tc>
          </w:sdtContent>
        </w:sdt>
        <w:sdt>
          <w:sdtPr>
            <w:alias w:val="Fuente del documento"/>
            <w:tag w:val="Source of Document"/>
            <w:id w:val="-1559690526"/>
            <w:placeholder>
              <w:docPart w:val="E5CAB6395B154512B634BDF03377EE36"/>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Content>
            <w:tc>
              <w:tcPr>
                <w:tcW w:w="1901" w:type="dxa"/>
              </w:tcPr>
              <w:p w14:paraId="4E91B726" w14:textId="7333BF2C" w:rsidR="0091662D" w:rsidRDefault="0091662D" w:rsidP="00EA0A7F">
                <w:pPr>
                  <w:keepNext/>
                </w:pPr>
                <w:r w:rsidRPr="00BC43AE">
                  <w:t>Online repository hosted by this Office</w:t>
                </w:r>
              </w:p>
            </w:tc>
          </w:sdtContent>
        </w:sdt>
      </w:tr>
      <w:tr w:rsidR="000645A0" w:rsidRPr="00BC43AE" w14:paraId="15C3B941" w14:textId="77777777" w:rsidTr="00EA0A7F">
        <w:sdt>
          <w:sdtPr>
            <w:id w:val="1635438934"/>
            <w15:repeatingSection/>
          </w:sdtPr>
          <w:sdtEndPr/>
          <w:sdtContent>
            <w:sdt>
              <w:sdtPr>
                <w:id w:val="790165310"/>
                <w:placeholder>
                  <w:docPart w:val="94DF1A7251424CAEB309D976BB03DF44"/>
                </w:placeholder>
                <w15:repeatingSectionItem/>
              </w:sdtPr>
              <w:sdtEndPr/>
              <w:sdtContent>
                <w:sdt>
                  <w:sdtPr>
                    <w:id w:val="-2053379774"/>
                    <w:placeholder>
                      <w:docPart w:val="7A2CB59FF5C847C09E131C40C6CA83C5"/>
                    </w:placeholder>
                  </w:sdtPr>
                  <w:sdtEndPr/>
                  <w:sdtContent>
                    <w:sdt>
                      <w:sdtPr>
                        <w:alias w:val="Elija el tipo de documento"/>
                        <w:tag w:val="Choose type of document"/>
                        <w:id w:val="-86851572"/>
                        <w:placeholder>
                          <w:docPart w:val="9BB772093A4B4A20A06AC5D2DDC3C660"/>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6A50BC67" w14:textId="77777777" w:rsidR="000645A0" w:rsidRPr="00BC43AE" w:rsidRDefault="000645A0" w:rsidP="00EA0A7F">
                            <w:r w:rsidRPr="00BC43AE">
                              <w:t>Utility model application</w:t>
                            </w:r>
                          </w:p>
                        </w:tc>
                      </w:sdtContent>
                    </w:sdt>
                  </w:sdtContent>
                </w:sdt>
              </w:sdtContent>
            </w:sdt>
          </w:sdtContent>
        </w:sdt>
        <w:sdt>
          <w:sdtPr>
            <w:id w:val="-234096986"/>
            <w:placeholder>
              <w:docPart w:val="28D5C8ADE47347B78815BE4D692B3699"/>
            </w:placeholder>
            <w:date w:fullDate="2001-01-01T00:00:00Z">
              <w:dateFormat w:val="dd/MM/yyyy"/>
              <w:lid w:val="es-ES"/>
              <w:storeMappedDataAs w:val="dateTime"/>
              <w:calendar w:val="gregorian"/>
            </w:date>
          </w:sdtPr>
          <w:sdtEndPr/>
          <w:sdtContent>
            <w:tc>
              <w:tcPr>
                <w:tcW w:w="1318" w:type="dxa"/>
              </w:tcPr>
              <w:p w14:paraId="36589987" w14:textId="77777777" w:rsidR="000645A0" w:rsidRPr="00BC43AE" w:rsidRDefault="000645A0" w:rsidP="00EA0A7F">
                <w:r w:rsidRPr="00BC43AE">
                  <w:t>01/01/2001</w:t>
                </w:r>
              </w:p>
            </w:tc>
          </w:sdtContent>
        </w:sdt>
        <w:sdt>
          <w:sdtPr>
            <w:id w:val="-1252889240"/>
            <w:placeholder>
              <w:docPart w:val="28D5C8ADE47347B78815BE4D692B3699"/>
            </w:placeholder>
            <w:date w:fullDate="2025-01-09T00:00:00Z">
              <w:dateFormat w:val="dd/MM/yyyy"/>
              <w:lid w:val="es-ES"/>
              <w:storeMappedDataAs w:val="dateTime"/>
              <w:calendar w:val="gregorian"/>
            </w:date>
          </w:sdtPr>
          <w:sdtEndPr/>
          <w:sdtContent>
            <w:tc>
              <w:tcPr>
                <w:tcW w:w="1318" w:type="dxa"/>
              </w:tcPr>
              <w:p w14:paraId="0006AF48" w14:textId="77777777" w:rsidR="000645A0" w:rsidRPr="00BC43AE" w:rsidRDefault="000645A0" w:rsidP="00EA0A7F">
                <w:r w:rsidRPr="00BC43AE">
                  <w:t>09/01/2025</w:t>
                </w:r>
              </w:p>
            </w:tc>
          </w:sdtContent>
        </w:sdt>
        <w:sdt>
          <w:sdtPr>
            <w:alias w:val="Formato del documento"/>
            <w:tag w:val="Format of document"/>
            <w:id w:val="2100131819"/>
            <w:placeholder>
              <w:docPart w:val="9BB772093A4B4A20A06AC5D2DDC3C660"/>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1B7F0B77" w14:textId="77777777" w:rsidR="000645A0" w:rsidRPr="00BC43AE" w:rsidRDefault="000645A0" w:rsidP="00EA0A7F">
                <w:r w:rsidRPr="00BC43AE">
                  <w:t>PDF (text)</w:t>
                </w:r>
              </w:p>
            </w:tc>
          </w:sdtContent>
        </w:sdt>
        <w:sdt>
          <w:sdtPr>
            <w:alias w:val="Fuente del documento"/>
            <w:tag w:val="Source of Document"/>
            <w:id w:val="-618998560"/>
            <w:placeholder>
              <w:docPart w:val="9BB772093A4B4A20A06AC5D2DDC3C660"/>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73E79172" w14:textId="77777777" w:rsidR="000645A0" w:rsidRPr="00BC43AE" w:rsidRDefault="000645A0" w:rsidP="00EA0A7F">
                <w:r w:rsidRPr="00BC43AE">
                  <w:t>Online repository hosted by this Office</w:t>
                </w:r>
              </w:p>
            </w:tc>
          </w:sdtContent>
        </w:sdt>
      </w:tr>
      <w:tr w:rsidR="000645A0" w:rsidRPr="00BC43AE" w14:paraId="55D21C2E" w14:textId="77777777" w:rsidTr="00EA0A7F">
        <w:sdt>
          <w:sdtPr>
            <w:id w:val="-633172890"/>
            <w15:repeatingSection/>
          </w:sdtPr>
          <w:sdtEndPr/>
          <w:sdtContent>
            <w:sdt>
              <w:sdtPr>
                <w:id w:val="-2136857278"/>
                <w:placeholder>
                  <w:docPart w:val="12E169AAC2754DADB8C6AC153668C98D"/>
                </w:placeholder>
                <w15:repeatingSectionItem/>
              </w:sdtPr>
              <w:sdtEndPr/>
              <w:sdtContent>
                <w:sdt>
                  <w:sdtPr>
                    <w:id w:val="-1824345477"/>
                    <w:placeholder>
                      <w:docPart w:val="EB3E2AD441874D469724705071E28CB9"/>
                    </w:placeholder>
                  </w:sdtPr>
                  <w:sdtEndPr/>
                  <w:sdtContent>
                    <w:sdt>
                      <w:sdtPr>
                        <w:alias w:val="Elija el tipo de documento"/>
                        <w:tag w:val="Choose type of document"/>
                        <w:id w:val="2138367572"/>
                        <w:placeholder>
                          <w:docPart w:val="DA6B550ECC6D48E8A63CCE4D7E321309"/>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10A6A964" w14:textId="77777777" w:rsidR="000645A0" w:rsidRPr="00BC43AE" w:rsidRDefault="000645A0" w:rsidP="00EA0A7F">
                            <w:r w:rsidRPr="00BC43AE">
                              <w:t>Utility model issued</w:t>
                            </w:r>
                          </w:p>
                        </w:tc>
                      </w:sdtContent>
                    </w:sdt>
                  </w:sdtContent>
                </w:sdt>
              </w:sdtContent>
            </w:sdt>
          </w:sdtContent>
        </w:sdt>
        <w:sdt>
          <w:sdtPr>
            <w:id w:val="-2059311996"/>
            <w:placeholder>
              <w:docPart w:val="409F753EA97E4531A2D251CB3D52F95C"/>
            </w:placeholder>
            <w:date w:fullDate="2001-01-01T00:00:00Z">
              <w:dateFormat w:val="dd/MM/yyyy"/>
              <w:lid w:val="es-ES"/>
              <w:storeMappedDataAs w:val="dateTime"/>
              <w:calendar w:val="gregorian"/>
            </w:date>
          </w:sdtPr>
          <w:sdtEndPr/>
          <w:sdtContent>
            <w:tc>
              <w:tcPr>
                <w:tcW w:w="1318" w:type="dxa"/>
              </w:tcPr>
              <w:p w14:paraId="64BD0C56" w14:textId="77777777" w:rsidR="000645A0" w:rsidRPr="00BC43AE" w:rsidRDefault="000645A0" w:rsidP="00EA0A7F">
                <w:r w:rsidRPr="00BC43AE">
                  <w:t>01/01/2001</w:t>
                </w:r>
              </w:p>
            </w:tc>
          </w:sdtContent>
        </w:sdt>
        <w:sdt>
          <w:sdtPr>
            <w:id w:val="2056657055"/>
            <w:placeholder>
              <w:docPart w:val="409F753EA97E4531A2D251CB3D52F95C"/>
            </w:placeholder>
            <w:date w:fullDate="2025-01-09T00:00:00Z">
              <w:dateFormat w:val="dd/MM/yyyy"/>
              <w:lid w:val="es-ES"/>
              <w:storeMappedDataAs w:val="dateTime"/>
              <w:calendar w:val="gregorian"/>
            </w:date>
          </w:sdtPr>
          <w:sdtEndPr/>
          <w:sdtContent>
            <w:tc>
              <w:tcPr>
                <w:tcW w:w="1318" w:type="dxa"/>
              </w:tcPr>
              <w:p w14:paraId="438F231F" w14:textId="77777777" w:rsidR="000645A0" w:rsidRPr="00BC43AE" w:rsidRDefault="000645A0" w:rsidP="00EA0A7F">
                <w:r w:rsidRPr="00BC43AE">
                  <w:t>09/01/2025</w:t>
                </w:r>
              </w:p>
            </w:tc>
          </w:sdtContent>
        </w:sdt>
        <w:sdt>
          <w:sdtPr>
            <w:alias w:val="Formato del documento"/>
            <w:tag w:val="Format of document"/>
            <w:id w:val="-362130261"/>
            <w:placeholder>
              <w:docPart w:val="DA6B550ECC6D48E8A63CCE4D7E321309"/>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65433AF8" w14:textId="77777777" w:rsidR="000645A0" w:rsidRPr="00BC43AE" w:rsidRDefault="000645A0" w:rsidP="00EA0A7F">
                <w:r w:rsidRPr="00BC43AE">
                  <w:t>PDF (text)</w:t>
                </w:r>
              </w:p>
            </w:tc>
          </w:sdtContent>
        </w:sdt>
        <w:sdt>
          <w:sdtPr>
            <w:alias w:val="Fuente del documento"/>
            <w:tag w:val="Source of Document"/>
            <w:id w:val="-1940674367"/>
            <w:placeholder>
              <w:docPart w:val="DA6B550ECC6D48E8A63CCE4D7E321309"/>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5F3A2CB6" w14:textId="77777777" w:rsidR="000645A0" w:rsidRPr="00BC43AE" w:rsidRDefault="000645A0" w:rsidP="00EA0A7F">
                <w:r w:rsidRPr="00BC43AE">
                  <w:t>Online repository hosted by this Office</w:t>
                </w:r>
              </w:p>
            </w:tc>
          </w:sdtContent>
        </w:sdt>
      </w:tr>
    </w:tbl>
    <w:p w14:paraId="788FF749" w14:textId="77777777" w:rsidR="000645A0" w:rsidRPr="00BC43AE" w:rsidRDefault="000645A0" w:rsidP="000645A0">
      <w:pPr>
        <w:jc w:val="both"/>
      </w:pPr>
    </w:p>
    <w:p w14:paraId="3D709707" w14:textId="3EB0C4E6" w:rsidR="00827B35" w:rsidRDefault="00827B35" w:rsidP="000645A0">
      <w:pPr>
        <w:jc w:val="both"/>
      </w:pPr>
      <w:r w:rsidRPr="00BC43AE">
        <w:t>The IMPI does not yet have all the application texts in XML. Only the abstract in Spanish and English are currently available in that format. The description and claims are in PDF</w:t>
      </w:r>
      <w:r>
        <w:t>.</w:t>
      </w:r>
    </w:p>
    <w:p w14:paraId="0E276A97" w14:textId="77777777" w:rsidR="00827B35" w:rsidRDefault="00827B35" w:rsidP="000645A0">
      <w:pPr>
        <w:jc w:val="both"/>
      </w:pPr>
    </w:p>
    <w:p w14:paraId="460E9EE9" w14:textId="7589AAF6" w:rsidR="000645A0" w:rsidRPr="00BC43AE" w:rsidRDefault="000645A0" w:rsidP="000645A0">
      <w:pPr>
        <w:jc w:val="both"/>
      </w:pPr>
      <w:r w:rsidRPr="00BC43AE">
        <w:t xml:space="preserve">The IMPI declares that, upon its designation as the ISA and the IPEA, it will comply with the minimum documentation requirements set forth in Rule 34, in accordance with the requirements established in the applicable Administrative Instructions. </w:t>
      </w:r>
      <w:r w:rsidR="00F540AD">
        <w:t xml:space="preserve"> </w:t>
      </w:r>
      <w:r w:rsidRPr="00BC43AE">
        <w:t>It will also make its patent documents published on or after January 1, 2026, available for bulk download in the appropriate formats (XML or TXT).</w:t>
      </w:r>
    </w:p>
    <w:p w14:paraId="39F31FFF" w14:textId="77777777" w:rsidR="000645A0" w:rsidRPr="00BC43AE" w:rsidRDefault="000645A0" w:rsidP="000645A0">
      <w:pPr>
        <w:jc w:val="both"/>
      </w:pPr>
    </w:p>
    <w:p w14:paraId="3F1F3AD3" w14:textId="77777777" w:rsidR="000645A0" w:rsidRPr="00BC43AE" w:rsidRDefault="000645A0" w:rsidP="000645A0">
      <w:pPr>
        <w:jc w:val="both"/>
      </w:pPr>
      <w:r w:rsidRPr="00BC43AE">
        <w:t>The IMPI also certifies that the minimum documentation will be made available for all patents granted and all patent applications published by it and, where applicable, by its legal predecessor, in accordance with the regulations in force and the obligations incumbent on an ISA/IPEA.</w:t>
      </w:r>
    </w:p>
    <w:p w14:paraId="2C208B8B" w14:textId="77777777" w:rsidR="000645A0" w:rsidRPr="00BC43AE" w:rsidRDefault="000645A0" w:rsidP="000645A0">
      <w:pPr>
        <w:jc w:val="both"/>
      </w:pPr>
    </w:p>
    <w:p w14:paraId="779613A2" w14:textId="77777777" w:rsidR="000645A0" w:rsidRPr="00BC43AE" w:rsidRDefault="000645A0" w:rsidP="000645A0">
      <w:pPr>
        <w:jc w:val="both"/>
      </w:pPr>
      <w:r w:rsidRPr="00BC43AE">
        <w:t>The IMPI will grant access to WIPO and the OEPM for the purposes of testing and verification of the accessibility and status of its ISA/IPEA archive prior to its designation.</w:t>
      </w:r>
    </w:p>
    <w:p w14:paraId="537C1A46" w14:textId="77777777" w:rsidR="000645A0" w:rsidRPr="00BC43AE" w:rsidRDefault="000645A0" w:rsidP="000645A0"/>
    <w:p w14:paraId="5B08C2F9" w14:textId="77777777" w:rsidR="000645A0" w:rsidRPr="000645A0" w:rsidRDefault="000645A0" w:rsidP="000645A0">
      <w:pPr>
        <w:pStyle w:val="SectionHeading"/>
        <w:rPr>
          <w:lang w:val="en-US"/>
        </w:rPr>
      </w:pPr>
      <w:r w:rsidRPr="000645A0">
        <w:rPr>
          <w:lang w:val="en-US"/>
        </w:rPr>
        <w:t>2.3 –Minimum Documentation - Access</w:t>
      </w:r>
    </w:p>
    <w:p w14:paraId="7A2CB899" w14:textId="77777777" w:rsidR="000645A0" w:rsidRPr="00BC43AE" w:rsidRDefault="000645A0" w:rsidP="000645A0">
      <w:pPr>
        <w:pStyle w:val="RuleQuote"/>
        <w:spacing w:after="0"/>
        <w:rPr>
          <w:szCs w:val="24"/>
        </w:rPr>
      </w:pPr>
      <w:r w:rsidRPr="00BC43AE">
        <w:t>Rules 36.1(iii) and 63.1(iii): That Office or organization shall possess, at a minimum, the minimum documentation referred to in Rule 34, or maintain access to that minimum documentation, for search purposes in accordance with the Administrative Instructions.</w:t>
      </w:r>
    </w:p>
    <w:p w14:paraId="20B2C63C" w14:textId="77777777" w:rsidR="000645A0" w:rsidRPr="00BC43AE" w:rsidRDefault="000645A0" w:rsidP="000645A0">
      <w:pPr>
        <w:pStyle w:val="Question"/>
        <w:spacing w:after="0"/>
      </w:pPr>
    </w:p>
    <w:p w14:paraId="056BC0FF" w14:textId="77777777" w:rsidR="000645A0" w:rsidRPr="00BC43AE" w:rsidRDefault="000645A0" w:rsidP="000645A0">
      <w:pPr>
        <w:pStyle w:val="Question"/>
        <w:spacing w:after="0"/>
      </w:pPr>
      <w:r w:rsidRPr="00BC43AE">
        <w:t>(a)</w:t>
      </w:r>
      <w:r w:rsidRPr="00BC43AE">
        <w:tab/>
        <w:t>Access to the minimum documentation for search purposes:</w:t>
      </w:r>
    </w:p>
    <w:p w14:paraId="11D797E8" w14:textId="77777777" w:rsidR="000645A0" w:rsidRPr="00BC43AE" w:rsidRDefault="000645A0" w:rsidP="000645A0">
      <w:pPr>
        <w:pStyle w:val="Answer"/>
        <w:spacing w:after="0"/>
        <w:ind w:left="0"/>
        <w:jc w:val="both"/>
        <w:rPr>
          <w:i/>
          <w:iCs/>
        </w:rPr>
      </w:pPr>
    </w:p>
    <w:p w14:paraId="4C113C02" w14:textId="1789BD4D" w:rsidR="00827B35" w:rsidRPr="00BC43AE" w:rsidRDefault="00827B35" w:rsidP="00C16E83">
      <w:pPr>
        <w:pStyle w:val="Answer"/>
        <w:spacing w:after="0"/>
        <w:ind w:left="0"/>
        <w:jc w:val="both"/>
        <w:rPr>
          <w:b/>
          <w:bCs/>
        </w:rPr>
      </w:pPr>
      <w:r w:rsidRPr="00BC43AE">
        <w:t xml:space="preserve">The IMPI has access to the largest collections of patent and non-patent literature for search purposes. </w:t>
      </w:r>
      <w:r w:rsidR="0030647B">
        <w:t xml:space="preserve"> </w:t>
      </w:r>
      <w:r w:rsidRPr="00BC43AE">
        <w:t>Some of these databases are freely accessible (P</w:t>
      </w:r>
      <w:r>
        <w:t>ATENTSCOPE</w:t>
      </w:r>
      <w:r w:rsidRPr="00BC43AE">
        <w:t xml:space="preserve">, </w:t>
      </w:r>
      <w:proofErr w:type="spellStart"/>
      <w:r w:rsidRPr="00BC43AE">
        <w:t>Espacenet</w:t>
      </w:r>
      <w:proofErr w:type="spellEnd"/>
      <w:r w:rsidRPr="00BC43AE">
        <w:t xml:space="preserve">, </w:t>
      </w:r>
      <w:proofErr w:type="spellStart"/>
      <w:r w:rsidRPr="00BC43AE">
        <w:t>L</w:t>
      </w:r>
      <w:r>
        <w:t>atipat</w:t>
      </w:r>
      <w:proofErr w:type="spellEnd"/>
      <w:r w:rsidRPr="00BC43AE">
        <w:t xml:space="preserve"> and collections available on the websites of various IP offices, such as those of the OEPM and the USPTO).</w:t>
      </w:r>
    </w:p>
    <w:p w14:paraId="4C37ECCC" w14:textId="77777777" w:rsidR="00827B35" w:rsidRPr="00BC43AE" w:rsidRDefault="00827B35" w:rsidP="00827B35">
      <w:pPr>
        <w:pStyle w:val="Answer"/>
        <w:spacing w:after="0"/>
        <w:ind w:left="0"/>
        <w:jc w:val="both"/>
      </w:pPr>
    </w:p>
    <w:p w14:paraId="460C101B" w14:textId="7DB50A0C" w:rsidR="00827B35" w:rsidRDefault="00827B35" w:rsidP="00827B35">
      <w:pPr>
        <w:pStyle w:val="Answer"/>
        <w:spacing w:after="0"/>
        <w:ind w:left="0"/>
        <w:jc w:val="both"/>
      </w:pPr>
      <w:r w:rsidRPr="00BC43AE">
        <w:t>The IMPI also has access to subscription databases designed specifically for the collection and provision of patent and non-patent documentation and literature, such as CLARIVATE with the Derwent Innovation and Derwent/</w:t>
      </w:r>
      <w:proofErr w:type="spellStart"/>
      <w:r w:rsidRPr="00BC43AE">
        <w:t>Geneseq</w:t>
      </w:r>
      <w:proofErr w:type="spellEnd"/>
      <w:r w:rsidRPr="00BC43AE">
        <w:t xml:space="preserve"> search systems and </w:t>
      </w:r>
      <w:r>
        <w:t>ANSERA-based Search</w:t>
      </w:r>
      <w:r w:rsidRPr="00BC43AE">
        <w:t>, as part of its collaboration with the EPO.</w:t>
      </w:r>
    </w:p>
    <w:p w14:paraId="787F7A88" w14:textId="77777777" w:rsidR="00827B35" w:rsidRPr="00BC43AE" w:rsidRDefault="00827B35" w:rsidP="000645A0">
      <w:pPr>
        <w:pStyle w:val="Answer"/>
        <w:spacing w:after="0"/>
        <w:ind w:left="0"/>
        <w:jc w:val="both"/>
      </w:pPr>
    </w:p>
    <w:p w14:paraId="41C98550" w14:textId="77777777" w:rsidR="000645A0" w:rsidRPr="00BC43AE" w:rsidRDefault="000645A0" w:rsidP="000645A0">
      <w:pPr>
        <w:pStyle w:val="Question"/>
        <w:spacing w:after="0"/>
      </w:pPr>
      <w:r w:rsidRPr="00BC43AE">
        <w:t>(b)</w:t>
      </w:r>
      <w:r w:rsidRPr="00BC43AE">
        <w:tab/>
        <w:t>Search systems:</w:t>
      </w:r>
    </w:p>
    <w:p w14:paraId="57B284CC" w14:textId="77777777" w:rsidR="000645A0" w:rsidRPr="00BC43AE" w:rsidRDefault="000645A0" w:rsidP="000645A0">
      <w:pPr>
        <w:pStyle w:val="Answer"/>
        <w:spacing w:after="0"/>
        <w:ind w:left="0"/>
        <w:jc w:val="both"/>
      </w:pPr>
    </w:p>
    <w:p w14:paraId="769D68B6" w14:textId="61C53C1E" w:rsidR="000645A0" w:rsidRPr="00BC43AE" w:rsidRDefault="000645A0" w:rsidP="000645A0">
      <w:pPr>
        <w:pStyle w:val="Answer"/>
        <w:spacing w:after="0"/>
        <w:ind w:left="0"/>
        <w:jc w:val="both"/>
      </w:pPr>
      <w:r w:rsidRPr="00BC43AE">
        <w:t>The IMPI has access to subscription databases designed specifically for the collection and provision of patent and non-patent documentation and literature, such as CLARIVATE with the Derwent Innovation and Derwent/</w:t>
      </w:r>
      <w:proofErr w:type="spellStart"/>
      <w:r w:rsidRPr="00BC43AE">
        <w:t>Geneseq</w:t>
      </w:r>
      <w:proofErr w:type="spellEnd"/>
      <w:r w:rsidRPr="00BC43AE">
        <w:t xml:space="preserve"> search systems and </w:t>
      </w:r>
      <w:r w:rsidR="00827B35">
        <w:t>ANSERA-based Search</w:t>
      </w:r>
      <w:r w:rsidRPr="00BC43AE">
        <w:t>, as part of its collaboration with the EPO.</w:t>
      </w:r>
    </w:p>
    <w:p w14:paraId="0FC70FD2" w14:textId="77777777" w:rsidR="000645A0" w:rsidRPr="00BC43AE" w:rsidRDefault="000645A0" w:rsidP="000645A0">
      <w:pPr>
        <w:pStyle w:val="Answer"/>
        <w:spacing w:after="0"/>
        <w:ind w:left="0"/>
        <w:jc w:val="both"/>
      </w:pPr>
    </w:p>
    <w:p w14:paraId="62B6AEF3" w14:textId="77777777" w:rsidR="000645A0" w:rsidRPr="00BC43AE" w:rsidRDefault="000645A0" w:rsidP="000645A0">
      <w:pPr>
        <w:jc w:val="both"/>
      </w:pPr>
      <w:r w:rsidRPr="00BC43AE">
        <w:t>The IMPI declares that prior to its designation as an ISA and IPEA, it will demonstrate that the search tools it uses allow for a comprehensive search of patents and non-patent literature in the minimum PCT documentation.</w:t>
      </w:r>
    </w:p>
    <w:p w14:paraId="15627AF2" w14:textId="77777777" w:rsidR="000645A0" w:rsidRPr="00BC43AE" w:rsidRDefault="000645A0" w:rsidP="000645A0">
      <w:pPr>
        <w:jc w:val="both"/>
      </w:pPr>
    </w:p>
    <w:p w14:paraId="7E134125" w14:textId="77777777" w:rsidR="000645A0" w:rsidRPr="00BC43AE" w:rsidRDefault="000645A0" w:rsidP="000645A0">
      <w:pPr>
        <w:jc w:val="both"/>
      </w:pPr>
      <w:r w:rsidRPr="00BC43AE">
        <w:t>Prior to its designation as ISA/IPEA, the IMPI will grant access to WIPO and the OEPM for the purposes of testing and verifying that the search tools used by IMPI examiners allow for international searches in accordance with PCT standards.</w:t>
      </w:r>
    </w:p>
    <w:p w14:paraId="43B7213A" w14:textId="77777777" w:rsidR="000645A0" w:rsidRPr="00BC43AE" w:rsidRDefault="000645A0" w:rsidP="000645A0">
      <w:pPr>
        <w:pStyle w:val="Answer"/>
        <w:spacing w:after="0"/>
        <w:ind w:left="0"/>
        <w:jc w:val="both"/>
      </w:pPr>
    </w:p>
    <w:p w14:paraId="6382806A" w14:textId="77777777" w:rsidR="000645A0" w:rsidRPr="000645A0" w:rsidRDefault="000645A0" w:rsidP="000645A0">
      <w:pPr>
        <w:pStyle w:val="SectionHeading"/>
        <w:spacing w:after="0"/>
        <w:rPr>
          <w:lang w:val="en-US"/>
        </w:rPr>
      </w:pPr>
      <w:r w:rsidRPr="000645A0">
        <w:rPr>
          <w:lang w:val="en-US"/>
        </w:rPr>
        <w:t>2.4 –Quality Management</w:t>
      </w:r>
    </w:p>
    <w:p w14:paraId="20855440" w14:textId="77777777" w:rsidR="000645A0" w:rsidRPr="00BC43AE" w:rsidRDefault="000645A0" w:rsidP="000645A0">
      <w:pPr>
        <w:pStyle w:val="RuleQuote"/>
      </w:pPr>
      <w:r w:rsidRPr="00BC43AE">
        <w:t>Rules 36.1(iv) and 63.1(iv)</w:t>
      </w:r>
      <w:proofErr w:type="gramStart"/>
      <w:r w:rsidRPr="00BC43AE">
        <w:t>:  That</w:t>
      </w:r>
      <w:proofErr w:type="gramEnd"/>
      <w:r w:rsidRPr="00BC43AE">
        <w:t xml:space="preserve"> Office or organization must have in place a quality management system and internal review arrangements in accordance with the common rules of international search.</w:t>
      </w:r>
    </w:p>
    <w:p w14:paraId="35FDEAC0" w14:textId="77777777" w:rsidR="000645A0" w:rsidRPr="00BC43AE" w:rsidRDefault="000645A0" w:rsidP="000645A0">
      <w:pPr>
        <w:pStyle w:val="Question"/>
        <w:spacing w:after="0"/>
      </w:pPr>
      <w:r w:rsidRPr="00BC43AE">
        <w:t>National quality management system meeting the requirements of Chapter 21 of the International Search and Preliminary Examination Guidelines:</w:t>
      </w:r>
    </w:p>
    <w:p w14:paraId="692396DF" w14:textId="77777777" w:rsidR="000645A0" w:rsidRPr="00BC43AE" w:rsidRDefault="000645A0" w:rsidP="000645A0">
      <w:pPr>
        <w:pStyle w:val="Answer"/>
        <w:spacing w:after="0"/>
        <w:ind w:left="0"/>
        <w:jc w:val="both"/>
        <w:rPr>
          <w:i/>
          <w:iCs/>
        </w:rPr>
      </w:pPr>
    </w:p>
    <w:p w14:paraId="155FE206" w14:textId="77777777" w:rsidR="000645A0" w:rsidRPr="00BC43AE" w:rsidRDefault="000645A0" w:rsidP="000645A0">
      <w:pPr>
        <w:pStyle w:val="Answer"/>
        <w:spacing w:after="0"/>
        <w:ind w:left="0"/>
        <w:jc w:val="both"/>
      </w:pPr>
      <w:r w:rsidRPr="00BC43AE">
        <w:t>The IMPI does not have a dedicated quality control system, nor has it been certified under any established standard.</w:t>
      </w:r>
    </w:p>
    <w:p w14:paraId="1A6EC112" w14:textId="77777777" w:rsidR="000645A0" w:rsidRPr="00BC43AE" w:rsidRDefault="000645A0" w:rsidP="000645A0">
      <w:pPr>
        <w:pStyle w:val="Answer"/>
        <w:spacing w:after="0"/>
        <w:ind w:left="0"/>
        <w:jc w:val="both"/>
      </w:pPr>
    </w:p>
    <w:p w14:paraId="25F18E8E" w14:textId="1FE02CA1" w:rsidR="000645A0" w:rsidRPr="00BC43AE" w:rsidRDefault="000645A0" w:rsidP="000645A0">
      <w:pPr>
        <w:jc w:val="both"/>
      </w:pPr>
      <w:r w:rsidRPr="00BC43AE">
        <w:t>For the classification of patent and utility model applications</w:t>
      </w:r>
      <w:r w:rsidRPr="00BC43AE">
        <w:rPr>
          <w:b/>
          <w:bCs/>
        </w:rPr>
        <w:t>,</w:t>
      </w:r>
      <w:r w:rsidRPr="00BC43AE">
        <w:t xml:space="preserve"> the IMPI uses </w:t>
      </w:r>
      <w:proofErr w:type="spellStart"/>
      <w:r w:rsidRPr="00725462">
        <w:rPr>
          <w:b/>
          <w:bCs/>
        </w:rPr>
        <w:t>ProClass</w:t>
      </w:r>
      <w:proofErr w:type="spellEnd"/>
      <w:r w:rsidRPr="00BC43AE">
        <w:rPr>
          <w:b/>
          <w:bCs/>
        </w:rPr>
        <w:t>,</w:t>
      </w:r>
      <w:r w:rsidRPr="00BC43AE">
        <w:t xml:space="preserve"> its inhouse computer tool, to classify patent and utility model applications</w:t>
      </w:r>
      <w:r w:rsidR="00F540AD">
        <w:t>.</w:t>
      </w:r>
      <w:r w:rsidRPr="00BC43AE">
        <w:t xml:space="preserve"> </w:t>
      </w:r>
      <w:r w:rsidR="00F540AD">
        <w:t xml:space="preserve"> </w:t>
      </w:r>
      <w:r w:rsidRPr="00BC43AE">
        <w:t xml:space="preserve">Using </w:t>
      </w:r>
      <w:proofErr w:type="spellStart"/>
      <w:r w:rsidRPr="00BC43AE">
        <w:t>ProClass</w:t>
      </w:r>
      <w:proofErr w:type="spellEnd"/>
      <w:r w:rsidRPr="00BC43AE">
        <w:t>, through which examiners assign the symbols of the International Patent Classification and the Cooperative Patent Classification, and all classifications are reviewed and passed through the Classification Quality Management module incorporated into this tool.</w:t>
      </w:r>
    </w:p>
    <w:p w14:paraId="3EF6AE36" w14:textId="77777777" w:rsidR="000645A0" w:rsidRPr="00BC43AE" w:rsidRDefault="000645A0" w:rsidP="000645A0">
      <w:pPr>
        <w:jc w:val="both"/>
      </w:pPr>
    </w:p>
    <w:p w14:paraId="1886122E" w14:textId="77777777" w:rsidR="000645A0" w:rsidRPr="00BC43AE" w:rsidRDefault="000645A0" w:rsidP="000645A0">
      <w:pPr>
        <w:jc w:val="both"/>
      </w:pPr>
      <w:r w:rsidRPr="00BC43AE">
        <w:t>The Classification Quality Management module is designed to activate alerts to review classifications and ensure that the symbols assigned to each application correspond to the technical field of the invention, that they comply with the International Patent Classification and the Cooperative Patent Classification standards, that the symbols assigned to each standard are consistent with each other, and that the invention corresponds and is automatically assigned to the Substantive Examination Department to which the technical field of the invention belongs.</w:t>
      </w:r>
    </w:p>
    <w:p w14:paraId="6A7429E7" w14:textId="77777777" w:rsidR="000645A0" w:rsidRPr="00BC43AE" w:rsidRDefault="000645A0" w:rsidP="000645A0">
      <w:pPr>
        <w:jc w:val="both"/>
      </w:pPr>
    </w:p>
    <w:p w14:paraId="05786FCB" w14:textId="0A9F28A3" w:rsidR="000645A0" w:rsidRPr="00BC43AE" w:rsidRDefault="000645A0" w:rsidP="000645A0">
      <w:pPr>
        <w:jc w:val="both"/>
      </w:pPr>
      <w:r w:rsidRPr="00BC43AE">
        <w:t>When the file is transmitted to a coordination unit that is not responsible for studying the invention, it will then be forwarded to the appropriate department.</w:t>
      </w:r>
      <w:r w:rsidR="00F540AD">
        <w:t xml:space="preserve"> </w:t>
      </w:r>
      <w:r w:rsidRPr="00BC43AE">
        <w:t xml:space="preserve"> When an inconsistency is found in the assigned classification, the Examiner is informed so that the corresponding corrections can be made. </w:t>
      </w:r>
      <w:r w:rsidR="00F540AD">
        <w:t xml:space="preserve"> </w:t>
      </w:r>
      <w:r w:rsidRPr="00BC43AE">
        <w:t>The examiner must correct the request and report back.</w:t>
      </w:r>
      <w:r w:rsidR="00F540AD">
        <w:t xml:space="preserve"> </w:t>
      </w:r>
      <w:r w:rsidRPr="00BC43AE">
        <w:t xml:space="preserve"> The classifications are reevaluated until they are adequate at which point the file is considered to have passed quality control. </w:t>
      </w:r>
    </w:p>
    <w:p w14:paraId="78656F4C" w14:textId="77777777" w:rsidR="000645A0" w:rsidRPr="00BC43AE" w:rsidRDefault="000645A0" w:rsidP="000645A0">
      <w:pPr>
        <w:jc w:val="both"/>
      </w:pPr>
    </w:p>
    <w:p w14:paraId="666BAB6C" w14:textId="16E6A911" w:rsidR="000645A0" w:rsidRPr="00BC43AE" w:rsidRDefault="000645A0" w:rsidP="000645A0">
      <w:pPr>
        <w:jc w:val="both"/>
      </w:pPr>
      <w:r w:rsidRPr="00BC43AE">
        <w:t xml:space="preserve">This process ensures that, on the first attempt, files are forwarded to the substantive examination department responsible for the technical field of the invention. It also ensures that files are classified with the appropriate symbols for their technical field, using current symbols that comply with the classification standards. </w:t>
      </w:r>
      <w:r w:rsidR="00F540AD">
        <w:t xml:space="preserve"> </w:t>
      </w:r>
      <w:r w:rsidRPr="00BC43AE">
        <w:t>An estimated 95% of the files treated are adequately classified, in accordance with the department which treats them.</w:t>
      </w:r>
    </w:p>
    <w:p w14:paraId="4B9C2EF7" w14:textId="77777777" w:rsidR="000645A0" w:rsidRPr="00BC43AE" w:rsidRDefault="000645A0" w:rsidP="000645A0">
      <w:pPr>
        <w:jc w:val="both"/>
      </w:pPr>
    </w:p>
    <w:p w14:paraId="41C2A6AD" w14:textId="77777777" w:rsidR="000645A0" w:rsidRPr="00BC43AE" w:rsidRDefault="000645A0" w:rsidP="000645A0">
      <w:pPr>
        <w:pStyle w:val="Answer"/>
        <w:spacing w:after="0"/>
        <w:ind w:left="0"/>
        <w:jc w:val="both"/>
      </w:pPr>
      <w:r w:rsidRPr="00BC43AE">
        <w:lastRenderedPageBreak/>
        <w:t xml:space="preserve">The substantive examination of patents and utility models is conducted by the five technical substantive examination coordination units together with the team of examiners, supervisors and coordinators for each area. </w:t>
      </w:r>
    </w:p>
    <w:p w14:paraId="638118BB" w14:textId="77777777" w:rsidR="000645A0" w:rsidRPr="00BC43AE" w:rsidRDefault="000645A0" w:rsidP="000645A0">
      <w:pPr>
        <w:pStyle w:val="Answer"/>
        <w:spacing w:after="0"/>
        <w:ind w:left="0"/>
        <w:jc w:val="both"/>
      </w:pPr>
    </w:p>
    <w:p w14:paraId="6A9EAEA0" w14:textId="4847730C" w:rsidR="000645A0" w:rsidRPr="00BC43AE" w:rsidRDefault="000645A0" w:rsidP="000645A0">
      <w:pPr>
        <w:pStyle w:val="Answer"/>
        <w:spacing w:after="0"/>
        <w:ind w:left="0"/>
        <w:jc w:val="both"/>
      </w:pPr>
      <w:r w:rsidRPr="00BC43AE">
        <w:t>The progress of the examination is managed through the Automated Management System (SIAI), which tracks and controls all files related to the process.</w:t>
      </w:r>
      <w:r w:rsidR="00F540AD">
        <w:t xml:space="preserve"> </w:t>
      </w:r>
      <w:r w:rsidRPr="00BC43AE">
        <w:t xml:space="preserve"> Through this system, all official actions are issued, supervised, and signed before being notified to the user, leaving an electronic record of all official communications, their dates of issue, and the deadlines established for them. </w:t>
      </w:r>
      <w:r w:rsidR="00F540AD">
        <w:t xml:space="preserve"> </w:t>
      </w:r>
      <w:r w:rsidRPr="00BC43AE">
        <w:t xml:space="preserve">The supervisor and/or area coordinator reviews each of the official actions issued by the group of examiners and, if necessary, returns them to the examiner for corrections or modifications. </w:t>
      </w:r>
      <w:r w:rsidR="00F540AD">
        <w:t xml:space="preserve"> </w:t>
      </w:r>
      <w:r w:rsidRPr="00BC43AE">
        <w:t xml:space="preserve">To this end, the case is reviewed jointly (examiner/supervisor/coordinator). </w:t>
      </w:r>
      <w:r w:rsidR="00F540AD">
        <w:t xml:space="preserve"> </w:t>
      </w:r>
      <w:r w:rsidRPr="00BC43AE">
        <w:t>This maintains the quality of the examination in accordance with the patentability criteria established in the national and international regulatory framework.</w:t>
      </w:r>
    </w:p>
    <w:p w14:paraId="649E1128" w14:textId="77777777" w:rsidR="000645A0" w:rsidRPr="00BC43AE" w:rsidRDefault="000645A0" w:rsidP="000645A0">
      <w:pPr>
        <w:pStyle w:val="Answer"/>
        <w:spacing w:after="0"/>
        <w:ind w:left="0"/>
        <w:jc w:val="both"/>
      </w:pPr>
    </w:p>
    <w:p w14:paraId="1F050DFD" w14:textId="78156B66" w:rsidR="000645A0" w:rsidRPr="00BC43AE" w:rsidRDefault="000645A0" w:rsidP="000645A0">
      <w:pPr>
        <w:pStyle w:val="Answer"/>
        <w:spacing w:after="0"/>
        <w:ind w:left="0"/>
        <w:jc w:val="both"/>
      </w:pPr>
      <w:r w:rsidRPr="00BC43AE">
        <w:t>However, the IMPI is establishing a quality management system that meets the requirements of Chapter 21 of the PCT International Search and Preliminary Examination Guidelines.</w:t>
      </w:r>
      <w:r w:rsidR="00F540AD">
        <w:t xml:space="preserve"> </w:t>
      </w:r>
      <w:r w:rsidRPr="00BC43AE">
        <w:t xml:space="preserve"> It also plans to obtain ISO 9001 certification for this quality management system.</w:t>
      </w:r>
    </w:p>
    <w:p w14:paraId="1FF67050" w14:textId="77777777" w:rsidR="000645A0" w:rsidRPr="00BC43AE" w:rsidRDefault="000645A0" w:rsidP="000645A0">
      <w:pPr>
        <w:pStyle w:val="Answer"/>
        <w:spacing w:after="0"/>
        <w:ind w:left="0"/>
        <w:jc w:val="both"/>
      </w:pPr>
    </w:p>
    <w:p w14:paraId="4C3F78E4" w14:textId="498CC334" w:rsidR="000645A0" w:rsidRPr="00BC43AE" w:rsidRDefault="000645A0" w:rsidP="000645A0">
      <w:pPr>
        <w:jc w:val="both"/>
      </w:pPr>
      <w:r w:rsidRPr="00BC43AE">
        <w:t xml:space="preserve">The IMPI declares that prior to its designation as an ISA and IPEA, it will submit to WIPO the status of the relevant certification and the report on the quality management system in accordance with the template entitled </w:t>
      </w:r>
      <w:r w:rsidR="00185543">
        <w:t>“</w:t>
      </w:r>
      <w:r w:rsidRPr="00BC43AE">
        <w:t>Initial Report on Quality Management Systems</w:t>
      </w:r>
      <w:r w:rsidR="00185543">
        <w:t>”</w:t>
      </w:r>
      <w:r w:rsidRPr="00BC43AE">
        <w:t>.</w:t>
      </w:r>
    </w:p>
    <w:p w14:paraId="3A0D95C6" w14:textId="77777777" w:rsidR="000645A0" w:rsidRPr="00BC43AE" w:rsidRDefault="000645A0" w:rsidP="000645A0">
      <w:pPr>
        <w:pStyle w:val="Answer"/>
        <w:spacing w:after="0"/>
        <w:ind w:left="0"/>
        <w:jc w:val="both"/>
      </w:pPr>
    </w:p>
    <w:p w14:paraId="3637A9B1" w14:textId="77777777" w:rsidR="000645A0" w:rsidRPr="000645A0" w:rsidRDefault="000645A0" w:rsidP="000645A0">
      <w:pPr>
        <w:pStyle w:val="SectionHeading"/>
        <w:spacing w:after="0"/>
        <w:rPr>
          <w:lang w:val="en-US"/>
        </w:rPr>
      </w:pPr>
      <w:r w:rsidRPr="000645A0">
        <w:rPr>
          <w:lang w:val="en-US"/>
        </w:rPr>
        <w:t>3 – Intended Scope of Operation</w:t>
      </w:r>
    </w:p>
    <w:p w14:paraId="1075C033" w14:textId="77777777" w:rsidR="000645A0" w:rsidRPr="00BC43AE" w:rsidRDefault="000645A0" w:rsidP="000645A0">
      <w:pPr>
        <w:pStyle w:val="Question"/>
        <w:spacing w:after="0"/>
      </w:pPr>
      <w:r w:rsidRPr="00BC43AE">
        <w:t>(a)</w:t>
      </w:r>
      <w:r w:rsidRPr="00BC43AE">
        <w:tab/>
        <w:t xml:space="preserve">Languages in which services would be offered: </w:t>
      </w:r>
    </w:p>
    <w:p w14:paraId="105B104A" w14:textId="77777777" w:rsidR="000645A0" w:rsidRPr="00BC43AE" w:rsidRDefault="000645A0" w:rsidP="000645A0">
      <w:pPr>
        <w:pStyle w:val="Question"/>
        <w:spacing w:after="0"/>
      </w:pPr>
    </w:p>
    <w:p w14:paraId="108C9D5C" w14:textId="77777777" w:rsidR="000645A0" w:rsidRPr="00BC43AE" w:rsidRDefault="000645A0" w:rsidP="000645A0">
      <w:pPr>
        <w:pStyle w:val="Question"/>
        <w:spacing w:after="0"/>
      </w:pPr>
      <w:r w:rsidRPr="00BC43AE">
        <w:rPr>
          <w:b w:val="0"/>
          <w:bCs w:val="0"/>
        </w:rPr>
        <w:t>Spanish</w:t>
      </w:r>
    </w:p>
    <w:p w14:paraId="7D7D87EB" w14:textId="77777777" w:rsidR="000645A0" w:rsidRPr="00BC43AE" w:rsidRDefault="000645A0" w:rsidP="000645A0">
      <w:pPr>
        <w:pStyle w:val="Question"/>
        <w:spacing w:after="0"/>
      </w:pPr>
    </w:p>
    <w:p w14:paraId="53D436BC" w14:textId="77777777" w:rsidR="000645A0" w:rsidRPr="00BC43AE" w:rsidRDefault="000645A0" w:rsidP="000645A0">
      <w:pPr>
        <w:pStyle w:val="Question"/>
      </w:pPr>
      <w:r w:rsidRPr="00BC43AE">
        <w:t>(b)</w:t>
      </w:r>
      <w:r w:rsidRPr="00BC43AE">
        <w:tab/>
        <w:t>State(s) or receiving Office(s) for which Authority would offer to be competent:</w:t>
      </w:r>
    </w:p>
    <w:p w14:paraId="0F44A796" w14:textId="77777777" w:rsidR="000645A0" w:rsidRPr="00BC43AE" w:rsidRDefault="000645A0" w:rsidP="000645A0">
      <w:pPr>
        <w:pStyle w:val="Question"/>
        <w:spacing w:after="0"/>
        <w:jc w:val="both"/>
        <w:rPr>
          <w:b w:val="0"/>
          <w:bCs w:val="0"/>
        </w:rPr>
      </w:pPr>
      <w:r w:rsidRPr="00BC43AE">
        <w:rPr>
          <w:b w:val="0"/>
          <w:bCs w:val="0"/>
        </w:rPr>
        <w:t>The IMPI will offer its services as ISA/IPEA to Spanish-speaking countries in the Latin American and Caribbean region, and to any other country that accepts international applications in Spanish, upon request.</w:t>
      </w:r>
    </w:p>
    <w:p w14:paraId="57DDDE70" w14:textId="77777777" w:rsidR="000645A0" w:rsidRPr="00BC43AE" w:rsidRDefault="000645A0" w:rsidP="000645A0">
      <w:pPr>
        <w:pStyle w:val="Question"/>
        <w:spacing w:after="0"/>
        <w:jc w:val="both"/>
      </w:pPr>
    </w:p>
    <w:p w14:paraId="75AB4A52" w14:textId="77777777" w:rsidR="000645A0" w:rsidRPr="00BC43AE" w:rsidRDefault="000645A0" w:rsidP="000645A0">
      <w:pPr>
        <w:pStyle w:val="Question"/>
        <w:spacing w:after="0"/>
        <w:jc w:val="both"/>
      </w:pPr>
      <w:r w:rsidRPr="00BC43AE">
        <w:t>(c)</w:t>
      </w:r>
      <w:r w:rsidRPr="00BC43AE">
        <w:tab/>
        <w:t xml:space="preserve">Limitations on scope of operation: </w:t>
      </w:r>
    </w:p>
    <w:p w14:paraId="474F319C" w14:textId="77777777" w:rsidR="000645A0" w:rsidRPr="00BC43AE" w:rsidRDefault="000645A0" w:rsidP="000645A0">
      <w:pPr>
        <w:pStyle w:val="Question"/>
        <w:spacing w:after="0"/>
        <w:jc w:val="both"/>
        <w:rPr>
          <w:b w:val="0"/>
          <w:bCs w:val="0"/>
          <w:szCs w:val="20"/>
        </w:rPr>
      </w:pPr>
    </w:p>
    <w:p w14:paraId="442F1765" w14:textId="77777777" w:rsidR="000645A0" w:rsidRPr="00BC43AE" w:rsidRDefault="000645A0" w:rsidP="000645A0">
      <w:pPr>
        <w:pStyle w:val="Question"/>
        <w:spacing w:after="0"/>
        <w:jc w:val="both"/>
        <w:rPr>
          <w:color w:val="0070C0"/>
        </w:rPr>
      </w:pPr>
      <w:r w:rsidRPr="00BC43AE">
        <w:rPr>
          <w:b w:val="0"/>
          <w:bCs w:val="0"/>
          <w:szCs w:val="20"/>
        </w:rPr>
        <w:t xml:space="preserve">The IMPI will not conduct international searches and preliminary examinations for applications filed in languages other than Spanish. </w:t>
      </w:r>
    </w:p>
    <w:p w14:paraId="5DA162D8" w14:textId="77777777" w:rsidR="000645A0" w:rsidRPr="00BC43AE" w:rsidRDefault="000645A0" w:rsidP="000645A0">
      <w:pPr>
        <w:pStyle w:val="Question"/>
        <w:spacing w:after="0"/>
      </w:pPr>
    </w:p>
    <w:p w14:paraId="1359DA8E" w14:textId="77777777" w:rsidR="000645A0" w:rsidRPr="00BC43AE" w:rsidRDefault="000645A0" w:rsidP="000645A0">
      <w:pPr>
        <w:pStyle w:val="Question"/>
        <w:spacing w:after="0"/>
      </w:pPr>
      <w:r w:rsidRPr="00BC43AE">
        <w:t>(d)</w:t>
      </w:r>
      <w:r w:rsidRPr="00BC43AE">
        <w:tab/>
        <w:t xml:space="preserve">Other international administrations that will continue to be competent to process applications filed with the Office in </w:t>
      </w:r>
      <w:proofErr w:type="gramStart"/>
      <w:r w:rsidRPr="00BC43AE">
        <w:t>its</w:t>
      </w:r>
      <w:proofErr w:type="gramEnd"/>
      <w:r w:rsidRPr="00BC43AE">
        <w:t xml:space="preserve"> capacity as receiving Office: </w:t>
      </w:r>
    </w:p>
    <w:p w14:paraId="79222424" w14:textId="77777777" w:rsidR="000645A0" w:rsidRPr="00BC43AE" w:rsidRDefault="000645A0" w:rsidP="000645A0">
      <w:pPr>
        <w:pStyle w:val="Answer"/>
        <w:ind w:left="0"/>
      </w:pPr>
    </w:p>
    <w:p w14:paraId="2DD17FE0" w14:textId="77777777" w:rsidR="000645A0" w:rsidRPr="00BC43AE" w:rsidRDefault="000645A0" w:rsidP="000645A0">
      <w:pPr>
        <w:pStyle w:val="Question"/>
        <w:keepNext w:val="0"/>
        <w:spacing w:after="0"/>
        <w:jc w:val="both"/>
        <w:rPr>
          <w:b w:val="0"/>
          <w:bCs w:val="0"/>
          <w:szCs w:val="20"/>
        </w:rPr>
      </w:pPr>
      <w:r w:rsidRPr="00BC43AE">
        <w:rPr>
          <w:b w:val="0"/>
          <w:bCs w:val="0"/>
          <w:szCs w:val="20"/>
        </w:rPr>
        <w:t xml:space="preserve">the </w:t>
      </w:r>
      <w:proofErr w:type="gramStart"/>
      <w:r w:rsidRPr="00BC43AE">
        <w:rPr>
          <w:b w:val="0"/>
          <w:bCs w:val="0"/>
          <w:szCs w:val="20"/>
        </w:rPr>
        <w:t>OEPM;</w:t>
      </w:r>
      <w:proofErr w:type="gramEnd"/>
    </w:p>
    <w:p w14:paraId="59238585" w14:textId="77777777" w:rsidR="000645A0" w:rsidRPr="00BC43AE" w:rsidRDefault="000645A0" w:rsidP="000645A0">
      <w:pPr>
        <w:pStyle w:val="Question"/>
        <w:keepNext w:val="0"/>
        <w:spacing w:after="0"/>
        <w:jc w:val="both"/>
        <w:rPr>
          <w:b w:val="0"/>
          <w:bCs w:val="0"/>
          <w:szCs w:val="20"/>
        </w:rPr>
      </w:pPr>
      <w:r w:rsidRPr="00BC43AE">
        <w:rPr>
          <w:b w:val="0"/>
          <w:bCs w:val="0"/>
          <w:szCs w:val="20"/>
        </w:rPr>
        <w:t xml:space="preserve">the Austrian Patent </w:t>
      </w:r>
      <w:proofErr w:type="gramStart"/>
      <w:r w:rsidRPr="00BC43AE">
        <w:rPr>
          <w:b w:val="0"/>
          <w:bCs w:val="0"/>
          <w:szCs w:val="20"/>
        </w:rPr>
        <w:t>Office;</w:t>
      </w:r>
      <w:proofErr w:type="gramEnd"/>
    </w:p>
    <w:p w14:paraId="42C634A7" w14:textId="77777777" w:rsidR="000645A0" w:rsidRPr="00BC43AE" w:rsidRDefault="000645A0" w:rsidP="000645A0">
      <w:pPr>
        <w:pStyle w:val="Question"/>
        <w:keepNext w:val="0"/>
        <w:spacing w:after="0"/>
        <w:jc w:val="both"/>
        <w:rPr>
          <w:b w:val="0"/>
          <w:bCs w:val="0"/>
          <w:szCs w:val="20"/>
        </w:rPr>
      </w:pPr>
      <w:r w:rsidRPr="00BC43AE">
        <w:rPr>
          <w:b w:val="0"/>
          <w:bCs w:val="0"/>
          <w:szCs w:val="20"/>
        </w:rPr>
        <w:t xml:space="preserve">the Swedish Patent and Registration </w:t>
      </w:r>
      <w:proofErr w:type="gramStart"/>
      <w:r w:rsidRPr="00BC43AE">
        <w:rPr>
          <w:b w:val="0"/>
          <w:bCs w:val="0"/>
          <w:szCs w:val="20"/>
        </w:rPr>
        <w:t>Office;</w:t>
      </w:r>
      <w:proofErr w:type="gramEnd"/>
    </w:p>
    <w:p w14:paraId="48DED5BE" w14:textId="2541A62E" w:rsidR="000645A0" w:rsidRPr="00BC43AE" w:rsidRDefault="000645A0" w:rsidP="000645A0">
      <w:pPr>
        <w:pStyle w:val="Question"/>
        <w:keepNext w:val="0"/>
        <w:spacing w:after="0"/>
        <w:jc w:val="both"/>
        <w:rPr>
          <w:b w:val="0"/>
          <w:bCs w:val="0"/>
          <w:szCs w:val="20"/>
        </w:rPr>
      </w:pPr>
      <w:r w:rsidRPr="00BC43AE">
        <w:rPr>
          <w:b w:val="0"/>
          <w:bCs w:val="0"/>
          <w:szCs w:val="20"/>
        </w:rPr>
        <w:t>the National Institute of Industrial Property</w:t>
      </w:r>
      <w:r w:rsidR="00C27128">
        <w:rPr>
          <w:b w:val="0"/>
          <w:bCs w:val="0"/>
          <w:szCs w:val="20"/>
        </w:rPr>
        <w:t xml:space="preserve"> - </w:t>
      </w:r>
      <w:proofErr w:type="gramStart"/>
      <w:r w:rsidR="00C27128">
        <w:rPr>
          <w:b w:val="0"/>
          <w:bCs w:val="0"/>
          <w:szCs w:val="20"/>
        </w:rPr>
        <w:t>Chile</w:t>
      </w:r>
      <w:r w:rsidRPr="00BC43AE">
        <w:rPr>
          <w:b w:val="0"/>
          <w:bCs w:val="0"/>
          <w:szCs w:val="20"/>
        </w:rPr>
        <w:t>;</w:t>
      </w:r>
      <w:proofErr w:type="gramEnd"/>
    </w:p>
    <w:p w14:paraId="27BAA328" w14:textId="77777777" w:rsidR="000645A0" w:rsidRPr="00BC43AE" w:rsidRDefault="000645A0" w:rsidP="000645A0">
      <w:pPr>
        <w:pStyle w:val="Question"/>
        <w:keepNext w:val="0"/>
        <w:spacing w:after="0"/>
        <w:jc w:val="both"/>
        <w:rPr>
          <w:b w:val="0"/>
          <w:bCs w:val="0"/>
          <w:szCs w:val="20"/>
        </w:rPr>
      </w:pPr>
      <w:r w:rsidRPr="00BC43AE">
        <w:rPr>
          <w:b w:val="0"/>
          <w:bCs w:val="0"/>
          <w:szCs w:val="20"/>
        </w:rPr>
        <w:t xml:space="preserve">the </w:t>
      </w:r>
      <w:proofErr w:type="gramStart"/>
      <w:r w:rsidRPr="00BC43AE">
        <w:rPr>
          <w:b w:val="0"/>
          <w:bCs w:val="0"/>
          <w:szCs w:val="20"/>
        </w:rPr>
        <w:t>USPTO;</w:t>
      </w:r>
      <w:proofErr w:type="gramEnd"/>
    </w:p>
    <w:p w14:paraId="3E11F3CC" w14:textId="77777777" w:rsidR="000645A0" w:rsidRPr="00BC43AE" w:rsidRDefault="000645A0" w:rsidP="000645A0">
      <w:pPr>
        <w:pStyle w:val="Question"/>
        <w:keepNext w:val="0"/>
        <w:spacing w:after="0"/>
        <w:jc w:val="both"/>
        <w:rPr>
          <w:b w:val="0"/>
          <w:bCs w:val="0"/>
          <w:szCs w:val="20"/>
        </w:rPr>
      </w:pPr>
      <w:r w:rsidRPr="00BC43AE">
        <w:rPr>
          <w:b w:val="0"/>
          <w:bCs w:val="0"/>
          <w:szCs w:val="20"/>
        </w:rPr>
        <w:t xml:space="preserve">the Intellectual Property Office of </w:t>
      </w:r>
      <w:proofErr w:type="gramStart"/>
      <w:r w:rsidRPr="00BC43AE">
        <w:rPr>
          <w:b w:val="0"/>
          <w:bCs w:val="0"/>
          <w:szCs w:val="20"/>
        </w:rPr>
        <w:t>Singapore;</w:t>
      </w:r>
      <w:proofErr w:type="gramEnd"/>
    </w:p>
    <w:p w14:paraId="51C2B0C6" w14:textId="77777777" w:rsidR="000645A0" w:rsidRPr="00BC43AE" w:rsidRDefault="000645A0" w:rsidP="000645A0">
      <w:pPr>
        <w:pStyle w:val="Question"/>
        <w:keepNext w:val="0"/>
        <w:spacing w:after="0"/>
        <w:jc w:val="both"/>
        <w:rPr>
          <w:b w:val="0"/>
          <w:bCs w:val="0"/>
          <w:szCs w:val="20"/>
        </w:rPr>
      </w:pPr>
      <w:r w:rsidRPr="00BC43AE">
        <w:rPr>
          <w:b w:val="0"/>
          <w:bCs w:val="0"/>
          <w:szCs w:val="20"/>
        </w:rPr>
        <w:t>the EPO; and</w:t>
      </w:r>
    </w:p>
    <w:p w14:paraId="350489B3" w14:textId="1E230B26" w:rsidR="000645A0" w:rsidRPr="00BC43AE" w:rsidRDefault="00C27128" w:rsidP="000645A0">
      <w:pPr>
        <w:pStyle w:val="Question"/>
        <w:keepNext w:val="0"/>
        <w:spacing w:after="0"/>
        <w:jc w:val="both"/>
        <w:rPr>
          <w:b w:val="0"/>
          <w:bCs w:val="0"/>
          <w:szCs w:val="20"/>
        </w:rPr>
      </w:pPr>
      <w:r>
        <w:rPr>
          <w:b w:val="0"/>
          <w:bCs w:val="0"/>
          <w:szCs w:val="20"/>
        </w:rPr>
        <w:t>t</w:t>
      </w:r>
      <w:r w:rsidR="000645A0" w:rsidRPr="00BC43AE">
        <w:rPr>
          <w:b w:val="0"/>
          <w:bCs w:val="0"/>
          <w:szCs w:val="20"/>
        </w:rPr>
        <w:t xml:space="preserve">he </w:t>
      </w:r>
      <w:r>
        <w:rPr>
          <w:b w:val="0"/>
          <w:bCs w:val="0"/>
          <w:szCs w:val="20"/>
        </w:rPr>
        <w:t>Ministry of Intellectual Property (MOIP) - Republic of Korea</w:t>
      </w:r>
      <w:r w:rsidR="000645A0" w:rsidRPr="00BC43AE">
        <w:rPr>
          <w:b w:val="0"/>
          <w:bCs w:val="0"/>
          <w:szCs w:val="20"/>
        </w:rPr>
        <w:t>.</w:t>
      </w:r>
    </w:p>
    <w:p w14:paraId="0A2375D7" w14:textId="77777777" w:rsidR="000645A0" w:rsidRPr="00BC43AE" w:rsidRDefault="000645A0" w:rsidP="000645A0">
      <w:pPr>
        <w:pStyle w:val="Question"/>
        <w:keepNext w:val="0"/>
        <w:spacing w:after="0"/>
        <w:jc w:val="both"/>
        <w:rPr>
          <w:b w:val="0"/>
          <w:bCs w:val="0"/>
          <w:szCs w:val="20"/>
        </w:rPr>
      </w:pPr>
    </w:p>
    <w:p w14:paraId="0D6C7C78" w14:textId="77777777" w:rsidR="000645A0" w:rsidRPr="000645A0" w:rsidRDefault="000645A0" w:rsidP="000645A0">
      <w:pPr>
        <w:pStyle w:val="SectionHeading"/>
        <w:keepLines w:val="0"/>
        <w:rPr>
          <w:lang w:val="en-US"/>
        </w:rPr>
      </w:pPr>
      <w:r w:rsidRPr="000645A0">
        <w:rPr>
          <w:lang w:val="en-US"/>
        </w:rPr>
        <w:lastRenderedPageBreak/>
        <w:t>4 – Statement of Motivation</w:t>
      </w:r>
    </w:p>
    <w:p w14:paraId="15EFC663" w14:textId="416F674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 xml:space="preserve">Since its creation, the IMPI has been responsible for administering the industrial property system in Mexico, taking a modern, technical, and efficient approach in line with the highest international standards. </w:t>
      </w:r>
      <w:r w:rsidR="00C27128">
        <w:rPr>
          <w:rFonts w:eastAsia="SimSun"/>
          <w:b w:val="0"/>
          <w:bCs w:val="0"/>
          <w:caps w:val="0"/>
          <w:szCs w:val="20"/>
          <w:lang w:val="en-US"/>
        </w:rPr>
        <w:t xml:space="preserve"> </w:t>
      </w:r>
      <w:r w:rsidRPr="000645A0">
        <w:rPr>
          <w:rFonts w:eastAsia="SimSun"/>
          <w:b w:val="0"/>
          <w:bCs w:val="0"/>
          <w:caps w:val="0"/>
          <w:szCs w:val="20"/>
          <w:lang w:val="en-US"/>
        </w:rPr>
        <w:t>Within this framework, it has consolidated its role as a leader in the protection of industrial property and the promotion of technological innovation in Latin America.</w:t>
      </w:r>
    </w:p>
    <w:p w14:paraId="2A9A7FAF"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04212D80" w14:textId="28A5ABE8"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The IMPI fully recognizes the strategic importance of the PCT as a key tool for facilitating the access of inventors to international protection for their inventions.</w:t>
      </w:r>
      <w:r w:rsidR="00A13BB0">
        <w:rPr>
          <w:rFonts w:eastAsia="SimSun"/>
          <w:b w:val="0"/>
          <w:bCs w:val="0"/>
          <w:caps w:val="0"/>
          <w:szCs w:val="20"/>
          <w:lang w:val="en-US"/>
        </w:rPr>
        <w:t xml:space="preserve"> </w:t>
      </w:r>
      <w:r w:rsidRPr="000645A0">
        <w:rPr>
          <w:rFonts w:eastAsia="SimSun"/>
          <w:b w:val="0"/>
          <w:bCs w:val="0"/>
          <w:caps w:val="0"/>
          <w:szCs w:val="20"/>
          <w:lang w:val="en-US"/>
        </w:rPr>
        <w:t xml:space="preserve"> Mexico has been an active member of the PCT </w:t>
      </w:r>
      <w:r w:rsidR="00A13BB0">
        <w:rPr>
          <w:rFonts w:eastAsia="SimSun"/>
          <w:b w:val="0"/>
          <w:bCs w:val="0"/>
          <w:caps w:val="0"/>
          <w:szCs w:val="20"/>
          <w:lang w:val="en-US"/>
        </w:rPr>
        <w:t>S</w:t>
      </w:r>
      <w:r w:rsidRPr="000645A0">
        <w:rPr>
          <w:rFonts w:eastAsia="SimSun"/>
          <w:b w:val="0"/>
          <w:bCs w:val="0"/>
          <w:caps w:val="0"/>
          <w:szCs w:val="20"/>
          <w:lang w:val="en-US"/>
        </w:rPr>
        <w:t xml:space="preserve">ystem since 1995 and IMPI has played a key role as a </w:t>
      </w:r>
      <w:r w:rsidR="00A13BB0">
        <w:rPr>
          <w:rFonts w:eastAsia="SimSun"/>
          <w:b w:val="0"/>
          <w:bCs w:val="0"/>
          <w:caps w:val="0"/>
          <w:szCs w:val="20"/>
          <w:lang w:val="en-US"/>
        </w:rPr>
        <w:t>r</w:t>
      </w:r>
      <w:r w:rsidRPr="000645A0">
        <w:rPr>
          <w:rFonts w:eastAsia="SimSun"/>
          <w:b w:val="0"/>
          <w:bCs w:val="0"/>
          <w:caps w:val="0"/>
          <w:szCs w:val="20"/>
          <w:lang w:val="en-US"/>
        </w:rPr>
        <w:t>eceiving Office, effectively managing a growing number of international applications from both domestic and foreign applicants.</w:t>
      </w:r>
    </w:p>
    <w:p w14:paraId="07DB4193"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016F4F1E" w14:textId="5DB65438"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IMPI</w:t>
      </w:r>
      <w:r w:rsidR="00185543">
        <w:rPr>
          <w:rFonts w:eastAsia="SimSun"/>
          <w:b w:val="0"/>
          <w:bCs w:val="0"/>
          <w:caps w:val="0"/>
          <w:szCs w:val="20"/>
          <w:lang w:val="en-US"/>
        </w:rPr>
        <w:t>’</w:t>
      </w:r>
      <w:r w:rsidRPr="000645A0">
        <w:rPr>
          <w:rFonts w:eastAsia="SimSun"/>
          <w:b w:val="0"/>
          <w:bCs w:val="0"/>
          <w:caps w:val="0"/>
          <w:szCs w:val="20"/>
          <w:lang w:val="en-US"/>
        </w:rPr>
        <w:t xml:space="preserve">s application to be designated as an ISA/IPEA arises from its institutional commitment to contribute more actively and directly to strengthening the PCT </w:t>
      </w:r>
      <w:r w:rsidR="00A13BB0">
        <w:rPr>
          <w:rFonts w:eastAsia="SimSun"/>
          <w:b w:val="0"/>
          <w:bCs w:val="0"/>
          <w:caps w:val="0"/>
          <w:szCs w:val="20"/>
          <w:lang w:val="en-US"/>
        </w:rPr>
        <w:t>S</w:t>
      </w:r>
      <w:r w:rsidRPr="000645A0">
        <w:rPr>
          <w:rFonts w:eastAsia="SimSun"/>
          <w:b w:val="0"/>
          <w:bCs w:val="0"/>
          <w:caps w:val="0"/>
          <w:szCs w:val="20"/>
          <w:lang w:val="en-US"/>
        </w:rPr>
        <w:t xml:space="preserve">ystem, particularly for Spanish-speaking countries and to build the innovation ecosystem in Latin America. </w:t>
      </w:r>
      <w:r w:rsidR="00A13BB0">
        <w:rPr>
          <w:rFonts w:eastAsia="SimSun"/>
          <w:b w:val="0"/>
          <w:bCs w:val="0"/>
          <w:caps w:val="0"/>
          <w:szCs w:val="20"/>
          <w:lang w:val="en-US"/>
        </w:rPr>
        <w:t xml:space="preserve"> </w:t>
      </w:r>
      <w:r w:rsidRPr="000645A0">
        <w:rPr>
          <w:rFonts w:eastAsia="SimSun"/>
          <w:b w:val="0"/>
          <w:bCs w:val="0"/>
          <w:caps w:val="0"/>
          <w:szCs w:val="20"/>
          <w:lang w:val="en-US"/>
        </w:rPr>
        <w:t>The presence of an additional ISA/IPEA in the region with advanced technical capabilities and highly qualified personnel is an opportunity to decentralize search resources, diversify options for users, and promote a broader and more equitable use of the system in our region.</w:t>
      </w:r>
    </w:p>
    <w:p w14:paraId="263AD38B"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39D24454" w14:textId="77053902"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 xml:space="preserve">Mexico has a solid legal industrial property framework and a technological infrastructure that allows it to offer high-quality international search and preliminary examination services. </w:t>
      </w:r>
      <w:r w:rsidR="00A13BB0">
        <w:rPr>
          <w:rFonts w:eastAsia="SimSun"/>
          <w:b w:val="0"/>
          <w:bCs w:val="0"/>
          <w:caps w:val="0"/>
          <w:szCs w:val="20"/>
          <w:lang w:val="en-US"/>
        </w:rPr>
        <w:t xml:space="preserve"> </w:t>
      </w:r>
      <w:r w:rsidRPr="000645A0">
        <w:rPr>
          <w:rFonts w:eastAsia="SimSun"/>
          <w:b w:val="0"/>
          <w:bCs w:val="0"/>
          <w:caps w:val="0"/>
          <w:szCs w:val="20"/>
          <w:lang w:val="en-US"/>
        </w:rPr>
        <w:t xml:space="preserve">IMPI staff have received specialized training in searching and examining in accordance with PCT guidelines. </w:t>
      </w:r>
      <w:r w:rsidR="00A13BB0">
        <w:rPr>
          <w:rFonts w:eastAsia="SimSun"/>
          <w:b w:val="0"/>
          <w:bCs w:val="0"/>
          <w:caps w:val="0"/>
          <w:szCs w:val="20"/>
          <w:lang w:val="en-US"/>
        </w:rPr>
        <w:t xml:space="preserve"> </w:t>
      </w:r>
      <w:r w:rsidRPr="000645A0">
        <w:rPr>
          <w:rFonts w:eastAsia="SimSun"/>
          <w:b w:val="0"/>
          <w:bCs w:val="0"/>
          <w:caps w:val="0"/>
          <w:szCs w:val="20"/>
          <w:lang w:val="en-US"/>
        </w:rPr>
        <w:t>They also have access to international databases and tools for rigorous and efficient search and examination.</w:t>
      </w:r>
    </w:p>
    <w:p w14:paraId="52941EC6"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176D6268" w14:textId="1E68EF20"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In addition, through its national policy on innovation and technological development, the Government of Mexico has strongly supported the institutional reinforcement of the IMPI, recognizing its strategic role in promoting entrepreneurship, competitiveness and technology transfer.</w:t>
      </w:r>
      <w:r w:rsidR="00A13BB0">
        <w:rPr>
          <w:rFonts w:eastAsia="SimSun"/>
          <w:b w:val="0"/>
          <w:bCs w:val="0"/>
          <w:caps w:val="0"/>
          <w:szCs w:val="20"/>
          <w:lang w:val="en-US"/>
        </w:rPr>
        <w:t xml:space="preserve"> </w:t>
      </w:r>
      <w:r w:rsidRPr="000645A0">
        <w:rPr>
          <w:rFonts w:eastAsia="SimSun"/>
          <w:b w:val="0"/>
          <w:bCs w:val="0"/>
          <w:caps w:val="0"/>
          <w:szCs w:val="20"/>
          <w:lang w:val="en-US"/>
        </w:rPr>
        <w:t xml:space="preserve"> The eventual designation of the IMPI as an ISA/IPEA is in line with these national objectives and would directly facilitate access to the international patent system for more inventors, especially small and medium-sized enterprises.</w:t>
      </w:r>
    </w:p>
    <w:p w14:paraId="5A64E667"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6BE7E737" w14:textId="7B13925A"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 xml:space="preserve">The experience of the IMPI as a </w:t>
      </w:r>
      <w:r w:rsidR="00A13BB0">
        <w:rPr>
          <w:rFonts w:eastAsia="SimSun"/>
          <w:b w:val="0"/>
          <w:bCs w:val="0"/>
          <w:caps w:val="0"/>
          <w:szCs w:val="20"/>
          <w:lang w:val="en-US"/>
        </w:rPr>
        <w:t>r</w:t>
      </w:r>
      <w:r w:rsidRPr="000645A0">
        <w:rPr>
          <w:rFonts w:eastAsia="SimSun"/>
          <w:b w:val="0"/>
          <w:bCs w:val="0"/>
          <w:caps w:val="0"/>
          <w:szCs w:val="20"/>
          <w:lang w:val="en-US"/>
        </w:rPr>
        <w:t xml:space="preserve">eceiving Office has demonstrated growing user confidence in its services, as reflected by the number of PCT applications filed through this route. </w:t>
      </w:r>
      <w:r w:rsidR="00A13BB0">
        <w:rPr>
          <w:rFonts w:eastAsia="SimSun"/>
          <w:b w:val="0"/>
          <w:bCs w:val="0"/>
          <w:caps w:val="0"/>
          <w:szCs w:val="20"/>
          <w:lang w:val="en-US"/>
        </w:rPr>
        <w:t xml:space="preserve"> </w:t>
      </w:r>
      <w:r w:rsidRPr="000645A0">
        <w:rPr>
          <w:rFonts w:eastAsia="SimSun"/>
          <w:b w:val="0"/>
          <w:bCs w:val="0"/>
          <w:caps w:val="0"/>
          <w:szCs w:val="20"/>
          <w:lang w:val="en-US"/>
        </w:rPr>
        <w:t>In recent years, Mexico has witnessed a sustained increase in international applications, reflecting the dynamism of the national innovation ecosystem and the interest of Mexican inventors in accessing international markets.</w:t>
      </w:r>
    </w:p>
    <w:p w14:paraId="3A9E151A"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5D9C647B"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In addition, the possibility of having a Spanish-speaking ISA/IPEA based in Mexico would benefit not only Mexican users, but also applicants from other Latin American and Caribbean countries, particularly those that have not yet designated their own international authorities, thus promoting regional inclusion and cooperation.</w:t>
      </w:r>
    </w:p>
    <w:p w14:paraId="53C79AF3" w14:textId="7777777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p>
    <w:p w14:paraId="2B903512" w14:textId="70F331B7" w:rsidR="000645A0" w:rsidRPr="000645A0" w:rsidRDefault="000645A0" w:rsidP="000645A0">
      <w:pPr>
        <w:pStyle w:val="SectionHeading"/>
        <w:keepLines w:val="0"/>
        <w:spacing w:before="0" w:after="0" w:line="240" w:lineRule="auto"/>
        <w:jc w:val="both"/>
        <w:rPr>
          <w:rFonts w:eastAsia="SimSun"/>
          <w:b w:val="0"/>
          <w:bCs w:val="0"/>
          <w:caps w:val="0"/>
          <w:szCs w:val="20"/>
          <w:lang w:val="en-US"/>
        </w:rPr>
      </w:pPr>
      <w:r w:rsidRPr="000645A0">
        <w:rPr>
          <w:rFonts w:eastAsia="SimSun"/>
          <w:b w:val="0"/>
          <w:bCs w:val="0"/>
          <w:caps w:val="0"/>
          <w:szCs w:val="20"/>
          <w:lang w:val="en-US"/>
        </w:rPr>
        <w:t xml:space="preserve">The IMPI firmly believes that its designation as an ISA/IPEA will strengthen the PCT </w:t>
      </w:r>
      <w:r w:rsidR="00A13BB0">
        <w:rPr>
          <w:rFonts w:eastAsia="SimSun"/>
          <w:b w:val="0"/>
          <w:bCs w:val="0"/>
          <w:caps w:val="0"/>
          <w:szCs w:val="20"/>
          <w:lang w:val="en-US"/>
        </w:rPr>
        <w:t>S</w:t>
      </w:r>
      <w:r w:rsidRPr="000645A0">
        <w:rPr>
          <w:rFonts w:eastAsia="SimSun"/>
          <w:b w:val="0"/>
          <w:bCs w:val="0"/>
          <w:caps w:val="0"/>
          <w:szCs w:val="20"/>
          <w:lang w:val="en-US"/>
        </w:rPr>
        <w:t xml:space="preserve">ystem by providing users with better options, encouraging regional participation and contributing to the overall efficiency of the system. </w:t>
      </w:r>
      <w:r w:rsidR="00A13BB0">
        <w:rPr>
          <w:rFonts w:eastAsia="SimSun"/>
          <w:b w:val="0"/>
          <w:bCs w:val="0"/>
          <w:caps w:val="0"/>
          <w:szCs w:val="20"/>
          <w:lang w:val="en-US"/>
        </w:rPr>
        <w:t xml:space="preserve"> </w:t>
      </w:r>
      <w:r w:rsidRPr="000645A0">
        <w:rPr>
          <w:rFonts w:eastAsia="SimSun"/>
          <w:b w:val="0"/>
          <w:bCs w:val="0"/>
          <w:caps w:val="0"/>
          <w:szCs w:val="20"/>
          <w:lang w:val="en-US"/>
        </w:rPr>
        <w:t>The IMPI reiterates its commitment to the principles of quality, transparency and international cooperation that underpin the PCT, and is technically and operationally prepared to responsibly assume this new role within the international patent system.</w:t>
      </w:r>
    </w:p>
    <w:p w14:paraId="5650B061" w14:textId="77777777" w:rsidR="000645A0" w:rsidRPr="00BC43AE" w:rsidRDefault="000645A0" w:rsidP="000645A0"/>
    <w:p w14:paraId="708B65F5" w14:textId="77777777" w:rsidR="000645A0" w:rsidRPr="000645A0" w:rsidRDefault="000645A0" w:rsidP="0077252C">
      <w:pPr>
        <w:pStyle w:val="SectionHeading"/>
        <w:keepLines w:val="0"/>
        <w:pBdr>
          <w:top w:val="single" w:sz="4" w:space="0" w:color="auto"/>
        </w:pBdr>
        <w:spacing w:after="0"/>
        <w:rPr>
          <w:lang w:val="en-US"/>
        </w:rPr>
      </w:pPr>
      <w:r w:rsidRPr="000645A0">
        <w:rPr>
          <w:lang w:val="en-US"/>
        </w:rPr>
        <w:lastRenderedPageBreak/>
        <w:t>5 – Applicant State(s)</w:t>
      </w:r>
    </w:p>
    <w:p w14:paraId="2ED35759" w14:textId="77777777" w:rsidR="000645A0" w:rsidRPr="00BC43AE" w:rsidRDefault="000645A0" w:rsidP="0077252C">
      <w:pPr>
        <w:pStyle w:val="Question"/>
        <w:keepLines w:val="0"/>
      </w:pPr>
      <w:r w:rsidRPr="00BC43AE">
        <w:t>(a)</w:t>
      </w:r>
      <w:r w:rsidRPr="00BC43AE">
        <w:tab/>
        <w:t>Regional location:</w:t>
      </w:r>
    </w:p>
    <w:p w14:paraId="7CCAC82C" w14:textId="77777777" w:rsidR="000645A0" w:rsidRPr="00BC43AE" w:rsidRDefault="000645A0" w:rsidP="000645A0">
      <w:pPr>
        <w:pStyle w:val="Answer"/>
        <w:ind w:left="0"/>
      </w:pPr>
      <w:r w:rsidRPr="00BC43AE">
        <w:t>The headquarters of the IMPI are in Mexico City, the capital of Mexico.</w:t>
      </w:r>
    </w:p>
    <w:p w14:paraId="0A6E2DD5" w14:textId="77777777" w:rsidR="000645A0" w:rsidRPr="00BC43AE" w:rsidRDefault="000645A0" w:rsidP="000645A0">
      <w:pPr>
        <w:jc w:val="center"/>
        <w:rPr>
          <w:szCs w:val="22"/>
        </w:rPr>
      </w:pPr>
      <w:r w:rsidRPr="00BC43AE">
        <w:rPr>
          <w:noProof/>
          <w:szCs w:val="22"/>
        </w:rPr>
        <w:drawing>
          <wp:inline distT="0" distB="0" distL="0" distR="0" wp14:anchorId="3227807D" wp14:editId="760C0215">
            <wp:extent cx="2895600" cy="2509941"/>
            <wp:effectExtent l="0" t="0" r="0" b="5080"/>
            <wp:docPr id="812994945" name="Imagen 2" descr="Map of Mexico showing location of Mexico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4945" name="Imagen 2" descr="Map of Mexico showing location of Mexico C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831" cy="2518809"/>
                    </a:xfrm>
                    <a:prstGeom prst="rect">
                      <a:avLst/>
                    </a:prstGeom>
                    <a:noFill/>
                    <a:ln>
                      <a:noFill/>
                    </a:ln>
                  </pic:spPr>
                </pic:pic>
              </a:graphicData>
            </a:graphic>
          </wp:inline>
        </w:drawing>
      </w:r>
    </w:p>
    <w:p w14:paraId="3FE102F2" w14:textId="77777777" w:rsidR="000645A0" w:rsidRPr="00BC43AE" w:rsidRDefault="000645A0" w:rsidP="000645A0">
      <w:pPr>
        <w:jc w:val="center"/>
        <w:rPr>
          <w:szCs w:val="22"/>
        </w:rPr>
      </w:pPr>
    </w:p>
    <w:p w14:paraId="363ACB17" w14:textId="77777777" w:rsidR="000645A0" w:rsidRPr="00BC43AE" w:rsidRDefault="000645A0" w:rsidP="000645A0">
      <w:pPr>
        <w:pStyle w:val="Question"/>
        <w:keepLines w:val="0"/>
      </w:pPr>
      <w:r w:rsidRPr="00BC43AE">
        <w:t>(b)</w:t>
      </w:r>
      <w:r w:rsidRPr="00BC43AE">
        <w:tab/>
        <w:t>Regional organization memberships:</w:t>
      </w:r>
    </w:p>
    <w:p w14:paraId="088E0EA5" w14:textId="5E9E1513" w:rsidR="000645A0" w:rsidRPr="00BC43AE" w:rsidRDefault="000645A0" w:rsidP="000645A0">
      <w:pPr>
        <w:pStyle w:val="Answer"/>
        <w:spacing w:after="0"/>
        <w:ind w:left="0"/>
      </w:pPr>
      <w:r w:rsidRPr="00BC43AE">
        <w:t xml:space="preserve">Mexico has been a member of WIPO since June 14, 1975. </w:t>
      </w:r>
      <w:r w:rsidR="00A13BB0">
        <w:t xml:space="preserve"> </w:t>
      </w:r>
      <w:r w:rsidRPr="00BC43AE">
        <w:t>Mexico is a party to 20 treaties administered by WIPO.</w:t>
      </w:r>
    </w:p>
    <w:p w14:paraId="4CD488E3" w14:textId="77777777" w:rsidR="000645A0" w:rsidRPr="00BC43AE" w:rsidRDefault="000645A0" w:rsidP="000645A0">
      <w:pPr>
        <w:pStyle w:val="Answer"/>
        <w:spacing w:after="0"/>
        <w:ind w:left="0"/>
      </w:pPr>
    </w:p>
    <w:p w14:paraId="1094481B" w14:textId="77777777" w:rsidR="000645A0" w:rsidRPr="00BC43AE" w:rsidRDefault="000645A0" w:rsidP="000645A0">
      <w:pPr>
        <w:pStyle w:val="Answer"/>
        <w:ind w:left="0"/>
      </w:pPr>
      <w:r w:rsidRPr="00BC43AE">
        <w:t>It is also a member of the following regional organizations:</w:t>
      </w:r>
    </w:p>
    <w:p w14:paraId="239EECE8" w14:textId="77777777" w:rsidR="000645A0" w:rsidRPr="00BC43AE" w:rsidRDefault="000645A0" w:rsidP="000645A0">
      <w:pPr>
        <w:pStyle w:val="Answer"/>
        <w:numPr>
          <w:ilvl w:val="0"/>
          <w:numId w:val="23"/>
        </w:numPr>
      </w:pPr>
      <w:r w:rsidRPr="00BC43AE">
        <w:t xml:space="preserve">the Community of Latin American and Caribbean </w:t>
      </w:r>
      <w:proofErr w:type="gramStart"/>
      <w:r w:rsidRPr="00BC43AE">
        <w:t>States;</w:t>
      </w:r>
      <w:proofErr w:type="gramEnd"/>
    </w:p>
    <w:p w14:paraId="22F3437E" w14:textId="77777777" w:rsidR="000645A0" w:rsidRPr="00BC43AE" w:rsidRDefault="000645A0" w:rsidP="000645A0">
      <w:pPr>
        <w:pStyle w:val="Answer"/>
        <w:numPr>
          <w:ilvl w:val="0"/>
          <w:numId w:val="23"/>
        </w:numPr>
      </w:pPr>
      <w:r w:rsidRPr="00BC43AE">
        <w:t xml:space="preserve">the Organization of American </w:t>
      </w:r>
      <w:proofErr w:type="gramStart"/>
      <w:r w:rsidRPr="00BC43AE">
        <w:t>States;</w:t>
      </w:r>
      <w:proofErr w:type="gramEnd"/>
    </w:p>
    <w:p w14:paraId="69710FFD" w14:textId="77777777" w:rsidR="000645A0" w:rsidRPr="00BC43AE" w:rsidRDefault="000645A0" w:rsidP="000645A0">
      <w:pPr>
        <w:pStyle w:val="Answer"/>
        <w:numPr>
          <w:ilvl w:val="0"/>
          <w:numId w:val="23"/>
        </w:numPr>
      </w:pPr>
      <w:r w:rsidRPr="00BC43AE">
        <w:t xml:space="preserve">the Association of Caribbean </w:t>
      </w:r>
      <w:proofErr w:type="gramStart"/>
      <w:r w:rsidRPr="00BC43AE">
        <w:t>States;</w:t>
      </w:r>
      <w:proofErr w:type="gramEnd"/>
    </w:p>
    <w:p w14:paraId="317F473C" w14:textId="77777777" w:rsidR="000645A0" w:rsidRPr="00BC43AE" w:rsidRDefault="000645A0" w:rsidP="000645A0">
      <w:pPr>
        <w:pStyle w:val="Answer"/>
        <w:numPr>
          <w:ilvl w:val="0"/>
          <w:numId w:val="23"/>
        </w:numPr>
      </w:pPr>
      <w:r w:rsidRPr="00BC43AE">
        <w:t>the Latin American Integration Association; and</w:t>
      </w:r>
    </w:p>
    <w:p w14:paraId="7ADC98F8" w14:textId="77777777" w:rsidR="000645A0" w:rsidRPr="00BC43AE" w:rsidRDefault="000645A0" w:rsidP="000645A0">
      <w:pPr>
        <w:pStyle w:val="Answer"/>
        <w:numPr>
          <w:ilvl w:val="0"/>
          <w:numId w:val="23"/>
        </w:numPr>
        <w:spacing w:after="0"/>
      </w:pPr>
      <w:r w:rsidRPr="00BC43AE">
        <w:t>the Economic Commission for Latin America and the Caribbean.</w:t>
      </w:r>
    </w:p>
    <w:p w14:paraId="7BE54991" w14:textId="77777777" w:rsidR="000645A0" w:rsidRPr="00BC43AE" w:rsidRDefault="000645A0" w:rsidP="000645A0">
      <w:pPr>
        <w:pStyle w:val="Answer"/>
        <w:spacing w:after="0"/>
        <w:ind w:left="0"/>
      </w:pPr>
    </w:p>
    <w:p w14:paraId="26443A09" w14:textId="77777777" w:rsidR="000645A0" w:rsidRPr="00BC43AE" w:rsidRDefault="000645A0" w:rsidP="000645A0">
      <w:pPr>
        <w:pStyle w:val="Question"/>
        <w:spacing w:after="0"/>
      </w:pPr>
      <w:r w:rsidRPr="00BC43AE">
        <w:t>(c)</w:t>
      </w:r>
      <w:r w:rsidRPr="00BC43AE">
        <w:tab/>
        <w:t>Population:</w:t>
      </w:r>
    </w:p>
    <w:p w14:paraId="22733693" w14:textId="77777777" w:rsidR="000645A0" w:rsidRPr="00BC43AE" w:rsidRDefault="000645A0" w:rsidP="000645A0">
      <w:pPr>
        <w:pStyle w:val="Answer"/>
        <w:spacing w:after="0"/>
        <w:ind w:left="0"/>
      </w:pPr>
    </w:p>
    <w:p w14:paraId="39016DEF" w14:textId="77777777" w:rsidR="000645A0" w:rsidRPr="00BC43AE" w:rsidRDefault="000645A0" w:rsidP="000645A0">
      <w:pPr>
        <w:pStyle w:val="Answer"/>
        <w:spacing w:after="0"/>
        <w:ind w:left="0"/>
      </w:pPr>
      <w:r w:rsidRPr="00BC43AE">
        <w:t>Mexico has a population of 130.9 million (2024, World Bank data)</w:t>
      </w:r>
    </w:p>
    <w:p w14:paraId="06E33D13" w14:textId="77777777" w:rsidR="000645A0" w:rsidRPr="00BC43AE" w:rsidRDefault="000645A0" w:rsidP="000645A0">
      <w:pPr>
        <w:pStyle w:val="Answer"/>
        <w:spacing w:after="0"/>
        <w:ind w:left="0"/>
      </w:pPr>
    </w:p>
    <w:p w14:paraId="56AAADCF" w14:textId="77777777" w:rsidR="000645A0" w:rsidRPr="00BC43AE" w:rsidRDefault="000645A0" w:rsidP="000645A0">
      <w:pPr>
        <w:pStyle w:val="Question"/>
        <w:spacing w:after="0"/>
      </w:pPr>
      <w:r w:rsidRPr="00BC43AE">
        <w:t>(d)</w:t>
      </w:r>
      <w:r w:rsidRPr="00BC43AE">
        <w:tab/>
        <w:t>GDP per capita:</w:t>
      </w:r>
    </w:p>
    <w:p w14:paraId="6CDAC8F8" w14:textId="77777777" w:rsidR="000645A0" w:rsidRPr="00BC43AE" w:rsidRDefault="000645A0" w:rsidP="000645A0">
      <w:pPr>
        <w:pStyle w:val="Answer"/>
        <w:spacing w:after="0"/>
        <w:ind w:left="0"/>
      </w:pPr>
    </w:p>
    <w:p w14:paraId="205CCC14" w14:textId="77777777" w:rsidR="000645A0" w:rsidRPr="00BC43AE" w:rsidRDefault="000645A0" w:rsidP="000645A0">
      <w:pPr>
        <w:pStyle w:val="Answer"/>
        <w:spacing w:after="0"/>
        <w:ind w:left="0"/>
      </w:pPr>
      <w:r w:rsidRPr="00BC43AE">
        <w:t>US$14,157.9 (2024, World Bank data)</w:t>
      </w:r>
    </w:p>
    <w:p w14:paraId="230DEA04" w14:textId="77777777" w:rsidR="000645A0" w:rsidRPr="00BC43AE" w:rsidRDefault="000645A0" w:rsidP="000645A0">
      <w:pPr>
        <w:pStyle w:val="Answer"/>
        <w:spacing w:after="0"/>
      </w:pPr>
    </w:p>
    <w:p w14:paraId="67D7719E" w14:textId="77777777" w:rsidR="000645A0" w:rsidRPr="00BC43AE" w:rsidRDefault="000645A0" w:rsidP="000645A0">
      <w:pPr>
        <w:pStyle w:val="Question"/>
        <w:keepNext w:val="0"/>
        <w:keepLines w:val="0"/>
        <w:spacing w:after="0"/>
      </w:pPr>
      <w:r w:rsidRPr="00BC43AE">
        <w:t>(e)</w:t>
      </w:r>
      <w:r w:rsidRPr="00BC43AE">
        <w:tab/>
        <w:t>Estimated national expenditure on R&amp;D (% of GDP):</w:t>
      </w:r>
    </w:p>
    <w:p w14:paraId="4F2EB641" w14:textId="77777777" w:rsidR="000645A0" w:rsidRPr="00BC43AE" w:rsidRDefault="000645A0" w:rsidP="000645A0">
      <w:pPr>
        <w:pStyle w:val="Answer"/>
        <w:spacing w:after="0"/>
        <w:ind w:left="0"/>
      </w:pPr>
    </w:p>
    <w:p w14:paraId="4E12BF1E" w14:textId="77777777" w:rsidR="000645A0" w:rsidRPr="00BC43AE" w:rsidRDefault="000645A0" w:rsidP="000645A0">
      <w:pPr>
        <w:pStyle w:val="Answer"/>
        <w:spacing w:after="0"/>
        <w:ind w:left="0"/>
      </w:pPr>
      <w:r w:rsidRPr="00BC43AE">
        <w:t>0.27% (2023, World Bank data)</w:t>
      </w:r>
    </w:p>
    <w:p w14:paraId="403AC421" w14:textId="77777777" w:rsidR="000645A0" w:rsidRPr="00BC43AE" w:rsidRDefault="000645A0" w:rsidP="000645A0">
      <w:pPr>
        <w:pStyle w:val="Answer"/>
        <w:spacing w:after="0"/>
        <w:ind w:left="0"/>
      </w:pPr>
    </w:p>
    <w:p w14:paraId="298304D9" w14:textId="77777777" w:rsidR="000645A0" w:rsidRPr="00BC43AE" w:rsidRDefault="000645A0" w:rsidP="000645A0">
      <w:pPr>
        <w:pStyle w:val="Answer"/>
        <w:spacing w:after="0"/>
        <w:ind w:left="0"/>
        <w:jc w:val="both"/>
        <w:rPr>
          <w:b/>
          <w:bCs/>
        </w:rPr>
      </w:pPr>
      <w:r w:rsidRPr="00BC43AE">
        <w:rPr>
          <w:b/>
          <w:bCs/>
        </w:rPr>
        <w:t>(f)</w:t>
      </w:r>
      <w:r w:rsidRPr="00BC43AE">
        <w:rPr>
          <w:b/>
          <w:bCs/>
        </w:rPr>
        <w:tab/>
        <w:t>Number of research universities:</w:t>
      </w:r>
    </w:p>
    <w:p w14:paraId="225DD106" w14:textId="77777777" w:rsidR="000645A0" w:rsidRPr="00BC43AE" w:rsidRDefault="000645A0" w:rsidP="000645A0">
      <w:pPr>
        <w:pStyle w:val="Answer"/>
        <w:spacing w:after="0"/>
        <w:ind w:left="0"/>
        <w:jc w:val="both"/>
      </w:pPr>
    </w:p>
    <w:p w14:paraId="0428A501" w14:textId="45B8D3B1" w:rsidR="000645A0" w:rsidRPr="00BC43AE" w:rsidRDefault="000645A0" w:rsidP="000645A0">
      <w:pPr>
        <w:pStyle w:val="Answer"/>
        <w:spacing w:after="0"/>
        <w:ind w:left="0"/>
        <w:jc w:val="both"/>
      </w:pPr>
      <w:r w:rsidRPr="00BC43AE">
        <w:t xml:space="preserve">Mexico has more than 900 public, autonomous, technological, polytechnic and intercultural universities and 3,401 private universities. </w:t>
      </w:r>
      <w:r w:rsidR="00A13BB0">
        <w:t xml:space="preserve"> </w:t>
      </w:r>
      <w:r w:rsidRPr="00BC43AE">
        <w:t xml:space="preserve">All of them are highly committed to research projects. </w:t>
      </w:r>
    </w:p>
    <w:p w14:paraId="264ED854" w14:textId="77777777" w:rsidR="000645A0" w:rsidRPr="00BC43AE" w:rsidRDefault="000645A0" w:rsidP="000645A0">
      <w:pPr>
        <w:pStyle w:val="Answer"/>
        <w:spacing w:after="0"/>
        <w:ind w:left="0"/>
        <w:jc w:val="both"/>
        <w:rPr>
          <w:i/>
          <w:iCs/>
        </w:rPr>
      </w:pPr>
    </w:p>
    <w:p w14:paraId="39CDD480" w14:textId="77777777" w:rsidR="000645A0" w:rsidRPr="00BC43AE" w:rsidRDefault="000645A0" w:rsidP="000645A0">
      <w:pPr>
        <w:pStyle w:val="Question"/>
        <w:keepNext w:val="0"/>
        <w:keepLines w:val="0"/>
        <w:spacing w:after="0"/>
      </w:pPr>
      <w:r w:rsidRPr="00BC43AE">
        <w:lastRenderedPageBreak/>
        <w:t>(g)</w:t>
      </w:r>
      <w:r w:rsidRPr="00BC43AE">
        <w:tab/>
        <w:t>Summary of national patent information network:</w:t>
      </w:r>
    </w:p>
    <w:p w14:paraId="285DFF01" w14:textId="7146377C" w:rsidR="000645A0" w:rsidRPr="00BC43AE" w:rsidRDefault="000645A0" w:rsidP="000645A0">
      <w:pPr>
        <w:pStyle w:val="Answer"/>
        <w:spacing w:after="0"/>
        <w:ind w:left="0"/>
        <w:jc w:val="both"/>
      </w:pPr>
      <w:r w:rsidRPr="00BC43AE">
        <w:t xml:space="preserve">The IMPI has a portal called SIGA (the Industrial Property Gazette Information System) where the Patent Gazettes, Registers, and any other information of interest on industrial property and related matters are published </w:t>
      </w:r>
      <w:proofErr w:type="gramStart"/>
      <w:r w:rsidRPr="00BC43AE">
        <w:t>in order to</w:t>
      </w:r>
      <w:proofErr w:type="gramEnd"/>
      <w:r w:rsidRPr="00BC43AE">
        <w:t xml:space="preserve"> provide the legal dissemination required by the Federal Law on Industrial Property Protection. </w:t>
      </w:r>
      <w:r w:rsidR="00A13BB0">
        <w:t xml:space="preserve"> </w:t>
      </w:r>
      <w:r w:rsidRPr="00BC43AE">
        <w:t>In addition, SIGA allows you to search and consult complete files in PDF format dating back to 2001 and download bibliographic information and summaries of applications and grants available to the public in XML format, which can be accessed via the following link:</w:t>
      </w:r>
      <w:hyperlink r:id="rId16" w:history="1">
        <w:r w:rsidR="00A13BB0" w:rsidRPr="00A13BB0">
          <w:rPr>
            <w:rStyle w:val="Hyperlink"/>
            <w:i/>
            <w:iCs/>
            <w:u w:val="none"/>
          </w:rPr>
          <w:t xml:space="preserve">  </w:t>
        </w:r>
        <w:r w:rsidR="00A13BB0" w:rsidRPr="00FA636B">
          <w:rPr>
            <w:rStyle w:val="Hyperlink"/>
            <w:i/>
            <w:iCs/>
          </w:rPr>
          <w:t>https://siga.impi.gob.mx/</w:t>
        </w:r>
      </w:hyperlink>
      <w:r w:rsidRPr="00A13BB0">
        <w:rPr>
          <w:i/>
          <w:iCs/>
        </w:rPr>
        <w:t>.</w:t>
      </w:r>
    </w:p>
    <w:p w14:paraId="390C8E4C" w14:textId="77777777" w:rsidR="000645A0" w:rsidRPr="00BC43AE" w:rsidRDefault="000645A0" w:rsidP="000645A0">
      <w:pPr>
        <w:pStyle w:val="Question"/>
        <w:keepNext w:val="0"/>
        <w:keepLines w:val="0"/>
        <w:spacing w:after="0"/>
      </w:pPr>
    </w:p>
    <w:p w14:paraId="31BBD7A5" w14:textId="77777777" w:rsidR="000645A0" w:rsidRPr="00BC43AE" w:rsidRDefault="000645A0" w:rsidP="000645A0">
      <w:pPr>
        <w:pStyle w:val="Question"/>
        <w:keepNext w:val="0"/>
        <w:keepLines w:val="0"/>
        <w:spacing w:after="0"/>
        <w:rPr>
          <w:b w:val="0"/>
          <w:bCs w:val="0"/>
          <w:color w:val="0070C0"/>
        </w:rPr>
      </w:pPr>
      <w:r w:rsidRPr="00BC43AE">
        <w:t>(h)</w:t>
      </w:r>
      <w:r w:rsidRPr="00BC43AE">
        <w:tab/>
        <w:t xml:space="preserve">Major local industries: </w:t>
      </w:r>
    </w:p>
    <w:p w14:paraId="0E4CAD36" w14:textId="77777777" w:rsidR="000645A0" w:rsidRPr="00BC43AE" w:rsidRDefault="000645A0" w:rsidP="000645A0">
      <w:pPr>
        <w:pStyle w:val="Answer"/>
        <w:spacing w:after="0"/>
      </w:pPr>
    </w:p>
    <w:p w14:paraId="2E9DA30C" w14:textId="77777777" w:rsidR="000645A0" w:rsidRPr="00BC43AE" w:rsidRDefault="000645A0" w:rsidP="000645A0">
      <w:pPr>
        <w:pStyle w:val="Answer"/>
        <w:spacing w:after="0"/>
        <w:ind w:left="0"/>
      </w:pPr>
      <w:r w:rsidRPr="00BC43AE">
        <w:t>The main industries in Mexico include manufacturing (especially automotive, electronics and aerospace), food, construction, mining, and energy (according to the Monthly Industrial Activity Indicator of the National Institute of Statistics and Geography).</w:t>
      </w:r>
    </w:p>
    <w:p w14:paraId="7084C033" w14:textId="77777777" w:rsidR="000645A0" w:rsidRPr="00BC43AE" w:rsidRDefault="000645A0" w:rsidP="000645A0">
      <w:pPr>
        <w:pStyle w:val="Question"/>
        <w:keepNext w:val="0"/>
        <w:keepLines w:val="0"/>
        <w:spacing w:after="0"/>
      </w:pPr>
    </w:p>
    <w:p w14:paraId="2FCE5140" w14:textId="77777777" w:rsidR="000645A0" w:rsidRPr="00BC43AE" w:rsidRDefault="000645A0" w:rsidP="000645A0">
      <w:pPr>
        <w:pStyle w:val="Answer"/>
        <w:spacing w:after="0"/>
        <w:ind w:left="0"/>
        <w:rPr>
          <w:b/>
          <w:bCs/>
        </w:rPr>
      </w:pPr>
      <w:r w:rsidRPr="00BC43AE">
        <w:rPr>
          <w:b/>
          <w:bCs/>
        </w:rPr>
        <w:t>(</w:t>
      </w:r>
      <w:proofErr w:type="spellStart"/>
      <w:r w:rsidRPr="00BC43AE">
        <w:rPr>
          <w:b/>
          <w:bCs/>
        </w:rPr>
        <w:t>i</w:t>
      </w:r>
      <w:proofErr w:type="spellEnd"/>
      <w:r w:rsidRPr="00BC43AE">
        <w:rPr>
          <w:b/>
          <w:bCs/>
        </w:rPr>
        <w:t>)</w:t>
      </w:r>
      <w:r w:rsidRPr="00BC43AE">
        <w:rPr>
          <w:b/>
          <w:bCs/>
        </w:rPr>
        <w:tab/>
        <w:t>Main trading partner States:</w:t>
      </w:r>
    </w:p>
    <w:p w14:paraId="190FCD4F" w14:textId="77777777" w:rsidR="000645A0" w:rsidRPr="00BC43AE" w:rsidRDefault="000645A0" w:rsidP="000645A0">
      <w:pPr>
        <w:pStyle w:val="Answer"/>
        <w:spacing w:after="0"/>
        <w:ind w:left="0"/>
        <w:rPr>
          <w:b/>
          <w:bCs/>
        </w:rPr>
      </w:pPr>
    </w:p>
    <w:p w14:paraId="0E440700" w14:textId="372EEC7D" w:rsidR="000645A0" w:rsidRPr="00BC43AE" w:rsidRDefault="000645A0" w:rsidP="000645A0">
      <w:pPr>
        <w:pStyle w:val="Answer"/>
        <w:spacing w:after="0"/>
        <w:ind w:left="0"/>
      </w:pPr>
      <w:r w:rsidRPr="00BC43AE">
        <w:t xml:space="preserve">The United States of America, China, Germany, Japan, and </w:t>
      </w:r>
      <w:r w:rsidR="00204D21">
        <w:t>the Republic of Korea</w:t>
      </w:r>
      <w:r w:rsidRPr="00BC43AE">
        <w:t>, according to information from the National Institute of Statistics and Geography.</w:t>
      </w:r>
    </w:p>
    <w:p w14:paraId="62CD406C" w14:textId="77777777" w:rsidR="000645A0" w:rsidRPr="00BC43AE" w:rsidRDefault="000645A0" w:rsidP="000645A0">
      <w:pPr>
        <w:pStyle w:val="Answer"/>
        <w:spacing w:after="0"/>
      </w:pPr>
    </w:p>
    <w:p w14:paraId="772D5CA0" w14:textId="77777777" w:rsidR="000645A0" w:rsidRPr="00BC43AE" w:rsidRDefault="000645A0" w:rsidP="000645A0">
      <w:pPr>
        <w:pStyle w:val="Question"/>
        <w:keepNext w:val="0"/>
        <w:keepLines w:val="0"/>
        <w:spacing w:after="0"/>
      </w:pPr>
      <w:r w:rsidRPr="00BC43AE">
        <w:t>(j)</w:t>
      </w:r>
      <w:r w:rsidRPr="00BC43AE">
        <w:tab/>
        <w:t>Other key information:</w:t>
      </w:r>
    </w:p>
    <w:p w14:paraId="22476DD3" w14:textId="77777777" w:rsidR="000645A0" w:rsidRPr="00BC43AE" w:rsidRDefault="000645A0" w:rsidP="000645A0">
      <w:pPr>
        <w:pStyle w:val="Answer"/>
        <w:spacing w:after="0"/>
        <w:ind w:left="0"/>
        <w:jc w:val="both"/>
        <w:rPr>
          <w:i/>
          <w:iCs/>
        </w:rPr>
      </w:pPr>
    </w:p>
    <w:p w14:paraId="294CE955" w14:textId="77777777" w:rsidR="000645A0" w:rsidRPr="00BC43AE" w:rsidRDefault="000645A0" w:rsidP="000645A0">
      <w:pPr>
        <w:pStyle w:val="Answer"/>
        <w:spacing w:after="0"/>
        <w:ind w:left="0"/>
        <w:jc w:val="both"/>
      </w:pPr>
      <w:r w:rsidRPr="00BC43AE">
        <w:t>Since Mexico became a contracting party to WIPO in the 1970s, it has demonstrated a clear interest in strengthening the intellectual property protection system in Mexico and promoting innovation.</w:t>
      </w:r>
    </w:p>
    <w:p w14:paraId="06A025C5" w14:textId="77777777" w:rsidR="000645A0" w:rsidRPr="00BC43AE" w:rsidRDefault="000645A0" w:rsidP="000645A0">
      <w:pPr>
        <w:pStyle w:val="Answer"/>
        <w:spacing w:after="0"/>
        <w:ind w:left="0"/>
        <w:jc w:val="both"/>
      </w:pPr>
    </w:p>
    <w:p w14:paraId="48D59968" w14:textId="09967D72" w:rsidR="000645A0" w:rsidRPr="00BC43AE" w:rsidRDefault="000645A0" w:rsidP="000645A0">
      <w:pPr>
        <w:pStyle w:val="Answer"/>
        <w:spacing w:after="0"/>
        <w:ind w:left="0"/>
        <w:jc w:val="both"/>
      </w:pPr>
      <w:r w:rsidRPr="00BC43AE">
        <w:t xml:space="preserve">Currently, the President of Mexico has issued </w:t>
      </w:r>
      <w:r w:rsidR="00185543">
        <w:t>“</w:t>
      </w:r>
      <w:r w:rsidRPr="00BC43AE">
        <w:t>Plan Mexico</w:t>
      </w:r>
      <w:r w:rsidR="00185543">
        <w:t>”</w:t>
      </w:r>
      <w:r w:rsidRPr="00BC43AE">
        <w:t xml:space="preserve">, which focuses on innovation and intellectual property as pillars of economic development and seeks to transition from a consumption model to one of innovation production. </w:t>
      </w:r>
      <w:r w:rsidR="00EF3B57">
        <w:t xml:space="preserve"> </w:t>
      </w:r>
      <w:r w:rsidRPr="00BC43AE">
        <w:t>This will be achieved by strengthening an intellectual property system that protects creations while also promoting their transfer from the academic and scientific spheres to the productive sphere.</w:t>
      </w:r>
    </w:p>
    <w:p w14:paraId="456B1661" w14:textId="77777777" w:rsidR="000645A0" w:rsidRPr="00BC43AE" w:rsidRDefault="000645A0" w:rsidP="000645A0">
      <w:pPr>
        <w:pStyle w:val="Answer"/>
        <w:spacing w:after="0"/>
        <w:ind w:left="0"/>
        <w:jc w:val="both"/>
      </w:pPr>
    </w:p>
    <w:p w14:paraId="38465AC9" w14:textId="66CD14CB" w:rsidR="000645A0" w:rsidRPr="00BC43AE" w:rsidRDefault="000645A0" w:rsidP="000645A0">
      <w:pPr>
        <w:pStyle w:val="Answer"/>
        <w:spacing w:after="0"/>
        <w:ind w:left="0"/>
        <w:jc w:val="both"/>
      </w:pPr>
      <w:r w:rsidRPr="00BC43AE">
        <w:t xml:space="preserve">Similarly, the National Development Plan 2025-2030 aims to transform Mexico into a scientific, technological and innovation powerhouse. </w:t>
      </w:r>
      <w:r w:rsidR="00EF3B57">
        <w:t xml:space="preserve"> </w:t>
      </w:r>
      <w:r w:rsidRPr="00BC43AE">
        <w:t xml:space="preserve">Cross-cutting Theme 2 of the plan is entitled </w:t>
      </w:r>
      <w:r w:rsidR="00185543">
        <w:t>“</w:t>
      </w:r>
      <w:r w:rsidRPr="00BC43AE">
        <w:t>public innovation for national technological development</w:t>
      </w:r>
      <w:r w:rsidR="00185543">
        <w:t>”</w:t>
      </w:r>
      <w:r w:rsidRPr="00BC43AE">
        <w:t xml:space="preserve"> on the basis that innovation will drive Mexico towards digital self-sufficiency and build a government of the future that relies on technology, digital sovereignty and civil participation to achieve inclusive and sustainable national development.</w:t>
      </w:r>
    </w:p>
    <w:p w14:paraId="7E1598CC" w14:textId="77777777" w:rsidR="000645A0" w:rsidRPr="00BC43AE" w:rsidRDefault="000645A0" w:rsidP="000645A0">
      <w:pPr>
        <w:pStyle w:val="Answer"/>
        <w:spacing w:after="0"/>
        <w:ind w:left="0"/>
        <w:jc w:val="both"/>
      </w:pPr>
    </w:p>
    <w:p w14:paraId="1D93CAC4" w14:textId="77777777" w:rsidR="000645A0" w:rsidRPr="00BC43AE" w:rsidRDefault="000645A0" w:rsidP="000645A0">
      <w:pPr>
        <w:pStyle w:val="Answer"/>
        <w:spacing w:after="0"/>
        <w:ind w:left="0"/>
        <w:jc w:val="both"/>
      </w:pPr>
      <w:r w:rsidRPr="00BC43AE">
        <w:t>Likewise, Cross-cutting Axis 2 establishes a relevant objective, as follows:</w:t>
      </w:r>
    </w:p>
    <w:p w14:paraId="49D67008" w14:textId="77777777" w:rsidR="000645A0" w:rsidRPr="00BC43AE" w:rsidRDefault="000645A0" w:rsidP="000645A0">
      <w:pPr>
        <w:pStyle w:val="Answer"/>
        <w:spacing w:after="0"/>
        <w:ind w:left="0"/>
        <w:jc w:val="both"/>
      </w:pPr>
    </w:p>
    <w:p w14:paraId="4294D0E7" w14:textId="414926FF" w:rsidR="000645A0" w:rsidRPr="00BC43AE" w:rsidRDefault="00185543" w:rsidP="000645A0">
      <w:pPr>
        <w:pStyle w:val="Answer"/>
        <w:spacing w:after="0"/>
        <w:ind w:left="0"/>
        <w:jc w:val="both"/>
        <w:rPr>
          <w:i/>
          <w:iCs/>
        </w:rPr>
      </w:pPr>
      <w:r>
        <w:rPr>
          <w:i/>
          <w:iCs/>
        </w:rPr>
        <w:t>“</w:t>
      </w:r>
      <w:r w:rsidR="000645A0" w:rsidRPr="00BC43AE">
        <w:rPr>
          <w:i/>
          <w:iCs/>
        </w:rPr>
        <w:t xml:space="preserve">Objective T2.4: </w:t>
      </w:r>
      <w:r w:rsidR="00EF3B57">
        <w:rPr>
          <w:i/>
          <w:iCs/>
        </w:rPr>
        <w:t xml:space="preserve"> </w:t>
      </w:r>
      <w:r w:rsidR="000645A0" w:rsidRPr="00BC43AE">
        <w:rPr>
          <w:i/>
          <w:iCs/>
        </w:rPr>
        <w:t xml:space="preserve">Promote collaborative research, technological development and innovation in strategic sectors with the aim of turning Mexico into a sovereign scientific and technological power that seeks to achieve development accompanied by well-being and prosperity. </w:t>
      </w:r>
      <w:r w:rsidR="00EF3B57">
        <w:rPr>
          <w:i/>
          <w:iCs/>
        </w:rPr>
        <w:t xml:space="preserve"> </w:t>
      </w:r>
      <w:r w:rsidR="000645A0" w:rsidRPr="00BC43AE">
        <w:rPr>
          <w:i/>
          <w:iCs/>
        </w:rPr>
        <w:t>This approach will promote scientific training, knowledge generation and technology transfer with a humanistic vision, contributing to the country</w:t>
      </w:r>
      <w:r>
        <w:rPr>
          <w:i/>
          <w:iCs/>
        </w:rPr>
        <w:t>’</w:t>
      </w:r>
      <w:r w:rsidR="000645A0" w:rsidRPr="00BC43AE">
        <w:rPr>
          <w:i/>
          <w:iCs/>
        </w:rPr>
        <w:t>s comprehensive progress.</w:t>
      </w:r>
      <w:r>
        <w:rPr>
          <w:i/>
          <w:iCs/>
        </w:rPr>
        <w:t>”</w:t>
      </w:r>
    </w:p>
    <w:p w14:paraId="621EFA45" w14:textId="77777777" w:rsidR="000645A0" w:rsidRPr="00BC43AE" w:rsidRDefault="000645A0" w:rsidP="000645A0">
      <w:pPr>
        <w:pStyle w:val="Answer"/>
        <w:spacing w:after="0"/>
        <w:ind w:left="0"/>
        <w:jc w:val="both"/>
      </w:pPr>
    </w:p>
    <w:p w14:paraId="5974066D" w14:textId="77777777" w:rsidR="000645A0" w:rsidRPr="00BC43AE" w:rsidRDefault="000645A0" w:rsidP="000645A0">
      <w:pPr>
        <w:pStyle w:val="Answer"/>
        <w:spacing w:after="0"/>
        <w:ind w:left="0"/>
        <w:jc w:val="both"/>
      </w:pPr>
    </w:p>
    <w:p w14:paraId="532769E0" w14:textId="77777777" w:rsidR="000645A0" w:rsidRPr="000645A0" w:rsidRDefault="000645A0" w:rsidP="0077252C">
      <w:pPr>
        <w:pStyle w:val="SectionHeading"/>
        <w:spacing w:after="0"/>
        <w:rPr>
          <w:lang w:val="en-US"/>
        </w:rPr>
      </w:pPr>
      <w:r w:rsidRPr="000645A0">
        <w:rPr>
          <w:lang w:val="en-US"/>
        </w:rPr>
        <w:lastRenderedPageBreak/>
        <w:t>6 – Profile of Patent Applications</w:t>
      </w:r>
    </w:p>
    <w:p w14:paraId="2A158DE5" w14:textId="77777777" w:rsidR="000645A0" w:rsidRPr="00BC43AE" w:rsidRDefault="000645A0" w:rsidP="0077252C">
      <w:pPr>
        <w:pStyle w:val="Question"/>
        <w:spacing w:after="0"/>
      </w:pPr>
      <w:r w:rsidRPr="00BC43AE">
        <w:t>(a)</w:t>
      </w:r>
      <w:r w:rsidRPr="00BC43AE">
        <w:tab/>
        <w:t>Number of national applications received – by technical field:</w:t>
      </w:r>
    </w:p>
    <w:p w14:paraId="17F143AA" w14:textId="77777777" w:rsidR="000645A0" w:rsidRPr="00BC43AE" w:rsidRDefault="000645A0" w:rsidP="0077252C">
      <w:pPr>
        <w:pStyle w:val="Answer"/>
        <w:keepNext/>
        <w:spacing w:after="0"/>
        <w:ind w:left="0"/>
        <w:jc w:val="both"/>
        <w:rPr>
          <w:i/>
          <w:iCs/>
        </w:rPr>
      </w:pPr>
    </w:p>
    <w:tbl>
      <w:tblPr>
        <w:tblW w:w="9405" w:type="dxa"/>
        <w:tblInd w:w="-3" w:type="dxa"/>
        <w:tblCellMar>
          <w:left w:w="0" w:type="dxa"/>
          <w:right w:w="0" w:type="dxa"/>
        </w:tblCellMar>
        <w:tblLook w:val="04A0" w:firstRow="1" w:lastRow="0" w:firstColumn="1" w:lastColumn="0" w:noHBand="0" w:noVBand="1"/>
        <w:tblCaption w:val="Number of National Applications filed by Technical Field"/>
        <w:tblDescription w:val="This table shows the number of national applications filed by technical field for each year from 2020 to 2024 inclusive."/>
      </w:tblPr>
      <w:tblGrid>
        <w:gridCol w:w="4020"/>
        <w:gridCol w:w="1077"/>
        <w:gridCol w:w="1077"/>
        <w:gridCol w:w="1077"/>
        <w:gridCol w:w="1077"/>
        <w:gridCol w:w="1077"/>
      </w:tblGrid>
      <w:tr w:rsidR="000645A0" w:rsidRPr="00BC43AE" w14:paraId="70280B47" w14:textId="77777777" w:rsidTr="00EA0A7F">
        <w:trPr>
          <w:trHeight w:val="300"/>
        </w:trPr>
        <w:tc>
          <w:tcPr>
            <w:tcW w:w="4020" w:type="dxa"/>
            <w:tcBorders>
              <w:top w:val="single" w:sz="8" w:space="0" w:color="auto"/>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DBD9073" w14:textId="77777777" w:rsidR="000645A0" w:rsidRPr="00946610" w:rsidRDefault="000645A0" w:rsidP="0077252C">
            <w:pPr>
              <w:keepNext/>
              <w:jc w:val="center"/>
              <w:rPr>
                <w:rFonts w:eastAsiaTheme="minorHAnsi"/>
                <w:b/>
                <w:bCs/>
                <w:color w:val="FFFFFF" w:themeColor="background1"/>
                <w:lang w:eastAsia="es-MX"/>
              </w:rPr>
            </w:pPr>
            <w:r w:rsidRPr="00946610">
              <w:rPr>
                <w:b/>
                <w:bCs/>
                <w:color w:val="FFFFFF" w:themeColor="background1"/>
                <w:lang w:eastAsia="es-MX"/>
              </w:rPr>
              <w:t>Year</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0C5B4E64"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2020</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5DB182A"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2021</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613AC1D2"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2022</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62A88D5"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2023</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8D00A4D"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2024</w:t>
            </w:r>
          </w:p>
        </w:tc>
      </w:tr>
      <w:tr w:rsidR="000645A0" w:rsidRPr="00BC43AE" w14:paraId="4EE269C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B45A4CB" w14:textId="77777777" w:rsidR="000645A0" w:rsidRPr="00946610" w:rsidRDefault="000645A0" w:rsidP="0077252C">
            <w:pPr>
              <w:keepNext/>
              <w:jc w:val="center"/>
              <w:rPr>
                <w:b/>
                <w:bCs/>
                <w:color w:val="FFFFFF" w:themeColor="background1"/>
                <w:lang w:eastAsia="es-MX"/>
              </w:rPr>
            </w:pPr>
            <w:r w:rsidRPr="00946610">
              <w:rPr>
                <w:b/>
                <w:bCs/>
                <w:color w:val="FFFFFF" w:themeColor="background1"/>
                <w:lang w:eastAsia="es-MX"/>
              </w:rPr>
              <w:t>Technical field (Study coordination)</w:t>
            </w:r>
          </w:p>
        </w:tc>
        <w:tc>
          <w:tcPr>
            <w:tcW w:w="1077" w:type="dxa"/>
            <w:vMerge/>
            <w:tcBorders>
              <w:top w:val="single" w:sz="8" w:space="0" w:color="auto"/>
              <w:left w:val="nil"/>
              <w:bottom w:val="single" w:sz="8" w:space="0" w:color="auto"/>
              <w:right w:val="single" w:sz="8" w:space="0" w:color="auto"/>
            </w:tcBorders>
            <w:vAlign w:val="center"/>
            <w:hideMark/>
          </w:tcPr>
          <w:p w14:paraId="49CFDF48" w14:textId="77777777" w:rsidR="000645A0" w:rsidRPr="00946610" w:rsidRDefault="000645A0" w:rsidP="0077252C">
            <w:pPr>
              <w:keepNext/>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46B59756" w14:textId="77777777" w:rsidR="000645A0" w:rsidRPr="00946610" w:rsidRDefault="000645A0" w:rsidP="0077252C">
            <w:pPr>
              <w:keepNext/>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3F7B9157" w14:textId="77777777" w:rsidR="000645A0" w:rsidRPr="00946610" w:rsidRDefault="000645A0" w:rsidP="0077252C">
            <w:pPr>
              <w:keepNext/>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2837AF2" w14:textId="77777777" w:rsidR="000645A0" w:rsidRPr="00946610" w:rsidRDefault="000645A0" w:rsidP="0077252C">
            <w:pPr>
              <w:keepNext/>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9103C35" w14:textId="77777777" w:rsidR="000645A0" w:rsidRPr="00946610" w:rsidRDefault="000645A0" w:rsidP="0077252C">
            <w:pPr>
              <w:keepNext/>
              <w:rPr>
                <w:rFonts w:eastAsiaTheme="minorHAnsi"/>
                <w:b/>
                <w:bCs/>
                <w:color w:val="0070C0"/>
                <w:szCs w:val="22"/>
                <w:lang w:eastAsia="es-MX"/>
              </w:rPr>
            </w:pPr>
          </w:p>
        </w:tc>
      </w:tr>
      <w:tr w:rsidR="000645A0" w:rsidRPr="00BC43AE" w14:paraId="7CBB3818" w14:textId="77777777" w:rsidTr="00EA0A7F">
        <w:trPr>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004AA0" w14:textId="77777777" w:rsidR="000645A0" w:rsidRPr="00946610" w:rsidRDefault="000645A0" w:rsidP="00EA0A7F">
            <w:pPr>
              <w:rPr>
                <w:lang w:eastAsia="es-MX"/>
              </w:rPr>
            </w:pPr>
            <w:r w:rsidRPr="00946610">
              <w:rPr>
                <w:lang w:eastAsia="es-MX"/>
              </w:rPr>
              <w:t>Biotechnology</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3BC327" w14:textId="77777777" w:rsidR="000645A0" w:rsidRPr="00946610" w:rsidRDefault="000645A0" w:rsidP="00EA0A7F">
            <w:pPr>
              <w:jc w:val="center"/>
              <w:rPr>
                <w:lang w:eastAsia="es-MX"/>
              </w:rPr>
            </w:pPr>
            <w:r w:rsidRPr="00946610">
              <w:rPr>
                <w:lang w:eastAsia="es-MX"/>
              </w:rPr>
              <w:t>2,971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BA7FA3" w14:textId="77777777" w:rsidR="000645A0" w:rsidRPr="00946610" w:rsidRDefault="000645A0" w:rsidP="00EA0A7F">
            <w:pPr>
              <w:jc w:val="center"/>
              <w:rPr>
                <w:lang w:eastAsia="es-MX"/>
              </w:rPr>
            </w:pPr>
            <w:r w:rsidRPr="00946610">
              <w:rPr>
                <w:lang w:eastAsia="es-MX"/>
              </w:rPr>
              <w:t>3,529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BF9391" w14:textId="77777777" w:rsidR="000645A0" w:rsidRPr="00946610" w:rsidRDefault="000645A0" w:rsidP="00EA0A7F">
            <w:pPr>
              <w:jc w:val="center"/>
              <w:rPr>
                <w:lang w:eastAsia="es-MX"/>
              </w:rPr>
            </w:pPr>
            <w:r w:rsidRPr="00946610">
              <w:rPr>
                <w:lang w:eastAsia="es-MX"/>
              </w:rPr>
              <w:t>3,809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E530" w14:textId="77777777" w:rsidR="000645A0" w:rsidRPr="00946610" w:rsidRDefault="000645A0" w:rsidP="00EA0A7F">
            <w:pPr>
              <w:jc w:val="center"/>
              <w:rPr>
                <w:lang w:eastAsia="es-MX"/>
              </w:rPr>
            </w:pPr>
            <w:r w:rsidRPr="00946610">
              <w:rPr>
                <w:lang w:eastAsia="es-MX"/>
              </w:rPr>
              <w:t>3,319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412F2A" w14:textId="77777777" w:rsidR="000645A0" w:rsidRPr="00946610" w:rsidRDefault="000645A0" w:rsidP="00EA0A7F">
            <w:pPr>
              <w:jc w:val="center"/>
              <w:rPr>
                <w:lang w:eastAsia="es-MX"/>
              </w:rPr>
            </w:pPr>
            <w:r w:rsidRPr="00946610">
              <w:rPr>
                <w:lang w:eastAsia="es-MX"/>
              </w:rPr>
              <w:t>2,886</w:t>
            </w:r>
          </w:p>
        </w:tc>
      </w:tr>
      <w:tr w:rsidR="000645A0" w:rsidRPr="00BC43AE" w14:paraId="682E6E28"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63E8C1" w14:textId="77777777" w:rsidR="000645A0" w:rsidRPr="00946610" w:rsidRDefault="000645A0" w:rsidP="00EA0A7F">
            <w:pPr>
              <w:rPr>
                <w:lang w:eastAsia="es-MX"/>
              </w:rPr>
            </w:pPr>
            <w:r w:rsidRPr="00946610">
              <w:rPr>
                <w:lang w:eastAsia="es-MX"/>
              </w:rPr>
              <w:t>Electrical/electronic</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E50DA7" w14:textId="77777777" w:rsidR="000645A0" w:rsidRPr="00946610" w:rsidRDefault="000645A0" w:rsidP="00EA0A7F">
            <w:pPr>
              <w:jc w:val="center"/>
              <w:rPr>
                <w:lang w:eastAsia="es-MX"/>
              </w:rPr>
            </w:pPr>
            <w:r w:rsidRPr="00946610">
              <w:rPr>
                <w:lang w:eastAsia="es-MX"/>
              </w:rPr>
              <w:t>3,128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499BD4" w14:textId="77777777" w:rsidR="000645A0" w:rsidRPr="00946610" w:rsidRDefault="000645A0" w:rsidP="00EA0A7F">
            <w:pPr>
              <w:jc w:val="center"/>
              <w:rPr>
                <w:lang w:eastAsia="es-MX"/>
              </w:rPr>
            </w:pPr>
            <w:r w:rsidRPr="00946610">
              <w:rPr>
                <w:lang w:eastAsia="es-MX"/>
              </w:rPr>
              <w:t>3,772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EBFDE5" w14:textId="77777777" w:rsidR="000645A0" w:rsidRPr="00946610" w:rsidRDefault="000645A0" w:rsidP="00EA0A7F">
            <w:pPr>
              <w:jc w:val="center"/>
              <w:rPr>
                <w:lang w:eastAsia="es-MX"/>
              </w:rPr>
            </w:pPr>
            <w:r w:rsidRPr="00946610">
              <w:rPr>
                <w:lang w:eastAsia="es-MX"/>
              </w:rPr>
              <w:t>3,662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77E0A1" w14:textId="77777777" w:rsidR="000645A0" w:rsidRPr="00946610" w:rsidRDefault="000645A0" w:rsidP="00EA0A7F">
            <w:pPr>
              <w:jc w:val="center"/>
              <w:rPr>
                <w:lang w:eastAsia="es-MX"/>
              </w:rPr>
            </w:pPr>
            <w:r w:rsidRPr="00946610">
              <w:rPr>
                <w:lang w:eastAsia="es-MX"/>
              </w:rPr>
              <w:t>2,811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F1614C" w14:textId="77777777" w:rsidR="000645A0" w:rsidRPr="00946610" w:rsidRDefault="000645A0" w:rsidP="00EA0A7F">
            <w:pPr>
              <w:jc w:val="center"/>
              <w:rPr>
                <w:lang w:eastAsia="es-MX"/>
              </w:rPr>
            </w:pPr>
            <w:r w:rsidRPr="00946610">
              <w:rPr>
                <w:lang w:eastAsia="es-MX"/>
              </w:rPr>
              <w:t>3,181</w:t>
            </w:r>
          </w:p>
        </w:tc>
      </w:tr>
      <w:tr w:rsidR="000645A0" w:rsidRPr="00BC43AE" w14:paraId="4C04AE44"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44F4A8" w14:textId="77777777" w:rsidR="000645A0" w:rsidRPr="00946610" w:rsidRDefault="000645A0" w:rsidP="00EA0A7F">
            <w:pPr>
              <w:rPr>
                <w:lang w:eastAsia="es-MX"/>
              </w:rPr>
            </w:pPr>
            <w:r w:rsidRPr="00946610">
              <w:rPr>
                <w:lang w:eastAsia="es-MX"/>
              </w:rPr>
              <w:t>Pharmaceutical</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AC219" w14:textId="77777777" w:rsidR="000645A0" w:rsidRPr="00946610" w:rsidRDefault="000645A0" w:rsidP="00EA0A7F">
            <w:pPr>
              <w:jc w:val="center"/>
              <w:rPr>
                <w:lang w:eastAsia="es-MX"/>
              </w:rPr>
            </w:pPr>
            <w:r w:rsidRPr="00946610">
              <w:rPr>
                <w:lang w:eastAsia="es-MX"/>
              </w:rPr>
              <w:t>2,069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A51697" w14:textId="77777777" w:rsidR="000645A0" w:rsidRPr="00946610" w:rsidRDefault="000645A0" w:rsidP="00EA0A7F">
            <w:pPr>
              <w:jc w:val="center"/>
              <w:rPr>
                <w:lang w:eastAsia="es-MX"/>
              </w:rPr>
            </w:pPr>
            <w:r w:rsidRPr="00946610">
              <w:rPr>
                <w:lang w:eastAsia="es-MX"/>
              </w:rPr>
              <w:t>2,314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609311" w14:textId="77777777" w:rsidR="000645A0" w:rsidRPr="00946610" w:rsidRDefault="000645A0" w:rsidP="00EA0A7F">
            <w:pPr>
              <w:jc w:val="center"/>
              <w:rPr>
                <w:lang w:eastAsia="es-MX"/>
              </w:rPr>
            </w:pPr>
            <w:r w:rsidRPr="00946610">
              <w:rPr>
                <w:lang w:eastAsia="es-MX"/>
              </w:rPr>
              <w:t>2,498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6E8CF" w14:textId="77777777" w:rsidR="000645A0" w:rsidRPr="00946610" w:rsidRDefault="000645A0" w:rsidP="00EA0A7F">
            <w:pPr>
              <w:jc w:val="center"/>
              <w:rPr>
                <w:lang w:eastAsia="es-MX"/>
              </w:rPr>
            </w:pPr>
            <w:r w:rsidRPr="00946610">
              <w:rPr>
                <w:lang w:eastAsia="es-MX"/>
              </w:rPr>
              <w:t>2,232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4E544D" w14:textId="77777777" w:rsidR="000645A0" w:rsidRPr="00946610" w:rsidRDefault="000645A0" w:rsidP="00EA0A7F">
            <w:pPr>
              <w:jc w:val="center"/>
              <w:rPr>
                <w:lang w:eastAsia="es-MX"/>
              </w:rPr>
            </w:pPr>
            <w:r w:rsidRPr="00946610">
              <w:rPr>
                <w:lang w:eastAsia="es-MX"/>
              </w:rPr>
              <w:t>1,991</w:t>
            </w:r>
          </w:p>
        </w:tc>
      </w:tr>
      <w:tr w:rsidR="000645A0" w:rsidRPr="00BC43AE" w14:paraId="22D99C8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9E4B8E" w14:textId="77777777" w:rsidR="000645A0" w:rsidRPr="00946610" w:rsidRDefault="000645A0" w:rsidP="00EA0A7F">
            <w:pPr>
              <w:rPr>
                <w:lang w:eastAsia="es-MX"/>
              </w:rPr>
            </w:pPr>
            <w:r w:rsidRPr="00946610">
              <w:rPr>
                <w:lang w:eastAsia="es-MX"/>
              </w:rPr>
              <w:t>Mechanical</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C57328" w14:textId="77777777" w:rsidR="000645A0" w:rsidRPr="00946610" w:rsidRDefault="000645A0" w:rsidP="00EA0A7F">
            <w:pPr>
              <w:jc w:val="center"/>
              <w:rPr>
                <w:lang w:eastAsia="es-MX"/>
              </w:rPr>
            </w:pPr>
            <w:r w:rsidRPr="00946610">
              <w:rPr>
                <w:lang w:eastAsia="es-MX"/>
              </w:rPr>
              <w:t>3,048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DFA6F1" w14:textId="77777777" w:rsidR="000645A0" w:rsidRPr="00946610" w:rsidRDefault="000645A0" w:rsidP="00EA0A7F">
            <w:pPr>
              <w:jc w:val="center"/>
              <w:rPr>
                <w:lang w:eastAsia="es-MX"/>
              </w:rPr>
            </w:pPr>
            <w:r w:rsidRPr="00946610">
              <w:rPr>
                <w:lang w:eastAsia="es-MX"/>
              </w:rPr>
              <w:t>3,365</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142420" w14:textId="77777777" w:rsidR="000645A0" w:rsidRPr="00946610" w:rsidRDefault="000645A0" w:rsidP="00EA0A7F">
            <w:pPr>
              <w:jc w:val="center"/>
              <w:rPr>
                <w:lang w:eastAsia="es-MX"/>
              </w:rPr>
            </w:pPr>
            <w:r w:rsidRPr="00946610">
              <w:rPr>
                <w:lang w:eastAsia="es-MX"/>
              </w:rPr>
              <w:t>3,158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BA986D" w14:textId="77777777" w:rsidR="000645A0" w:rsidRPr="00946610" w:rsidRDefault="000645A0" w:rsidP="00EA0A7F">
            <w:pPr>
              <w:jc w:val="center"/>
              <w:rPr>
                <w:lang w:eastAsia="es-MX"/>
              </w:rPr>
            </w:pPr>
            <w:r w:rsidRPr="00946610">
              <w:rPr>
                <w:lang w:eastAsia="es-MX"/>
              </w:rPr>
              <w:t>3,857</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7634F0" w14:textId="77777777" w:rsidR="000645A0" w:rsidRPr="00946610" w:rsidRDefault="000645A0" w:rsidP="00EA0A7F">
            <w:pPr>
              <w:jc w:val="center"/>
              <w:rPr>
                <w:lang w:eastAsia="es-MX"/>
              </w:rPr>
            </w:pPr>
            <w:r w:rsidRPr="00946610">
              <w:rPr>
                <w:lang w:eastAsia="es-MX"/>
              </w:rPr>
              <w:t>4,069</w:t>
            </w:r>
          </w:p>
        </w:tc>
      </w:tr>
      <w:tr w:rsidR="000645A0" w:rsidRPr="00BC43AE" w14:paraId="2623599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56A982" w14:textId="77777777" w:rsidR="000645A0" w:rsidRPr="00946610" w:rsidRDefault="000645A0" w:rsidP="00EA0A7F">
            <w:pPr>
              <w:rPr>
                <w:lang w:eastAsia="es-MX"/>
              </w:rPr>
            </w:pPr>
            <w:r w:rsidRPr="00946610">
              <w:rPr>
                <w:lang w:eastAsia="es-MX"/>
              </w:rPr>
              <w:t>Chemist</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B19820" w14:textId="77777777" w:rsidR="000645A0" w:rsidRPr="00946610" w:rsidRDefault="000645A0" w:rsidP="00EA0A7F">
            <w:pPr>
              <w:jc w:val="center"/>
              <w:rPr>
                <w:lang w:eastAsia="es-MX"/>
              </w:rPr>
            </w:pPr>
            <w:r w:rsidRPr="00946610">
              <w:rPr>
                <w:lang w:eastAsia="es-MX"/>
              </w:rPr>
              <w:t>2,713</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25CA6E" w14:textId="77777777" w:rsidR="000645A0" w:rsidRPr="00946610" w:rsidRDefault="000645A0" w:rsidP="00EA0A7F">
            <w:pPr>
              <w:jc w:val="center"/>
              <w:rPr>
                <w:lang w:eastAsia="es-MX"/>
              </w:rPr>
            </w:pPr>
            <w:r w:rsidRPr="00946610">
              <w:rPr>
                <w:lang w:eastAsia="es-MX"/>
              </w:rPr>
              <w:t>2,810</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D3D0C1" w14:textId="77777777" w:rsidR="000645A0" w:rsidRPr="00946610" w:rsidRDefault="000645A0" w:rsidP="00EA0A7F">
            <w:pPr>
              <w:jc w:val="center"/>
              <w:rPr>
                <w:lang w:eastAsia="es-MX"/>
              </w:rPr>
            </w:pPr>
            <w:r w:rsidRPr="00946610">
              <w:rPr>
                <w:lang w:eastAsia="es-MX"/>
              </w:rPr>
              <w:t>3,234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FC3A14" w14:textId="77777777" w:rsidR="000645A0" w:rsidRPr="00946610" w:rsidRDefault="000645A0" w:rsidP="00EA0A7F">
            <w:pPr>
              <w:jc w:val="center"/>
              <w:rPr>
                <w:lang w:eastAsia="es-MX"/>
              </w:rPr>
            </w:pPr>
            <w:r w:rsidRPr="00946610">
              <w:rPr>
                <w:lang w:eastAsia="es-MX"/>
              </w:rPr>
              <w:t>3,106</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4CF36C" w14:textId="77777777" w:rsidR="000645A0" w:rsidRPr="00946610" w:rsidRDefault="000645A0" w:rsidP="00EA0A7F">
            <w:pPr>
              <w:jc w:val="center"/>
              <w:rPr>
                <w:lang w:eastAsia="es-MX"/>
              </w:rPr>
            </w:pPr>
            <w:r w:rsidRPr="00946610">
              <w:rPr>
                <w:lang w:eastAsia="es-MX"/>
              </w:rPr>
              <w:t>2,833</w:t>
            </w:r>
          </w:p>
        </w:tc>
      </w:tr>
      <w:tr w:rsidR="000645A0" w:rsidRPr="00BC43AE" w14:paraId="31D2653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530CA27" w14:textId="77777777" w:rsidR="000645A0" w:rsidRPr="00946610" w:rsidRDefault="000645A0" w:rsidP="00EA0A7F">
            <w:pPr>
              <w:rPr>
                <w:lang w:eastAsia="es-MX"/>
              </w:rPr>
            </w:pPr>
            <w:r w:rsidRPr="00946610">
              <w:rPr>
                <w:lang w:eastAsia="es-MX"/>
              </w:rPr>
              <w:t>Unclassified</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BC7FAE8" w14:textId="77777777" w:rsidR="000645A0" w:rsidRPr="00946610" w:rsidRDefault="000645A0" w:rsidP="00EA0A7F">
            <w:pPr>
              <w:jc w:val="center"/>
              <w:rPr>
                <w:lang w:eastAsia="es-MX"/>
              </w:rPr>
            </w:pPr>
            <w:r w:rsidRPr="00946610">
              <w:rPr>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1F16DB9" w14:textId="77777777" w:rsidR="000645A0" w:rsidRPr="00946610" w:rsidRDefault="000645A0" w:rsidP="00EA0A7F">
            <w:pPr>
              <w:jc w:val="center"/>
              <w:rPr>
                <w:lang w:eastAsia="es-MX"/>
              </w:rPr>
            </w:pPr>
            <w:r w:rsidRPr="00946610">
              <w:rPr>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60B2B13" w14:textId="77777777" w:rsidR="000645A0" w:rsidRPr="00946610" w:rsidRDefault="000645A0" w:rsidP="00EA0A7F">
            <w:pPr>
              <w:jc w:val="center"/>
              <w:rPr>
                <w:lang w:eastAsia="es-MX"/>
              </w:rPr>
            </w:pPr>
            <w:r w:rsidRPr="00946610">
              <w:rPr>
                <w:lang w:eastAsia="es-MX"/>
              </w:rPr>
              <w:t>2</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5803BB6" w14:textId="77777777" w:rsidR="000645A0" w:rsidRPr="00946610" w:rsidRDefault="000645A0" w:rsidP="00EA0A7F">
            <w:pPr>
              <w:jc w:val="center"/>
              <w:rPr>
                <w:lang w:eastAsia="es-MX"/>
              </w:rPr>
            </w:pPr>
            <w:r w:rsidRPr="00946610">
              <w:rPr>
                <w:lang w:eastAsia="es-MX"/>
              </w:rPr>
              <w:t>14</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37F9DB7" w14:textId="77777777" w:rsidR="000645A0" w:rsidRPr="00946610" w:rsidRDefault="000645A0" w:rsidP="00EA0A7F">
            <w:pPr>
              <w:jc w:val="center"/>
              <w:rPr>
                <w:lang w:eastAsia="es-MX"/>
              </w:rPr>
            </w:pPr>
            <w:r w:rsidRPr="00946610">
              <w:rPr>
                <w:lang w:eastAsia="es-MX"/>
              </w:rPr>
              <w:t>879</w:t>
            </w:r>
          </w:p>
        </w:tc>
      </w:tr>
      <w:tr w:rsidR="000645A0" w:rsidRPr="00BC43AE" w14:paraId="462D120C"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8128B2" w14:textId="77777777" w:rsidR="000645A0" w:rsidRPr="00946610" w:rsidRDefault="000645A0" w:rsidP="00EA0A7F">
            <w:pPr>
              <w:rPr>
                <w:b/>
                <w:bCs/>
                <w:lang w:eastAsia="es-MX"/>
              </w:rPr>
            </w:pPr>
            <w:r w:rsidRPr="00946610">
              <w:rPr>
                <w:b/>
                <w:bCs/>
                <w:lang w:eastAsia="es-MX"/>
              </w:rPr>
              <w:t>Total</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9032654" w14:textId="0C38AC54" w:rsidR="000645A0" w:rsidRPr="00946610" w:rsidRDefault="000645A0" w:rsidP="00EA0A7F">
            <w:pPr>
              <w:jc w:val="center"/>
              <w:rPr>
                <w:b/>
                <w:bCs/>
                <w:lang w:eastAsia="es-MX"/>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B12E7D">
              <w:rPr>
                <w:b/>
                <w:bCs/>
                <w:noProof/>
                <w:lang w:eastAsia="es-MX"/>
              </w:rPr>
              <w:t>15,949</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8E2537D" w14:textId="7A82129C" w:rsidR="000645A0" w:rsidRPr="00946610" w:rsidRDefault="000645A0" w:rsidP="00EA0A7F">
            <w:pPr>
              <w:jc w:val="center"/>
              <w:rPr>
                <w:b/>
                <w:bCs/>
                <w:lang w:eastAsia="es-MX"/>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B12E7D">
              <w:rPr>
                <w:b/>
                <w:bCs/>
                <w:noProof/>
                <w:lang w:eastAsia="es-MX"/>
              </w:rPr>
              <w:t>17,811</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DA99643" w14:textId="03D2DC55" w:rsidR="000645A0" w:rsidRPr="00946610" w:rsidRDefault="000645A0" w:rsidP="00EA0A7F">
            <w:pPr>
              <w:jc w:val="center"/>
              <w:rPr>
                <w:b/>
                <w:bCs/>
                <w:lang w:eastAsia="es-MX"/>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B12E7D">
              <w:rPr>
                <w:b/>
                <w:bCs/>
                <w:noProof/>
                <w:lang w:eastAsia="es-MX"/>
              </w:rPr>
              <w:t>18,385</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F6567E" w14:textId="0A2F6987" w:rsidR="000645A0" w:rsidRPr="00946610" w:rsidRDefault="000645A0" w:rsidP="00EA0A7F">
            <w:pPr>
              <w:jc w:val="center"/>
              <w:rPr>
                <w:b/>
                <w:bCs/>
                <w:lang w:eastAsia="es-MX"/>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B12E7D">
              <w:rPr>
                <w:b/>
                <w:bCs/>
                <w:noProof/>
                <w:lang w:eastAsia="es-MX"/>
              </w:rPr>
              <w:t>17,362</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E60E48E" w14:textId="31D8D397" w:rsidR="000645A0" w:rsidRPr="00946610" w:rsidRDefault="000645A0" w:rsidP="00EA0A7F">
            <w:pPr>
              <w:jc w:val="center"/>
              <w:rPr>
                <w:b/>
                <w:bCs/>
                <w:lang w:eastAsia="es-MX"/>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B12E7D">
              <w:rPr>
                <w:b/>
                <w:bCs/>
                <w:noProof/>
                <w:lang w:eastAsia="es-MX"/>
              </w:rPr>
              <w:t>17,863</w:t>
            </w:r>
            <w:r w:rsidRPr="00946610">
              <w:rPr>
                <w:b/>
                <w:bCs/>
                <w:lang w:eastAsia="es-MX"/>
              </w:rPr>
              <w:fldChar w:fldCharType="end"/>
            </w:r>
          </w:p>
        </w:tc>
      </w:tr>
    </w:tbl>
    <w:p w14:paraId="4A1A36DE" w14:textId="77777777" w:rsidR="000645A0" w:rsidRPr="00BC43AE" w:rsidRDefault="000645A0" w:rsidP="000645A0">
      <w:pPr>
        <w:pStyle w:val="Answer"/>
        <w:spacing w:after="0"/>
        <w:ind w:left="0"/>
        <w:jc w:val="both"/>
      </w:pPr>
    </w:p>
    <w:p w14:paraId="6AB7BAB0" w14:textId="77777777" w:rsidR="000645A0" w:rsidRPr="00BC43AE" w:rsidRDefault="000645A0" w:rsidP="000645A0">
      <w:pPr>
        <w:pStyle w:val="Question"/>
        <w:spacing w:after="0"/>
      </w:pPr>
      <w:r w:rsidRPr="00BC43AE">
        <w:t>(b)</w:t>
      </w:r>
      <w:r w:rsidRPr="00BC43AE">
        <w:tab/>
        <w:t>Number of national applications received – by route:</w:t>
      </w:r>
    </w:p>
    <w:p w14:paraId="2581DC30" w14:textId="77777777" w:rsidR="000645A0" w:rsidRPr="00F515E7" w:rsidRDefault="000645A0" w:rsidP="000645A0">
      <w:pPr>
        <w:rPr>
          <w:rFonts w:eastAsia="Times New Roman"/>
          <w:szCs w:val="22"/>
          <w:lang w:eastAsia="es-MX"/>
        </w:rPr>
      </w:pPr>
    </w:p>
    <w:tbl>
      <w:tblPr>
        <w:tblW w:w="9540" w:type="dxa"/>
        <w:tblInd w:w="-78" w:type="dxa"/>
        <w:tblCellMar>
          <w:left w:w="70" w:type="dxa"/>
          <w:right w:w="70" w:type="dxa"/>
        </w:tblCellMar>
        <w:tblLook w:val="04A0" w:firstRow="1" w:lastRow="0" w:firstColumn="1" w:lastColumn="0" w:noHBand="0" w:noVBand="1"/>
        <w:tblCaption w:val="Number of national applications received, by method"/>
        <w:tblDescription w:val="This table shows the number of applications received in the last five years, broken down by method of submission."/>
      </w:tblPr>
      <w:tblGrid>
        <w:gridCol w:w="4155"/>
        <w:gridCol w:w="1077"/>
        <w:gridCol w:w="1077"/>
        <w:gridCol w:w="1077"/>
        <w:gridCol w:w="1077"/>
        <w:gridCol w:w="1077"/>
      </w:tblGrid>
      <w:tr w:rsidR="000645A0" w:rsidRPr="00BC43AE" w14:paraId="68E56A23" w14:textId="77777777" w:rsidTr="00EA0A7F">
        <w:trPr>
          <w:trHeight w:val="231"/>
        </w:trPr>
        <w:tc>
          <w:tcPr>
            <w:tcW w:w="4155" w:type="dxa"/>
            <w:tcBorders>
              <w:top w:val="single" w:sz="4" w:space="0" w:color="auto"/>
              <w:left w:val="single" w:sz="4" w:space="0" w:color="auto"/>
              <w:bottom w:val="single" w:sz="4" w:space="0" w:color="auto"/>
              <w:right w:val="single" w:sz="4" w:space="0" w:color="auto"/>
            </w:tcBorders>
            <w:shd w:val="clear" w:color="000000" w:fill="1E5B4F"/>
            <w:noWrap/>
            <w:vAlign w:val="center"/>
          </w:tcPr>
          <w:p w14:paraId="01E8E6A6"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Year</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EE50D2C"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4374AE6"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284111FA"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35B750A"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6A5FCF0"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2024</w:t>
            </w:r>
          </w:p>
        </w:tc>
      </w:tr>
      <w:tr w:rsidR="000645A0" w:rsidRPr="00BC43AE" w14:paraId="31F97DBA" w14:textId="77777777" w:rsidTr="00EA0A7F">
        <w:trPr>
          <w:trHeight w:val="231"/>
        </w:trPr>
        <w:tc>
          <w:tcPr>
            <w:tcW w:w="4155" w:type="dxa"/>
            <w:tcBorders>
              <w:top w:val="nil"/>
              <w:left w:val="single" w:sz="4" w:space="0" w:color="auto"/>
              <w:bottom w:val="single" w:sz="4" w:space="0" w:color="auto"/>
              <w:right w:val="single" w:sz="4" w:space="0" w:color="auto"/>
            </w:tcBorders>
            <w:shd w:val="clear" w:color="000000" w:fill="1E5B4F"/>
            <w:noWrap/>
            <w:vAlign w:val="center"/>
            <w:hideMark/>
          </w:tcPr>
          <w:p w14:paraId="4425B095"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Via</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F4253C"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455838"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0564C0F"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B0D4FB"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E792DA" w14:textId="77777777" w:rsidR="000645A0" w:rsidRPr="00946610" w:rsidRDefault="000645A0" w:rsidP="00EA0A7F">
            <w:pPr>
              <w:rPr>
                <w:rFonts w:eastAsia="Times New Roman"/>
                <w:b/>
                <w:bCs/>
                <w:color w:val="FFFFFF"/>
                <w:szCs w:val="22"/>
                <w:lang w:eastAsia="es-MX"/>
              </w:rPr>
            </w:pPr>
          </w:p>
        </w:tc>
      </w:tr>
      <w:tr w:rsidR="000645A0" w:rsidRPr="00BC43AE" w14:paraId="30E7A6E9"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B591BD1"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First national submission/internal priority</w:t>
            </w:r>
          </w:p>
        </w:tc>
        <w:tc>
          <w:tcPr>
            <w:tcW w:w="1077" w:type="dxa"/>
            <w:tcBorders>
              <w:top w:val="nil"/>
              <w:left w:val="nil"/>
              <w:bottom w:val="single" w:sz="4" w:space="0" w:color="auto"/>
              <w:right w:val="single" w:sz="4" w:space="0" w:color="auto"/>
            </w:tcBorders>
            <w:noWrap/>
            <w:vAlign w:val="center"/>
            <w:hideMark/>
          </w:tcPr>
          <w:p w14:paraId="348CF333"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1,085</w:t>
            </w:r>
          </w:p>
        </w:tc>
        <w:tc>
          <w:tcPr>
            <w:tcW w:w="1077" w:type="dxa"/>
            <w:tcBorders>
              <w:top w:val="nil"/>
              <w:left w:val="nil"/>
              <w:bottom w:val="single" w:sz="4" w:space="0" w:color="auto"/>
              <w:right w:val="single" w:sz="4" w:space="0" w:color="auto"/>
            </w:tcBorders>
            <w:noWrap/>
            <w:vAlign w:val="center"/>
            <w:hideMark/>
          </w:tcPr>
          <w:p w14:paraId="1E5AAFF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1,070</w:t>
            </w:r>
          </w:p>
        </w:tc>
        <w:tc>
          <w:tcPr>
            <w:tcW w:w="1077" w:type="dxa"/>
            <w:tcBorders>
              <w:top w:val="nil"/>
              <w:left w:val="nil"/>
              <w:bottom w:val="single" w:sz="4" w:space="0" w:color="auto"/>
              <w:right w:val="single" w:sz="4" w:space="0" w:color="auto"/>
            </w:tcBorders>
            <w:noWrap/>
            <w:vAlign w:val="center"/>
            <w:hideMark/>
          </w:tcPr>
          <w:p w14:paraId="181C5DCF"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950</w:t>
            </w:r>
          </w:p>
        </w:tc>
        <w:tc>
          <w:tcPr>
            <w:tcW w:w="1077" w:type="dxa"/>
            <w:tcBorders>
              <w:top w:val="nil"/>
              <w:left w:val="nil"/>
              <w:bottom w:val="single" w:sz="4" w:space="0" w:color="auto"/>
              <w:right w:val="single" w:sz="4" w:space="0" w:color="auto"/>
            </w:tcBorders>
            <w:noWrap/>
            <w:vAlign w:val="center"/>
            <w:hideMark/>
          </w:tcPr>
          <w:p w14:paraId="13479CF4"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934</w:t>
            </w:r>
          </w:p>
        </w:tc>
        <w:tc>
          <w:tcPr>
            <w:tcW w:w="1077" w:type="dxa"/>
            <w:tcBorders>
              <w:top w:val="nil"/>
              <w:left w:val="nil"/>
              <w:bottom w:val="single" w:sz="4" w:space="0" w:color="auto"/>
              <w:right w:val="single" w:sz="4" w:space="0" w:color="auto"/>
            </w:tcBorders>
            <w:noWrap/>
            <w:vAlign w:val="center"/>
            <w:hideMark/>
          </w:tcPr>
          <w:p w14:paraId="3D5CEC72"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1,144</w:t>
            </w:r>
          </w:p>
        </w:tc>
      </w:tr>
      <w:tr w:rsidR="000645A0" w:rsidRPr="00BC43AE" w14:paraId="62BD1B32"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1FAF5C9"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Priority under the Paris Convention</w:t>
            </w:r>
          </w:p>
        </w:tc>
        <w:tc>
          <w:tcPr>
            <w:tcW w:w="1077" w:type="dxa"/>
            <w:tcBorders>
              <w:top w:val="nil"/>
              <w:left w:val="nil"/>
              <w:bottom w:val="single" w:sz="4" w:space="0" w:color="auto"/>
              <w:right w:val="single" w:sz="4" w:space="0" w:color="auto"/>
            </w:tcBorders>
            <w:noWrap/>
            <w:vAlign w:val="center"/>
            <w:hideMark/>
          </w:tcPr>
          <w:p w14:paraId="53B4024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1,187</w:t>
            </w:r>
          </w:p>
        </w:tc>
        <w:tc>
          <w:tcPr>
            <w:tcW w:w="1077" w:type="dxa"/>
            <w:tcBorders>
              <w:top w:val="nil"/>
              <w:left w:val="nil"/>
              <w:bottom w:val="single" w:sz="4" w:space="0" w:color="auto"/>
              <w:right w:val="single" w:sz="4" w:space="0" w:color="auto"/>
            </w:tcBorders>
            <w:noWrap/>
            <w:vAlign w:val="center"/>
            <w:hideMark/>
          </w:tcPr>
          <w:p w14:paraId="3BC7301C"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1,900</w:t>
            </w:r>
          </w:p>
        </w:tc>
        <w:tc>
          <w:tcPr>
            <w:tcW w:w="1077" w:type="dxa"/>
            <w:tcBorders>
              <w:top w:val="nil"/>
              <w:left w:val="nil"/>
              <w:bottom w:val="single" w:sz="4" w:space="0" w:color="auto"/>
              <w:right w:val="single" w:sz="4" w:space="0" w:color="auto"/>
            </w:tcBorders>
            <w:noWrap/>
            <w:vAlign w:val="center"/>
            <w:hideMark/>
          </w:tcPr>
          <w:p w14:paraId="638D7A5C"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2,377</w:t>
            </w:r>
          </w:p>
        </w:tc>
        <w:tc>
          <w:tcPr>
            <w:tcW w:w="1077" w:type="dxa"/>
            <w:tcBorders>
              <w:top w:val="nil"/>
              <w:left w:val="nil"/>
              <w:bottom w:val="single" w:sz="4" w:space="0" w:color="auto"/>
              <w:right w:val="single" w:sz="4" w:space="0" w:color="auto"/>
            </w:tcBorders>
            <w:noWrap/>
            <w:vAlign w:val="center"/>
            <w:hideMark/>
          </w:tcPr>
          <w:p w14:paraId="459C139B"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2,352</w:t>
            </w:r>
          </w:p>
        </w:tc>
        <w:tc>
          <w:tcPr>
            <w:tcW w:w="1077" w:type="dxa"/>
            <w:tcBorders>
              <w:top w:val="nil"/>
              <w:left w:val="nil"/>
              <w:bottom w:val="single" w:sz="4" w:space="0" w:color="auto"/>
              <w:right w:val="single" w:sz="4" w:space="0" w:color="auto"/>
            </w:tcBorders>
            <w:noWrap/>
            <w:vAlign w:val="center"/>
            <w:hideMark/>
          </w:tcPr>
          <w:p w14:paraId="0FA908A3"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3,143</w:t>
            </w:r>
          </w:p>
        </w:tc>
      </w:tr>
      <w:tr w:rsidR="000645A0" w:rsidRPr="00BC43AE" w14:paraId="66C05AEE"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0BC94008"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Entry into the national phase of the PCT</w:t>
            </w:r>
          </w:p>
        </w:tc>
        <w:tc>
          <w:tcPr>
            <w:tcW w:w="1077" w:type="dxa"/>
            <w:tcBorders>
              <w:top w:val="nil"/>
              <w:left w:val="nil"/>
              <w:bottom w:val="single" w:sz="4" w:space="0" w:color="auto"/>
              <w:right w:val="single" w:sz="4" w:space="0" w:color="auto"/>
            </w:tcBorders>
            <w:noWrap/>
            <w:vAlign w:val="center"/>
            <w:hideMark/>
          </w:tcPr>
          <w:p w14:paraId="42AA37D7"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12,038</w:t>
            </w:r>
          </w:p>
        </w:tc>
        <w:tc>
          <w:tcPr>
            <w:tcW w:w="1077" w:type="dxa"/>
            <w:tcBorders>
              <w:top w:val="nil"/>
              <w:left w:val="nil"/>
              <w:bottom w:val="single" w:sz="4" w:space="0" w:color="auto"/>
              <w:right w:val="single" w:sz="4" w:space="0" w:color="auto"/>
            </w:tcBorders>
            <w:noWrap/>
            <w:vAlign w:val="center"/>
            <w:hideMark/>
          </w:tcPr>
          <w:p w14:paraId="172D112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13,191</w:t>
            </w:r>
          </w:p>
        </w:tc>
        <w:tc>
          <w:tcPr>
            <w:tcW w:w="1077" w:type="dxa"/>
            <w:tcBorders>
              <w:top w:val="nil"/>
              <w:left w:val="nil"/>
              <w:bottom w:val="single" w:sz="4" w:space="0" w:color="auto"/>
              <w:right w:val="single" w:sz="4" w:space="0" w:color="auto"/>
            </w:tcBorders>
            <w:noWrap/>
            <w:vAlign w:val="center"/>
            <w:hideMark/>
          </w:tcPr>
          <w:p w14:paraId="36F76A58"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13,278</w:t>
            </w:r>
          </w:p>
        </w:tc>
        <w:tc>
          <w:tcPr>
            <w:tcW w:w="1077" w:type="dxa"/>
            <w:tcBorders>
              <w:top w:val="nil"/>
              <w:left w:val="nil"/>
              <w:bottom w:val="single" w:sz="4" w:space="0" w:color="auto"/>
              <w:right w:val="single" w:sz="4" w:space="0" w:color="auto"/>
            </w:tcBorders>
            <w:noWrap/>
            <w:vAlign w:val="center"/>
            <w:hideMark/>
          </w:tcPr>
          <w:p w14:paraId="4CB78AC2"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12,344</w:t>
            </w:r>
          </w:p>
        </w:tc>
        <w:tc>
          <w:tcPr>
            <w:tcW w:w="1077" w:type="dxa"/>
            <w:tcBorders>
              <w:top w:val="nil"/>
              <w:left w:val="nil"/>
              <w:bottom w:val="single" w:sz="4" w:space="0" w:color="auto"/>
              <w:right w:val="single" w:sz="4" w:space="0" w:color="auto"/>
            </w:tcBorders>
            <w:noWrap/>
            <w:vAlign w:val="center"/>
            <w:hideMark/>
          </w:tcPr>
          <w:p w14:paraId="385317AF"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11,902</w:t>
            </w:r>
          </w:p>
        </w:tc>
      </w:tr>
      <w:tr w:rsidR="000645A0" w:rsidRPr="00BC43AE" w14:paraId="23812977" w14:textId="77777777" w:rsidTr="00EA0A7F">
        <w:trPr>
          <w:trHeight w:val="416"/>
        </w:trPr>
        <w:tc>
          <w:tcPr>
            <w:tcW w:w="4155" w:type="dxa"/>
            <w:tcBorders>
              <w:top w:val="nil"/>
              <w:left w:val="single" w:sz="4" w:space="0" w:color="auto"/>
              <w:bottom w:val="single" w:sz="4" w:space="0" w:color="auto"/>
              <w:right w:val="single" w:sz="4" w:space="0" w:color="auto"/>
            </w:tcBorders>
            <w:noWrap/>
            <w:vAlign w:val="center"/>
            <w:hideMark/>
          </w:tcPr>
          <w:p w14:paraId="7C6D4BCD"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Total (patents received per year)</w:t>
            </w:r>
          </w:p>
        </w:tc>
        <w:tc>
          <w:tcPr>
            <w:tcW w:w="1077" w:type="dxa"/>
            <w:tcBorders>
              <w:top w:val="nil"/>
              <w:left w:val="nil"/>
              <w:bottom w:val="single" w:sz="4" w:space="0" w:color="auto"/>
              <w:right w:val="single" w:sz="4" w:space="0" w:color="auto"/>
            </w:tcBorders>
            <w:noWrap/>
            <w:vAlign w:val="center"/>
            <w:hideMark/>
          </w:tcPr>
          <w:p w14:paraId="0801F488"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14,310</w:t>
            </w:r>
          </w:p>
        </w:tc>
        <w:tc>
          <w:tcPr>
            <w:tcW w:w="1077" w:type="dxa"/>
            <w:tcBorders>
              <w:top w:val="nil"/>
              <w:left w:val="nil"/>
              <w:bottom w:val="single" w:sz="4" w:space="0" w:color="auto"/>
              <w:right w:val="single" w:sz="4" w:space="0" w:color="auto"/>
            </w:tcBorders>
            <w:noWrap/>
            <w:vAlign w:val="center"/>
            <w:hideMark/>
          </w:tcPr>
          <w:p w14:paraId="4E0EBF07"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16,161</w:t>
            </w:r>
          </w:p>
        </w:tc>
        <w:tc>
          <w:tcPr>
            <w:tcW w:w="1077" w:type="dxa"/>
            <w:tcBorders>
              <w:top w:val="nil"/>
              <w:left w:val="nil"/>
              <w:bottom w:val="single" w:sz="4" w:space="0" w:color="auto"/>
              <w:right w:val="single" w:sz="4" w:space="0" w:color="auto"/>
            </w:tcBorders>
            <w:noWrap/>
            <w:vAlign w:val="center"/>
            <w:hideMark/>
          </w:tcPr>
          <w:p w14:paraId="26C33D2C"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16,605</w:t>
            </w:r>
          </w:p>
        </w:tc>
        <w:tc>
          <w:tcPr>
            <w:tcW w:w="1077" w:type="dxa"/>
            <w:tcBorders>
              <w:top w:val="nil"/>
              <w:left w:val="nil"/>
              <w:bottom w:val="single" w:sz="4" w:space="0" w:color="auto"/>
              <w:right w:val="single" w:sz="4" w:space="0" w:color="auto"/>
            </w:tcBorders>
            <w:noWrap/>
            <w:vAlign w:val="center"/>
            <w:hideMark/>
          </w:tcPr>
          <w:p w14:paraId="2B0E7B5B"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15,630</w:t>
            </w:r>
          </w:p>
        </w:tc>
        <w:tc>
          <w:tcPr>
            <w:tcW w:w="1077" w:type="dxa"/>
            <w:tcBorders>
              <w:top w:val="nil"/>
              <w:left w:val="nil"/>
              <w:bottom w:val="single" w:sz="4" w:space="0" w:color="auto"/>
              <w:right w:val="single" w:sz="4" w:space="0" w:color="auto"/>
            </w:tcBorders>
            <w:noWrap/>
            <w:vAlign w:val="center"/>
            <w:hideMark/>
          </w:tcPr>
          <w:p w14:paraId="659F18A4"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16,189</w:t>
            </w:r>
          </w:p>
        </w:tc>
      </w:tr>
    </w:tbl>
    <w:p w14:paraId="2D208490" w14:textId="77777777" w:rsidR="000645A0" w:rsidRPr="00BC43AE" w:rsidRDefault="000645A0" w:rsidP="000645A0">
      <w:pPr>
        <w:pStyle w:val="Answer"/>
        <w:spacing w:after="0"/>
      </w:pPr>
    </w:p>
    <w:p w14:paraId="7A3879A3" w14:textId="056CD9A3" w:rsidR="000645A0" w:rsidRPr="00BC43AE" w:rsidRDefault="000645A0" w:rsidP="00EF3B57">
      <w:pPr>
        <w:pStyle w:val="Question"/>
        <w:spacing w:before="240"/>
      </w:pPr>
      <w:r w:rsidRPr="00BC43AE">
        <w:t>(c)</w:t>
      </w:r>
      <w:r w:rsidRPr="00BC43AE">
        <w:tab/>
        <w:t>Number of international applications received from nationals and residents of the State(s):</w:t>
      </w:r>
    </w:p>
    <w:p w14:paraId="639F55FA" w14:textId="77777777" w:rsidR="000645A0" w:rsidRPr="00BC43AE" w:rsidRDefault="000645A0" w:rsidP="000645A0">
      <w:pPr>
        <w:pStyle w:val="Answer"/>
        <w:spacing w:after="0"/>
      </w:pPr>
    </w:p>
    <w:tbl>
      <w:tblPr>
        <w:tblW w:w="9960" w:type="dxa"/>
        <w:tblCellMar>
          <w:left w:w="70" w:type="dxa"/>
          <w:right w:w="70" w:type="dxa"/>
        </w:tblCellMar>
        <w:tblLook w:val="04A0" w:firstRow="1" w:lastRow="0" w:firstColumn="1" w:lastColumn="0" w:noHBand="0" w:noVBand="1"/>
        <w:tblCaption w:val="Number of international applications received from nationals and residents of Mexico"/>
        <w:tblDescription w:val="This table shows the number of internaitonal applications received at IMPI from nationals and residents of Mexico for each year from 2020 to 2024 inclusive, broken down by technical field."/>
      </w:tblPr>
      <w:tblGrid>
        <w:gridCol w:w="3960"/>
        <w:gridCol w:w="1077"/>
        <w:gridCol w:w="1077"/>
        <w:gridCol w:w="1077"/>
        <w:gridCol w:w="1077"/>
        <w:gridCol w:w="1077"/>
        <w:gridCol w:w="615"/>
      </w:tblGrid>
      <w:tr w:rsidR="000645A0" w:rsidRPr="00BC43AE" w14:paraId="5CCCE41A" w14:textId="77777777" w:rsidTr="00EA0A7F">
        <w:trPr>
          <w:gridAfter w:val="1"/>
          <w:wAfter w:w="615"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2B24A15"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Year</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CD107E8"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A2927EC"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7ED5E00"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83C1AF6"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4E33DF6"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2024</w:t>
            </w:r>
          </w:p>
        </w:tc>
      </w:tr>
      <w:tr w:rsidR="000645A0" w:rsidRPr="00BC43AE" w14:paraId="069E0CC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shd w:val="clear" w:color="000000" w:fill="1E5B4F"/>
            <w:noWrap/>
            <w:vAlign w:val="center"/>
            <w:hideMark/>
          </w:tcPr>
          <w:p w14:paraId="3B579C34" w14:textId="77777777" w:rsidR="000645A0" w:rsidRPr="00946610" w:rsidRDefault="000645A0" w:rsidP="00EA0A7F">
            <w:pPr>
              <w:jc w:val="center"/>
              <w:rPr>
                <w:rFonts w:eastAsia="Times New Roman"/>
                <w:b/>
                <w:bCs/>
                <w:color w:val="FFFFFF"/>
                <w:szCs w:val="22"/>
                <w:lang w:eastAsia="es-MX"/>
              </w:rPr>
            </w:pPr>
            <w:r w:rsidRPr="00946610">
              <w:rPr>
                <w:rFonts w:eastAsia="Times New Roman"/>
                <w:b/>
                <w:bCs/>
                <w:color w:val="FFFFFF"/>
                <w:szCs w:val="22"/>
                <w:lang w:eastAsia="es-MX"/>
              </w:rPr>
              <w:t>Technical field (study coordination)</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B1039CE"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8864F2E"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986C28"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97A0935" w14:textId="77777777" w:rsidR="000645A0" w:rsidRPr="00946610" w:rsidRDefault="000645A0" w:rsidP="00EA0A7F">
            <w:pPr>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C00573" w14:textId="77777777" w:rsidR="000645A0" w:rsidRPr="00946610" w:rsidRDefault="000645A0" w:rsidP="00EA0A7F">
            <w:pPr>
              <w:rPr>
                <w:rFonts w:eastAsia="Times New Roman"/>
                <w:b/>
                <w:bCs/>
                <w:color w:val="FFFFFF"/>
                <w:szCs w:val="22"/>
                <w:lang w:eastAsia="es-MX"/>
              </w:rPr>
            </w:pPr>
          </w:p>
        </w:tc>
      </w:tr>
      <w:tr w:rsidR="000645A0" w:rsidRPr="00BC43AE" w14:paraId="45EC576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85C2B3E" w14:textId="77777777" w:rsidR="000645A0" w:rsidRPr="00946610" w:rsidRDefault="000645A0" w:rsidP="00EA0A7F">
            <w:pPr>
              <w:rPr>
                <w:rFonts w:eastAsia="Times New Roman"/>
                <w:szCs w:val="22"/>
                <w:lang w:eastAsia="es-MX"/>
              </w:rPr>
            </w:pPr>
            <w:r w:rsidRPr="00946610">
              <w:rPr>
                <w:rFonts w:eastAsia="Times New Roman"/>
                <w:szCs w:val="22"/>
                <w:lang w:eastAsia="es-MX"/>
              </w:rPr>
              <w:t>Biotechnology</w:t>
            </w:r>
          </w:p>
        </w:tc>
        <w:tc>
          <w:tcPr>
            <w:tcW w:w="1077" w:type="dxa"/>
            <w:tcBorders>
              <w:top w:val="nil"/>
              <w:left w:val="nil"/>
              <w:bottom w:val="single" w:sz="4" w:space="0" w:color="auto"/>
              <w:right w:val="single" w:sz="4" w:space="0" w:color="auto"/>
            </w:tcBorders>
            <w:noWrap/>
            <w:vAlign w:val="center"/>
            <w:hideMark/>
          </w:tcPr>
          <w:p w14:paraId="02F3CF48"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c>
          <w:tcPr>
            <w:tcW w:w="1077" w:type="dxa"/>
            <w:tcBorders>
              <w:top w:val="nil"/>
              <w:left w:val="nil"/>
              <w:bottom w:val="single" w:sz="4" w:space="0" w:color="auto"/>
              <w:right w:val="single" w:sz="4" w:space="0" w:color="auto"/>
            </w:tcBorders>
            <w:noWrap/>
            <w:vAlign w:val="center"/>
            <w:hideMark/>
          </w:tcPr>
          <w:p w14:paraId="5E63A40B"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c>
          <w:tcPr>
            <w:tcW w:w="1077" w:type="dxa"/>
            <w:tcBorders>
              <w:top w:val="nil"/>
              <w:left w:val="nil"/>
              <w:bottom w:val="single" w:sz="4" w:space="0" w:color="auto"/>
              <w:right w:val="single" w:sz="4" w:space="0" w:color="auto"/>
            </w:tcBorders>
            <w:noWrap/>
            <w:vAlign w:val="center"/>
            <w:hideMark/>
          </w:tcPr>
          <w:p w14:paraId="2F991E41"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3</w:t>
            </w:r>
          </w:p>
        </w:tc>
        <w:tc>
          <w:tcPr>
            <w:tcW w:w="1077" w:type="dxa"/>
            <w:tcBorders>
              <w:top w:val="nil"/>
              <w:left w:val="nil"/>
              <w:bottom w:val="single" w:sz="4" w:space="0" w:color="auto"/>
              <w:right w:val="single" w:sz="4" w:space="0" w:color="auto"/>
            </w:tcBorders>
            <w:noWrap/>
            <w:vAlign w:val="center"/>
            <w:hideMark/>
          </w:tcPr>
          <w:p w14:paraId="202A6F71"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4</w:t>
            </w:r>
          </w:p>
        </w:tc>
        <w:tc>
          <w:tcPr>
            <w:tcW w:w="1077" w:type="dxa"/>
            <w:tcBorders>
              <w:top w:val="nil"/>
              <w:left w:val="nil"/>
              <w:bottom w:val="single" w:sz="4" w:space="0" w:color="auto"/>
              <w:right w:val="single" w:sz="4" w:space="0" w:color="auto"/>
            </w:tcBorders>
            <w:noWrap/>
            <w:vAlign w:val="center"/>
            <w:hideMark/>
          </w:tcPr>
          <w:p w14:paraId="1702150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w:t>
            </w:r>
          </w:p>
        </w:tc>
      </w:tr>
      <w:tr w:rsidR="000645A0" w:rsidRPr="00BC43AE" w14:paraId="3E14699E"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6E1B8F4" w14:textId="77777777" w:rsidR="000645A0" w:rsidRPr="00946610" w:rsidRDefault="000645A0" w:rsidP="00EA0A7F">
            <w:pPr>
              <w:rPr>
                <w:rFonts w:eastAsia="Times New Roman"/>
                <w:szCs w:val="22"/>
                <w:lang w:eastAsia="es-MX"/>
              </w:rPr>
            </w:pPr>
            <w:r w:rsidRPr="00946610">
              <w:rPr>
                <w:rFonts w:eastAsia="Times New Roman"/>
                <w:szCs w:val="22"/>
                <w:lang w:eastAsia="es-MX"/>
              </w:rPr>
              <w:t>Electric</w:t>
            </w:r>
          </w:p>
        </w:tc>
        <w:tc>
          <w:tcPr>
            <w:tcW w:w="1077" w:type="dxa"/>
            <w:tcBorders>
              <w:top w:val="nil"/>
              <w:left w:val="nil"/>
              <w:bottom w:val="single" w:sz="4" w:space="0" w:color="auto"/>
              <w:right w:val="single" w:sz="4" w:space="0" w:color="auto"/>
            </w:tcBorders>
            <w:noWrap/>
            <w:vAlign w:val="center"/>
            <w:hideMark/>
          </w:tcPr>
          <w:p w14:paraId="6C81146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9</w:t>
            </w:r>
          </w:p>
        </w:tc>
        <w:tc>
          <w:tcPr>
            <w:tcW w:w="1077" w:type="dxa"/>
            <w:tcBorders>
              <w:top w:val="nil"/>
              <w:left w:val="nil"/>
              <w:bottom w:val="single" w:sz="4" w:space="0" w:color="auto"/>
              <w:right w:val="single" w:sz="4" w:space="0" w:color="auto"/>
            </w:tcBorders>
            <w:noWrap/>
            <w:vAlign w:val="center"/>
            <w:hideMark/>
          </w:tcPr>
          <w:p w14:paraId="2EF869E4"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c>
          <w:tcPr>
            <w:tcW w:w="1077" w:type="dxa"/>
            <w:tcBorders>
              <w:top w:val="nil"/>
              <w:left w:val="nil"/>
              <w:bottom w:val="single" w:sz="4" w:space="0" w:color="auto"/>
              <w:right w:val="single" w:sz="4" w:space="0" w:color="auto"/>
            </w:tcBorders>
            <w:noWrap/>
            <w:vAlign w:val="center"/>
            <w:hideMark/>
          </w:tcPr>
          <w:p w14:paraId="0B032BC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3</w:t>
            </w:r>
          </w:p>
        </w:tc>
        <w:tc>
          <w:tcPr>
            <w:tcW w:w="1077" w:type="dxa"/>
            <w:tcBorders>
              <w:top w:val="nil"/>
              <w:left w:val="nil"/>
              <w:bottom w:val="single" w:sz="4" w:space="0" w:color="auto"/>
              <w:right w:val="single" w:sz="4" w:space="0" w:color="auto"/>
            </w:tcBorders>
            <w:noWrap/>
            <w:vAlign w:val="center"/>
            <w:hideMark/>
          </w:tcPr>
          <w:p w14:paraId="13B2D32D"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c>
          <w:tcPr>
            <w:tcW w:w="1077" w:type="dxa"/>
            <w:tcBorders>
              <w:top w:val="nil"/>
              <w:left w:val="nil"/>
              <w:bottom w:val="single" w:sz="4" w:space="0" w:color="auto"/>
              <w:right w:val="single" w:sz="4" w:space="0" w:color="auto"/>
            </w:tcBorders>
            <w:noWrap/>
            <w:vAlign w:val="center"/>
            <w:hideMark/>
          </w:tcPr>
          <w:p w14:paraId="4E5C1813"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5</w:t>
            </w:r>
          </w:p>
        </w:tc>
      </w:tr>
      <w:tr w:rsidR="000645A0" w:rsidRPr="00BC43AE" w14:paraId="25A26F2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024AEA3" w14:textId="77777777" w:rsidR="000645A0" w:rsidRPr="00946610" w:rsidRDefault="000645A0" w:rsidP="00EA0A7F">
            <w:pPr>
              <w:rPr>
                <w:rFonts w:eastAsia="Times New Roman"/>
                <w:szCs w:val="22"/>
                <w:lang w:eastAsia="es-MX"/>
              </w:rPr>
            </w:pPr>
            <w:r w:rsidRPr="00946610">
              <w:rPr>
                <w:rFonts w:eastAsia="Times New Roman"/>
                <w:szCs w:val="22"/>
                <w:lang w:eastAsia="es-MX"/>
              </w:rPr>
              <w:t>Pharmacy</w:t>
            </w:r>
          </w:p>
        </w:tc>
        <w:tc>
          <w:tcPr>
            <w:tcW w:w="1077" w:type="dxa"/>
            <w:tcBorders>
              <w:top w:val="nil"/>
              <w:left w:val="nil"/>
              <w:bottom w:val="single" w:sz="4" w:space="0" w:color="auto"/>
              <w:right w:val="single" w:sz="4" w:space="0" w:color="auto"/>
            </w:tcBorders>
            <w:noWrap/>
            <w:vAlign w:val="center"/>
            <w:hideMark/>
          </w:tcPr>
          <w:p w14:paraId="0A4C6DB2"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c>
          <w:tcPr>
            <w:tcW w:w="1077" w:type="dxa"/>
            <w:tcBorders>
              <w:top w:val="nil"/>
              <w:left w:val="nil"/>
              <w:bottom w:val="single" w:sz="4" w:space="0" w:color="auto"/>
              <w:right w:val="single" w:sz="4" w:space="0" w:color="auto"/>
            </w:tcBorders>
            <w:noWrap/>
            <w:vAlign w:val="center"/>
            <w:hideMark/>
          </w:tcPr>
          <w:p w14:paraId="31190E4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4</w:t>
            </w:r>
          </w:p>
        </w:tc>
        <w:tc>
          <w:tcPr>
            <w:tcW w:w="1077" w:type="dxa"/>
            <w:tcBorders>
              <w:top w:val="nil"/>
              <w:left w:val="nil"/>
              <w:bottom w:val="single" w:sz="4" w:space="0" w:color="auto"/>
              <w:right w:val="single" w:sz="4" w:space="0" w:color="auto"/>
            </w:tcBorders>
            <w:noWrap/>
            <w:vAlign w:val="center"/>
            <w:hideMark/>
          </w:tcPr>
          <w:p w14:paraId="29454748"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c>
          <w:tcPr>
            <w:tcW w:w="1077" w:type="dxa"/>
            <w:tcBorders>
              <w:top w:val="nil"/>
              <w:left w:val="nil"/>
              <w:bottom w:val="single" w:sz="4" w:space="0" w:color="auto"/>
              <w:right w:val="single" w:sz="4" w:space="0" w:color="auto"/>
            </w:tcBorders>
            <w:noWrap/>
            <w:vAlign w:val="center"/>
            <w:hideMark/>
          </w:tcPr>
          <w:p w14:paraId="61CC634E"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5</w:t>
            </w:r>
          </w:p>
        </w:tc>
        <w:tc>
          <w:tcPr>
            <w:tcW w:w="1077" w:type="dxa"/>
            <w:tcBorders>
              <w:top w:val="nil"/>
              <w:left w:val="nil"/>
              <w:bottom w:val="single" w:sz="4" w:space="0" w:color="auto"/>
              <w:right w:val="single" w:sz="4" w:space="0" w:color="auto"/>
            </w:tcBorders>
            <w:noWrap/>
            <w:vAlign w:val="center"/>
            <w:hideMark/>
          </w:tcPr>
          <w:p w14:paraId="790A927B"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r>
      <w:tr w:rsidR="000645A0" w:rsidRPr="00BC43AE" w14:paraId="407D656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638EBF06" w14:textId="77777777" w:rsidR="000645A0" w:rsidRPr="00946610" w:rsidRDefault="000645A0" w:rsidP="00EA0A7F">
            <w:pPr>
              <w:rPr>
                <w:rFonts w:eastAsia="Times New Roman"/>
                <w:szCs w:val="22"/>
                <w:lang w:eastAsia="es-MX"/>
              </w:rPr>
            </w:pPr>
            <w:r w:rsidRPr="00946610">
              <w:rPr>
                <w:rFonts w:eastAsia="Times New Roman"/>
                <w:szCs w:val="22"/>
                <w:lang w:eastAsia="es-MX"/>
              </w:rPr>
              <w:t>Mechanics</w:t>
            </w:r>
          </w:p>
        </w:tc>
        <w:tc>
          <w:tcPr>
            <w:tcW w:w="1077" w:type="dxa"/>
            <w:tcBorders>
              <w:top w:val="nil"/>
              <w:left w:val="nil"/>
              <w:bottom w:val="single" w:sz="4" w:space="0" w:color="auto"/>
              <w:right w:val="single" w:sz="4" w:space="0" w:color="auto"/>
            </w:tcBorders>
            <w:noWrap/>
            <w:vAlign w:val="center"/>
            <w:hideMark/>
          </w:tcPr>
          <w:p w14:paraId="7643283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15</w:t>
            </w:r>
          </w:p>
        </w:tc>
        <w:tc>
          <w:tcPr>
            <w:tcW w:w="1077" w:type="dxa"/>
            <w:tcBorders>
              <w:top w:val="nil"/>
              <w:left w:val="nil"/>
              <w:bottom w:val="single" w:sz="4" w:space="0" w:color="auto"/>
              <w:right w:val="single" w:sz="4" w:space="0" w:color="auto"/>
            </w:tcBorders>
            <w:noWrap/>
            <w:vAlign w:val="center"/>
            <w:hideMark/>
          </w:tcPr>
          <w:p w14:paraId="09699F92"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c>
          <w:tcPr>
            <w:tcW w:w="1077" w:type="dxa"/>
            <w:tcBorders>
              <w:top w:val="nil"/>
              <w:left w:val="nil"/>
              <w:bottom w:val="single" w:sz="4" w:space="0" w:color="auto"/>
              <w:right w:val="single" w:sz="4" w:space="0" w:color="auto"/>
            </w:tcBorders>
            <w:noWrap/>
            <w:vAlign w:val="center"/>
            <w:hideMark/>
          </w:tcPr>
          <w:p w14:paraId="341B475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w:t>
            </w:r>
          </w:p>
        </w:tc>
        <w:tc>
          <w:tcPr>
            <w:tcW w:w="1077" w:type="dxa"/>
            <w:tcBorders>
              <w:top w:val="nil"/>
              <w:left w:val="nil"/>
              <w:bottom w:val="single" w:sz="4" w:space="0" w:color="auto"/>
              <w:right w:val="single" w:sz="4" w:space="0" w:color="auto"/>
            </w:tcBorders>
            <w:noWrap/>
            <w:vAlign w:val="center"/>
            <w:hideMark/>
          </w:tcPr>
          <w:p w14:paraId="158C509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7</w:t>
            </w:r>
          </w:p>
        </w:tc>
        <w:tc>
          <w:tcPr>
            <w:tcW w:w="1077" w:type="dxa"/>
            <w:tcBorders>
              <w:top w:val="nil"/>
              <w:left w:val="nil"/>
              <w:bottom w:val="single" w:sz="4" w:space="0" w:color="auto"/>
              <w:right w:val="single" w:sz="4" w:space="0" w:color="auto"/>
            </w:tcBorders>
            <w:noWrap/>
            <w:vAlign w:val="center"/>
            <w:hideMark/>
          </w:tcPr>
          <w:p w14:paraId="42FB5F22"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r>
      <w:tr w:rsidR="000645A0" w:rsidRPr="00BC43AE" w14:paraId="6EF962A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5A725C3" w14:textId="77777777" w:rsidR="000645A0" w:rsidRPr="00946610" w:rsidRDefault="000645A0" w:rsidP="00EA0A7F">
            <w:pPr>
              <w:rPr>
                <w:rFonts w:eastAsia="Times New Roman"/>
                <w:szCs w:val="22"/>
                <w:lang w:eastAsia="es-MX"/>
              </w:rPr>
            </w:pPr>
            <w:r w:rsidRPr="00946610">
              <w:rPr>
                <w:rFonts w:eastAsia="Times New Roman"/>
                <w:szCs w:val="22"/>
                <w:lang w:eastAsia="es-MX"/>
              </w:rPr>
              <w:t>Chemistry</w:t>
            </w:r>
          </w:p>
        </w:tc>
        <w:tc>
          <w:tcPr>
            <w:tcW w:w="1077" w:type="dxa"/>
            <w:tcBorders>
              <w:top w:val="nil"/>
              <w:left w:val="nil"/>
              <w:bottom w:val="single" w:sz="4" w:space="0" w:color="auto"/>
              <w:right w:val="single" w:sz="4" w:space="0" w:color="auto"/>
            </w:tcBorders>
            <w:noWrap/>
            <w:vAlign w:val="center"/>
            <w:hideMark/>
          </w:tcPr>
          <w:p w14:paraId="1860766B"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6</w:t>
            </w:r>
          </w:p>
        </w:tc>
        <w:tc>
          <w:tcPr>
            <w:tcW w:w="1077" w:type="dxa"/>
            <w:tcBorders>
              <w:top w:val="nil"/>
              <w:left w:val="nil"/>
              <w:bottom w:val="single" w:sz="4" w:space="0" w:color="auto"/>
              <w:right w:val="single" w:sz="4" w:space="0" w:color="auto"/>
            </w:tcBorders>
            <w:noWrap/>
            <w:vAlign w:val="center"/>
            <w:hideMark/>
          </w:tcPr>
          <w:p w14:paraId="47ABB2C6"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18</w:t>
            </w:r>
          </w:p>
        </w:tc>
        <w:tc>
          <w:tcPr>
            <w:tcW w:w="1077" w:type="dxa"/>
            <w:tcBorders>
              <w:top w:val="nil"/>
              <w:left w:val="nil"/>
              <w:bottom w:val="single" w:sz="4" w:space="0" w:color="auto"/>
              <w:right w:val="single" w:sz="4" w:space="0" w:color="auto"/>
            </w:tcBorders>
            <w:noWrap/>
            <w:vAlign w:val="center"/>
            <w:hideMark/>
          </w:tcPr>
          <w:p w14:paraId="20F62FD9"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10</w:t>
            </w:r>
          </w:p>
        </w:tc>
        <w:tc>
          <w:tcPr>
            <w:tcW w:w="1077" w:type="dxa"/>
            <w:tcBorders>
              <w:top w:val="nil"/>
              <w:left w:val="nil"/>
              <w:bottom w:val="single" w:sz="4" w:space="0" w:color="auto"/>
              <w:right w:val="single" w:sz="4" w:space="0" w:color="auto"/>
            </w:tcBorders>
            <w:noWrap/>
            <w:vAlign w:val="center"/>
            <w:hideMark/>
          </w:tcPr>
          <w:p w14:paraId="1F964A1C"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11</w:t>
            </w:r>
          </w:p>
        </w:tc>
        <w:tc>
          <w:tcPr>
            <w:tcW w:w="1077" w:type="dxa"/>
            <w:tcBorders>
              <w:top w:val="nil"/>
              <w:left w:val="nil"/>
              <w:bottom w:val="single" w:sz="4" w:space="0" w:color="auto"/>
              <w:right w:val="single" w:sz="4" w:space="0" w:color="auto"/>
            </w:tcBorders>
            <w:noWrap/>
            <w:vAlign w:val="center"/>
            <w:hideMark/>
          </w:tcPr>
          <w:p w14:paraId="63A5E97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9</w:t>
            </w:r>
          </w:p>
        </w:tc>
      </w:tr>
      <w:tr w:rsidR="000645A0" w:rsidRPr="00BC43AE" w14:paraId="720D623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04A68E5" w14:textId="77777777" w:rsidR="000645A0" w:rsidRPr="00946610" w:rsidRDefault="000645A0" w:rsidP="00EA0A7F">
            <w:pPr>
              <w:rPr>
                <w:rFonts w:eastAsia="Times New Roman"/>
                <w:szCs w:val="22"/>
                <w:lang w:eastAsia="es-MX"/>
              </w:rPr>
            </w:pPr>
            <w:r w:rsidRPr="00946610">
              <w:rPr>
                <w:rFonts w:eastAsia="Times New Roman"/>
                <w:szCs w:val="22"/>
                <w:lang w:eastAsia="es-MX"/>
              </w:rPr>
              <w:t>Unclassified formal</w:t>
            </w:r>
          </w:p>
        </w:tc>
        <w:tc>
          <w:tcPr>
            <w:tcW w:w="1077" w:type="dxa"/>
            <w:tcBorders>
              <w:top w:val="nil"/>
              <w:left w:val="nil"/>
              <w:bottom w:val="single" w:sz="4" w:space="0" w:color="auto"/>
              <w:right w:val="single" w:sz="4" w:space="0" w:color="auto"/>
            </w:tcBorders>
            <w:noWrap/>
            <w:vAlign w:val="center"/>
            <w:hideMark/>
          </w:tcPr>
          <w:p w14:paraId="71A71D4A"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0</w:t>
            </w:r>
          </w:p>
        </w:tc>
        <w:tc>
          <w:tcPr>
            <w:tcW w:w="1077" w:type="dxa"/>
            <w:tcBorders>
              <w:top w:val="nil"/>
              <w:left w:val="nil"/>
              <w:bottom w:val="single" w:sz="4" w:space="0" w:color="auto"/>
              <w:right w:val="single" w:sz="4" w:space="0" w:color="auto"/>
            </w:tcBorders>
            <w:noWrap/>
            <w:vAlign w:val="center"/>
            <w:hideMark/>
          </w:tcPr>
          <w:p w14:paraId="331B82B7"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0</w:t>
            </w:r>
          </w:p>
        </w:tc>
        <w:tc>
          <w:tcPr>
            <w:tcW w:w="1077" w:type="dxa"/>
            <w:tcBorders>
              <w:top w:val="nil"/>
              <w:left w:val="nil"/>
              <w:bottom w:val="single" w:sz="4" w:space="0" w:color="auto"/>
              <w:right w:val="single" w:sz="4" w:space="0" w:color="auto"/>
            </w:tcBorders>
            <w:noWrap/>
            <w:vAlign w:val="center"/>
            <w:hideMark/>
          </w:tcPr>
          <w:p w14:paraId="4172706F"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0</w:t>
            </w:r>
          </w:p>
        </w:tc>
        <w:tc>
          <w:tcPr>
            <w:tcW w:w="1077" w:type="dxa"/>
            <w:tcBorders>
              <w:top w:val="nil"/>
              <w:left w:val="nil"/>
              <w:bottom w:val="single" w:sz="4" w:space="0" w:color="auto"/>
              <w:right w:val="single" w:sz="4" w:space="0" w:color="auto"/>
            </w:tcBorders>
            <w:noWrap/>
            <w:vAlign w:val="center"/>
            <w:hideMark/>
          </w:tcPr>
          <w:p w14:paraId="5E5036E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0</w:t>
            </w:r>
          </w:p>
        </w:tc>
        <w:tc>
          <w:tcPr>
            <w:tcW w:w="1077" w:type="dxa"/>
            <w:tcBorders>
              <w:top w:val="nil"/>
              <w:left w:val="nil"/>
              <w:bottom w:val="single" w:sz="4" w:space="0" w:color="auto"/>
              <w:right w:val="single" w:sz="4" w:space="0" w:color="auto"/>
            </w:tcBorders>
            <w:noWrap/>
            <w:vAlign w:val="center"/>
            <w:hideMark/>
          </w:tcPr>
          <w:p w14:paraId="4656267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r>
      <w:tr w:rsidR="000645A0" w:rsidRPr="00BC43AE" w14:paraId="04F85014"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067DB56B" w14:textId="77777777" w:rsidR="000645A0" w:rsidRPr="00946610" w:rsidRDefault="000645A0" w:rsidP="00EA0A7F">
            <w:pPr>
              <w:rPr>
                <w:rFonts w:eastAsia="Times New Roman"/>
                <w:szCs w:val="22"/>
                <w:lang w:eastAsia="es-MX"/>
              </w:rPr>
            </w:pPr>
            <w:r w:rsidRPr="00946610">
              <w:rPr>
                <w:rFonts w:eastAsia="Times New Roman"/>
                <w:szCs w:val="22"/>
                <w:lang w:eastAsia="es-MX"/>
              </w:rPr>
              <w:t>Concluded formal examination</w:t>
            </w:r>
          </w:p>
        </w:tc>
        <w:tc>
          <w:tcPr>
            <w:tcW w:w="1077" w:type="dxa"/>
            <w:tcBorders>
              <w:top w:val="nil"/>
              <w:left w:val="nil"/>
              <w:bottom w:val="single" w:sz="4" w:space="0" w:color="auto"/>
              <w:right w:val="single" w:sz="4" w:space="0" w:color="auto"/>
            </w:tcBorders>
            <w:noWrap/>
            <w:vAlign w:val="center"/>
            <w:hideMark/>
          </w:tcPr>
          <w:p w14:paraId="1FA590D5"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4</w:t>
            </w:r>
          </w:p>
        </w:tc>
        <w:tc>
          <w:tcPr>
            <w:tcW w:w="1077" w:type="dxa"/>
            <w:tcBorders>
              <w:top w:val="nil"/>
              <w:left w:val="nil"/>
              <w:bottom w:val="single" w:sz="4" w:space="0" w:color="auto"/>
              <w:right w:val="single" w:sz="4" w:space="0" w:color="auto"/>
            </w:tcBorders>
            <w:noWrap/>
            <w:vAlign w:val="center"/>
            <w:hideMark/>
          </w:tcPr>
          <w:p w14:paraId="2DB1EF61"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c>
          <w:tcPr>
            <w:tcW w:w="1077" w:type="dxa"/>
            <w:tcBorders>
              <w:top w:val="nil"/>
              <w:left w:val="nil"/>
              <w:bottom w:val="single" w:sz="4" w:space="0" w:color="auto"/>
              <w:right w:val="single" w:sz="4" w:space="0" w:color="auto"/>
            </w:tcBorders>
            <w:noWrap/>
            <w:vAlign w:val="center"/>
            <w:hideMark/>
          </w:tcPr>
          <w:p w14:paraId="1E393854"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c>
          <w:tcPr>
            <w:tcW w:w="1077" w:type="dxa"/>
            <w:tcBorders>
              <w:top w:val="nil"/>
              <w:left w:val="nil"/>
              <w:bottom w:val="single" w:sz="4" w:space="0" w:color="auto"/>
              <w:right w:val="single" w:sz="4" w:space="0" w:color="auto"/>
            </w:tcBorders>
            <w:noWrap/>
            <w:vAlign w:val="center"/>
            <w:hideMark/>
          </w:tcPr>
          <w:p w14:paraId="1432AB10"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4</w:t>
            </w:r>
          </w:p>
        </w:tc>
        <w:tc>
          <w:tcPr>
            <w:tcW w:w="1077" w:type="dxa"/>
            <w:tcBorders>
              <w:top w:val="nil"/>
              <w:left w:val="nil"/>
              <w:bottom w:val="single" w:sz="4" w:space="0" w:color="auto"/>
              <w:right w:val="single" w:sz="4" w:space="0" w:color="auto"/>
            </w:tcBorders>
            <w:noWrap/>
            <w:vAlign w:val="center"/>
            <w:hideMark/>
          </w:tcPr>
          <w:p w14:paraId="76D92F4B" w14:textId="77777777" w:rsidR="000645A0" w:rsidRPr="00946610" w:rsidRDefault="000645A0" w:rsidP="00EA0A7F">
            <w:pPr>
              <w:jc w:val="center"/>
              <w:rPr>
                <w:rFonts w:eastAsia="Times New Roman"/>
                <w:szCs w:val="22"/>
                <w:lang w:eastAsia="es-MX"/>
              </w:rPr>
            </w:pPr>
            <w:r w:rsidRPr="00946610">
              <w:rPr>
                <w:rFonts w:eastAsia="Times New Roman"/>
                <w:szCs w:val="22"/>
                <w:lang w:eastAsia="es-MX"/>
              </w:rPr>
              <w:t>2</w:t>
            </w:r>
          </w:p>
        </w:tc>
      </w:tr>
      <w:tr w:rsidR="000645A0" w:rsidRPr="00BC43AE" w14:paraId="067D6389"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4524BE3F" w14:textId="77777777" w:rsidR="000645A0" w:rsidRPr="00946610" w:rsidRDefault="000645A0" w:rsidP="00EA0A7F">
            <w:pPr>
              <w:rPr>
                <w:rFonts w:eastAsia="Times New Roman"/>
                <w:b/>
                <w:bCs/>
                <w:szCs w:val="22"/>
                <w:lang w:eastAsia="es-MX"/>
              </w:rPr>
            </w:pPr>
            <w:r w:rsidRPr="00946610">
              <w:rPr>
                <w:rFonts w:eastAsia="Times New Roman"/>
                <w:b/>
                <w:bCs/>
                <w:szCs w:val="22"/>
                <w:lang w:eastAsia="es-MX"/>
              </w:rPr>
              <w:t>Total (patents received per year)</w:t>
            </w:r>
          </w:p>
        </w:tc>
        <w:tc>
          <w:tcPr>
            <w:tcW w:w="1077" w:type="dxa"/>
            <w:tcBorders>
              <w:top w:val="nil"/>
              <w:left w:val="nil"/>
              <w:bottom w:val="single" w:sz="4" w:space="0" w:color="auto"/>
              <w:right w:val="single" w:sz="4" w:space="0" w:color="auto"/>
            </w:tcBorders>
            <w:noWrap/>
            <w:vAlign w:val="center"/>
            <w:hideMark/>
          </w:tcPr>
          <w:p w14:paraId="2DA34C75"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38</w:t>
            </w:r>
          </w:p>
        </w:tc>
        <w:tc>
          <w:tcPr>
            <w:tcW w:w="1077" w:type="dxa"/>
            <w:tcBorders>
              <w:top w:val="nil"/>
              <w:left w:val="nil"/>
              <w:bottom w:val="single" w:sz="4" w:space="0" w:color="auto"/>
              <w:right w:val="single" w:sz="4" w:space="0" w:color="auto"/>
            </w:tcBorders>
            <w:noWrap/>
            <w:vAlign w:val="center"/>
            <w:hideMark/>
          </w:tcPr>
          <w:p w14:paraId="6CB8E89C"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38</w:t>
            </w:r>
          </w:p>
        </w:tc>
        <w:tc>
          <w:tcPr>
            <w:tcW w:w="1077" w:type="dxa"/>
            <w:tcBorders>
              <w:top w:val="nil"/>
              <w:left w:val="nil"/>
              <w:bottom w:val="single" w:sz="4" w:space="0" w:color="auto"/>
              <w:right w:val="single" w:sz="4" w:space="0" w:color="auto"/>
            </w:tcBorders>
            <w:noWrap/>
            <w:vAlign w:val="center"/>
            <w:hideMark/>
          </w:tcPr>
          <w:p w14:paraId="0CC0AD26"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25</w:t>
            </w:r>
          </w:p>
        </w:tc>
        <w:tc>
          <w:tcPr>
            <w:tcW w:w="1077" w:type="dxa"/>
            <w:tcBorders>
              <w:top w:val="nil"/>
              <w:left w:val="nil"/>
              <w:bottom w:val="single" w:sz="4" w:space="0" w:color="auto"/>
              <w:right w:val="single" w:sz="4" w:space="0" w:color="auto"/>
            </w:tcBorders>
            <w:noWrap/>
            <w:vAlign w:val="center"/>
            <w:hideMark/>
          </w:tcPr>
          <w:p w14:paraId="56BF43AD"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37</w:t>
            </w:r>
          </w:p>
        </w:tc>
        <w:tc>
          <w:tcPr>
            <w:tcW w:w="1077" w:type="dxa"/>
            <w:tcBorders>
              <w:top w:val="nil"/>
              <w:left w:val="nil"/>
              <w:bottom w:val="single" w:sz="4" w:space="0" w:color="auto"/>
              <w:right w:val="single" w:sz="4" w:space="0" w:color="auto"/>
            </w:tcBorders>
            <w:noWrap/>
            <w:vAlign w:val="center"/>
            <w:hideMark/>
          </w:tcPr>
          <w:p w14:paraId="02941885" w14:textId="77777777" w:rsidR="000645A0" w:rsidRPr="00946610" w:rsidRDefault="000645A0" w:rsidP="00EA0A7F">
            <w:pPr>
              <w:jc w:val="center"/>
              <w:rPr>
                <w:rFonts w:eastAsia="Times New Roman"/>
                <w:b/>
                <w:bCs/>
                <w:szCs w:val="22"/>
                <w:lang w:eastAsia="es-MX"/>
              </w:rPr>
            </w:pPr>
            <w:r w:rsidRPr="00946610">
              <w:rPr>
                <w:rFonts w:eastAsia="Times New Roman"/>
                <w:b/>
                <w:bCs/>
                <w:szCs w:val="22"/>
                <w:lang w:eastAsia="es-MX"/>
              </w:rPr>
              <w:t>27</w:t>
            </w:r>
          </w:p>
        </w:tc>
      </w:tr>
      <w:tr w:rsidR="000645A0" w:rsidRPr="00BC43AE" w14:paraId="6EC1C90A" w14:textId="77777777" w:rsidTr="00EA0A7F">
        <w:trPr>
          <w:trHeight w:val="300"/>
        </w:trPr>
        <w:tc>
          <w:tcPr>
            <w:tcW w:w="9960" w:type="dxa"/>
            <w:gridSpan w:val="7"/>
            <w:tcBorders>
              <w:top w:val="nil"/>
              <w:left w:val="nil"/>
              <w:bottom w:val="nil"/>
              <w:right w:val="nil"/>
            </w:tcBorders>
            <w:noWrap/>
            <w:vAlign w:val="bottom"/>
            <w:hideMark/>
          </w:tcPr>
          <w:p w14:paraId="1360419C" w14:textId="77777777" w:rsidR="000645A0" w:rsidRPr="00F515E7" w:rsidRDefault="000645A0" w:rsidP="00EA0A7F">
            <w:pPr>
              <w:rPr>
                <w:rFonts w:ascii="Times New Roman" w:eastAsia="Times New Roman" w:hAnsi="Times New Roman" w:cs="Times New Roman"/>
                <w:sz w:val="18"/>
                <w:szCs w:val="18"/>
                <w:lang w:eastAsia="es-MX"/>
              </w:rPr>
            </w:pPr>
            <w:r w:rsidRPr="00F515E7">
              <w:rPr>
                <w:rFonts w:ascii="Calibri" w:eastAsia="Times New Roman" w:hAnsi="Calibri" w:cs="Calibri"/>
                <w:color w:val="000000"/>
                <w:sz w:val="18"/>
                <w:szCs w:val="18"/>
                <w:lang w:eastAsia="es-MX"/>
              </w:rPr>
              <w:t>*International applications: PCT subtype patents of Mexican nationality and/or residence were considered.</w:t>
            </w:r>
          </w:p>
        </w:tc>
      </w:tr>
    </w:tbl>
    <w:p w14:paraId="1B4A6B40" w14:textId="77777777" w:rsidR="000645A0" w:rsidRPr="00BC43AE" w:rsidRDefault="000645A0" w:rsidP="000645A0">
      <w:pPr>
        <w:pStyle w:val="Question"/>
        <w:spacing w:after="0"/>
      </w:pPr>
    </w:p>
    <w:p w14:paraId="1101339F" w14:textId="77777777" w:rsidR="000645A0" w:rsidRPr="00BC43AE" w:rsidRDefault="000645A0" w:rsidP="000645A0">
      <w:pPr>
        <w:pStyle w:val="Question"/>
        <w:spacing w:before="240"/>
      </w:pPr>
      <w:r w:rsidRPr="00BC43AE">
        <w:t>(d)</w:t>
      </w:r>
      <w:r w:rsidRPr="00BC43AE">
        <w:tab/>
        <w:t>Average time taken for national patent processing:</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verage time taken for national patent processing at IMPI"/>
        <w:tblDescription w:val="This table shows the average time from the date of receipt by the IMPI to the issuance of the first official substantive examination actions, and to the date of issuance of communication of approval for grant."/>
      </w:tblPr>
      <w:tblGrid>
        <w:gridCol w:w="2560"/>
        <w:gridCol w:w="2154"/>
        <w:gridCol w:w="2154"/>
        <w:gridCol w:w="2154"/>
      </w:tblGrid>
      <w:tr w:rsidR="000645A0" w:rsidRPr="00BC43AE" w14:paraId="4F8117BD" w14:textId="77777777" w:rsidTr="00EA0A7F">
        <w:trPr>
          <w:trHeight w:val="300"/>
        </w:trPr>
        <w:tc>
          <w:tcPr>
            <w:tcW w:w="2560" w:type="dxa"/>
            <w:shd w:val="clear" w:color="auto" w:fill="235B4E"/>
            <w:noWrap/>
            <w:vAlign w:val="center"/>
            <w:hideMark/>
          </w:tcPr>
          <w:p w14:paraId="7626052B" w14:textId="77777777" w:rsidR="000645A0" w:rsidRPr="00946610" w:rsidRDefault="000645A0" w:rsidP="00EF3B57">
            <w:pPr>
              <w:keepNext/>
              <w:jc w:val="center"/>
              <w:rPr>
                <w:rFonts w:eastAsia="Times New Roman"/>
                <w:b/>
                <w:bCs/>
                <w:color w:val="FFFFFF" w:themeColor="background1"/>
                <w:szCs w:val="22"/>
                <w:lang w:eastAsia="es-MX"/>
              </w:rPr>
            </w:pPr>
            <w:r w:rsidRPr="00946610">
              <w:rPr>
                <w:rFonts w:eastAsia="Times New Roman"/>
                <w:b/>
                <w:bCs/>
                <w:color w:val="FFFFFF" w:themeColor="background1"/>
                <w:szCs w:val="22"/>
                <w:lang w:eastAsia="es-MX"/>
              </w:rPr>
              <w:t>Indicator</w:t>
            </w:r>
          </w:p>
        </w:tc>
        <w:tc>
          <w:tcPr>
            <w:tcW w:w="2154" w:type="dxa"/>
            <w:shd w:val="clear" w:color="auto" w:fill="235B4E"/>
            <w:noWrap/>
            <w:vAlign w:val="center"/>
            <w:hideMark/>
          </w:tcPr>
          <w:p w14:paraId="2BA13B7B" w14:textId="77777777" w:rsidR="000645A0" w:rsidRPr="00946610" w:rsidRDefault="000645A0" w:rsidP="00EF3B57">
            <w:pPr>
              <w:keepNext/>
              <w:jc w:val="center"/>
              <w:rPr>
                <w:rFonts w:eastAsia="Times New Roman"/>
                <w:b/>
                <w:bCs/>
                <w:color w:val="FFFFFF" w:themeColor="background1"/>
                <w:szCs w:val="22"/>
                <w:lang w:eastAsia="es-MX"/>
              </w:rPr>
            </w:pPr>
            <w:r w:rsidRPr="00946610">
              <w:rPr>
                <w:rFonts w:eastAsia="Times New Roman"/>
                <w:b/>
                <w:bCs/>
                <w:color w:val="FFFFFF" w:themeColor="background1"/>
                <w:szCs w:val="22"/>
                <w:lang w:eastAsia="es-MX"/>
              </w:rPr>
              <w:t>Counted from</w:t>
            </w:r>
          </w:p>
        </w:tc>
        <w:tc>
          <w:tcPr>
            <w:tcW w:w="2154" w:type="dxa"/>
            <w:shd w:val="clear" w:color="auto" w:fill="235B4E"/>
            <w:noWrap/>
            <w:vAlign w:val="center"/>
            <w:hideMark/>
          </w:tcPr>
          <w:p w14:paraId="6373B712" w14:textId="77777777" w:rsidR="000645A0" w:rsidRPr="00946610" w:rsidRDefault="000645A0" w:rsidP="00EF3B57">
            <w:pPr>
              <w:keepNext/>
              <w:jc w:val="center"/>
              <w:rPr>
                <w:rFonts w:eastAsia="Times New Roman"/>
                <w:b/>
                <w:bCs/>
                <w:color w:val="FFFFFF" w:themeColor="background1"/>
                <w:szCs w:val="22"/>
                <w:lang w:eastAsia="es-MX"/>
              </w:rPr>
            </w:pPr>
            <w:r w:rsidRPr="00946610">
              <w:rPr>
                <w:rFonts w:eastAsia="Times New Roman"/>
                <w:b/>
                <w:bCs/>
                <w:color w:val="FFFFFF" w:themeColor="background1"/>
                <w:szCs w:val="22"/>
                <w:lang w:eastAsia="es-MX"/>
              </w:rPr>
              <w:t>Time (months)</w:t>
            </w:r>
          </w:p>
        </w:tc>
        <w:tc>
          <w:tcPr>
            <w:tcW w:w="2154" w:type="dxa"/>
            <w:shd w:val="clear" w:color="auto" w:fill="235B4E"/>
            <w:noWrap/>
            <w:vAlign w:val="bottom"/>
            <w:hideMark/>
          </w:tcPr>
          <w:p w14:paraId="69432220" w14:textId="77777777" w:rsidR="000645A0" w:rsidRPr="00946610" w:rsidRDefault="000645A0" w:rsidP="00EF3B57">
            <w:pPr>
              <w:keepNext/>
              <w:jc w:val="center"/>
              <w:rPr>
                <w:rFonts w:eastAsia="Times New Roman"/>
                <w:b/>
                <w:bCs/>
                <w:color w:val="FFFFFF" w:themeColor="background1"/>
                <w:szCs w:val="22"/>
                <w:lang w:eastAsia="es-MX"/>
              </w:rPr>
            </w:pPr>
            <w:r w:rsidRPr="00946610">
              <w:rPr>
                <w:rFonts w:eastAsia="Times New Roman"/>
                <w:b/>
                <w:bCs/>
                <w:color w:val="FFFFFF" w:themeColor="background1"/>
                <w:szCs w:val="22"/>
                <w:lang w:eastAsia="es-MX"/>
              </w:rPr>
              <w:t>Comments</w:t>
            </w:r>
          </w:p>
        </w:tc>
      </w:tr>
      <w:tr w:rsidR="000645A0" w:rsidRPr="00BC43AE" w14:paraId="2EB287F0" w14:textId="77777777" w:rsidTr="00EA0A7F">
        <w:trPr>
          <w:trHeight w:val="300"/>
        </w:trPr>
        <w:tc>
          <w:tcPr>
            <w:tcW w:w="2560" w:type="dxa"/>
            <w:noWrap/>
            <w:vAlign w:val="center"/>
            <w:hideMark/>
          </w:tcPr>
          <w:p w14:paraId="2678A001"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Search</w:t>
            </w:r>
          </w:p>
        </w:tc>
        <w:tc>
          <w:tcPr>
            <w:tcW w:w="2154" w:type="dxa"/>
            <w:noWrap/>
            <w:vAlign w:val="center"/>
            <w:hideMark/>
          </w:tcPr>
          <w:p w14:paraId="7C9F00E1"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N/A</w:t>
            </w:r>
          </w:p>
        </w:tc>
        <w:tc>
          <w:tcPr>
            <w:tcW w:w="2154" w:type="dxa"/>
            <w:noWrap/>
            <w:vAlign w:val="center"/>
            <w:hideMark/>
          </w:tcPr>
          <w:p w14:paraId="7AF1B29E"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N/A</w:t>
            </w:r>
          </w:p>
        </w:tc>
        <w:tc>
          <w:tcPr>
            <w:tcW w:w="2154" w:type="dxa"/>
            <w:noWrap/>
            <w:vAlign w:val="bottom"/>
            <w:hideMark/>
          </w:tcPr>
          <w:p w14:paraId="255E5368"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N/A</w:t>
            </w:r>
          </w:p>
        </w:tc>
      </w:tr>
      <w:tr w:rsidR="000645A0" w:rsidRPr="00BC43AE" w14:paraId="1014F08B" w14:textId="77777777" w:rsidTr="00EA0A7F">
        <w:trPr>
          <w:trHeight w:val="2100"/>
        </w:trPr>
        <w:tc>
          <w:tcPr>
            <w:tcW w:w="2560" w:type="dxa"/>
            <w:noWrap/>
            <w:vAlign w:val="center"/>
            <w:hideMark/>
          </w:tcPr>
          <w:p w14:paraId="1215BCC9"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To initial examination</w:t>
            </w:r>
          </w:p>
        </w:tc>
        <w:tc>
          <w:tcPr>
            <w:tcW w:w="2154" w:type="dxa"/>
            <w:vAlign w:val="center"/>
            <w:hideMark/>
          </w:tcPr>
          <w:p w14:paraId="66F82024" w14:textId="77777777" w:rsidR="000645A0" w:rsidRPr="00946610" w:rsidRDefault="000645A0" w:rsidP="00BA5761">
            <w:pPr>
              <w:keepNext/>
              <w:rPr>
                <w:rFonts w:eastAsia="Times New Roman"/>
                <w:szCs w:val="22"/>
                <w:lang w:eastAsia="es-MX"/>
              </w:rPr>
            </w:pPr>
            <w:r w:rsidRPr="00946610">
              <w:rPr>
                <w:rFonts w:eastAsia="Times New Roman"/>
                <w:szCs w:val="22"/>
                <w:lang w:eastAsia="es-MX"/>
              </w:rPr>
              <w:t>The calculation was based on the period from the date of receipt by IMPI to the date of issuance of the first official substantive examination action.</w:t>
            </w:r>
          </w:p>
        </w:tc>
        <w:tc>
          <w:tcPr>
            <w:tcW w:w="2154" w:type="dxa"/>
            <w:noWrap/>
            <w:vAlign w:val="center"/>
            <w:hideMark/>
          </w:tcPr>
          <w:p w14:paraId="57F5FCF6"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45.99 months</w:t>
            </w:r>
          </w:p>
        </w:tc>
        <w:tc>
          <w:tcPr>
            <w:tcW w:w="2154" w:type="dxa"/>
            <w:vAlign w:val="center"/>
            <w:hideMark/>
          </w:tcPr>
          <w:p w14:paraId="12F65B30" w14:textId="77777777" w:rsidR="000645A0" w:rsidRPr="00946610" w:rsidRDefault="000645A0" w:rsidP="00BA5761">
            <w:pPr>
              <w:keepNext/>
              <w:rPr>
                <w:rFonts w:eastAsia="Times New Roman"/>
                <w:szCs w:val="22"/>
                <w:lang w:eastAsia="es-MX"/>
              </w:rPr>
            </w:pPr>
            <w:r w:rsidRPr="00946610">
              <w:rPr>
                <w:rFonts w:eastAsia="Times New Roman"/>
                <w:szCs w:val="22"/>
                <w:lang w:eastAsia="es-MX"/>
              </w:rPr>
              <w:t>The average time for issuance of Mexican patents examined in 2024 is</w:t>
            </w:r>
            <w:r w:rsidRPr="00946610">
              <w:rPr>
                <w:rFonts w:eastAsia="Times New Roman"/>
                <w:b/>
                <w:bCs/>
                <w:szCs w:val="22"/>
                <w:lang w:eastAsia="es-MX"/>
              </w:rPr>
              <w:t xml:space="preserve"> 45.99 months (3.83 years)</w:t>
            </w:r>
            <w:r w:rsidRPr="00946610">
              <w:rPr>
                <w:rFonts w:eastAsia="Times New Roman"/>
                <w:szCs w:val="22"/>
                <w:lang w:eastAsia="es-MX"/>
              </w:rPr>
              <w:t>.</w:t>
            </w:r>
          </w:p>
        </w:tc>
      </w:tr>
      <w:tr w:rsidR="000645A0" w:rsidRPr="00BC43AE" w14:paraId="1CF3DA00" w14:textId="77777777" w:rsidTr="00EA0A7F">
        <w:trPr>
          <w:trHeight w:val="2700"/>
        </w:trPr>
        <w:tc>
          <w:tcPr>
            <w:tcW w:w="2560" w:type="dxa"/>
            <w:noWrap/>
            <w:vAlign w:val="center"/>
            <w:hideMark/>
          </w:tcPr>
          <w:p w14:paraId="0E5CCF81"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To grant</w:t>
            </w:r>
          </w:p>
        </w:tc>
        <w:tc>
          <w:tcPr>
            <w:tcW w:w="2154" w:type="dxa"/>
            <w:vAlign w:val="center"/>
            <w:hideMark/>
          </w:tcPr>
          <w:p w14:paraId="19913486" w14:textId="77777777" w:rsidR="000645A0" w:rsidRPr="00946610" w:rsidRDefault="000645A0" w:rsidP="00BA5761">
            <w:pPr>
              <w:keepNext/>
              <w:rPr>
                <w:rFonts w:eastAsia="Times New Roman"/>
                <w:szCs w:val="22"/>
                <w:lang w:eastAsia="es-MX"/>
              </w:rPr>
            </w:pPr>
            <w:r w:rsidRPr="00946610">
              <w:rPr>
                <w:rFonts w:eastAsia="Times New Roman"/>
                <w:szCs w:val="22"/>
                <w:lang w:eastAsia="es-MX"/>
              </w:rPr>
              <w:t>The calculation was based on the period from the date of receipt by the IMPI to the date of issuance of communication of approval for grant in substantive examination.</w:t>
            </w:r>
          </w:p>
        </w:tc>
        <w:tc>
          <w:tcPr>
            <w:tcW w:w="2154" w:type="dxa"/>
            <w:noWrap/>
            <w:vAlign w:val="center"/>
            <w:hideMark/>
          </w:tcPr>
          <w:p w14:paraId="7298B60B" w14:textId="77777777" w:rsidR="000645A0" w:rsidRPr="00946610" w:rsidRDefault="000645A0" w:rsidP="00EF3B57">
            <w:pPr>
              <w:keepNext/>
              <w:jc w:val="center"/>
              <w:rPr>
                <w:rFonts w:eastAsia="Times New Roman"/>
                <w:szCs w:val="22"/>
                <w:lang w:eastAsia="es-MX"/>
              </w:rPr>
            </w:pPr>
            <w:r w:rsidRPr="00946610">
              <w:rPr>
                <w:rFonts w:eastAsia="Times New Roman"/>
                <w:szCs w:val="22"/>
                <w:lang w:eastAsia="es-MX"/>
              </w:rPr>
              <w:t>59.70 months</w:t>
            </w:r>
          </w:p>
        </w:tc>
        <w:tc>
          <w:tcPr>
            <w:tcW w:w="2154" w:type="dxa"/>
            <w:vAlign w:val="center"/>
            <w:hideMark/>
          </w:tcPr>
          <w:p w14:paraId="678CBB21" w14:textId="77777777" w:rsidR="000645A0" w:rsidRPr="00946610" w:rsidRDefault="000645A0" w:rsidP="00BA5761">
            <w:pPr>
              <w:keepNext/>
              <w:rPr>
                <w:rFonts w:eastAsia="Times New Roman"/>
                <w:szCs w:val="22"/>
                <w:lang w:eastAsia="es-MX"/>
              </w:rPr>
            </w:pPr>
            <w:r w:rsidRPr="00946610">
              <w:rPr>
                <w:rFonts w:eastAsia="Times New Roman"/>
                <w:szCs w:val="22"/>
                <w:lang w:eastAsia="es-MX"/>
              </w:rPr>
              <w:t>The average time for granting the 700 Mexican patents granted in 2024 is</w:t>
            </w:r>
            <w:r w:rsidRPr="00946610">
              <w:rPr>
                <w:rFonts w:eastAsia="Times New Roman"/>
                <w:b/>
                <w:bCs/>
                <w:szCs w:val="22"/>
                <w:lang w:eastAsia="es-MX"/>
              </w:rPr>
              <w:t xml:space="preserve"> 59.70 months (4.98 years)</w:t>
            </w:r>
            <w:r w:rsidRPr="00946610">
              <w:rPr>
                <w:rFonts w:eastAsia="Times New Roman"/>
                <w:szCs w:val="22"/>
                <w:lang w:eastAsia="es-MX"/>
              </w:rPr>
              <w:t>.</w:t>
            </w:r>
          </w:p>
        </w:tc>
      </w:tr>
    </w:tbl>
    <w:p w14:paraId="3CB8D3D8" w14:textId="77777777" w:rsidR="000645A0" w:rsidRPr="00BC43AE" w:rsidRDefault="000645A0" w:rsidP="000645A0">
      <w:pPr>
        <w:pStyle w:val="Answer"/>
        <w:spacing w:after="0"/>
        <w:ind w:left="0"/>
        <w:jc w:val="both"/>
      </w:pPr>
      <w:r w:rsidRPr="00BC43AE">
        <w:t>At the IMPI, substantive examinations are undertaken in order of priority, considering the number of applications pending and the number of examiners.</w:t>
      </w:r>
    </w:p>
    <w:p w14:paraId="19A3D618" w14:textId="77777777" w:rsidR="000645A0" w:rsidRPr="00BC43AE" w:rsidRDefault="000645A0" w:rsidP="000645A0">
      <w:pPr>
        <w:pStyle w:val="Answer"/>
        <w:spacing w:after="0"/>
        <w:ind w:left="0"/>
        <w:jc w:val="both"/>
      </w:pPr>
    </w:p>
    <w:p w14:paraId="3D591B47" w14:textId="19F12169" w:rsidR="000645A0" w:rsidRPr="00BC43AE" w:rsidRDefault="000645A0" w:rsidP="000645A0">
      <w:pPr>
        <w:pStyle w:val="Answer"/>
        <w:spacing w:after="0"/>
        <w:ind w:left="0"/>
        <w:jc w:val="both"/>
      </w:pPr>
      <w:r w:rsidRPr="00BC43AE">
        <w:t xml:space="preserve">The IMPI has signed several PPH agreements with the intellectual property </w:t>
      </w:r>
      <w:r w:rsidR="00BA5761">
        <w:t>O</w:t>
      </w:r>
      <w:r w:rsidRPr="00BC43AE">
        <w:t xml:space="preserve">ffices of various countries, such as the USPTO, EPO, OEPM, the </w:t>
      </w:r>
      <w:r w:rsidR="00BA5761">
        <w:t>MOIP – Republic of Korea</w:t>
      </w:r>
      <w:r w:rsidRPr="00BC43AE">
        <w:t xml:space="preserve"> and the Canadian Intellectual Property Office. </w:t>
      </w:r>
      <w:r w:rsidR="00BA5761">
        <w:t xml:space="preserve"> </w:t>
      </w:r>
      <w:r w:rsidRPr="00BC43AE">
        <w:t>This allows for the acceleration of the examination of applications when the applicant so requests, based on patentability results in other countries or on a favorable PCT opinion.</w:t>
      </w:r>
    </w:p>
    <w:p w14:paraId="1E78545A" w14:textId="77777777" w:rsidR="000645A0" w:rsidRPr="00BC43AE" w:rsidRDefault="000645A0" w:rsidP="000645A0">
      <w:pPr>
        <w:pStyle w:val="Answer"/>
        <w:spacing w:after="0"/>
        <w:ind w:left="0"/>
        <w:jc w:val="both"/>
      </w:pPr>
    </w:p>
    <w:p w14:paraId="0948C735" w14:textId="77777777" w:rsidR="000645A0" w:rsidRPr="00BC43AE" w:rsidRDefault="000645A0" w:rsidP="000645A0">
      <w:pPr>
        <w:pStyle w:val="Answer"/>
        <w:spacing w:after="0"/>
        <w:ind w:left="0"/>
        <w:jc w:val="both"/>
      </w:pPr>
      <w:r w:rsidRPr="00BC43AE">
        <w:t>In addition, memoranda of understanding have been signed with the USPTO and the EPO to recognize the work of those offices related to granted patents, where the applications filed with the IMPI have a corresponding application.</w:t>
      </w:r>
    </w:p>
    <w:p w14:paraId="480EECCF" w14:textId="77777777" w:rsidR="000645A0" w:rsidRPr="00BC43AE" w:rsidRDefault="000645A0" w:rsidP="000645A0">
      <w:pPr>
        <w:pStyle w:val="Answer"/>
        <w:spacing w:after="0"/>
        <w:ind w:left="0"/>
        <w:jc w:val="both"/>
      </w:pPr>
    </w:p>
    <w:p w14:paraId="7F9F8FA5" w14:textId="77777777" w:rsidR="000645A0" w:rsidRPr="00BC43AE" w:rsidRDefault="000645A0" w:rsidP="000645A0">
      <w:pPr>
        <w:pStyle w:val="Answer"/>
        <w:spacing w:after="0"/>
        <w:ind w:left="0"/>
        <w:jc w:val="both"/>
      </w:pPr>
      <w:r w:rsidRPr="00BC43AE">
        <w:t>Finally, the IMPI is committed to improving its overall customer service but recognizes the strict time limits imposed by the PCT for international search and international preliminary examination and would ensure that international applications are prioritized accordingly.</w:t>
      </w:r>
    </w:p>
    <w:p w14:paraId="2756B3F7" w14:textId="77777777" w:rsidR="000645A0" w:rsidRPr="00BC43AE" w:rsidRDefault="000645A0" w:rsidP="000645A0">
      <w:pPr>
        <w:pStyle w:val="Answer"/>
        <w:spacing w:after="0"/>
        <w:ind w:left="0"/>
        <w:jc w:val="both"/>
        <w:rPr>
          <w:i/>
          <w:iCs/>
        </w:rPr>
      </w:pPr>
    </w:p>
    <w:p w14:paraId="4442CA7F" w14:textId="77777777" w:rsidR="000645A0" w:rsidRPr="00BC43AE" w:rsidRDefault="000645A0" w:rsidP="000645A0">
      <w:pPr>
        <w:pStyle w:val="Question"/>
        <w:spacing w:after="0"/>
      </w:pPr>
      <w:r w:rsidRPr="00BC43AE">
        <w:t>(e)</w:t>
      </w:r>
      <w:r w:rsidRPr="00BC43AE">
        <w:tab/>
        <w:t>National workload:</w:t>
      </w:r>
    </w:p>
    <w:p w14:paraId="515F33B7" w14:textId="77777777" w:rsidR="000645A0" w:rsidRPr="00BC43AE" w:rsidRDefault="000645A0" w:rsidP="000645A0">
      <w:pPr>
        <w:pStyle w:val="Answer"/>
        <w:spacing w:after="0"/>
      </w:pPr>
    </w:p>
    <w:tbl>
      <w:tblPr>
        <w:tblW w:w="0" w:type="auto"/>
        <w:tblCellMar>
          <w:left w:w="0" w:type="dxa"/>
          <w:right w:w="0" w:type="dxa"/>
        </w:tblCellMar>
        <w:tblLook w:val="04A0" w:firstRow="1" w:lastRow="0" w:firstColumn="1" w:lastColumn="0" w:noHBand="0" w:noVBand="1"/>
        <w:tblCaption w:val="National Workload"/>
        <w:tblDescription w:val="This table shows the number of patent applications pending at the candidate office, with global values, the number of applications pending search, and the number of applications pending first examination."/>
      </w:tblPr>
      <w:tblGrid>
        <w:gridCol w:w="3125"/>
        <w:gridCol w:w="2149"/>
        <w:gridCol w:w="2043"/>
        <w:gridCol w:w="2018"/>
      </w:tblGrid>
      <w:tr w:rsidR="000645A0" w:rsidRPr="00BC43AE" w14:paraId="77B6C4C0" w14:textId="77777777" w:rsidTr="00EA0A7F">
        <w:trPr>
          <w:cantSplit/>
          <w:tblHeader/>
        </w:trPr>
        <w:tc>
          <w:tcPr>
            <w:tcW w:w="4643" w:type="dxa"/>
            <w:tcBorders>
              <w:top w:val="single" w:sz="8" w:space="0" w:color="auto"/>
              <w:left w:val="single" w:sz="8" w:space="0" w:color="auto"/>
              <w:bottom w:val="single" w:sz="8" w:space="0" w:color="auto"/>
              <w:right w:val="single" w:sz="8" w:space="0" w:color="auto"/>
            </w:tcBorders>
            <w:shd w:val="clear" w:color="auto" w:fill="235B4E"/>
            <w:tcMar>
              <w:top w:w="0" w:type="dxa"/>
              <w:left w:w="108" w:type="dxa"/>
              <w:bottom w:w="0" w:type="dxa"/>
              <w:right w:w="108" w:type="dxa"/>
            </w:tcMar>
            <w:vAlign w:val="center"/>
            <w:hideMark/>
          </w:tcPr>
          <w:p w14:paraId="4C4FDB8E" w14:textId="77777777" w:rsidR="000645A0" w:rsidRPr="00BC43AE" w:rsidRDefault="000645A0" w:rsidP="00EA0A7F">
            <w:pPr>
              <w:keepNext/>
              <w:jc w:val="center"/>
              <w:rPr>
                <w:rFonts w:ascii="Aptos" w:eastAsiaTheme="minorHAnsi" w:hAnsi="Aptos" w:cs="Aptos"/>
                <w:b/>
                <w:bCs/>
                <w:color w:val="FFFFFF" w:themeColor="background1"/>
                <w:lang w:eastAsia="en-US"/>
              </w:rPr>
            </w:pPr>
            <w:r w:rsidRPr="00BC43AE">
              <w:rPr>
                <w:b/>
                <w:bCs/>
                <w:color w:val="FFFFFF" w:themeColor="background1"/>
              </w:rPr>
              <w:t>Task</w:t>
            </w:r>
          </w:p>
        </w:tc>
        <w:tc>
          <w:tcPr>
            <w:tcW w:w="2720" w:type="dxa"/>
            <w:tcBorders>
              <w:top w:val="single" w:sz="8" w:space="0" w:color="auto"/>
              <w:left w:val="nil"/>
              <w:bottom w:val="single" w:sz="8" w:space="0" w:color="auto"/>
              <w:right w:val="single" w:sz="8" w:space="0" w:color="auto"/>
            </w:tcBorders>
            <w:shd w:val="clear" w:color="auto" w:fill="235B4E"/>
            <w:tcMar>
              <w:top w:w="0" w:type="dxa"/>
              <w:left w:w="108" w:type="dxa"/>
              <w:bottom w:w="0" w:type="dxa"/>
              <w:right w:w="108" w:type="dxa"/>
            </w:tcMar>
            <w:vAlign w:val="center"/>
            <w:hideMark/>
          </w:tcPr>
          <w:p w14:paraId="2EA6BBE4" w14:textId="77777777" w:rsidR="000645A0" w:rsidRPr="00BC43AE" w:rsidRDefault="000645A0" w:rsidP="00EA0A7F">
            <w:pPr>
              <w:keepNext/>
              <w:jc w:val="center"/>
              <w:rPr>
                <w:b/>
                <w:bCs/>
                <w:color w:val="FFFFFF" w:themeColor="background1"/>
              </w:rPr>
            </w:pPr>
            <w:r w:rsidRPr="00BC43AE">
              <w:rPr>
                <w:b/>
                <w:bCs/>
                <w:color w:val="FFFFFF" w:themeColor="background1"/>
              </w:rPr>
              <w:t>Number of MX applications</w:t>
            </w:r>
          </w:p>
        </w:tc>
        <w:tc>
          <w:tcPr>
            <w:tcW w:w="2694" w:type="dxa"/>
            <w:tcBorders>
              <w:top w:val="single" w:sz="8" w:space="0" w:color="auto"/>
              <w:left w:val="nil"/>
              <w:bottom w:val="single" w:sz="8" w:space="0" w:color="auto"/>
              <w:right w:val="single" w:sz="8" w:space="0" w:color="auto"/>
            </w:tcBorders>
            <w:shd w:val="clear" w:color="auto" w:fill="235B4E"/>
            <w:vAlign w:val="center"/>
            <w:hideMark/>
          </w:tcPr>
          <w:p w14:paraId="4D82E37B" w14:textId="77777777" w:rsidR="000645A0" w:rsidRPr="00BC43AE" w:rsidRDefault="000645A0" w:rsidP="00EA0A7F">
            <w:pPr>
              <w:keepNext/>
              <w:jc w:val="center"/>
              <w:rPr>
                <w:b/>
                <w:bCs/>
                <w:color w:val="FFFFFF" w:themeColor="background1"/>
              </w:rPr>
            </w:pPr>
            <w:r w:rsidRPr="00BC43AE">
              <w:rPr>
                <w:b/>
                <w:bCs/>
                <w:color w:val="FFFFFF" w:themeColor="background1"/>
              </w:rPr>
              <w:t>Number of EX applications</w:t>
            </w:r>
          </w:p>
        </w:tc>
        <w:tc>
          <w:tcPr>
            <w:tcW w:w="2970" w:type="dxa"/>
            <w:tcBorders>
              <w:top w:val="single" w:sz="8" w:space="0" w:color="auto"/>
              <w:left w:val="nil"/>
              <w:bottom w:val="single" w:sz="8" w:space="0" w:color="auto"/>
              <w:right w:val="single" w:sz="8" w:space="0" w:color="auto"/>
            </w:tcBorders>
            <w:shd w:val="clear" w:color="auto" w:fill="235B4E"/>
            <w:vAlign w:val="center"/>
            <w:hideMark/>
          </w:tcPr>
          <w:p w14:paraId="315DD4BB" w14:textId="77777777" w:rsidR="000645A0" w:rsidRPr="00BC43AE" w:rsidRDefault="000645A0" w:rsidP="00EA0A7F">
            <w:pPr>
              <w:keepNext/>
              <w:jc w:val="center"/>
              <w:rPr>
                <w:b/>
                <w:bCs/>
                <w:color w:val="FFFFFF" w:themeColor="background1"/>
              </w:rPr>
            </w:pPr>
            <w:r w:rsidRPr="00BC43AE">
              <w:rPr>
                <w:b/>
                <w:bCs/>
                <w:color w:val="FFFFFF" w:themeColor="background1"/>
              </w:rPr>
              <w:t>Total number of requests</w:t>
            </w:r>
          </w:p>
        </w:tc>
      </w:tr>
      <w:tr w:rsidR="000645A0" w:rsidRPr="00BC43AE" w14:paraId="0226080C"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6EA25" w14:textId="77777777" w:rsidR="000645A0" w:rsidRPr="00BC43AE" w:rsidRDefault="000645A0" w:rsidP="00EA0A7F">
            <w:pPr>
              <w:keepNext/>
            </w:pPr>
            <w:r w:rsidRPr="00BC43AE">
              <w:t>Pending requests</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15299" w14:textId="77777777" w:rsidR="000645A0" w:rsidRPr="00BC43AE" w:rsidRDefault="000645A0" w:rsidP="00EA0A7F">
            <w:pPr>
              <w:jc w:val="center"/>
              <w:rPr>
                <w:lang w:eastAsia="es-MX"/>
              </w:rPr>
            </w:pPr>
            <w:r w:rsidRPr="00BC43AE">
              <w:t>3,520</w:t>
            </w:r>
          </w:p>
        </w:tc>
        <w:tc>
          <w:tcPr>
            <w:tcW w:w="2694" w:type="dxa"/>
            <w:tcBorders>
              <w:top w:val="nil"/>
              <w:left w:val="nil"/>
              <w:bottom w:val="single" w:sz="8" w:space="0" w:color="auto"/>
              <w:right w:val="single" w:sz="8" w:space="0" w:color="auto"/>
            </w:tcBorders>
            <w:vAlign w:val="center"/>
            <w:hideMark/>
          </w:tcPr>
          <w:p w14:paraId="3D7AAA86" w14:textId="77777777" w:rsidR="000645A0" w:rsidRPr="00BC43AE" w:rsidRDefault="000645A0" w:rsidP="00EA0A7F">
            <w:pPr>
              <w:jc w:val="center"/>
              <w:rPr>
                <w:lang w:eastAsia="en-US"/>
                <w14:ligatures w14:val="standardContextual"/>
              </w:rPr>
            </w:pPr>
            <w:r w:rsidRPr="00BC43AE">
              <w:t>56,599</w:t>
            </w:r>
          </w:p>
        </w:tc>
        <w:tc>
          <w:tcPr>
            <w:tcW w:w="2970" w:type="dxa"/>
            <w:tcBorders>
              <w:top w:val="nil"/>
              <w:left w:val="nil"/>
              <w:bottom w:val="single" w:sz="8" w:space="0" w:color="auto"/>
              <w:right w:val="single" w:sz="8" w:space="0" w:color="auto"/>
            </w:tcBorders>
            <w:vAlign w:val="center"/>
            <w:hideMark/>
          </w:tcPr>
          <w:p w14:paraId="25ECA295" w14:textId="77777777" w:rsidR="000645A0" w:rsidRPr="00BC43AE" w:rsidRDefault="000645A0" w:rsidP="00EA0A7F">
            <w:pPr>
              <w:jc w:val="center"/>
            </w:pPr>
            <w:r w:rsidRPr="00BC43AE">
              <w:t>60,119</w:t>
            </w:r>
          </w:p>
        </w:tc>
      </w:tr>
      <w:tr w:rsidR="000645A0" w:rsidRPr="00BC43AE" w14:paraId="2408D3C1"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F66A4" w14:textId="77777777" w:rsidR="000645A0" w:rsidRPr="00BC43AE" w:rsidRDefault="000645A0" w:rsidP="00EA0A7F">
            <w:pPr>
              <w:keepNext/>
            </w:pPr>
            <w:r w:rsidRPr="00BC43AE">
              <w:t xml:space="preserve">Applications undergoing substantive examination </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1507C" w14:textId="77777777" w:rsidR="000645A0" w:rsidRPr="00BC43AE" w:rsidRDefault="000645A0" w:rsidP="00EA0A7F">
            <w:pPr>
              <w:jc w:val="center"/>
              <w:rPr>
                <w:lang w:eastAsia="en-US"/>
              </w:rPr>
            </w:pPr>
            <w:r w:rsidRPr="00BC43AE">
              <w:t>1,867</w:t>
            </w:r>
          </w:p>
        </w:tc>
        <w:tc>
          <w:tcPr>
            <w:tcW w:w="2694" w:type="dxa"/>
            <w:tcBorders>
              <w:top w:val="nil"/>
              <w:left w:val="nil"/>
              <w:bottom w:val="single" w:sz="8" w:space="0" w:color="auto"/>
              <w:right w:val="single" w:sz="8" w:space="0" w:color="auto"/>
            </w:tcBorders>
            <w:vAlign w:val="center"/>
            <w:hideMark/>
          </w:tcPr>
          <w:p w14:paraId="4BD98AA4" w14:textId="77777777" w:rsidR="000645A0" w:rsidRPr="00BC43AE" w:rsidRDefault="000645A0" w:rsidP="00EA0A7F">
            <w:pPr>
              <w:jc w:val="center"/>
            </w:pPr>
            <w:r w:rsidRPr="00BC43AE">
              <w:t>9,524</w:t>
            </w:r>
          </w:p>
        </w:tc>
        <w:tc>
          <w:tcPr>
            <w:tcW w:w="2970" w:type="dxa"/>
            <w:tcBorders>
              <w:top w:val="nil"/>
              <w:left w:val="nil"/>
              <w:bottom w:val="single" w:sz="8" w:space="0" w:color="auto"/>
              <w:right w:val="single" w:sz="8" w:space="0" w:color="auto"/>
            </w:tcBorders>
            <w:vAlign w:val="center"/>
            <w:hideMark/>
          </w:tcPr>
          <w:p w14:paraId="73A88BD1" w14:textId="77777777" w:rsidR="000645A0" w:rsidRPr="00BC43AE" w:rsidRDefault="000645A0" w:rsidP="00EA0A7F">
            <w:pPr>
              <w:jc w:val="center"/>
            </w:pPr>
            <w:r w:rsidRPr="00BC43AE">
              <w:t>11,391</w:t>
            </w:r>
          </w:p>
        </w:tc>
      </w:tr>
      <w:tr w:rsidR="000645A0" w:rsidRPr="00BC43AE" w14:paraId="2F371951"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04C4A" w14:textId="77777777" w:rsidR="000645A0" w:rsidRPr="00BC43AE" w:rsidRDefault="000645A0" w:rsidP="00EA0A7F">
            <w:r w:rsidRPr="00BC43AE">
              <w:t xml:space="preserve">Applications undergoing substantive </w:t>
            </w:r>
            <w:proofErr w:type="gramStart"/>
            <w:r w:rsidRPr="00BC43AE">
              <w:t>examination</w:t>
            </w:r>
            <w:proofErr w:type="gramEnd"/>
            <w:r w:rsidRPr="00BC43AE">
              <w:t xml:space="preserve"> not yet started</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B56B2" w14:textId="77777777" w:rsidR="000645A0" w:rsidRPr="00BC43AE" w:rsidRDefault="000645A0" w:rsidP="00EA0A7F">
            <w:pPr>
              <w:jc w:val="center"/>
            </w:pPr>
            <w:r w:rsidRPr="00BC43AE">
              <w:t>363</w:t>
            </w:r>
          </w:p>
        </w:tc>
        <w:tc>
          <w:tcPr>
            <w:tcW w:w="2694" w:type="dxa"/>
            <w:tcBorders>
              <w:top w:val="nil"/>
              <w:left w:val="nil"/>
              <w:bottom w:val="single" w:sz="8" w:space="0" w:color="auto"/>
              <w:right w:val="single" w:sz="8" w:space="0" w:color="auto"/>
            </w:tcBorders>
            <w:vAlign w:val="center"/>
            <w:hideMark/>
          </w:tcPr>
          <w:p w14:paraId="27E9E421" w14:textId="77777777" w:rsidR="000645A0" w:rsidRPr="00BC43AE" w:rsidRDefault="000645A0" w:rsidP="00EA0A7F">
            <w:pPr>
              <w:jc w:val="center"/>
            </w:pPr>
            <w:r w:rsidRPr="00BC43AE">
              <w:t>41,785</w:t>
            </w:r>
          </w:p>
        </w:tc>
        <w:tc>
          <w:tcPr>
            <w:tcW w:w="2970" w:type="dxa"/>
            <w:tcBorders>
              <w:top w:val="nil"/>
              <w:left w:val="nil"/>
              <w:bottom w:val="single" w:sz="8" w:space="0" w:color="auto"/>
              <w:right w:val="single" w:sz="8" w:space="0" w:color="auto"/>
            </w:tcBorders>
            <w:vAlign w:val="center"/>
            <w:hideMark/>
          </w:tcPr>
          <w:p w14:paraId="52E17AF6" w14:textId="77777777" w:rsidR="000645A0" w:rsidRPr="00BC43AE" w:rsidRDefault="000645A0" w:rsidP="00EA0A7F">
            <w:pPr>
              <w:jc w:val="center"/>
            </w:pPr>
            <w:r w:rsidRPr="00BC43AE">
              <w:t>42,148</w:t>
            </w:r>
          </w:p>
        </w:tc>
      </w:tr>
      <w:tr w:rsidR="000645A0" w:rsidRPr="00BC43AE" w14:paraId="02FA97F6"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30C1E" w14:textId="77777777" w:rsidR="000645A0" w:rsidRPr="00BC43AE" w:rsidRDefault="000645A0" w:rsidP="00EA0A7F">
            <w:r w:rsidRPr="00BC43AE">
              <w:t>Applications before substantive examination</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4D6FC" w14:textId="77777777" w:rsidR="000645A0" w:rsidRPr="00BC43AE" w:rsidRDefault="000645A0" w:rsidP="00EA0A7F">
            <w:pPr>
              <w:jc w:val="center"/>
              <w:rPr>
                <w:lang w:eastAsia="en-US"/>
              </w:rPr>
            </w:pPr>
            <w:r w:rsidRPr="00BC43AE">
              <w:t>1,290</w:t>
            </w:r>
          </w:p>
        </w:tc>
        <w:tc>
          <w:tcPr>
            <w:tcW w:w="2694" w:type="dxa"/>
            <w:tcBorders>
              <w:top w:val="nil"/>
              <w:left w:val="nil"/>
              <w:bottom w:val="single" w:sz="8" w:space="0" w:color="auto"/>
              <w:right w:val="single" w:sz="8" w:space="0" w:color="auto"/>
            </w:tcBorders>
            <w:vAlign w:val="center"/>
            <w:hideMark/>
          </w:tcPr>
          <w:p w14:paraId="19382D3C" w14:textId="77777777" w:rsidR="000645A0" w:rsidRPr="00BC43AE" w:rsidRDefault="000645A0" w:rsidP="00EA0A7F">
            <w:pPr>
              <w:jc w:val="center"/>
            </w:pPr>
            <w:r w:rsidRPr="00BC43AE">
              <w:t>5,290</w:t>
            </w:r>
          </w:p>
        </w:tc>
        <w:tc>
          <w:tcPr>
            <w:tcW w:w="2970" w:type="dxa"/>
            <w:tcBorders>
              <w:top w:val="nil"/>
              <w:left w:val="nil"/>
              <w:bottom w:val="single" w:sz="8" w:space="0" w:color="auto"/>
              <w:right w:val="single" w:sz="8" w:space="0" w:color="auto"/>
            </w:tcBorders>
            <w:vAlign w:val="center"/>
            <w:hideMark/>
          </w:tcPr>
          <w:p w14:paraId="1B2C064E" w14:textId="77777777" w:rsidR="000645A0" w:rsidRPr="00BC43AE" w:rsidRDefault="000645A0" w:rsidP="00EA0A7F">
            <w:pPr>
              <w:jc w:val="center"/>
            </w:pPr>
            <w:r w:rsidRPr="00BC43AE">
              <w:t>6,580</w:t>
            </w:r>
          </w:p>
        </w:tc>
      </w:tr>
    </w:tbl>
    <w:p w14:paraId="62A45FA1" w14:textId="77777777" w:rsidR="000645A0" w:rsidRPr="00BC43AE" w:rsidRDefault="000645A0" w:rsidP="000645A0">
      <w:pPr>
        <w:pStyle w:val="Answer"/>
        <w:spacing w:after="0"/>
      </w:pPr>
    </w:p>
    <w:p w14:paraId="56F58439" w14:textId="77777777" w:rsidR="000645A0" w:rsidRPr="00BC43AE" w:rsidRDefault="000645A0" w:rsidP="000645A0">
      <w:pPr>
        <w:pStyle w:val="Question"/>
        <w:spacing w:before="240" w:after="0"/>
      </w:pPr>
      <w:r w:rsidRPr="00BC43AE">
        <w:lastRenderedPageBreak/>
        <w:t>(f)</w:t>
      </w:r>
      <w:r w:rsidRPr="00BC43AE">
        <w:tab/>
        <w:t>Time and environment for examiners for search and examination:</w:t>
      </w:r>
    </w:p>
    <w:p w14:paraId="23DE5C4B" w14:textId="7F3E9796" w:rsidR="000645A0" w:rsidRPr="00BC43AE" w:rsidRDefault="000645A0" w:rsidP="000645A0">
      <w:pPr>
        <w:pStyle w:val="Answer"/>
        <w:spacing w:after="0"/>
        <w:ind w:left="0"/>
        <w:jc w:val="both"/>
      </w:pPr>
      <w:r w:rsidRPr="00BC43AE">
        <w:t xml:space="preserve">Prior art </w:t>
      </w:r>
      <w:proofErr w:type="gramStart"/>
      <w:r w:rsidRPr="00BC43AE">
        <w:t>searches</w:t>
      </w:r>
      <w:proofErr w:type="gramEnd"/>
      <w:r w:rsidRPr="00BC43AE">
        <w:t xml:space="preserve"> and substantive examinations take an IMPI examiner an average of 16 to 30</w:t>
      </w:r>
      <w:r w:rsidR="00BA5761">
        <w:t> </w:t>
      </w:r>
      <w:r w:rsidRPr="00BC43AE">
        <w:t>hours, depending on the technical complexity of the invention and the experience of the examiner.</w:t>
      </w:r>
    </w:p>
    <w:p w14:paraId="24877E11" w14:textId="77777777" w:rsidR="000645A0" w:rsidRPr="00BC43AE" w:rsidRDefault="000645A0" w:rsidP="000645A0">
      <w:pPr>
        <w:pStyle w:val="Answer"/>
        <w:spacing w:after="0"/>
        <w:ind w:left="0"/>
        <w:jc w:val="both"/>
      </w:pPr>
      <w:r w:rsidRPr="00BC43AE">
        <w:t>Examiners have the necessary technological tools to search both public and paid databases for patent and non-patent literature using computers with high-speed internet access and dual monitors to facilitate their work.</w:t>
      </w:r>
    </w:p>
    <w:p w14:paraId="7CFC1D53" w14:textId="77777777" w:rsidR="000645A0" w:rsidRPr="00BC43AE" w:rsidRDefault="000645A0" w:rsidP="000645A0">
      <w:pPr>
        <w:pStyle w:val="Answer"/>
        <w:spacing w:after="0"/>
        <w:ind w:left="0"/>
        <w:jc w:val="both"/>
      </w:pPr>
    </w:p>
    <w:p w14:paraId="6EFE0078" w14:textId="77777777" w:rsidR="000645A0" w:rsidRPr="00BC43AE" w:rsidRDefault="000645A0" w:rsidP="000645A0">
      <w:pPr>
        <w:pStyle w:val="Question"/>
        <w:spacing w:after="0"/>
        <w:jc w:val="both"/>
      </w:pPr>
      <w:r w:rsidRPr="00BC43AE">
        <w:t>(g)</w:t>
      </w:r>
      <w:r w:rsidRPr="00BC43AE">
        <w:tab/>
        <w:t>Quality of national search and examination:</w:t>
      </w:r>
    </w:p>
    <w:p w14:paraId="2164FD99" w14:textId="77777777" w:rsidR="000645A0" w:rsidRPr="00BC43AE" w:rsidRDefault="000645A0" w:rsidP="000645A0">
      <w:pPr>
        <w:pStyle w:val="Question"/>
        <w:spacing w:after="0"/>
        <w:jc w:val="both"/>
        <w:rPr>
          <w:b w:val="0"/>
          <w:bCs w:val="0"/>
          <w:color w:val="0070C0"/>
        </w:rPr>
      </w:pPr>
    </w:p>
    <w:p w14:paraId="3A618FC1" w14:textId="77777777" w:rsidR="000645A0" w:rsidRPr="00BC43AE" w:rsidRDefault="000645A0" w:rsidP="000645A0">
      <w:pPr>
        <w:pStyle w:val="Question"/>
        <w:spacing w:after="0"/>
        <w:jc w:val="both"/>
        <w:rPr>
          <w:b w:val="0"/>
          <w:bCs w:val="0"/>
          <w:color w:val="000000" w:themeColor="text1"/>
        </w:rPr>
      </w:pPr>
      <w:r w:rsidRPr="00BC43AE">
        <w:rPr>
          <w:b w:val="0"/>
          <w:bCs w:val="0"/>
          <w:color w:val="000000" w:themeColor="text1"/>
        </w:rPr>
        <w:t xml:space="preserve">The low rate of administrative litigation proceedings for patent infringement or invalidity compared to the number of patents granted per year makes it possible to estimate the quality of the search and patentability examination conducted at the IMPI. </w:t>
      </w:r>
    </w:p>
    <w:p w14:paraId="4BD4A94B" w14:textId="77777777" w:rsidR="000645A0" w:rsidRPr="00BC43AE" w:rsidRDefault="000645A0" w:rsidP="000645A0">
      <w:pPr>
        <w:pStyle w:val="Answer"/>
        <w:spacing w:after="0"/>
        <w:ind w:left="0"/>
        <w:jc w:val="both"/>
      </w:pPr>
    </w:p>
    <w:p w14:paraId="386F7558" w14:textId="4C2BFD18" w:rsidR="000645A0" w:rsidRPr="00BC43AE" w:rsidRDefault="000645A0" w:rsidP="000645A0">
      <w:pPr>
        <w:pStyle w:val="Answer"/>
        <w:spacing w:after="0"/>
        <w:ind w:left="0"/>
        <w:jc w:val="both"/>
      </w:pPr>
      <w:r w:rsidRPr="00BC43AE">
        <w:t xml:space="preserve">Another way to demonstrate the high quality of the search and examination carried out by the IMPI is to review programs to accelerate the granting of patents. </w:t>
      </w:r>
      <w:r w:rsidR="00BA5761">
        <w:t xml:space="preserve"> </w:t>
      </w:r>
      <w:r w:rsidRPr="00BC43AE">
        <w:t>In the case of the USPTO, 31</w:t>
      </w:r>
      <w:r w:rsidR="00BA5761">
        <w:t> </w:t>
      </w:r>
      <w:r w:rsidRPr="00BC43AE">
        <w:t xml:space="preserve">applications have been filed under the PPH program between the IMPI and the USPTO, of which 25 patents have been granted and </w:t>
      </w:r>
      <w:r w:rsidR="00BA5761">
        <w:t>six</w:t>
      </w:r>
      <w:r w:rsidRPr="00BC43AE">
        <w:t xml:space="preserve"> have been denied.</w:t>
      </w:r>
    </w:p>
    <w:p w14:paraId="26F5754E" w14:textId="77777777" w:rsidR="000645A0" w:rsidRPr="00BC43AE" w:rsidRDefault="000645A0" w:rsidP="000645A0">
      <w:pPr>
        <w:pStyle w:val="Answer"/>
        <w:spacing w:after="0"/>
        <w:ind w:left="0"/>
        <w:jc w:val="both"/>
        <w:rPr>
          <w:i/>
          <w:iCs/>
        </w:rPr>
      </w:pPr>
    </w:p>
    <w:p w14:paraId="31A1FDFD" w14:textId="77777777" w:rsidR="000645A0" w:rsidRPr="000645A0" w:rsidRDefault="000645A0" w:rsidP="000645A0">
      <w:pPr>
        <w:pStyle w:val="SectionHeading"/>
        <w:spacing w:after="0"/>
        <w:rPr>
          <w:lang w:val="en-US"/>
        </w:rPr>
      </w:pPr>
      <w:r w:rsidRPr="000645A0">
        <w:rPr>
          <w:lang w:val="en-US"/>
        </w:rPr>
        <w:t>7 – Support Required</w:t>
      </w:r>
    </w:p>
    <w:p w14:paraId="2E99A5C8" w14:textId="2915C979" w:rsidR="000645A0" w:rsidRPr="00BC43AE" w:rsidRDefault="000645A0" w:rsidP="000645A0">
      <w:pPr>
        <w:pStyle w:val="Answer"/>
        <w:spacing w:after="0"/>
        <w:ind w:left="0"/>
        <w:jc w:val="both"/>
        <w:rPr>
          <w:i/>
          <w:iCs/>
        </w:rPr>
      </w:pPr>
      <w:r w:rsidRPr="00BC43AE">
        <w:t xml:space="preserve">The IMPI can use its own resources to perform the functions of an </w:t>
      </w:r>
      <w:r w:rsidR="00EF3B57">
        <w:t>Authority</w:t>
      </w:r>
      <w:r w:rsidRPr="00BC43AE">
        <w:t xml:space="preserve"> responsible for international search and international preliminary examination under the PCT. </w:t>
      </w:r>
      <w:r w:rsidR="00EF3B57">
        <w:t xml:space="preserve"> </w:t>
      </w:r>
      <w:r w:rsidRPr="00BC43AE">
        <w:t>The IMPI is aware of the need to continuously improve the skills of its staff for its work as an ISA/IPEA</w:t>
      </w:r>
      <w:r w:rsidR="00BA5761">
        <w:t xml:space="preserve"> </w:t>
      </w:r>
      <w:r w:rsidRPr="00BC43AE">
        <w:t>and will accordingly seek advice from other ISA/IPEA</w:t>
      </w:r>
      <w:r w:rsidR="00BA5761">
        <w:t>s</w:t>
      </w:r>
      <w:r w:rsidRPr="00BC43AE">
        <w:rPr>
          <w:i/>
          <w:iCs/>
        </w:rPr>
        <w:t>.</w:t>
      </w:r>
    </w:p>
    <w:p w14:paraId="5779BF73" w14:textId="77777777" w:rsidR="000645A0" w:rsidRPr="00BC43AE" w:rsidRDefault="000645A0" w:rsidP="000645A0">
      <w:pPr>
        <w:pStyle w:val="Answer"/>
        <w:spacing w:after="0"/>
        <w:ind w:left="0"/>
        <w:jc w:val="both"/>
      </w:pPr>
    </w:p>
    <w:p w14:paraId="74B277CA" w14:textId="77777777" w:rsidR="000645A0" w:rsidRPr="000645A0" w:rsidRDefault="000645A0" w:rsidP="000645A0">
      <w:pPr>
        <w:pStyle w:val="SectionHeading"/>
        <w:spacing w:after="0"/>
        <w:rPr>
          <w:lang w:val="en-US"/>
        </w:rPr>
      </w:pPr>
      <w:r w:rsidRPr="000645A0">
        <w:rPr>
          <w:lang w:val="en-US"/>
        </w:rPr>
        <w:t>8 – Other</w:t>
      </w:r>
    </w:p>
    <w:p w14:paraId="7DAA787D" w14:textId="77777777" w:rsidR="000645A0" w:rsidRPr="00BC43AE" w:rsidRDefault="000645A0" w:rsidP="000645A0">
      <w:pPr>
        <w:pStyle w:val="Answer"/>
        <w:spacing w:after="0"/>
        <w:ind w:left="0"/>
        <w:jc w:val="both"/>
      </w:pPr>
      <w:r w:rsidRPr="00BC43AE">
        <w:t>N/A</w:t>
      </w:r>
    </w:p>
    <w:p w14:paraId="0FDD5A36" w14:textId="77777777" w:rsidR="000645A0" w:rsidRPr="000645A0" w:rsidRDefault="000645A0" w:rsidP="000645A0">
      <w:pPr>
        <w:pStyle w:val="SectionHeading"/>
        <w:spacing w:after="0"/>
        <w:rPr>
          <w:lang w:val="en-US"/>
        </w:rPr>
      </w:pPr>
      <w:r w:rsidRPr="000645A0">
        <w:rPr>
          <w:lang w:val="en-US"/>
        </w:rPr>
        <w:t>9 – Assessment by other Authorities</w:t>
      </w:r>
    </w:p>
    <w:p w14:paraId="39DA7467" w14:textId="088EE5BA" w:rsidR="000645A0" w:rsidRPr="00BC43AE" w:rsidRDefault="000645A0" w:rsidP="000645A0">
      <w:pPr>
        <w:jc w:val="both"/>
      </w:pPr>
      <w:r w:rsidRPr="00BC43AE">
        <w:t xml:space="preserve">The OEPM functioned as an associated office that helped the IMPI assess whether it met the requirements to be </w:t>
      </w:r>
      <w:r>
        <w:t>appointed</w:t>
      </w:r>
      <w:r w:rsidRPr="00BC43AE">
        <w:t xml:space="preserve"> as an International A</w:t>
      </w:r>
      <w:r w:rsidR="00BA5761">
        <w:t>uthority</w:t>
      </w:r>
      <w:r w:rsidRPr="00BC43AE">
        <w:t xml:space="preserve"> under the PCT System.</w:t>
      </w:r>
    </w:p>
    <w:p w14:paraId="0CB06265" w14:textId="77777777" w:rsidR="000645A0" w:rsidRPr="00BC43AE" w:rsidRDefault="000645A0" w:rsidP="000645A0">
      <w:pPr>
        <w:jc w:val="both"/>
      </w:pPr>
    </w:p>
    <w:p w14:paraId="65BB8166" w14:textId="4536D3C0" w:rsidR="000645A0" w:rsidRPr="00BC43AE" w:rsidRDefault="000645A0" w:rsidP="000645A0">
      <w:pPr>
        <w:jc w:val="both"/>
      </w:pPr>
      <w:r w:rsidRPr="00BC43AE">
        <w:t xml:space="preserve">Annex </w:t>
      </w:r>
      <w:r w:rsidR="00EF3B57">
        <w:t>II</w:t>
      </w:r>
      <w:r w:rsidRPr="00BC43AE">
        <w:t xml:space="preserve"> contains the report of the OEPM on how the IMPI meets the criteria for designation as an International A</w:t>
      </w:r>
      <w:r w:rsidR="00FD28DE">
        <w:t>uthority</w:t>
      </w:r>
      <w:r w:rsidRPr="00BC43AE">
        <w:t xml:space="preserve"> under the PCT System.</w:t>
      </w:r>
    </w:p>
    <w:p w14:paraId="6560158C" w14:textId="77777777" w:rsidR="000645A0" w:rsidRPr="00A9695C" w:rsidRDefault="000645A0" w:rsidP="000645A0">
      <w:pPr>
        <w:jc w:val="both"/>
        <w:rPr>
          <w:i/>
          <w:iCs/>
        </w:rPr>
      </w:pPr>
    </w:p>
    <w:p w14:paraId="0F9B9564" w14:textId="77777777" w:rsidR="00C2578B" w:rsidRDefault="000645A0" w:rsidP="00C2578B">
      <w:pPr>
        <w:pStyle w:val="Endofdocument-Annex"/>
        <w:sectPr w:rsidR="00C2578B" w:rsidSect="000645A0">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t>[Annex II follows]</w:t>
      </w:r>
    </w:p>
    <w:p w14:paraId="21D00E70" w14:textId="47109BD4" w:rsidR="000C5534" w:rsidRDefault="000C5534" w:rsidP="00C2578B">
      <w:pPr>
        <w:pStyle w:val="Endofdocument-Annex"/>
        <w:ind w:left="0"/>
      </w:pPr>
    </w:p>
    <w:p w14:paraId="6763D7ED" w14:textId="6E845999" w:rsidR="00C2578B" w:rsidRDefault="00C2578B" w:rsidP="00C33427">
      <w:pPr>
        <w:pStyle w:val="Endofdocument-Annex"/>
        <w:ind w:left="0"/>
        <w:jc w:val="center"/>
        <w:rPr>
          <w:caps/>
        </w:rPr>
      </w:pPr>
      <w:r w:rsidRPr="00C2578B">
        <w:rPr>
          <w:caps/>
        </w:rPr>
        <w:t>Application of the Mexican Industrial Property Institute for appointment as an International Searching and Preliminary Examining Authority Under the Patent Cooperation Treaty</w:t>
      </w:r>
      <w:r w:rsidR="0093710E">
        <w:rPr>
          <w:caps/>
        </w:rPr>
        <w:br/>
      </w:r>
    </w:p>
    <w:p w14:paraId="2B281742" w14:textId="5CC0F673" w:rsidR="0093710E" w:rsidRPr="00C33427" w:rsidRDefault="0093710E" w:rsidP="00C33427">
      <w:pPr>
        <w:pStyle w:val="Endofdocument-Annex"/>
        <w:ind w:left="0"/>
        <w:jc w:val="center"/>
        <w:rPr>
          <w:caps/>
        </w:rPr>
      </w:pPr>
      <w:r>
        <w:rPr>
          <w:caps/>
        </w:rPr>
        <w:t>Report from the Spanish Patent and Trademark Office</w:t>
      </w:r>
    </w:p>
    <w:p w14:paraId="7C5F93FC" w14:textId="03A5227A" w:rsidR="00C2578B" w:rsidRDefault="00C2578B" w:rsidP="00C2578B">
      <w:pPr>
        <w:pStyle w:val="Heading1"/>
      </w:pPr>
      <w:r>
        <w:t>I.  Legal framework</w:t>
      </w:r>
    </w:p>
    <w:p w14:paraId="656F03EA" w14:textId="56CF80F5" w:rsidR="00C2578B" w:rsidRDefault="00C2578B" w:rsidP="00C2578B">
      <w:pPr>
        <w:pStyle w:val="Salutation"/>
        <w:numPr>
          <w:ilvl w:val="0"/>
          <w:numId w:val="25"/>
        </w:numPr>
      </w:pPr>
      <w:r>
        <w:t>Amendments to Rules 36 and 63 of the Regulations under the Patent Cooperation Treaty (PCT), with effect from January 2026, define the minimum requirements that a national Office must satisfy before it can be appointed as an International Searching and Preliminary Examining Authority.  The minimum requirements are as follows:</w:t>
      </w:r>
    </w:p>
    <w:p w14:paraId="5306022B" w14:textId="77777777" w:rsidR="00C2578B" w:rsidRDefault="00C2578B" w:rsidP="00C2578B"/>
    <w:p w14:paraId="6607B823" w14:textId="63677D69" w:rsidR="00C2578B" w:rsidRDefault="00C2578B" w:rsidP="00C2578B">
      <w:pPr>
        <w:pStyle w:val="ONUME"/>
        <w:numPr>
          <w:ilvl w:val="1"/>
          <w:numId w:val="5"/>
        </w:numPr>
      </w:pPr>
      <w:r>
        <w:t xml:space="preserve">the national Office must have at least 100 full-time employees with sufficient technical qualifications to carry out </w:t>
      </w:r>
      <w:proofErr w:type="gramStart"/>
      <w:r>
        <w:t>searches</w:t>
      </w:r>
      <w:proofErr w:type="gramEnd"/>
      <w:r>
        <w:t xml:space="preserve"> in the required technical </w:t>
      </w:r>
      <w:proofErr w:type="gramStart"/>
      <w:r>
        <w:t>fields;</w:t>
      </w:r>
      <w:proofErr w:type="gramEnd"/>
    </w:p>
    <w:p w14:paraId="4B763EA9" w14:textId="2C502231" w:rsidR="00C2578B" w:rsidRDefault="00C2578B" w:rsidP="00C2578B">
      <w:pPr>
        <w:pStyle w:val="ONUME"/>
        <w:numPr>
          <w:ilvl w:val="1"/>
          <w:numId w:val="5"/>
        </w:numPr>
      </w:pPr>
      <w:r>
        <w:t>that Office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roofErr w:type="gramStart"/>
      <w:r>
        <w:t>);</w:t>
      </w:r>
      <w:proofErr w:type="gramEnd"/>
    </w:p>
    <w:p w14:paraId="124EB6D5" w14:textId="52A70DCE" w:rsidR="00C2578B" w:rsidRDefault="00C2578B" w:rsidP="00C2578B">
      <w:pPr>
        <w:pStyle w:val="ONUME"/>
        <w:numPr>
          <w:ilvl w:val="1"/>
          <w:numId w:val="5"/>
        </w:numPr>
      </w:pPr>
      <w:r>
        <w:t xml:space="preserve">that Office must have in its possession, or maintain access to, at </w:t>
      </w:r>
      <w:proofErr w:type="gramStart"/>
      <w:r>
        <w:t>least</w:t>
      </w:r>
      <w:proofErr w:type="gramEnd"/>
      <w:r>
        <w:t xml:space="preserve"> the minimum documentation referred to in Rule 34, for search purposes in accordance with the Administrative </w:t>
      </w:r>
      <w:proofErr w:type="gramStart"/>
      <w:r>
        <w:t>Instructions;</w:t>
      </w:r>
      <w:proofErr w:type="gramEnd"/>
    </w:p>
    <w:p w14:paraId="70C8D042" w14:textId="35769E6C" w:rsidR="00C2578B" w:rsidRDefault="00C2578B" w:rsidP="00C2578B">
      <w:pPr>
        <w:pStyle w:val="ONUME"/>
        <w:numPr>
          <w:ilvl w:val="1"/>
          <w:numId w:val="5"/>
        </w:numPr>
      </w:pPr>
      <w:proofErr w:type="gramStart"/>
      <w:r>
        <w:t>that</w:t>
      </w:r>
      <w:proofErr w:type="gramEnd"/>
      <w:r>
        <w:t xml:space="preserve"> Office must have in place a quality management system and internal review arrangements in accordance with the common rules of international search; and</w:t>
      </w:r>
    </w:p>
    <w:p w14:paraId="0CC013AC" w14:textId="360A4424" w:rsidR="00C2578B" w:rsidRDefault="00C2578B" w:rsidP="00C2578B">
      <w:pPr>
        <w:pStyle w:val="ONUME"/>
        <w:numPr>
          <w:ilvl w:val="1"/>
          <w:numId w:val="5"/>
        </w:numPr>
      </w:pPr>
      <w:r>
        <w:t>that Office must hold an appointment as an International Searching and Preliminary Examining Authority.</w:t>
      </w:r>
    </w:p>
    <w:p w14:paraId="3A09BD4D" w14:textId="1372014B" w:rsidR="00C2578B" w:rsidRDefault="00C2578B" w:rsidP="00C2578B">
      <w:pPr>
        <w:pStyle w:val="Heading1"/>
      </w:pPr>
      <w:r>
        <w:t>II.  Mexican Institute of Industrial Property</w:t>
      </w:r>
    </w:p>
    <w:p w14:paraId="205D0844" w14:textId="41EB359C" w:rsidR="00C2578B" w:rsidRDefault="00C2578B" w:rsidP="00C2578B">
      <w:pPr>
        <w:pStyle w:val="ONUME"/>
      </w:pPr>
      <w:r>
        <w:t xml:space="preserve">The Mexican Industrial Property Institute (IMPI) has submitted its application for appointment as an International Searching and Preliminary Examining Authority. </w:t>
      </w:r>
    </w:p>
    <w:p w14:paraId="6C7FA0B8" w14:textId="6C427C0D" w:rsidR="00C2578B" w:rsidRDefault="00C2578B" w:rsidP="00C2578B">
      <w:pPr>
        <w:pStyle w:val="ONUME"/>
        <w:numPr>
          <w:ilvl w:val="1"/>
          <w:numId w:val="5"/>
        </w:numPr>
      </w:pPr>
      <w:r>
        <w:t>IMPI has over 100 full-time employees who carry out substantive examinations. They include 196 examiners for both patents and utility models, specializing in various technical fields (mechanical, electrical/electronic, chemical, pharmaceutical and biotech).</w:t>
      </w:r>
    </w:p>
    <w:p w14:paraId="7745A901" w14:textId="50FA55A6" w:rsidR="00C2578B" w:rsidRDefault="00C2578B" w:rsidP="00C2578B">
      <w:pPr>
        <w:pStyle w:val="ONUME"/>
        <w:numPr>
          <w:ilvl w:val="1"/>
          <w:numId w:val="5"/>
        </w:numPr>
      </w:pPr>
      <w:r>
        <w:t>Regarding minimum PCT documentation requirements:</w:t>
      </w:r>
    </w:p>
    <w:p w14:paraId="46717670" w14:textId="2306882F" w:rsidR="00C2578B" w:rsidRDefault="00C2578B" w:rsidP="00C2578B">
      <w:pPr>
        <w:pStyle w:val="ONUME"/>
        <w:numPr>
          <w:ilvl w:val="2"/>
          <w:numId w:val="5"/>
        </w:numPr>
      </w:pPr>
      <w:r>
        <w:t>Making available for consultation: documents are only available in PDF (text) format.</w:t>
      </w:r>
    </w:p>
    <w:p w14:paraId="09D96FE5" w14:textId="138F4F46" w:rsidR="00C2578B" w:rsidRDefault="00C2578B" w:rsidP="00C2578B">
      <w:pPr>
        <w:pStyle w:val="ONUME"/>
        <w:numPr>
          <w:ilvl w:val="2"/>
          <w:numId w:val="5"/>
        </w:numPr>
      </w:pPr>
      <w:r>
        <w:t>Access to the minimum documentation for search purposes: not all application texts are available in XML format; only the summary in Spanish and English is available in XML format. The description and claims are in PDF format.</w:t>
      </w:r>
    </w:p>
    <w:p w14:paraId="75A6696C" w14:textId="043E3B08" w:rsidR="00C2578B" w:rsidRDefault="00C2578B" w:rsidP="00C2578B">
      <w:pPr>
        <w:pStyle w:val="ONUME"/>
        <w:numPr>
          <w:ilvl w:val="1"/>
          <w:numId w:val="5"/>
        </w:numPr>
      </w:pPr>
      <w:r>
        <w:t>IMPI does not have a specific quality management system, nor has it been certified under any standard.</w:t>
      </w:r>
    </w:p>
    <w:p w14:paraId="6A84A9DD" w14:textId="316D1C49" w:rsidR="00C2578B" w:rsidRDefault="00C2578B" w:rsidP="00C2578B">
      <w:pPr>
        <w:pStyle w:val="ONUME"/>
        <w:numPr>
          <w:ilvl w:val="1"/>
          <w:numId w:val="5"/>
        </w:numPr>
      </w:pPr>
      <w:r>
        <w:t xml:space="preserve">It has applied to be appointed as an International Searching Authority and an International Examining Authority under the PCT. </w:t>
      </w:r>
    </w:p>
    <w:p w14:paraId="7BEEF357" w14:textId="17187EF9" w:rsidR="00C2578B" w:rsidRDefault="00C2578B" w:rsidP="00C33427">
      <w:pPr>
        <w:pStyle w:val="ONUME"/>
        <w:keepNext/>
      </w:pPr>
      <w:r>
        <w:lastRenderedPageBreak/>
        <w:t>Therefore, IMPI does not currently meet the following requirements:</w:t>
      </w:r>
    </w:p>
    <w:p w14:paraId="18FA43EC" w14:textId="77777777" w:rsidR="00C2578B" w:rsidRDefault="00C2578B" w:rsidP="00C33427">
      <w:pPr>
        <w:pStyle w:val="Endofdocument-Annex"/>
        <w:keepNext/>
        <w:ind w:left="567"/>
      </w:pPr>
      <w:r>
        <w:t>-</w:t>
      </w:r>
      <w:r>
        <w:tab/>
        <w:t>It does not have a quality management system as defined in Chapter 21 of the PCT International Search and Preliminary Examination Guidelines.</w:t>
      </w:r>
    </w:p>
    <w:p w14:paraId="540C7D30" w14:textId="77777777" w:rsidR="00C2578B" w:rsidRDefault="00C2578B" w:rsidP="00C33427">
      <w:pPr>
        <w:pStyle w:val="Endofdocument-Annex"/>
        <w:ind w:left="567"/>
      </w:pPr>
    </w:p>
    <w:p w14:paraId="7E2B8D13" w14:textId="77777777" w:rsidR="00C2578B" w:rsidRDefault="00C2578B" w:rsidP="00C33427">
      <w:pPr>
        <w:pStyle w:val="Endofdocument-Annex"/>
        <w:ind w:left="567"/>
      </w:pPr>
      <w:r>
        <w:t>-</w:t>
      </w:r>
      <w:r>
        <w:tab/>
        <w:t xml:space="preserve">It does not comply with the minimum PCT documentation requirements for patent information text formats accepted by WIPO (XML or TXT). </w:t>
      </w:r>
    </w:p>
    <w:p w14:paraId="67D00EA8" w14:textId="77777777" w:rsidR="00C2578B" w:rsidRDefault="00C2578B" w:rsidP="00C2578B">
      <w:pPr>
        <w:pStyle w:val="Endofdocument-Annex"/>
        <w:ind w:left="0"/>
      </w:pPr>
    </w:p>
    <w:p w14:paraId="0AA6F2FC" w14:textId="3037B3A1" w:rsidR="00C33427" w:rsidRDefault="00C2578B" w:rsidP="00C33427">
      <w:pPr>
        <w:pStyle w:val="ONUME"/>
      </w:pPr>
      <w:r>
        <w:t>However, in a meeting between the Spanish Patent and Trademark Office (</w:t>
      </w:r>
      <w:r w:rsidR="00EF3B57">
        <w:t>OEPM</w:t>
      </w:r>
      <w:r>
        <w:t xml:space="preserve">) and IMPI on December 1, 2025, the </w:t>
      </w:r>
      <w:r w:rsidR="00EF3B57">
        <w:t>OEPM</w:t>
      </w:r>
      <w:r>
        <w:t xml:space="preserve"> shared information to guide IMPI in the areas where work remains to be done.</w:t>
      </w:r>
    </w:p>
    <w:p w14:paraId="7233AEB0" w14:textId="2EE90CAB" w:rsidR="00C2578B" w:rsidRDefault="00C2578B" w:rsidP="00C2578B">
      <w:pPr>
        <w:pStyle w:val="ONUME"/>
      </w:pPr>
      <w:r>
        <w:t xml:space="preserve"> The </w:t>
      </w:r>
      <w:r w:rsidR="00EF3B57">
        <w:t>OEPM</w:t>
      </w:r>
      <w:r>
        <w:t xml:space="preserve"> is committed to supporting IMPI in its efforts and will visit the Institute in 2026 to ensure that it is in full compliance with all the technical requirements that an Office must meet </w:t>
      </w:r>
      <w:proofErr w:type="gramStart"/>
      <w:r>
        <w:t>in order to</w:t>
      </w:r>
      <w:proofErr w:type="gramEnd"/>
      <w:r>
        <w:t xml:space="preserve"> be appointed as an International Searching and Examining Authority under the PCT.</w:t>
      </w:r>
    </w:p>
    <w:p w14:paraId="43C190F8" w14:textId="55E0F4CA" w:rsidR="00C2578B" w:rsidRDefault="00C2578B" w:rsidP="00C33427">
      <w:pPr>
        <w:pStyle w:val="Heading1"/>
      </w:pPr>
      <w:r>
        <w:t>III</w:t>
      </w:r>
      <w:proofErr w:type="gramStart"/>
      <w:r>
        <w:t xml:space="preserve">. </w:t>
      </w:r>
      <w:r w:rsidR="00C33427">
        <w:t xml:space="preserve"> </w:t>
      </w:r>
      <w:r>
        <w:t>Conclusion</w:t>
      </w:r>
      <w:proofErr w:type="gramEnd"/>
    </w:p>
    <w:p w14:paraId="026ABE77" w14:textId="38298AE6" w:rsidR="00C33427" w:rsidRDefault="00C2578B" w:rsidP="00C33427">
      <w:pPr>
        <w:pStyle w:val="ONUME"/>
      </w:pPr>
      <w:r>
        <w:t xml:space="preserve">In the light of the foregoing, the </w:t>
      </w:r>
      <w:r w:rsidR="00EF3B57">
        <w:t>OEPM</w:t>
      </w:r>
      <w:r>
        <w:t xml:space="preserve"> supports the application of IMPI, </w:t>
      </w:r>
      <w:proofErr w:type="gramStart"/>
      <w:r>
        <w:t>provided that</w:t>
      </w:r>
      <w:proofErr w:type="gramEnd"/>
      <w:r>
        <w:t xml:space="preserve"> it:</w:t>
      </w:r>
    </w:p>
    <w:p w14:paraId="1B0A3480" w14:textId="77777777" w:rsidR="00C33427" w:rsidRDefault="00C2578B" w:rsidP="00C33427">
      <w:pPr>
        <w:pStyle w:val="ONUME"/>
        <w:numPr>
          <w:ilvl w:val="1"/>
          <w:numId w:val="5"/>
        </w:numPr>
      </w:pPr>
      <w:r>
        <w:t xml:space="preserve"> complies with the quality management system as defined in Chapter 21 of the PCT International Search and Preliminary Examination Guidelines; and</w:t>
      </w:r>
    </w:p>
    <w:p w14:paraId="488CB1D9" w14:textId="1BC5219A" w:rsidR="00C2578B" w:rsidRDefault="00C2578B" w:rsidP="00C33427">
      <w:pPr>
        <w:pStyle w:val="ONUME"/>
        <w:numPr>
          <w:ilvl w:val="1"/>
          <w:numId w:val="5"/>
        </w:numPr>
      </w:pPr>
      <w:r>
        <w:t xml:space="preserve"> can provide patent information in the text formats accepted by WIPO (XML or TXT).</w:t>
      </w:r>
    </w:p>
    <w:p w14:paraId="705DC780" w14:textId="1D6C8FF6" w:rsidR="00C2578B" w:rsidRDefault="00C2578B" w:rsidP="00C2578B">
      <w:pPr>
        <w:pStyle w:val="ONUME"/>
      </w:pPr>
      <w:r>
        <w:t xml:space="preserve">The </w:t>
      </w:r>
      <w:r w:rsidR="00EF3B57">
        <w:t xml:space="preserve">OEPM </w:t>
      </w:r>
      <w:r>
        <w:t>will verify the above during its visit to IMPI headquarters in 2026.</w:t>
      </w:r>
    </w:p>
    <w:p w14:paraId="6EFD694A" w14:textId="77777777" w:rsidR="00C33427" w:rsidRDefault="00C33427" w:rsidP="00C33427">
      <w:pPr>
        <w:pStyle w:val="ONUME"/>
        <w:numPr>
          <w:ilvl w:val="0"/>
          <w:numId w:val="0"/>
        </w:numPr>
      </w:pPr>
    </w:p>
    <w:p w14:paraId="1678039B" w14:textId="3E15F4CA" w:rsidR="00C33427" w:rsidRPr="00C2578B" w:rsidRDefault="00C33427" w:rsidP="00C33427">
      <w:pPr>
        <w:pStyle w:val="Endofdocument-Annex"/>
      </w:pPr>
      <w:r>
        <w:t>[End of Annex II and of document]</w:t>
      </w:r>
    </w:p>
    <w:sectPr w:rsidR="00C33427" w:rsidRPr="00C2578B" w:rsidSect="000645A0">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58FF" w14:textId="77777777" w:rsidR="00C43F14" w:rsidRDefault="00C43F14">
      <w:r>
        <w:separator/>
      </w:r>
    </w:p>
  </w:endnote>
  <w:endnote w:type="continuationSeparator" w:id="0">
    <w:p w14:paraId="10E118C2" w14:textId="77777777" w:rsidR="00C43F14" w:rsidRDefault="00C43F14" w:rsidP="003B38C1">
      <w:r>
        <w:separator/>
      </w:r>
    </w:p>
    <w:p w14:paraId="267F79E8" w14:textId="77777777" w:rsidR="00C43F14" w:rsidRPr="003B38C1" w:rsidRDefault="00C43F14" w:rsidP="003B38C1">
      <w:pPr>
        <w:spacing w:after="60"/>
        <w:rPr>
          <w:sz w:val="17"/>
        </w:rPr>
      </w:pPr>
      <w:r>
        <w:rPr>
          <w:sz w:val="17"/>
        </w:rPr>
        <w:t>[Endnote continued from previous page]</w:t>
      </w:r>
    </w:p>
  </w:endnote>
  <w:endnote w:type="continuationNotice" w:id="1">
    <w:p w14:paraId="2A1D3F5C" w14:textId="77777777" w:rsidR="00C43F14" w:rsidRPr="003B38C1" w:rsidRDefault="00C43F1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640E" w14:textId="63E9DB66" w:rsidR="00761CD8" w:rsidRDefault="0076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34C6" w14:textId="766A37C1" w:rsidR="00761CD8" w:rsidRDefault="00761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1290" w14:textId="68C8B23A" w:rsidR="00761CD8" w:rsidRDefault="0076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030C" w14:textId="77777777" w:rsidR="00C43F14" w:rsidRDefault="00C43F14">
      <w:r>
        <w:separator/>
      </w:r>
    </w:p>
  </w:footnote>
  <w:footnote w:type="continuationSeparator" w:id="0">
    <w:p w14:paraId="11749EBE" w14:textId="77777777" w:rsidR="00C43F14" w:rsidRDefault="00C43F14" w:rsidP="008B60B2">
      <w:r>
        <w:separator/>
      </w:r>
    </w:p>
    <w:p w14:paraId="41FA9379" w14:textId="77777777" w:rsidR="00C43F14" w:rsidRPr="00ED77FB" w:rsidRDefault="00C43F14" w:rsidP="008B60B2">
      <w:pPr>
        <w:spacing w:after="60"/>
        <w:rPr>
          <w:sz w:val="17"/>
          <w:szCs w:val="17"/>
        </w:rPr>
      </w:pPr>
      <w:r w:rsidRPr="00ED77FB">
        <w:rPr>
          <w:sz w:val="17"/>
          <w:szCs w:val="17"/>
        </w:rPr>
        <w:t>[Footnote continued from previous page]</w:t>
      </w:r>
    </w:p>
  </w:footnote>
  <w:footnote w:type="continuationNotice" w:id="1">
    <w:p w14:paraId="08CD73F5" w14:textId="77777777" w:rsidR="00C43F14" w:rsidRPr="00ED77FB" w:rsidRDefault="00C43F1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FDDADAC" w14:textId="77777777" w:rsidR="000645A0" w:rsidRPr="00340C6B" w:rsidRDefault="000645A0" w:rsidP="000645A0">
      <w:pPr>
        <w:pStyle w:val="FootnoteText"/>
        <w:rPr>
          <w:lang w:val="es-MX"/>
        </w:rPr>
      </w:pPr>
      <w:r w:rsidRPr="00BC43AE">
        <w:rPr>
          <w:rStyle w:val="FootnoteReference"/>
        </w:rPr>
        <w:footnoteRef/>
      </w:r>
      <w:r w:rsidRPr="00BC43AE">
        <w:t xml:space="preserve"> Includes utility model examiners.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0CBB" w14:textId="3C330FA7" w:rsidR="00D07C78" w:rsidRPr="002326AB" w:rsidRDefault="00C43F14" w:rsidP="00477D6B">
    <w:pPr>
      <w:jc w:val="right"/>
      <w:rPr>
        <w:caps/>
      </w:rPr>
    </w:pPr>
    <w:bookmarkStart w:id="5" w:name="Code2"/>
    <w:bookmarkEnd w:id="5"/>
    <w:r>
      <w:rPr>
        <w:caps/>
      </w:rPr>
      <w:t>PCT/CTC/33/2</w:t>
    </w:r>
  </w:p>
  <w:p w14:paraId="12F554A7" w14:textId="057A5779" w:rsidR="00D07C78" w:rsidRDefault="000645A0" w:rsidP="00477D6B">
    <w:pPr>
      <w:jc w:val="right"/>
    </w:pPr>
    <w:r>
      <w:t xml:space="preserve">Annex I,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68BD41BD" w14:textId="77777777" w:rsidR="00D07C78" w:rsidRDefault="00D07C78" w:rsidP="00477D6B">
    <w:pPr>
      <w:jc w:val="right"/>
    </w:pPr>
  </w:p>
  <w:p w14:paraId="3F8FDCE8"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B73" w14:textId="1D7CD6BB" w:rsidR="000645A0" w:rsidRPr="002326AB" w:rsidRDefault="000645A0" w:rsidP="00477D6B">
    <w:pPr>
      <w:jc w:val="right"/>
      <w:rPr>
        <w:caps/>
      </w:rPr>
    </w:pPr>
    <w:r>
      <w:rPr>
        <w:caps/>
      </w:rPr>
      <w:t>PCT/CTC/33/</w:t>
    </w:r>
    <w:r w:rsidR="009E16E5">
      <w:rPr>
        <w:caps/>
      </w:rPr>
      <w:t>27</w:t>
    </w:r>
  </w:p>
  <w:p w14:paraId="362B33E7" w14:textId="0139A36D" w:rsidR="000645A0" w:rsidRDefault="000645A0" w:rsidP="000645A0">
    <w:pPr>
      <w:jc w:val="right"/>
    </w:pPr>
    <w:r>
      <w:t xml:space="preserve">Annex I, page </w:t>
    </w:r>
    <w:r>
      <w:fldChar w:fldCharType="begin"/>
    </w:r>
    <w:r>
      <w:instrText xml:space="preserve"> PAGE  \* MERGEFORMAT </w:instrText>
    </w:r>
    <w:r>
      <w:fldChar w:fldCharType="separate"/>
    </w:r>
    <w:r>
      <w:rPr>
        <w:noProof/>
      </w:rPr>
      <w:t>2</w:t>
    </w:r>
    <w:r>
      <w:fldChar w:fldCharType="end"/>
    </w:r>
  </w:p>
  <w:p w14:paraId="327302A8" w14:textId="77777777" w:rsidR="000645A0" w:rsidRDefault="000645A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992F" w14:textId="48ACDB16" w:rsidR="000645A0" w:rsidRDefault="000645A0" w:rsidP="000645A0">
    <w:pPr>
      <w:pStyle w:val="Header"/>
      <w:jc w:val="right"/>
    </w:pPr>
    <w:r>
      <w:t>PCT/CTC/33/</w:t>
    </w:r>
    <w:r w:rsidR="009E16E5">
      <w:t>27</w:t>
    </w:r>
    <w:r>
      <w:br/>
      <w:t>ANNEX I</w:t>
    </w:r>
  </w:p>
  <w:p w14:paraId="2E57AEFE" w14:textId="77777777" w:rsidR="000645A0" w:rsidRDefault="000645A0" w:rsidP="000645A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C54" w14:textId="337EEB5D" w:rsidR="00C33427" w:rsidRPr="00C33427" w:rsidRDefault="00C33427" w:rsidP="00477D6B">
    <w:pPr>
      <w:jc w:val="right"/>
      <w:rPr>
        <w:caps/>
        <w:lang w:val="fr-CH"/>
      </w:rPr>
    </w:pPr>
    <w:r w:rsidRPr="00C33427">
      <w:rPr>
        <w:caps/>
        <w:lang w:val="fr-CH"/>
      </w:rPr>
      <w:t>PCT/CTC/33/</w:t>
    </w:r>
    <w:r w:rsidR="00F352F3">
      <w:rPr>
        <w:caps/>
        <w:lang w:val="fr-CH"/>
      </w:rPr>
      <w:t>27</w:t>
    </w:r>
  </w:p>
  <w:p w14:paraId="603B4802" w14:textId="6EB3B1A9" w:rsidR="00C33427" w:rsidRPr="00C33427" w:rsidRDefault="00C33427" w:rsidP="000645A0">
    <w:pPr>
      <w:jc w:val="right"/>
      <w:rPr>
        <w:lang w:val="fr-CH"/>
      </w:rPr>
    </w:pPr>
    <w:r w:rsidRPr="00C33427">
      <w:rPr>
        <w:lang w:val="fr-CH"/>
      </w:rPr>
      <w:t xml:space="preserve">Annex II, page </w:t>
    </w:r>
    <w:r>
      <w:fldChar w:fldCharType="begin"/>
    </w:r>
    <w:r w:rsidRPr="00C33427">
      <w:rPr>
        <w:lang w:val="fr-CH"/>
      </w:rPr>
      <w:instrText xml:space="preserve"> PAGE  \* MERGEFORMAT </w:instrText>
    </w:r>
    <w:r>
      <w:fldChar w:fldCharType="separate"/>
    </w:r>
    <w:r w:rsidRPr="00C33427">
      <w:rPr>
        <w:noProof/>
        <w:lang w:val="fr-CH"/>
      </w:rPr>
      <w:t>2</w:t>
    </w:r>
    <w:r>
      <w:fldChar w:fldCharType="end"/>
    </w:r>
  </w:p>
  <w:p w14:paraId="5D46583B" w14:textId="77777777" w:rsidR="00C33427" w:rsidRPr="00C33427" w:rsidRDefault="00C33427"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154E" w14:textId="225FC991" w:rsidR="00C2578B" w:rsidRDefault="00C2578B" w:rsidP="000645A0">
    <w:pPr>
      <w:pStyle w:val="Header"/>
      <w:jc w:val="right"/>
    </w:pPr>
    <w:r>
      <w:t>PCT/CTC/33/</w:t>
    </w:r>
    <w:r w:rsidR="00F352F3">
      <w:t>27</w:t>
    </w:r>
    <w:r>
      <w:br/>
      <w:t>ANNEX II</w:t>
    </w:r>
  </w:p>
  <w:p w14:paraId="7D31FC0B" w14:textId="77777777" w:rsidR="00C2578B" w:rsidRDefault="00C2578B" w:rsidP="000645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B6F1C"/>
    <w:multiLevelType w:val="hybridMultilevel"/>
    <w:tmpl w:val="89F0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24323"/>
    <w:multiLevelType w:val="hybridMultilevel"/>
    <w:tmpl w:val="A306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02F482FC"/>
    <w:lvl w:ilvl="0" w:tplc="D79400EA">
      <w:start w:val="1"/>
      <w:numFmt w:val="lowerLetter"/>
      <w:lvlText w:val="(%1)"/>
      <w:lvlJc w:val="left"/>
      <w:pPr>
        <w:ind w:left="570" w:hanging="57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0D3671"/>
    <w:multiLevelType w:val="hybridMultilevel"/>
    <w:tmpl w:val="A8DA3D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B1263"/>
    <w:multiLevelType w:val="multilevel"/>
    <w:tmpl w:val="15C0AB36"/>
    <w:lvl w:ilvl="0">
      <w:start w:val="9"/>
      <w:numFmt w:val="decimal"/>
      <w:lvlText w:val="%1"/>
      <w:lvlJc w:val="left"/>
      <w:pPr>
        <w:ind w:left="360" w:hanging="360"/>
      </w:pPr>
      <w:rPr>
        <w:rFonts w:hint="default"/>
        <w:color w:val="13322B"/>
      </w:rPr>
    </w:lvl>
    <w:lvl w:ilvl="1">
      <w:start w:val="1"/>
      <w:numFmt w:val="decimal"/>
      <w:lvlText w:val="%1.%2"/>
      <w:lvlJc w:val="left"/>
      <w:pPr>
        <w:ind w:left="502"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1C5B7A"/>
    <w:multiLevelType w:val="multilevel"/>
    <w:tmpl w:val="54F4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DF3EDD"/>
    <w:multiLevelType w:val="hybridMultilevel"/>
    <w:tmpl w:val="A80AFF90"/>
    <w:lvl w:ilvl="0" w:tplc="DF787C76">
      <w:start w:val="1"/>
      <w:numFmt w:val="bullet"/>
      <w:lvlText w:val=""/>
      <w:lvlJc w:val="left"/>
      <w:pPr>
        <w:ind w:left="1440" w:hanging="360"/>
      </w:pPr>
      <w:rPr>
        <w:rFonts w:ascii="Symbol" w:hAnsi="Symbol"/>
      </w:rPr>
    </w:lvl>
    <w:lvl w:ilvl="1" w:tplc="5FACC314">
      <w:start w:val="1"/>
      <w:numFmt w:val="bullet"/>
      <w:lvlText w:val=""/>
      <w:lvlJc w:val="left"/>
      <w:pPr>
        <w:ind w:left="1440" w:hanging="360"/>
      </w:pPr>
      <w:rPr>
        <w:rFonts w:ascii="Symbol" w:hAnsi="Symbol"/>
      </w:rPr>
    </w:lvl>
    <w:lvl w:ilvl="2" w:tplc="58622312">
      <w:start w:val="1"/>
      <w:numFmt w:val="bullet"/>
      <w:lvlText w:val=""/>
      <w:lvlJc w:val="left"/>
      <w:pPr>
        <w:ind w:left="1440" w:hanging="360"/>
      </w:pPr>
      <w:rPr>
        <w:rFonts w:ascii="Symbol" w:hAnsi="Symbol"/>
      </w:rPr>
    </w:lvl>
    <w:lvl w:ilvl="3" w:tplc="F566DBEC">
      <w:start w:val="1"/>
      <w:numFmt w:val="bullet"/>
      <w:lvlText w:val=""/>
      <w:lvlJc w:val="left"/>
      <w:pPr>
        <w:ind w:left="1440" w:hanging="360"/>
      </w:pPr>
      <w:rPr>
        <w:rFonts w:ascii="Symbol" w:hAnsi="Symbol"/>
      </w:rPr>
    </w:lvl>
    <w:lvl w:ilvl="4" w:tplc="733ADF24">
      <w:start w:val="1"/>
      <w:numFmt w:val="bullet"/>
      <w:lvlText w:val=""/>
      <w:lvlJc w:val="left"/>
      <w:pPr>
        <w:ind w:left="1440" w:hanging="360"/>
      </w:pPr>
      <w:rPr>
        <w:rFonts w:ascii="Symbol" w:hAnsi="Symbol"/>
      </w:rPr>
    </w:lvl>
    <w:lvl w:ilvl="5" w:tplc="12C441F2">
      <w:start w:val="1"/>
      <w:numFmt w:val="bullet"/>
      <w:lvlText w:val=""/>
      <w:lvlJc w:val="left"/>
      <w:pPr>
        <w:ind w:left="1440" w:hanging="360"/>
      </w:pPr>
      <w:rPr>
        <w:rFonts w:ascii="Symbol" w:hAnsi="Symbol"/>
      </w:rPr>
    </w:lvl>
    <w:lvl w:ilvl="6" w:tplc="3816F18A">
      <w:start w:val="1"/>
      <w:numFmt w:val="bullet"/>
      <w:lvlText w:val=""/>
      <w:lvlJc w:val="left"/>
      <w:pPr>
        <w:ind w:left="1440" w:hanging="360"/>
      </w:pPr>
      <w:rPr>
        <w:rFonts w:ascii="Symbol" w:hAnsi="Symbol"/>
      </w:rPr>
    </w:lvl>
    <w:lvl w:ilvl="7" w:tplc="C37C05EC">
      <w:start w:val="1"/>
      <w:numFmt w:val="bullet"/>
      <w:lvlText w:val=""/>
      <w:lvlJc w:val="left"/>
      <w:pPr>
        <w:ind w:left="1440" w:hanging="360"/>
      </w:pPr>
      <w:rPr>
        <w:rFonts w:ascii="Symbol" w:hAnsi="Symbol"/>
      </w:rPr>
    </w:lvl>
    <w:lvl w:ilvl="8" w:tplc="AED6DEA6">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86AA4"/>
    <w:multiLevelType w:val="hybridMultilevel"/>
    <w:tmpl w:val="E7380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87D98"/>
    <w:multiLevelType w:val="hybridMultilevel"/>
    <w:tmpl w:val="D6BC96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12C4D96"/>
    <w:multiLevelType w:val="multilevel"/>
    <w:tmpl w:val="8CCE224A"/>
    <w:lvl w:ilvl="0">
      <w:start w:val="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53BE5D3B"/>
    <w:multiLevelType w:val="multilevel"/>
    <w:tmpl w:val="3F6EB1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4F03708"/>
    <w:multiLevelType w:val="multilevel"/>
    <w:tmpl w:val="8CD416EC"/>
    <w:lvl w:ilvl="0">
      <w:start w:val="6"/>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b w:val="0"/>
        <w:bCs w:val="0"/>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18" w15:restartNumberingAfterBreak="0">
    <w:nsid w:val="5546284D"/>
    <w:multiLevelType w:val="multilevel"/>
    <w:tmpl w:val="BDF86608"/>
    <w:lvl w:ilvl="0">
      <w:start w:val="10"/>
      <w:numFmt w:val="decimal"/>
      <w:lvlText w:val="%1"/>
      <w:lvlJc w:val="left"/>
      <w:pPr>
        <w:ind w:left="372" w:hanging="372"/>
      </w:pPr>
      <w:rPr>
        <w:rFonts w:hint="default"/>
        <w:color w:val="13322B"/>
      </w:rPr>
    </w:lvl>
    <w:lvl w:ilvl="1">
      <w:start w:val="1"/>
      <w:numFmt w:val="decimal"/>
      <w:lvlText w:val="%1.%2"/>
      <w:lvlJc w:val="left"/>
      <w:pPr>
        <w:ind w:left="1092" w:hanging="372"/>
      </w:pPr>
      <w:rPr>
        <w:rFonts w:hint="default"/>
        <w:color w:val="13322B"/>
      </w:rPr>
    </w:lvl>
    <w:lvl w:ilvl="2">
      <w:start w:val="1"/>
      <w:numFmt w:val="decimal"/>
      <w:lvlText w:val="%1.%2.%3"/>
      <w:lvlJc w:val="left"/>
      <w:pPr>
        <w:ind w:left="2160" w:hanging="720"/>
      </w:pPr>
      <w:rPr>
        <w:rFonts w:hint="default"/>
        <w:color w:val="13322B"/>
      </w:rPr>
    </w:lvl>
    <w:lvl w:ilvl="3">
      <w:start w:val="1"/>
      <w:numFmt w:val="decimal"/>
      <w:lvlText w:val="%1.%2.%3.%4"/>
      <w:lvlJc w:val="left"/>
      <w:pPr>
        <w:ind w:left="2880" w:hanging="720"/>
      </w:pPr>
      <w:rPr>
        <w:rFonts w:hint="default"/>
        <w:color w:val="13322B"/>
      </w:rPr>
    </w:lvl>
    <w:lvl w:ilvl="4">
      <w:start w:val="1"/>
      <w:numFmt w:val="decimal"/>
      <w:lvlText w:val="%1.%2.%3.%4.%5"/>
      <w:lvlJc w:val="left"/>
      <w:pPr>
        <w:ind w:left="3960" w:hanging="1080"/>
      </w:pPr>
      <w:rPr>
        <w:rFonts w:hint="default"/>
        <w:color w:val="13322B"/>
      </w:rPr>
    </w:lvl>
    <w:lvl w:ilvl="5">
      <w:start w:val="1"/>
      <w:numFmt w:val="decimal"/>
      <w:lvlText w:val="%1.%2.%3.%4.%5.%6"/>
      <w:lvlJc w:val="left"/>
      <w:pPr>
        <w:ind w:left="4680" w:hanging="1080"/>
      </w:pPr>
      <w:rPr>
        <w:rFonts w:hint="default"/>
        <w:color w:val="13322B"/>
      </w:rPr>
    </w:lvl>
    <w:lvl w:ilvl="6">
      <w:start w:val="1"/>
      <w:numFmt w:val="decimal"/>
      <w:lvlText w:val="%1.%2.%3.%4.%5.%6.%7"/>
      <w:lvlJc w:val="left"/>
      <w:pPr>
        <w:ind w:left="5760" w:hanging="1440"/>
      </w:pPr>
      <w:rPr>
        <w:rFonts w:hint="default"/>
        <w:color w:val="13322B"/>
      </w:rPr>
    </w:lvl>
    <w:lvl w:ilvl="7">
      <w:start w:val="1"/>
      <w:numFmt w:val="decimal"/>
      <w:lvlText w:val="%1.%2.%3.%4.%5.%6.%7.%8"/>
      <w:lvlJc w:val="left"/>
      <w:pPr>
        <w:ind w:left="6480" w:hanging="1440"/>
      </w:pPr>
      <w:rPr>
        <w:rFonts w:hint="default"/>
        <w:color w:val="13322B"/>
      </w:rPr>
    </w:lvl>
    <w:lvl w:ilvl="8">
      <w:start w:val="1"/>
      <w:numFmt w:val="decimal"/>
      <w:lvlText w:val="%1.%2.%3.%4.%5.%6.%7.%8.%9"/>
      <w:lvlJc w:val="left"/>
      <w:pPr>
        <w:ind w:left="7560" w:hanging="1800"/>
      </w:pPr>
      <w:rPr>
        <w:rFonts w:hint="default"/>
        <w:color w:val="13322B"/>
      </w:rPr>
    </w:lvl>
  </w:abstractNum>
  <w:abstractNum w:abstractNumId="19" w15:restartNumberingAfterBreak="0">
    <w:nsid w:val="6A2F4868"/>
    <w:multiLevelType w:val="multilevel"/>
    <w:tmpl w:val="0C600416"/>
    <w:lvl w:ilvl="0">
      <w:start w:val="1"/>
      <w:numFmt w:val="decimal"/>
      <w:lvlText w:val="%1"/>
      <w:lvlJc w:val="left"/>
      <w:pPr>
        <w:ind w:left="360" w:hanging="360"/>
      </w:pPr>
      <w:rPr>
        <w:rFonts w:hint="default"/>
      </w:rPr>
    </w:lvl>
    <w:lvl w:ilvl="1">
      <w:start w:val="5"/>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0" w15:restartNumberingAfterBreak="0">
    <w:nsid w:val="6FFE2621"/>
    <w:multiLevelType w:val="multilevel"/>
    <w:tmpl w:val="FC7E2B0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708E5232"/>
    <w:multiLevelType w:val="hybridMultilevel"/>
    <w:tmpl w:val="64048B48"/>
    <w:lvl w:ilvl="0" w:tplc="00261AFA">
      <w:start w:val="7"/>
      <w:numFmt w:val="decimal"/>
      <w:lvlText w:val="%1."/>
      <w:lvlJc w:val="left"/>
      <w:pPr>
        <w:ind w:left="1080" w:hanging="360"/>
      </w:pPr>
      <w:rPr>
        <w:rFonts w:hint="default"/>
        <w:color w:val="13322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37532F7"/>
    <w:multiLevelType w:val="multilevel"/>
    <w:tmpl w:val="15B08668"/>
    <w:lvl w:ilvl="0">
      <w:start w:val="6"/>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23" w15:restartNumberingAfterBreak="0">
    <w:nsid w:val="747755BD"/>
    <w:multiLevelType w:val="multilevel"/>
    <w:tmpl w:val="DD464CEC"/>
    <w:lvl w:ilvl="0">
      <w:start w:val="8"/>
      <w:numFmt w:val="decimal"/>
      <w:lvlText w:val="%1"/>
      <w:lvlJc w:val="left"/>
      <w:pPr>
        <w:ind w:left="360" w:hanging="360"/>
      </w:pPr>
      <w:rPr>
        <w:rFonts w:hint="default"/>
        <w:color w:val="13322B"/>
      </w:rPr>
    </w:lvl>
    <w:lvl w:ilvl="1">
      <w:start w:val="1"/>
      <w:numFmt w:val="decimal"/>
      <w:lvlText w:val="%1.%2"/>
      <w:lvlJc w:val="left"/>
      <w:pPr>
        <w:ind w:left="360" w:hanging="360"/>
      </w:pPr>
      <w:rPr>
        <w:rFonts w:hint="default"/>
        <w:color w:val="13322B"/>
      </w:rPr>
    </w:lvl>
    <w:lvl w:ilvl="2">
      <w:start w:val="1"/>
      <w:numFmt w:val="decimal"/>
      <w:lvlText w:val="%1.%2.%3"/>
      <w:lvlJc w:val="left"/>
      <w:pPr>
        <w:ind w:left="720" w:hanging="720"/>
      </w:pPr>
      <w:rPr>
        <w:rFonts w:hint="default"/>
        <w:color w:val="13322B"/>
      </w:rPr>
    </w:lvl>
    <w:lvl w:ilvl="3">
      <w:start w:val="1"/>
      <w:numFmt w:val="decimal"/>
      <w:lvlText w:val="%1.%2.%3.%4"/>
      <w:lvlJc w:val="left"/>
      <w:pPr>
        <w:ind w:left="720" w:hanging="720"/>
      </w:pPr>
      <w:rPr>
        <w:rFonts w:hint="default"/>
        <w:color w:val="13322B"/>
      </w:rPr>
    </w:lvl>
    <w:lvl w:ilvl="4">
      <w:start w:val="1"/>
      <w:numFmt w:val="decimal"/>
      <w:lvlText w:val="%1.%2.%3.%4.%5"/>
      <w:lvlJc w:val="left"/>
      <w:pPr>
        <w:ind w:left="1080" w:hanging="1080"/>
      </w:pPr>
      <w:rPr>
        <w:rFonts w:hint="default"/>
        <w:color w:val="13322B"/>
      </w:rPr>
    </w:lvl>
    <w:lvl w:ilvl="5">
      <w:start w:val="1"/>
      <w:numFmt w:val="decimal"/>
      <w:lvlText w:val="%1.%2.%3.%4.%5.%6"/>
      <w:lvlJc w:val="left"/>
      <w:pPr>
        <w:ind w:left="1080" w:hanging="1080"/>
      </w:pPr>
      <w:rPr>
        <w:rFonts w:hint="default"/>
        <w:color w:val="13322B"/>
      </w:rPr>
    </w:lvl>
    <w:lvl w:ilvl="6">
      <w:start w:val="1"/>
      <w:numFmt w:val="decimal"/>
      <w:lvlText w:val="%1.%2.%3.%4.%5.%6.%7"/>
      <w:lvlJc w:val="left"/>
      <w:pPr>
        <w:ind w:left="1440" w:hanging="1440"/>
      </w:pPr>
      <w:rPr>
        <w:rFonts w:hint="default"/>
        <w:color w:val="13322B"/>
      </w:rPr>
    </w:lvl>
    <w:lvl w:ilvl="7">
      <w:start w:val="1"/>
      <w:numFmt w:val="decimal"/>
      <w:lvlText w:val="%1.%2.%3.%4.%5.%6.%7.%8"/>
      <w:lvlJc w:val="left"/>
      <w:pPr>
        <w:ind w:left="1440" w:hanging="1440"/>
      </w:pPr>
      <w:rPr>
        <w:rFonts w:hint="default"/>
        <w:color w:val="13322B"/>
      </w:rPr>
    </w:lvl>
    <w:lvl w:ilvl="8">
      <w:start w:val="1"/>
      <w:numFmt w:val="decimal"/>
      <w:lvlText w:val="%1.%2.%3.%4.%5.%6.%7.%8.%9"/>
      <w:lvlJc w:val="left"/>
      <w:pPr>
        <w:ind w:left="1800" w:hanging="1800"/>
      </w:pPr>
      <w:rPr>
        <w:rFonts w:hint="default"/>
        <w:color w:val="13322B"/>
      </w:rPr>
    </w:lvl>
  </w:abstractNum>
  <w:num w:numId="1" w16cid:durableId="25833139">
    <w:abstractNumId w:val="7"/>
  </w:num>
  <w:num w:numId="2" w16cid:durableId="1130896600">
    <w:abstractNumId w:val="11"/>
  </w:num>
  <w:num w:numId="3" w16cid:durableId="1310986793">
    <w:abstractNumId w:val="0"/>
  </w:num>
  <w:num w:numId="4" w16cid:durableId="1556547374">
    <w:abstractNumId w:val="13"/>
  </w:num>
  <w:num w:numId="5" w16cid:durableId="1511680175">
    <w:abstractNumId w:val="1"/>
  </w:num>
  <w:num w:numId="6" w16cid:durableId="1008404777">
    <w:abstractNumId w:val="9"/>
  </w:num>
  <w:num w:numId="7" w16cid:durableId="379134335">
    <w:abstractNumId w:val="14"/>
  </w:num>
  <w:num w:numId="8" w16cid:durableId="1295061717">
    <w:abstractNumId w:val="4"/>
  </w:num>
  <w:num w:numId="9" w16cid:durableId="1812599932">
    <w:abstractNumId w:val="2"/>
  </w:num>
  <w:num w:numId="10" w16cid:durableId="107434423">
    <w:abstractNumId w:val="16"/>
  </w:num>
  <w:num w:numId="11" w16cid:durableId="313530158">
    <w:abstractNumId w:val="19"/>
  </w:num>
  <w:num w:numId="12" w16cid:durableId="1428963422">
    <w:abstractNumId w:val="5"/>
  </w:num>
  <w:num w:numId="13" w16cid:durableId="1574271982">
    <w:abstractNumId w:val="15"/>
  </w:num>
  <w:num w:numId="14" w16cid:durableId="28073597">
    <w:abstractNumId w:val="17"/>
  </w:num>
  <w:num w:numId="15" w16cid:durableId="900408997">
    <w:abstractNumId w:val="22"/>
  </w:num>
  <w:num w:numId="16" w16cid:durableId="910693767">
    <w:abstractNumId w:val="21"/>
  </w:num>
  <w:num w:numId="17" w16cid:durableId="285699704">
    <w:abstractNumId w:val="20"/>
  </w:num>
  <w:num w:numId="18" w16cid:durableId="880480926">
    <w:abstractNumId w:val="23"/>
  </w:num>
  <w:num w:numId="19" w16cid:durableId="1514497169">
    <w:abstractNumId w:val="6"/>
  </w:num>
  <w:num w:numId="20" w16cid:durableId="1509447701">
    <w:abstractNumId w:val="18"/>
  </w:num>
  <w:num w:numId="21" w16cid:durableId="589192927">
    <w:abstractNumId w:val="12"/>
  </w:num>
  <w:num w:numId="22" w16cid:durableId="1399745074">
    <w:abstractNumId w:val="8"/>
  </w:num>
  <w:num w:numId="23" w16cid:durableId="881136100">
    <w:abstractNumId w:val="3"/>
  </w:num>
  <w:num w:numId="24" w16cid:durableId="354884310">
    <w:abstractNumId w:val="10"/>
  </w:num>
  <w:num w:numId="25" w16cid:durableId="696734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14"/>
    <w:rsid w:val="00043CAA"/>
    <w:rsid w:val="00044695"/>
    <w:rsid w:val="00056816"/>
    <w:rsid w:val="000645A0"/>
    <w:rsid w:val="00075432"/>
    <w:rsid w:val="000968ED"/>
    <w:rsid w:val="000A3D97"/>
    <w:rsid w:val="000C5534"/>
    <w:rsid w:val="000D46FE"/>
    <w:rsid w:val="000F5E56"/>
    <w:rsid w:val="000F6765"/>
    <w:rsid w:val="001362EE"/>
    <w:rsid w:val="001647D5"/>
    <w:rsid w:val="001832A6"/>
    <w:rsid w:val="00185543"/>
    <w:rsid w:val="001912D6"/>
    <w:rsid w:val="001D4107"/>
    <w:rsid w:val="00203D24"/>
    <w:rsid w:val="00204D21"/>
    <w:rsid w:val="0021217E"/>
    <w:rsid w:val="002326AB"/>
    <w:rsid w:val="00243430"/>
    <w:rsid w:val="00250E64"/>
    <w:rsid w:val="002634C4"/>
    <w:rsid w:val="002928D3"/>
    <w:rsid w:val="002E0BED"/>
    <w:rsid w:val="002F1FE6"/>
    <w:rsid w:val="002F4E68"/>
    <w:rsid w:val="00304349"/>
    <w:rsid w:val="0030647B"/>
    <w:rsid w:val="00312F7F"/>
    <w:rsid w:val="00361450"/>
    <w:rsid w:val="003673CF"/>
    <w:rsid w:val="003845C1"/>
    <w:rsid w:val="003A0190"/>
    <w:rsid w:val="003A6F89"/>
    <w:rsid w:val="003B38C1"/>
    <w:rsid w:val="003C34E9"/>
    <w:rsid w:val="00423E3E"/>
    <w:rsid w:val="00427AF4"/>
    <w:rsid w:val="004647DA"/>
    <w:rsid w:val="00466B4A"/>
    <w:rsid w:val="00474062"/>
    <w:rsid w:val="00477D6B"/>
    <w:rsid w:val="004B446A"/>
    <w:rsid w:val="005019FF"/>
    <w:rsid w:val="0052652C"/>
    <w:rsid w:val="0053057A"/>
    <w:rsid w:val="00556076"/>
    <w:rsid w:val="00560A29"/>
    <w:rsid w:val="005A19BB"/>
    <w:rsid w:val="005C6649"/>
    <w:rsid w:val="00605827"/>
    <w:rsid w:val="00646050"/>
    <w:rsid w:val="006713CA"/>
    <w:rsid w:val="00676C5C"/>
    <w:rsid w:val="006C73C5"/>
    <w:rsid w:val="006D70B2"/>
    <w:rsid w:val="006E2757"/>
    <w:rsid w:val="00720EFD"/>
    <w:rsid w:val="00725462"/>
    <w:rsid w:val="00741D6B"/>
    <w:rsid w:val="00761CD8"/>
    <w:rsid w:val="0077252C"/>
    <w:rsid w:val="007854AF"/>
    <w:rsid w:val="00793A7C"/>
    <w:rsid w:val="00797F53"/>
    <w:rsid w:val="007A398A"/>
    <w:rsid w:val="007D1613"/>
    <w:rsid w:val="007E4C0E"/>
    <w:rsid w:val="007E62B7"/>
    <w:rsid w:val="00811C14"/>
    <w:rsid w:val="00827B35"/>
    <w:rsid w:val="008A134B"/>
    <w:rsid w:val="008B2CC1"/>
    <w:rsid w:val="008B60B2"/>
    <w:rsid w:val="008E61D3"/>
    <w:rsid w:val="0090731E"/>
    <w:rsid w:val="0091662D"/>
    <w:rsid w:val="00916EE2"/>
    <w:rsid w:val="0093710E"/>
    <w:rsid w:val="00946610"/>
    <w:rsid w:val="00966A22"/>
    <w:rsid w:val="0096722F"/>
    <w:rsid w:val="00980843"/>
    <w:rsid w:val="009A043D"/>
    <w:rsid w:val="009E16E5"/>
    <w:rsid w:val="009E2791"/>
    <w:rsid w:val="009E3F6F"/>
    <w:rsid w:val="009F2BBB"/>
    <w:rsid w:val="009F499F"/>
    <w:rsid w:val="00A13BB0"/>
    <w:rsid w:val="00A37342"/>
    <w:rsid w:val="00A42DAF"/>
    <w:rsid w:val="00A45BD8"/>
    <w:rsid w:val="00A869B7"/>
    <w:rsid w:val="00A90F0A"/>
    <w:rsid w:val="00AA1428"/>
    <w:rsid w:val="00AA1FBA"/>
    <w:rsid w:val="00AC205C"/>
    <w:rsid w:val="00AF0A6B"/>
    <w:rsid w:val="00B05A69"/>
    <w:rsid w:val="00B12E7D"/>
    <w:rsid w:val="00B367AE"/>
    <w:rsid w:val="00B7334D"/>
    <w:rsid w:val="00B75281"/>
    <w:rsid w:val="00B75B85"/>
    <w:rsid w:val="00B92F1F"/>
    <w:rsid w:val="00B9734B"/>
    <w:rsid w:val="00BA30E2"/>
    <w:rsid w:val="00BA5761"/>
    <w:rsid w:val="00BC039A"/>
    <w:rsid w:val="00C11BFE"/>
    <w:rsid w:val="00C16E83"/>
    <w:rsid w:val="00C2578B"/>
    <w:rsid w:val="00C27128"/>
    <w:rsid w:val="00C33427"/>
    <w:rsid w:val="00C43F14"/>
    <w:rsid w:val="00C5068F"/>
    <w:rsid w:val="00C86D74"/>
    <w:rsid w:val="00CA06C3"/>
    <w:rsid w:val="00CA40DB"/>
    <w:rsid w:val="00CB217F"/>
    <w:rsid w:val="00CD04F1"/>
    <w:rsid w:val="00CF681A"/>
    <w:rsid w:val="00D07C78"/>
    <w:rsid w:val="00D45252"/>
    <w:rsid w:val="00D71B4D"/>
    <w:rsid w:val="00D93D55"/>
    <w:rsid w:val="00DD393E"/>
    <w:rsid w:val="00DD3E7F"/>
    <w:rsid w:val="00DD7B7F"/>
    <w:rsid w:val="00DE354C"/>
    <w:rsid w:val="00E15015"/>
    <w:rsid w:val="00E335FE"/>
    <w:rsid w:val="00E67A6E"/>
    <w:rsid w:val="00EA7D6E"/>
    <w:rsid w:val="00EB2F76"/>
    <w:rsid w:val="00EB5CA4"/>
    <w:rsid w:val="00EC4E49"/>
    <w:rsid w:val="00ED5FF8"/>
    <w:rsid w:val="00ED77FB"/>
    <w:rsid w:val="00EE45FA"/>
    <w:rsid w:val="00EF3B57"/>
    <w:rsid w:val="00F043DE"/>
    <w:rsid w:val="00F352F3"/>
    <w:rsid w:val="00F540AD"/>
    <w:rsid w:val="00F66152"/>
    <w:rsid w:val="00F82283"/>
    <w:rsid w:val="00F9165B"/>
    <w:rsid w:val="00FC482F"/>
    <w:rsid w:val="00FD28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3C107"/>
  <w15:docId w15:val="{B46FFA7C-6FA6-4292-9623-FD711D4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0645A0"/>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0645A0"/>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0645A0"/>
    <w:pPr>
      <w:keepNext/>
      <w:keepLines/>
      <w:spacing w:after="240"/>
      <w:ind w:left="567" w:right="567"/>
    </w:pPr>
    <w:rPr>
      <w:bCs/>
      <w:i/>
      <w:iCs/>
    </w:rPr>
  </w:style>
  <w:style w:type="paragraph" w:customStyle="1" w:styleId="Question">
    <w:name w:val="Question"/>
    <w:basedOn w:val="BodyText"/>
    <w:next w:val="Answer"/>
    <w:qFormat/>
    <w:rsid w:val="000645A0"/>
    <w:pPr>
      <w:keepNext/>
      <w:keepLines/>
    </w:pPr>
    <w:rPr>
      <w:b/>
      <w:bCs/>
      <w:szCs w:val="22"/>
    </w:rPr>
  </w:style>
  <w:style w:type="paragraph" w:customStyle="1" w:styleId="Answer">
    <w:name w:val="Answer"/>
    <w:basedOn w:val="BodyText"/>
    <w:qFormat/>
    <w:rsid w:val="000645A0"/>
    <w:pPr>
      <w:ind w:left="567"/>
    </w:pPr>
  </w:style>
  <w:style w:type="paragraph" w:customStyle="1" w:styleId="Notestext">
    <w:name w:val="Notes text"/>
    <w:basedOn w:val="BodyText"/>
    <w:qFormat/>
    <w:rsid w:val="000645A0"/>
    <w:pPr>
      <w:keepLines/>
    </w:pPr>
    <w:rPr>
      <w:szCs w:val="22"/>
    </w:rPr>
  </w:style>
  <w:style w:type="paragraph" w:customStyle="1" w:styleId="NotesHeading">
    <w:name w:val="Notes Heading"/>
    <w:basedOn w:val="Normal"/>
    <w:qFormat/>
    <w:rsid w:val="000645A0"/>
    <w:pPr>
      <w:keepNext/>
      <w:keepLines/>
      <w:spacing w:after="220"/>
    </w:pPr>
    <w:rPr>
      <w:i/>
      <w:szCs w:val="22"/>
    </w:rPr>
  </w:style>
  <w:style w:type="paragraph" w:styleId="BalloonText">
    <w:name w:val="Balloon Text"/>
    <w:basedOn w:val="Normal"/>
    <w:link w:val="BalloonTextChar"/>
    <w:semiHidden/>
    <w:unhideWhenUsed/>
    <w:rsid w:val="000645A0"/>
    <w:rPr>
      <w:rFonts w:ascii="Segoe UI" w:hAnsi="Segoe UI" w:cs="Segoe UI"/>
      <w:sz w:val="18"/>
      <w:szCs w:val="18"/>
    </w:rPr>
  </w:style>
  <w:style w:type="character" w:customStyle="1" w:styleId="BalloonTextChar">
    <w:name w:val="Balloon Text Char"/>
    <w:basedOn w:val="DefaultParagraphFont"/>
    <w:link w:val="BalloonText"/>
    <w:semiHidden/>
    <w:rsid w:val="000645A0"/>
    <w:rPr>
      <w:rFonts w:ascii="Segoe UI" w:eastAsia="SimSun" w:hAnsi="Segoe UI" w:cs="Segoe UI"/>
      <w:sz w:val="18"/>
      <w:szCs w:val="18"/>
      <w:lang w:val="en-US" w:eastAsia="zh-CN"/>
    </w:rPr>
  </w:style>
  <w:style w:type="paragraph" w:styleId="Revision">
    <w:name w:val="Revision"/>
    <w:hidden/>
    <w:uiPriority w:val="99"/>
    <w:semiHidden/>
    <w:rsid w:val="000645A0"/>
    <w:rPr>
      <w:rFonts w:ascii="Arial" w:eastAsia="SimSun" w:hAnsi="Arial" w:cs="Arial"/>
      <w:sz w:val="22"/>
      <w:lang w:val="es-ES" w:eastAsia="zh-CN"/>
    </w:rPr>
  </w:style>
  <w:style w:type="character" w:styleId="Hyperlink">
    <w:name w:val="Hyperlink"/>
    <w:basedOn w:val="DefaultParagraphFont"/>
    <w:unhideWhenUsed/>
    <w:rsid w:val="000645A0"/>
    <w:rPr>
      <w:color w:val="0000FF" w:themeColor="hyperlink"/>
      <w:u w:val="single"/>
    </w:rPr>
  </w:style>
  <w:style w:type="table" w:styleId="TableGrid">
    <w:name w:val="Table Grid"/>
    <w:basedOn w:val="TableNormal"/>
    <w:uiPriority w:val="39"/>
    <w:rsid w:val="000645A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45A0"/>
    <w:rPr>
      <w:color w:val="666666"/>
    </w:rPr>
  </w:style>
  <w:style w:type="character" w:customStyle="1" w:styleId="HeaderChar">
    <w:name w:val="Header Char"/>
    <w:basedOn w:val="DefaultParagraphFont"/>
    <w:link w:val="Header"/>
    <w:uiPriority w:val="99"/>
    <w:rsid w:val="000645A0"/>
    <w:rPr>
      <w:rFonts w:ascii="Arial" w:eastAsia="SimSun" w:hAnsi="Arial" w:cs="Arial"/>
      <w:sz w:val="22"/>
      <w:lang w:val="en-US" w:eastAsia="zh-CN"/>
    </w:rPr>
  </w:style>
  <w:style w:type="character" w:styleId="CommentReference">
    <w:name w:val="annotation reference"/>
    <w:basedOn w:val="DefaultParagraphFont"/>
    <w:semiHidden/>
    <w:unhideWhenUsed/>
    <w:rsid w:val="000645A0"/>
    <w:rPr>
      <w:sz w:val="16"/>
      <w:szCs w:val="16"/>
    </w:rPr>
  </w:style>
  <w:style w:type="paragraph" w:styleId="CommentSubject">
    <w:name w:val="annotation subject"/>
    <w:basedOn w:val="CommentText"/>
    <w:next w:val="CommentText"/>
    <w:link w:val="CommentSubjectChar"/>
    <w:semiHidden/>
    <w:unhideWhenUsed/>
    <w:rsid w:val="000645A0"/>
    <w:rPr>
      <w:b/>
      <w:bCs/>
      <w:sz w:val="20"/>
    </w:rPr>
  </w:style>
  <w:style w:type="character" w:customStyle="1" w:styleId="CommentTextChar">
    <w:name w:val="Comment Text Char"/>
    <w:basedOn w:val="DefaultParagraphFont"/>
    <w:link w:val="CommentText"/>
    <w:semiHidden/>
    <w:rsid w:val="000645A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645A0"/>
    <w:rPr>
      <w:rFonts w:ascii="Arial" w:eastAsia="SimSun" w:hAnsi="Arial" w:cs="Arial"/>
      <w:b/>
      <w:bCs/>
      <w:sz w:val="18"/>
      <w:lang w:val="en-US" w:eastAsia="zh-CN"/>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Lista bullets"/>
    <w:basedOn w:val="Normal"/>
    <w:link w:val="ListParagraphChar"/>
    <w:uiPriority w:val="34"/>
    <w:qFormat/>
    <w:rsid w:val="000645A0"/>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istParagraph"/>
    <w:uiPriority w:val="34"/>
    <w:locked/>
    <w:rsid w:val="000645A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0645A0"/>
    <w:rPr>
      <w:color w:val="605E5C"/>
      <w:shd w:val="clear" w:color="auto" w:fill="E1DFDD"/>
    </w:rPr>
  </w:style>
  <w:style w:type="character" w:styleId="FollowedHyperlink">
    <w:name w:val="FollowedHyperlink"/>
    <w:basedOn w:val="DefaultParagraphFont"/>
    <w:semiHidden/>
    <w:unhideWhenUsed/>
    <w:rsid w:val="000645A0"/>
    <w:rPr>
      <w:color w:val="800080" w:themeColor="followedHyperlink"/>
      <w:u w:val="single"/>
    </w:rPr>
  </w:style>
  <w:style w:type="character" w:styleId="FootnoteReference">
    <w:name w:val="footnote reference"/>
    <w:basedOn w:val="DefaultParagraphFont"/>
    <w:semiHidden/>
    <w:unhideWhenUsed/>
    <w:rsid w:val="00064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dopat.impi.gob.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20%20https://siga.impi.gob.m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AF86EF367422E8F078AA3DCACC484"/>
        <w:category>
          <w:name w:val="General"/>
          <w:gallery w:val="placeholder"/>
        </w:category>
        <w:types>
          <w:type w:val="bbPlcHdr"/>
        </w:types>
        <w:behaviors>
          <w:behavior w:val="content"/>
        </w:behaviors>
        <w:guid w:val="{48A5AB31-3941-44F8-89BF-B8080D75B45C}"/>
      </w:docPartPr>
      <w:docPartBody>
        <w:p w:rsidR="00E85350" w:rsidRDefault="00E85350" w:rsidP="00E85350">
          <w:pPr>
            <w:pStyle w:val="DEBAF86EF367422E8F078AA3DCACC484"/>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055E2ECE9D574A32AEACFF7922A9ACDA"/>
        <w:category>
          <w:name w:val="General"/>
          <w:gallery w:val="placeholder"/>
        </w:category>
        <w:types>
          <w:type w:val="bbPlcHdr"/>
        </w:types>
        <w:behaviors>
          <w:behavior w:val="content"/>
        </w:behaviors>
        <w:guid w:val="{A5F0F166-F498-4A33-A6A4-47CCCEB2E31F}"/>
      </w:docPartPr>
      <w:docPartBody>
        <w:p w:rsidR="00E85350" w:rsidRDefault="00E85350" w:rsidP="00E85350">
          <w:pPr>
            <w:pStyle w:val="055E2ECE9D574A32AEACFF7922A9ACDA"/>
          </w:pPr>
          <w:r w:rsidRPr="006A251B">
            <w:rPr>
              <w:rStyle w:val="PlaceholderText"/>
            </w:rPr>
            <w:t>Click or tap here to enter text.</w:t>
          </w:r>
        </w:p>
      </w:docPartBody>
    </w:docPart>
    <w:docPart>
      <w:docPartPr>
        <w:name w:val="F06CC6F3BF9C49ADAA8CDEE70AE9C761"/>
        <w:category>
          <w:name w:val="General"/>
          <w:gallery w:val="placeholder"/>
        </w:category>
        <w:types>
          <w:type w:val="bbPlcHdr"/>
        </w:types>
        <w:behaviors>
          <w:behavior w:val="content"/>
        </w:behaviors>
        <w:guid w:val="{1AE922BF-FEA6-4127-93D5-D2F07A53F6F9}"/>
      </w:docPartPr>
      <w:docPartBody>
        <w:p w:rsidR="00E85350" w:rsidRDefault="00E85350" w:rsidP="00E85350">
          <w:pPr>
            <w:pStyle w:val="F06CC6F3BF9C49ADAA8CDEE70AE9C761"/>
          </w:pPr>
          <w:r>
            <w:rPr>
              <w:rStyle w:val="PlaceholderText"/>
            </w:rPr>
            <w:t>Elija una opción</w:t>
          </w:r>
        </w:p>
      </w:docPartBody>
    </w:docPart>
    <w:docPart>
      <w:docPartPr>
        <w:name w:val="7CD4D136AF134EABAB712AC106E7AB90"/>
        <w:category>
          <w:name w:val="General"/>
          <w:gallery w:val="placeholder"/>
        </w:category>
        <w:types>
          <w:type w:val="bbPlcHdr"/>
        </w:types>
        <w:behaviors>
          <w:behavior w:val="content"/>
        </w:behaviors>
        <w:guid w:val="{1F6892CE-A517-4ED1-B210-E907E3048AEC}"/>
      </w:docPartPr>
      <w:docPartBody>
        <w:p w:rsidR="00E85350" w:rsidRDefault="00E85350" w:rsidP="00E85350">
          <w:pPr>
            <w:pStyle w:val="7CD4D136AF134EABAB712AC106E7AB90"/>
          </w:pPr>
          <w:r>
            <w:rPr>
              <w:rStyle w:val="PlaceholderText"/>
            </w:rPr>
            <w:t>Haga clic o toque para introducir una fecha</w:t>
          </w:r>
        </w:p>
      </w:docPartBody>
    </w:docPart>
    <w:docPart>
      <w:docPartPr>
        <w:name w:val="94DF1A7251424CAEB309D976BB03DF44"/>
        <w:category>
          <w:name w:val="General"/>
          <w:gallery w:val="placeholder"/>
        </w:category>
        <w:types>
          <w:type w:val="bbPlcHdr"/>
        </w:types>
        <w:behaviors>
          <w:behavior w:val="content"/>
        </w:behaviors>
        <w:guid w:val="{0746A1E4-C9AF-4152-8B19-AF8FD1B962BE}"/>
      </w:docPartPr>
      <w:docPartBody>
        <w:p w:rsidR="00E85350" w:rsidRDefault="00E85350" w:rsidP="00E85350">
          <w:pPr>
            <w:pStyle w:val="94DF1A7251424CAEB309D976BB03DF44"/>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7A2CB59FF5C847C09E131C40C6CA83C5"/>
        <w:category>
          <w:name w:val="General"/>
          <w:gallery w:val="placeholder"/>
        </w:category>
        <w:types>
          <w:type w:val="bbPlcHdr"/>
        </w:types>
        <w:behaviors>
          <w:behavior w:val="content"/>
        </w:behaviors>
        <w:guid w:val="{D0B7D838-7731-48EC-B54B-D026B6E9B65D}"/>
      </w:docPartPr>
      <w:docPartBody>
        <w:p w:rsidR="00E85350" w:rsidRDefault="00E85350" w:rsidP="00E85350">
          <w:pPr>
            <w:pStyle w:val="7A2CB59FF5C847C09E131C40C6CA83C5"/>
          </w:pPr>
          <w:r w:rsidRPr="006A251B">
            <w:rPr>
              <w:rStyle w:val="PlaceholderText"/>
            </w:rPr>
            <w:t>Click or tap here to enter text.</w:t>
          </w:r>
        </w:p>
      </w:docPartBody>
    </w:docPart>
    <w:docPart>
      <w:docPartPr>
        <w:name w:val="9BB772093A4B4A20A06AC5D2DDC3C660"/>
        <w:category>
          <w:name w:val="General"/>
          <w:gallery w:val="placeholder"/>
        </w:category>
        <w:types>
          <w:type w:val="bbPlcHdr"/>
        </w:types>
        <w:behaviors>
          <w:behavior w:val="content"/>
        </w:behaviors>
        <w:guid w:val="{EA90BDE5-3437-46BA-A0C7-CE911A24578B}"/>
      </w:docPartPr>
      <w:docPartBody>
        <w:p w:rsidR="00E85350" w:rsidRDefault="00E85350" w:rsidP="00E85350">
          <w:pPr>
            <w:pStyle w:val="9BB772093A4B4A20A06AC5D2DDC3C660"/>
          </w:pPr>
          <w:r>
            <w:rPr>
              <w:rStyle w:val="PlaceholderText"/>
            </w:rPr>
            <w:t>Elija una opción</w:t>
          </w:r>
        </w:p>
      </w:docPartBody>
    </w:docPart>
    <w:docPart>
      <w:docPartPr>
        <w:name w:val="28D5C8ADE47347B78815BE4D692B3699"/>
        <w:category>
          <w:name w:val="General"/>
          <w:gallery w:val="placeholder"/>
        </w:category>
        <w:types>
          <w:type w:val="bbPlcHdr"/>
        </w:types>
        <w:behaviors>
          <w:behavior w:val="content"/>
        </w:behaviors>
        <w:guid w:val="{B77A16DE-1A60-4D43-91AB-9A210514B35F}"/>
      </w:docPartPr>
      <w:docPartBody>
        <w:p w:rsidR="00E85350" w:rsidRDefault="00E85350" w:rsidP="00E85350">
          <w:pPr>
            <w:pStyle w:val="28D5C8ADE47347B78815BE4D692B3699"/>
          </w:pPr>
          <w:r>
            <w:rPr>
              <w:rStyle w:val="PlaceholderText"/>
            </w:rPr>
            <w:t>Haga clic o toque para introducir una fecha</w:t>
          </w:r>
        </w:p>
      </w:docPartBody>
    </w:docPart>
    <w:docPart>
      <w:docPartPr>
        <w:name w:val="12E169AAC2754DADB8C6AC153668C98D"/>
        <w:category>
          <w:name w:val="General"/>
          <w:gallery w:val="placeholder"/>
        </w:category>
        <w:types>
          <w:type w:val="bbPlcHdr"/>
        </w:types>
        <w:behaviors>
          <w:behavior w:val="content"/>
        </w:behaviors>
        <w:guid w:val="{2E8FF678-1BC2-4563-82B7-4E49A820AB02}"/>
      </w:docPartPr>
      <w:docPartBody>
        <w:p w:rsidR="00E85350" w:rsidRDefault="00E85350" w:rsidP="00E85350">
          <w:pPr>
            <w:pStyle w:val="12E169AAC2754DADB8C6AC153668C98D"/>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EB3E2AD441874D469724705071E28CB9"/>
        <w:category>
          <w:name w:val="General"/>
          <w:gallery w:val="placeholder"/>
        </w:category>
        <w:types>
          <w:type w:val="bbPlcHdr"/>
        </w:types>
        <w:behaviors>
          <w:behavior w:val="content"/>
        </w:behaviors>
        <w:guid w:val="{29EEDE2E-D290-4FB7-BB35-A74C6183F0E0}"/>
      </w:docPartPr>
      <w:docPartBody>
        <w:p w:rsidR="00E85350" w:rsidRDefault="00E85350" w:rsidP="00E85350">
          <w:pPr>
            <w:pStyle w:val="EB3E2AD441874D469724705071E28CB9"/>
          </w:pPr>
          <w:r w:rsidRPr="006A251B">
            <w:rPr>
              <w:rStyle w:val="PlaceholderText"/>
            </w:rPr>
            <w:t>Click or tap here to enter text.</w:t>
          </w:r>
        </w:p>
      </w:docPartBody>
    </w:docPart>
    <w:docPart>
      <w:docPartPr>
        <w:name w:val="DA6B550ECC6D48E8A63CCE4D7E321309"/>
        <w:category>
          <w:name w:val="General"/>
          <w:gallery w:val="placeholder"/>
        </w:category>
        <w:types>
          <w:type w:val="bbPlcHdr"/>
        </w:types>
        <w:behaviors>
          <w:behavior w:val="content"/>
        </w:behaviors>
        <w:guid w:val="{E5FA8E89-B02E-4F9A-9B6E-BC089B61169D}"/>
      </w:docPartPr>
      <w:docPartBody>
        <w:p w:rsidR="00E85350" w:rsidRDefault="00E85350" w:rsidP="00E85350">
          <w:pPr>
            <w:pStyle w:val="DA6B550ECC6D48E8A63CCE4D7E321309"/>
          </w:pPr>
          <w:r>
            <w:rPr>
              <w:rStyle w:val="PlaceholderText"/>
            </w:rPr>
            <w:t>Elija una opción</w:t>
          </w:r>
        </w:p>
      </w:docPartBody>
    </w:docPart>
    <w:docPart>
      <w:docPartPr>
        <w:name w:val="409F753EA97E4531A2D251CB3D52F95C"/>
        <w:category>
          <w:name w:val="General"/>
          <w:gallery w:val="placeholder"/>
        </w:category>
        <w:types>
          <w:type w:val="bbPlcHdr"/>
        </w:types>
        <w:behaviors>
          <w:behavior w:val="content"/>
        </w:behaviors>
        <w:guid w:val="{5B9B2122-FE9E-4C1C-8204-11C29634BA85}"/>
      </w:docPartPr>
      <w:docPartBody>
        <w:p w:rsidR="00E85350" w:rsidRDefault="00E85350" w:rsidP="00E85350">
          <w:pPr>
            <w:pStyle w:val="409F753EA97E4531A2D251CB3D52F95C"/>
          </w:pPr>
          <w:r>
            <w:rPr>
              <w:rStyle w:val="PlaceholderText"/>
            </w:rPr>
            <w:t>Haga clic o toque para introducir una fecha</w:t>
          </w:r>
        </w:p>
      </w:docPartBody>
    </w:docPart>
    <w:docPart>
      <w:docPartPr>
        <w:name w:val="023E041406694D3380754697602E526C"/>
        <w:category>
          <w:name w:val="General"/>
          <w:gallery w:val="placeholder"/>
        </w:category>
        <w:types>
          <w:type w:val="bbPlcHdr"/>
        </w:types>
        <w:behaviors>
          <w:behavior w:val="content"/>
        </w:behaviors>
        <w:guid w:val="{48D535E6-184E-4F80-AC37-1F1AC355F81E}"/>
      </w:docPartPr>
      <w:docPartBody>
        <w:p w:rsidR="001F52A9" w:rsidRDefault="001F52A9" w:rsidP="001F52A9">
          <w:pPr>
            <w:pStyle w:val="023E041406694D3380754697602E526C"/>
          </w:pPr>
          <w:r w:rsidRPr="006A251B">
            <w:rPr>
              <w:rStyle w:val="PlaceholderText"/>
            </w:rPr>
            <w:t>Click or tap here to enter text.</w:t>
          </w:r>
        </w:p>
      </w:docPartBody>
    </w:docPart>
    <w:docPart>
      <w:docPartPr>
        <w:name w:val="8A5AFE64B7BD494BAE0FE8388F4E8B6C"/>
        <w:category>
          <w:name w:val="General"/>
          <w:gallery w:val="placeholder"/>
        </w:category>
        <w:types>
          <w:type w:val="bbPlcHdr"/>
        </w:types>
        <w:behaviors>
          <w:behavior w:val="content"/>
        </w:behaviors>
        <w:guid w:val="{209A9677-ACF3-4E27-B2CA-D285AD8E00CC}"/>
      </w:docPartPr>
      <w:docPartBody>
        <w:p w:rsidR="001F52A9" w:rsidRDefault="001F52A9" w:rsidP="001F52A9">
          <w:pPr>
            <w:pStyle w:val="8A5AFE64B7BD494BAE0FE8388F4E8B6C"/>
          </w:pPr>
          <w:r>
            <w:rPr>
              <w:rStyle w:val="PlaceholderText"/>
            </w:rPr>
            <w:t>Elija una opción</w:t>
          </w:r>
        </w:p>
      </w:docPartBody>
    </w:docPart>
    <w:docPart>
      <w:docPartPr>
        <w:name w:val="E5CAB6395B154512B634BDF03377EE36"/>
        <w:category>
          <w:name w:val="General"/>
          <w:gallery w:val="placeholder"/>
        </w:category>
        <w:types>
          <w:type w:val="bbPlcHdr"/>
        </w:types>
        <w:behaviors>
          <w:behavior w:val="content"/>
        </w:behaviors>
        <w:guid w:val="{935F940C-9D18-4219-9047-CFE452BB65CE}"/>
      </w:docPartPr>
      <w:docPartBody>
        <w:p w:rsidR="001F52A9" w:rsidRDefault="001F52A9" w:rsidP="001F52A9">
          <w:pPr>
            <w:pStyle w:val="E5CAB6395B154512B634BDF03377EE36"/>
          </w:pPr>
          <w:r>
            <w:rPr>
              <w:rStyle w:val="PlaceholderText"/>
            </w:rPr>
            <w:t>Elija una opción</w:t>
          </w:r>
        </w:p>
      </w:docPartBody>
    </w:docPart>
    <w:docPart>
      <w:docPartPr>
        <w:name w:val="DDDBA12912714D109697770558E11957"/>
        <w:category>
          <w:name w:val="General"/>
          <w:gallery w:val="placeholder"/>
        </w:category>
        <w:types>
          <w:type w:val="bbPlcHdr"/>
        </w:types>
        <w:behaviors>
          <w:behavior w:val="content"/>
        </w:behaviors>
        <w:guid w:val="{927CED96-8281-4A61-B691-8E4E273BBF71}"/>
      </w:docPartPr>
      <w:docPartBody>
        <w:p w:rsidR="001F52A9" w:rsidRDefault="001F52A9" w:rsidP="001F52A9">
          <w:pPr>
            <w:pStyle w:val="DDDBA12912714D109697770558E11957"/>
          </w:pPr>
          <w:r>
            <w:rPr>
              <w:rStyle w:val="PlaceholderText"/>
            </w:rPr>
            <w:t>Haga clic o toque para introducir una fecha</w:t>
          </w:r>
        </w:p>
      </w:docPartBody>
    </w:docPart>
    <w:docPart>
      <w:docPartPr>
        <w:name w:val="2652A1445A24407F99605BD84A0467D1"/>
        <w:category>
          <w:name w:val="General"/>
          <w:gallery w:val="placeholder"/>
        </w:category>
        <w:types>
          <w:type w:val="bbPlcHdr"/>
        </w:types>
        <w:behaviors>
          <w:behavior w:val="content"/>
        </w:behaviors>
        <w:guid w:val="{83C3AA90-4BF7-4422-8AC1-07209798AB08}"/>
      </w:docPartPr>
      <w:docPartBody>
        <w:p w:rsidR="001F52A9" w:rsidRDefault="001F52A9" w:rsidP="001F52A9">
          <w:pPr>
            <w:pStyle w:val="2652A1445A24407F99605BD84A0467D1"/>
          </w:pPr>
          <w:r>
            <w:rPr>
              <w:rStyle w:val="PlaceholderText"/>
            </w:rPr>
            <w:t>Haga clic o toque para introducir una fecha</w:t>
          </w:r>
        </w:p>
      </w:docPartBody>
    </w:docPart>
    <w:docPart>
      <w:docPartPr>
        <w:name w:val="42C89929247F4876BC8690471D44F92D"/>
        <w:category>
          <w:name w:val="General"/>
          <w:gallery w:val="placeholder"/>
        </w:category>
        <w:types>
          <w:type w:val="bbPlcHdr"/>
        </w:types>
        <w:behaviors>
          <w:behavior w:val="content"/>
        </w:behaviors>
        <w:guid w:val="{A5FAA7FD-4F0D-461D-8AE9-6B640B6AB215}"/>
      </w:docPartPr>
      <w:docPartBody>
        <w:p w:rsidR="001F52A9" w:rsidRDefault="001F52A9" w:rsidP="001F52A9">
          <w:pPr>
            <w:pStyle w:val="42C89929247F4876BC8690471D44F92D"/>
          </w:pPr>
          <w:r>
            <w:rPr>
              <w:rStyle w:val="PlaceholderText"/>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50"/>
    <w:rsid w:val="001F52A9"/>
    <w:rsid w:val="00304349"/>
    <w:rsid w:val="0052652C"/>
    <w:rsid w:val="005D3AA3"/>
    <w:rsid w:val="00741D6B"/>
    <w:rsid w:val="00CA40DB"/>
    <w:rsid w:val="00CB217F"/>
    <w:rsid w:val="00E85350"/>
    <w:rsid w:val="00ED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2A9"/>
    <w:rPr>
      <w:color w:val="666666"/>
    </w:rPr>
  </w:style>
  <w:style w:type="paragraph" w:customStyle="1" w:styleId="DEBAF86EF367422E8F078AA3DCACC484">
    <w:name w:val="DEBAF86EF367422E8F078AA3DCACC484"/>
    <w:rsid w:val="00E85350"/>
  </w:style>
  <w:style w:type="paragraph" w:customStyle="1" w:styleId="055E2ECE9D574A32AEACFF7922A9ACDA">
    <w:name w:val="055E2ECE9D574A32AEACFF7922A9ACDA"/>
    <w:rsid w:val="00E85350"/>
  </w:style>
  <w:style w:type="paragraph" w:customStyle="1" w:styleId="F06CC6F3BF9C49ADAA8CDEE70AE9C761">
    <w:name w:val="F06CC6F3BF9C49ADAA8CDEE70AE9C761"/>
    <w:rsid w:val="00E85350"/>
  </w:style>
  <w:style w:type="paragraph" w:customStyle="1" w:styleId="7CD4D136AF134EABAB712AC106E7AB90">
    <w:name w:val="7CD4D136AF134EABAB712AC106E7AB90"/>
    <w:rsid w:val="00E85350"/>
  </w:style>
  <w:style w:type="paragraph" w:customStyle="1" w:styleId="458B696D60084029A141BCFF84B52566">
    <w:name w:val="458B696D60084029A141BCFF84B52566"/>
    <w:rsid w:val="00E85350"/>
  </w:style>
  <w:style w:type="paragraph" w:customStyle="1" w:styleId="C9E515FEB9904D6380B162B71567E841">
    <w:name w:val="C9E515FEB9904D6380B162B71567E841"/>
    <w:rsid w:val="00E85350"/>
  </w:style>
  <w:style w:type="paragraph" w:customStyle="1" w:styleId="C73773E43E4E46B9B038EF1104ED8B51">
    <w:name w:val="C73773E43E4E46B9B038EF1104ED8B51"/>
    <w:rsid w:val="00E85350"/>
  </w:style>
  <w:style w:type="paragraph" w:customStyle="1" w:styleId="90E5052F18134A83A6C145F5280C0AA4">
    <w:name w:val="90E5052F18134A83A6C145F5280C0AA4"/>
    <w:rsid w:val="00E85350"/>
  </w:style>
  <w:style w:type="paragraph" w:customStyle="1" w:styleId="048646D373C04D6D83E1780EEB214D4E">
    <w:name w:val="048646D373C04D6D83E1780EEB214D4E"/>
    <w:rsid w:val="00E85350"/>
  </w:style>
  <w:style w:type="paragraph" w:customStyle="1" w:styleId="806CAE3FE18341C5891E0036E1641C7A">
    <w:name w:val="806CAE3FE18341C5891E0036E1641C7A"/>
    <w:rsid w:val="00E85350"/>
  </w:style>
  <w:style w:type="paragraph" w:customStyle="1" w:styleId="1B038AF61BFC4E5CA2E7364D25613747">
    <w:name w:val="1B038AF61BFC4E5CA2E7364D25613747"/>
    <w:rsid w:val="00E85350"/>
  </w:style>
  <w:style w:type="paragraph" w:customStyle="1" w:styleId="94DF1A7251424CAEB309D976BB03DF44">
    <w:name w:val="94DF1A7251424CAEB309D976BB03DF44"/>
    <w:rsid w:val="00E85350"/>
  </w:style>
  <w:style w:type="paragraph" w:customStyle="1" w:styleId="7A2CB59FF5C847C09E131C40C6CA83C5">
    <w:name w:val="7A2CB59FF5C847C09E131C40C6CA83C5"/>
    <w:rsid w:val="00E85350"/>
  </w:style>
  <w:style w:type="paragraph" w:customStyle="1" w:styleId="9BB772093A4B4A20A06AC5D2DDC3C660">
    <w:name w:val="9BB772093A4B4A20A06AC5D2DDC3C660"/>
    <w:rsid w:val="00E85350"/>
  </w:style>
  <w:style w:type="paragraph" w:customStyle="1" w:styleId="28D5C8ADE47347B78815BE4D692B3699">
    <w:name w:val="28D5C8ADE47347B78815BE4D692B3699"/>
    <w:rsid w:val="00E85350"/>
  </w:style>
  <w:style w:type="paragraph" w:customStyle="1" w:styleId="12E169AAC2754DADB8C6AC153668C98D">
    <w:name w:val="12E169AAC2754DADB8C6AC153668C98D"/>
    <w:rsid w:val="00E85350"/>
  </w:style>
  <w:style w:type="paragraph" w:customStyle="1" w:styleId="EB3E2AD441874D469724705071E28CB9">
    <w:name w:val="EB3E2AD441874D469724705071E28CB9"/>
    <w:rsid w:val="00E85350"/>
  </w:style>
  <w:style w:type="paragraph" w:customStyle="1" w:styleId="DA6B550ECC6D48E8A63CCE4D7E321309">
    <w:name w:val="DA6B550ECC6D48E8A63CCE4D7E321309"/>
    <w:rsid w:val="00E85350"/>
  </w:style>
  <w:style w:type="paragraph" w:customStyle="1" w:styleId="409F753EA97E4531A2D251CB3D52F95C">
    <w:name w:val="409F753EA97E4531A2D251CB3D52F95C"/>
    <w:rsid w:val="00E85350"/>
  </w:style>
  <w:style w:type="paragraph" w:customStyle="1" w:styleId="4022688CEAB841DB8D4CF8319E4794C9">
    <w:name w:val="4022688CEAB841DB8D4CF8319E4794C9"/>
    <w:rsid w:val="001F52A9"/>
    <w:rPr>
      <w:lang w:val="en-GB" w:eastAsia="en-GB"/>
    </w:rPr>
  </w:style>
  <w:style w:type="paragraph" w:customStyle="1" w:styleId="7AD2D8279E1443769E6866BB8C42A0AB">
    <w:name w:val="7AD2D8279E1443769E6866BB8C42A0AB"/>
    <w:rsid w:val="001F52A9"/>
    <w:rPr>
      <w:lang w:val="en-GB" w:eastAsia="en-GB"/>
    </w:rPr>
  </w:style>
  <w:style w:type="paragraph" w:customStyle="1" w:styleId="023E041406694D3380754697602E526C">
    <w:name w:val="023E041406694D3380754697602E526C"/>
    <w:rsid w:val="001F52A9"/>
    <w:rPr>
      <w:lang w:val="en-GB" w:eastAsia="en-GB"/>
    </w:rPr>
  </w:style>
  <w:style w:type="paragraph" w:customStyle="1" w:styleId="8A5AFE64B7BD494BAE0FE8388F4E8B6C">
    <w:name w:val="8A5AFE64B7BD494BAE0FE8388F4E8B6C"/>
    <w:rsid w:val="001F52A9"/>
    <w:rPr>
      <w:lang w:val="en-GB" w:eastAsia="en-GB"/>
    </w:rPr>
  </w:style>
  <w:style w:type="paragraph" w:customStyle="1" w:styleId="E5CAB6395B154512B634BDF03377EE36">
    <w:name w:val="E5CAB6395B154512B634BDF03377EE36"/>
    <w:rsid w:val="001F52A9"/>
    <w:rPr>
      <w:lang w:val="en-GB" w:eastAsia="en-GB"/>
    </w:rPr>
  </w:style>
  <w:style w:type="paragraph" w:customStyle="1" w:styleId="DDDBA12912714D109697770558E11957">
    <w:name w:val="DDDBA12912714D109697770558E11957"/>
    <w:rsid w:val="001F52A9"/>
    <w:rPr>
      <w:lang w:val="en-GB" w:eastAsia="en-GB"/>
    </w:rPr>
  </w:style>
  <w:style w:type="paragraph" w:customStyle="1" w:styleId="2652A1445A24407F99605BD84A0467D1">
    <w:name w:val="2652A1445A24407F99605BD84A0467D1"/>
    <w:rsid w:val="001F52A9"/>
    <w:rPr>
      <w:lang w:val="en-GB" w:eastAsia="en-GB"/>
    </w:rPr>
  </w:style>
  <w:style w:type="paragraph" w:customStyle="1" w:styleId="42C89929247F4876BC8690471D44F92D">
    <w:name w:val="42C89929247F4876BC8690471D44F92D"/>
    <w:rsid w:val="001F52A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21</Pages>
  <Words>6790</Words>
  <Characters>39634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PCT/CTC/33/27</vt:lpstr>
    </vt:vector>
  </TitlesOfParts>
  <Company>WIPO</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PCT/CTC/33/27</dc:title>
  <dc:subject>Appointment of the Mexican Insitute of Industrial Property as an International Searching and Preliminary Examining Authority Under the PCT</dc:subject>
  <dc:creator>MARLOW Thomas</dc:creator>
  <cp:keywords>FOR OFFICIAL USE ONLY</cp:keywords>
  <cp:lastModifiedBy>MARLOW Thomas</cp:lastModifiedBy>
  <cp:revision>3</cp:revision>
  <cp:lastPrinted>2025-12-18T12:45:00Z</cp:lastPrinted>
  <dcterms:created xsi:type="dcterms:W3CDTF">2025-12-18T12:45:00Z</dcterms:created>
  <dcterms:modified xsi:type="dcterms:W3CDTF">2025-12-18T12:45:00Z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2025-12-17T14:53:48Z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300f3bad-1e22-4601-b6d8-5a9740eb34c2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