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77777777" w:rsidR="008B2CC1" w:rsidRPr="00F043DE" w:rsidRDefault="00B92F1F" w:rsidP="00761CD8">
      <w:pPr>
        <w:pBdr>
          <w:bottom w:val="single" w:sz="4" w:space="9" w:color="auto"/>
        </w:pBdr>
        <w:spacing w:after="120"/>
        <w:jc w:val="right"/>
        <w:rPr>
          <w:b/>
          <w:sz w:val="32"/>
          <w:szCs w:val="40"/>
        </w:rPr>
      </w:pPr>
      <w:r>
        <w:rPr>
          <w:noProof/>
          <w:sz w:val="28"/>
          <w:szCs w:val="28"/>
          <w:lang w:eastAsia="en-US"/>
        </w:rPr>
        <w:drawing>
          <wp:inline distT="0" distB="0" distL="0" distR="0" wp14:anchorId="66947CBF" wp14:editId="698293F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561BB34" w14:textId="07FA14CE" w:rsidR="008B2CC1" w:rsidRPr="002326AB" w:rsidRDefault="00761CD8" w:rsidP="00EB2F76">
      <w:pPr>
        <w:jc w:val="right"/>
        <w:rPr>
          <w:rFonts w:ascii="Arial Black" w:hAnsi="Arial Black"/>
          <w:caps/>
          <w:sz w:val="15"/>
          <w:szCs w:val="15"/>
        </w:rPr>
      </w:pPr>
      <w:r>
        <w:rPr>
          <w:rFonts w:ascii="Arial Black" w:hAnsi="Arial Black"/>
          <w:caps/>
          <w:sz w:val="15"/>
          <w:szCs w:val="15"/>
        </w:rPr>
        <w:t>PCT/CTC/3</w:t>
      </w:r>
      <w:r w:rsidR="004B446A">
        <w:rPr>
          <w:rFonts w:ascii="Arial Black" w:hAnsi="Arial Black"/>
          <w:caps/>
          <w:sz w:val="15"/>
          <w:szCs w:val="15"/>
        </w:rPr>
        <w:t>3</w:t>
      </w:r>
      <w:r>
        <w:rPr>
          <w:rFonts w:ascii="Arial Black" w:hAnsi="Arial Black"/>
          <w:caps/>
          <w:sz w:val="15"/>
          <w:szCs w:val="15"/>
        </w:rPr>
        <w:t>/</w:t>
      </w:r>
      <w:bookmarkStart w:id="0" w:name="Code"/>
      <w:bookmarkEnd w:id="0"/>
      <w:r w:rsidR="0040759D">
        <w:rPr>
          <w:rFonts w:ascii="Arial Black" w:hAnsi="Arial Black"/>
          <w:caps/>
          <w:sz w:val="15"/>
          <w:szCs w:val="15"/>
        </w:rPr>
        <w:t>2</w:t>
      </w:r>
      <w:r w:rsidR="00DB06C0">
        <w:rPr>
          <w:rFonts w:ascii="Arial Black" w:hAnsi="Arial Black"/>
          <w:caps/>
          <w:sz w:val="15"/>
          <w:szCs w:val="15"/>
        </w:rPr>
        <w:t>6</w:t>
      </w:r>
    </w:p>
    <w:p w14:paraId="4157C28F" w14:textId="3D55971C"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9A31F1">
        <w:rPr>
          <w:rFonts w:ascii="Arial Black" w:hAnsi="Arial Black"/>
          <w:caps/>
          <w:sz w:val="15"/>
          <w:szCs w:val="15"/>
        </w:rPr>
        <w:t>ENGLISH</w:t>
      </w:r>
    </w:p>
    <w:bookmarkEnd w:id="1"/>
    <w:p w14:paraId="5ECFCDC6" w14:textId="5256C575"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4B446A">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9A31F1">
        <w:rPr>
          <w:rFonts w:ascii="Arial Black" w:hAnsi="Arial Black"/>
          <w:caps/>
          <w:sz w:val="15"/>
          <w:szCs w:val="15"/>
        </w:rPr>
        <w:t xml:space="preserve">DECEMBER </w:t>
      </w:r>
      <w:r w:rsidR="00D153F2">
        <w:rPr>
          <w:rFonts w:ascii="Arial Black" w:hAnsi="Arial Black"/>
          <w:caps/>
          <w:sz w:val="15"/>
          <w:szCs w:val="15"/>
        </w:rPr>
        <w:t>19</w:t>
      </w:r>
      <w:r w:rsidR="009A31F1">
        <w:rPr>
          <w:rFonts w:ascii="Arial Black" w:hAnsi="Arial Black"/>
          <w:caps/>
          <w:sz w:val="15"/>
          <w:szCs w:val="15"/>
        </w:rPr>
        <w:t>, 2025</w:t>
      </w:r>
    </w:p>
    <w:bookmarkEnd w:id="2"/>
    <w:p w14:paraId="65161F5C" w14:textId="77777777" w:rsidR="008B2CC1" w:rsidRPr="004B446A" w:rsidRDefault="00761CD8" w:rsidP="004B446A">
      <w:pPr>
        <w:spacing w:after="480"/>
        <w:rPr>
          <w:b/>
          <w:bCs/>
        </w:rPr>
      </w:pPr>
      <w:r w:rsidRPr="004B446A">
        <w:rPr>
          <w:b/>
          <w:bCs/>
          <w:sz w:val="28"/>
          <w:szCs w:val="24"/>
        </w:rPr>
        <w:t>Patent Cooperation Treaty (PCT)</w:t>
      </w:r>
      <w:r w:rsidRPr="004B446A">
        <w:rPr>
          <w:b/>
          <w:bCs/>
          <w:sz w:val="28"/>
          <w:szCs w:val="24"/>
        </w:rPr>
        <w:br/>
        <w:t>Committee for Technical Cooperation</w:t>
      </w:r>
    </w:p>
    <w:p w14:paraId="1CBE04FC" w14:textId="77777777" w:rsidR="00A90F0A" w:rsidRDefault="00761CD8" w:rsidP="00A90F0A">
      <w:pPr>
        <w:outlineLvl w:val="1"/>
        <w:rPr>
          <w:b/>
          <w:sz w:val="24"/>
          <w:szCs w:val="24"/>
        </w:rPr>
      </w:pPr>
      <w:r>
        <w:rPr>
          <w:b/>
          <w:sz w:val="24"/>
          <w:szCs w:val="24"/>
        </w:rPr>
        <w:t>Thirty-</w:t>
      </w:r>
      <w:r w:rsidR="004B446A">
        <w:rPr>
          <w:b/>
          <w:sz w:val="24"/>
          <w:szCs w:val="24"/>
        </w:rPr>
        <w:t>Third</w:t>
      </w:r>
      <w:r w:rsidRPr="0096021C">
        <w:rPr>
          <w:b/>
          <w:sz w:val="24"/>
          <w:szCs w:val="24"/>
        </w:rPr>
        <w:t xml:space="preserve"> Session</w:t>
      </w:r>
    </w:p>
    <w:p w14:paraId="40D1F4FD" w14:textId="77777777" w:rsidR="008B2CC1" w:rsidRPr="003845C1" w:rsidRDefault="00761CD8" w:rsidP="00F9165B">
      <w:pPr>
        <w:spacing w:after="720"/>
        <w:outlineLvl w:val="1"/>
        <w:rPr>
          <w:b/>
          <w:sz w:val="24"/>
          <w:szCs w:val="24"/>
        </w:rPr>
      </w:pPr>
      <w:r>
        <w:rPr>
          <w:b/>
          <w:sz w:val="24"/>
          <w:szCs w:val="24"/>
        </w:rPr>
        <w:t xml:space="preserve">Geneva, </w:t>
      </w:r>
      <w:r w:rsidR="004B446A">
        <w:rPr>
          <w:b/>
          <w:sz w:val="24"/>
          <w:szCs w:val="24"/>
        </w:rPr>
        <w:t>February 2 to 6, 2026</w:t>
      </w:r>
    </w:p>
    <w:p w14:paraId="51B065A7" w14:textId="511B5259" w:rsidR="008B2CC1" w:rsidRPr="00027C89" w:rsidRDefault="009A31F1" w:rsidP="00DD7B7F">
      <w:pPr>
        <w:spacing w:after="360"/>
        <w:outlineLvl w:val="0"/>
        <w:rPr>
          <w:sz w:val="24"/>
          <w:szCs w:val="24"/>
        </w:rPr>
      </w:pPr>
      <w:bookmarkStart w:id="3" w:name="TitleOfDoc"/>
      <w:r w:rsidRPr="00027C89">
        <w:rPr>
          <w:sz w:val="24"/>
          <w:szCs w:val="24"/>
        </w:rPr>
        <w:t xml:space="preserve">EXTENSION OF APPOINTMENT OF THE </w:t>
      </w:r>
      <w:r w:rsidR="00027C89" w:rsidRPr="00027C89">
        <w:rPr>
          <w:sz w:val="24"/>
          <w:szCs w:val="24"/>
        </w:rPr>
        <w:t xml:space="preserve">VISEGRAD PATENT INSTITUTE </w:t>
      </w:r>
      <w:r w:rsidRPr="00027C89">
        <w:rPr>
          <w:sz w:val="24"/>
          <w:szCs w:val="24"/>
        </w:rPr>
        <w:t xml:space="preserve">AS AN INTERNATIONAL SEARCHING AND PRELIMINARY EXAMINING AUTHORITY UNDER THE PCT </w:t>
      </w:r>
    </w:p>
    <w:p w14:paraId="7738860A" w14:textId="24FE54E8" w:rsidR="002928D3" w:rsidRPr="00F9165B" w:rsidRDefault="009A31F1" w:rsidP="001D4107">
      <w:pPr>
        <w:spacing w:after="1040"/>
        <w:rPr>
          <w:i/>
        </w:rPr>
      </w:pPr>
      <w:bookmarkStart w:id="4" w:name="Prepared"/>
      <w:bookmarkEnd w:id="3"/>
      <w:bookmarkEnd w:id="4"/>
      <w:r>
        <w:rPr>
          <w:i/>
        </w:rPr>
        <w:t>Document prepared by the International Bureau</w:t>
      </w:r>
    </w:p>
    <w:p w14:paraId="4E7B2DAF" w14:textId="18950409" w:rsidR="002326AB" w:rsidRDefault="009A31F1" w:rsidP="002326AB">
      <w:pPr>
        <w:spacing w:after="220"/>
      </w:pPr>
      <w:r w:rsidRPr="009A31F1">
        <w:t>1.</w:t>
      </w:r>
      <w:r w:rsidRPr="009A31F1">
        <w:tab/>
        <w:t>All the existing International Authorities were appointed by the PCT Assembly for a period ending on December 31, 2027.  Before the expiry of this period, the Assembly will need to decide on the extension of the appointment of each existing International Authority that wishes to seek an extension of its appointment, having first sought the advice of this Committee (see PCT Articles 16(3)(e) and 32(3)).  Information concerning this process and the role of the Committee is set out in document PCT/CTC/33/INF/1.</w:t>
      </w:r>
    </w:p>
    <w:p w14:paraId="518176C0" w14:textId="01B35EC9" w:rsidR="009A31F1" w:rsidRDefault="009A31F1" w:rsidP="002326AB">
      <w:pPr>
        <w:spacing w:after="220"/>
      </w:pPr>
      <w:r w:rsidRPr="009A31F1">
        <w:t>2.</w:t>
      </w:r>
      <w:r w:rsidRPr="009A31F1">
        <w:tab/>
        <w:t xml:space="preserve">On </w:t>
      </w:r>
      <w:r w:rsidR="00D93D4C">
        <w:t>November</w:t>
      </w:r>
      <w:r w:rsidRPr="009A31F1">
        <w:t xml:space="preserve"> 2</w:t>
      </w:r>
      <w:r w:rsidR="0040759D">
        <w:t>8</w:t>
      </w:r>
      <w:r w:rsidRPr="009A31F1">
        <w:t xml:space="preserve">, 2025, the </w:t>
      </w:r>
      <w:r w:rsidR="0040759D" w:rsidRPr="00AA0FC8">
        <w:t>Visegrad Patent Institute</w:t>
      </w:r>
      <w:r w:rsidR="00D93D4C">
        <w:t xml:space="preserve"> </w:t>
      </w:r>
      <w:r w:rsidRPr="009A31F1">
        <w:t xml:space="preserve">submitted its application for extension of </w:t>
      </w:r>
      <w:proofErr w:type="gramStart"/>
      <w:r w:rsidRPr="009A31F1">
        <w:t>appointment</w:t>
      </w:r>
      <w:proofErr w:type="gramEnd"/>
      <w:r w:rsidRPr="009A31F1">
        <w:t>, which is reproduced in the Annex to this document.</w:t>
      </w:r>
    </w:p>
    <w:p w14:paraId="5AECB256" w14:textId="086B29CF" w:rsidR="009A31F1" w:rsidRDefault="009A31F1" w:rsidP="009A31F1">
      <w:pPr>
        <w:spacing w:after="220"/>
        <w:ind w:left="5533"/>
        <w:rPr>
          <w:i/>
        </w:rPr>
      </w:pPr>
      <w:r w:rsidRPr="009A31F1">
        <w:rPr>
          <w:i/>
        </w:rPr>
        <w:t>3.</w:t>
      </w:r>
      <w:r w:rsidRPr="009A31F1">
        <w:rPr>
          <w:i/>
        </w:rPr>
        <w:tab/>
        <w:t>The Committee is invited to give its advice on this matter.</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[Annex follows]</w:t>
      </w:r>
    </w:p>
    <w:p w14:paraId="1C2CA1D0" w14:textId="77777777" w:rsidR="009A31F1" w:rsidRDefault="009A31F1" w:rsidP="009A31F1">
      <w:pPr>
        <w:rPr>
          <w:i/>
        </w:rPr>
      </w:pPr>
    </w:p>
    <w:p w14:paraId="77F0B892" w14:textId="77777777" w:rsidR="009A31F1" w:rsidRDefault="009A31F1" w:rsidP="009A31F1">
      <w:pPr>
        <w:pStyle w:val="Heading2"/>
        <w:jc w:val="center"/>
      </w:pPr>
      <w:r>
        <w:t>Application for Extension of Appointment as an International Searching anD Preliminary Examining Authority under the PCT</w:t>
      </w:r>
    </w:p>
    <w:p w14:paraId="10B44568" w14:textId="77777777" w:rsidR="0040759D" w:rsidRPr="0040759D" w:rsidRDefault="0040759D" w:rsidP="0040759D">
      <w:pPr>
        <w:pStyle w:val="SectionHeading"/>
        <w:rPr>
          <w:lang w:val="en-US"/>
        </w:rPr>
      </w:pPr>
      <w:r w:rsidRPr="0040759D">
        <w:rPr>
          <w:lang w:val="en-US"/>
        </w:rPr>
        <w:t>1 – General</w:t>
      </w:r>
    </w:p>
    <w:p w14:paraId="6ED76E1C" w14:textId="5BE88A87" w:rsidR="0040759D" w:rsidRDefault="0040759D" w:rsidP="0040759D">
      <w:pPr>
        <w:pStyle w:val="Question"/>
        <w:spacing w:after="480"/>
      </w:pPr>
      <w:r>
        <w:t>(a)</w:t>
      </w:r>
      <w:r>
        <w:tab/>
        <w:t xml:space="preserve">Name of Office or intergovernmental organization: </w:t>
      </w:r>
      <w:r w:rsidR="009A774D">
        <w:t xml:space="preserve"> </w:t>
      </w:r>
      <w:r w:rsidRPr="00AA0FC8">
        <w:rPr>
          <w:b w:val="0"/>
          <w:bCs w:val="0"/>
        </w:rPr>
        <w:t>Visegrad Patent Institute</w:t>
      </w:r>
    </w:p>
    <w:p w14:paraId="59A82560" w14:textId="77777777" w:rsidR="0040759D" w:rsidRDefault="0040759D" w:rsidP="0040759D">
      <w:pPr>
        <w:pStyle w:val="Question"/>
        <w:spacing w:after="480"/>
        <w:rPr>
          <w:rFonts w:ascii="Calibri" w:eastAsia="Times New Roman" w:hAnsi="Calibri" w:cs="Calibri"/>
          <w:color w:val="000000"/>
          <w:sz w:val="24"/>
          <w:szCs w:val="24"/>
          <w:lang w:val="hu-HU" w:eastAsia="hu-HU"/>
        </w:rPr>
      </w:pPr>
      <w:r>
        <w:t>(b)</w:t>
      </w:r>
      <w:r>
        <w:tab/>
        <w:t>Name and contact details of official for any queries about this application:</w:t>
      </w:r>
      <w:r w:rsidRPr="00AA0FC8">
        <w:rPr>
          <w:rFonts w:ascii="Calibri" w:eastAsia="Times New Roman" w:hAnsi="Calibri" w:cs="Calibri"/>
          <w:color w:val="000000"/>
          <w:sz w:val="24"/>
          <w:szCs w:val="24"/>
          <w:lang w:val="hu-HU" w:eastAsia="hu-HU"/>
        </w:rPr>
        <w:t xml:space="preserve"> </w:t>
      </w:r>
    </w:p>
    <w:p w14:paraId="22AEC1CC" w14:textId="77777777" w:rsidR="0040759D" w:rsidRPr="00AA0FC8" w:rsidRDefault="0040759D" w:rsidP="0040759D">
      <w:pPr>
        <w:pStyle w:val="Question"/>
        <w:spacing w:after="0"/>
        <w:rPr>
          <w:b w:val="0"/>
          <w:bCs w:val="0"/>
          <w:lang w:val="hu-HU"/>
        </w:rPr>
      </w:pPr>
      <w:r w:rsidRPr="00AA0FC8">
        <w:rPr>
          <w:b w:val="0"/>
          <w:bCs w:val="0"/>
          <w:lang w:val="hu-HU"/>
        </w:rPr>
        <w:t>Ms Johanna STADLER, Director, Visegrad Patent Institute</w:t>
      </w:r>
    </w:p>
    <w:p w14:paraId="254D747F" w14:textId="06CD354A" w:rsidR="0040759D" w:rsidRPr="00AA0FC8" w:rsidRDefault="0040759D" w:rsidP="0040759D">
      <w:pPr>
        <w:pStyle w:val="Question"/>
        <w:spacing w:after="0"/>
        <w:rPr>
          <w:b w:val="0"/>
          <w:bCs w:val="0"/>
          <w:lang w:val="hu-HU"/>
        </w:rPr>
      </w:pPr>
      <w:r w:rsidRPr="00AA0FC8">
        <w:rPr>
          <w:b w:val="0"/>
          <w:bCs w:val="0"/>
          <w:lang w:val="hu-HU"/>
        </w:rPr>
        <w:t>Phone:</w:t>
      </w:r>
      <w:r w:rsidR="008B1A3E">
        <w:rPr>
          <w:b w:val="0"/>
          <w:bCs w:val="0"/>
          <w:lang w:val="hu-HU"/>
        </w:rPr>
        <w:t xml:space="preserve"> </w:t>
      </w:r>
      <w:r w:rsidRPr="00AA0FC8">
        <w:rPr>
          <w:b w:val="0"/>
          <w:bCs w:val="0"/>
          <w:lang w:val="hu-HU"/>
        </w:rPr>
        <w:t xml:space="preserve"> + 36 20 386 3557</w:t>
      </w:r>
    </w:p>
    <w:p w14:paraId="277AE742" w14:textId="15DBEC09" w:rsidR="0040759D" w:rsidRPr="00E573C8" w:rsidRDefault="0040759D" w:rsidP="0040759D">
      <w:pPr>
        <w:pStyle w:val="Question"/>
        <w:spacing w:after="0"/>
        <w:rPr>
          <w:rStyle w:val="Hyperlink"/>
          <w:szCs w:val="20"/>
        </w:rPr>
      </w:pPr>
      <w:r w:rsidRPr="00AA0FC8">
        <w:rPr>
          <w:b w:val="0"/>
          <w:bCs w:val="0"/>
          <w:lang w:val="hu-HU"/>
        </w:rPr>
        <w:t xml:space="preserve">E-mail: </w:t>
      </w:r>
      <w:r w:rsidR="008B1A3E">
        <w:rPr>
          <w:b w:val="0"/>
          <w:bCs w:val="0"/>
          <w:lang w:val="hu-HU"/>
        </w:rPr>
        <w:t xml:space="preserve"> </w:t>
      </w:r>
      <w:hyperlink r:id="rId11" w:history="1">
        <w:r w:rsidR="008B1A3E" w:rsidRPr="00E573C8">
          <w:rPr>
            <w:rStyle w:val="Hyperlink"/>
            <w:b w:val="0"/>
            <w:bCs w:val="0"/>
            <w:szCs w:val="20"/>
          </w:rPr>
          <w:t>director@vpi.int</w:t>
        </w:r>
      </w:hyperlink>
    </w:p>
    <w:p w14:paraId="31068E84" w14:textId="77777777" w:rsidR="0040759D" w:rsidRPr="00AA0FC8" w:rsidRDefault="0040759D" w:rsidP="0040759D">
      <w:pPr>
        <w:pStyle w:val="Answer"/>
        <w:rPr>
          <w:lang w:val="hu-HU"/>
        </w:rPr>
      </w:pPr>
    </w:p>
    <w:p w14:paraId="639638FD" w14:textId="77777777" w:rsidR="0040759D" w:rsidRDefault="0040759D" w:rsidP="0040759D">
      <w:pPr>
        <w:pStyle w:val="Question"/>
        <w:spacing w:after="480"/>
      </w:pPr>
      <w:r w:rsidRPr="00FD62B1">
        <w:t>(</w:t>
      </w:r>
      <w:r>
        <w:t>c</w:t>
      </w:r>
      <w:r w:rsidRPr="00FD62B1">
        <w:t>)</w:t>
      </w:r>
      <w:r w:rsidRPr="00FD62B1">
        <w:tab/>
        <w:t xml:space="preserve">Date on which application for </w:t>
      </w:r>
      <w:r>
        <w:t xml:space="preserve">extension of </w:t>
      </w:r>
      <w:r w:rsidRPr="00FD62B1">
        <w:t>appointment was received by the Director General:</w:t>
      </w:r>
    </w:p>
    <w:p w14:paraId="1515365A" w14:textId="70CA3CA3" w:rsidR="0040759D" w:rsidRPr="008B1A3E" w:rsidRDefault="0040759D" w:rsidP="0040759D">
      <w:pPr>
        <w:pStyle w:val="Answer"/>
        <w:rPr>
          <w:iCs/>
        </w:rPr>
      </w:pPr>
      <w:r w:rsidRPr="008B1A3E">
        <w:rPr>
          <w:iCs/>
        </w:rPr>
        <w:t>November 28, 2025</w:t>
      </w:r>
    </w:p>
    <w:p w14:paraId="69D2D882" w14:textId="77777777" w:rsidR="0040759D" w:rsidRPr="0040759D" w:rsidRDefault="0040759D" w:rsidP="0040759D">
      <w:pPr>
        <w:pStyle w:val="SectionHeading"/>
        <w:rPr>
          <w:lang w:val="en-US"/>
        </w:rPr>
      </w:pPr>
      <w:r w:rsidRPr="0040759D">
        <w:rPr>
          <w:lang w:val="en-US"/>
        </w:rPr>
        <w:t>2 – Minimum Requirements for Appointment</w:t>
      </w:r>
    </w:p>
    <w:p w14:paraId="58C8EDCF" w14:textId="21332AB5" w:rsidR="0040759D" w:rsidRPr="00DB2158" w:rsidRDefault="0040759D" w:rsidP="0040759D">
      <w:r>
        <w:t>In addition to the annual report on the quality management system by the Office or organization for 2025 (“the QMS Report”</w:t>
      </w:r>
      <w:r w:rsidR="00112580">
        <w:t xml:space="preserve"> </w:t>
      </w:r>
      <w:hyperlink r:id="rId12" w:history="1">
        <w:r w:rsidR="00112580" w:rsidRPr="00112580">
          <w:rPr>
            <w:rStyle w:val="Hyperlink"/>
          </w:rPr>
          <w:t>https://www.wipo.int/en/web/pct-system/quality/authorities#XV</w:t>
        </w:r>
      </w:hyperlink>
      <w:r w:rsidRPr="00112580">
        <w:t>)</w:t>
      </w:r>
      <w:r>
        <w:t xml:space="preserve"> produced in accordance with paragraphs 21.31 and 21.32 of the International Search and Preliminary Examination Guidelines (“the Guidelines”), the Authority submits the following information.</w:t>
      </w:r>
    </w:p>
    <w:p w14:paraId="2F57FE55" w14:textId="77777777" w:rsidR="0040759D" w:rsidRPr="0040759D" w:rsidRDefault="0040759D" w:rsidP="0040759D">
      <w:pPr>
        <w:pStyle w:val="SectionHeading"/>
        <w:rPr>
          <w:lang w:val="en-US"/>
        </w:rPr>
      </w:pPr>
      <w:r w:rsidRPr="0040759D">
        <w:rPr>
          <w:lang w:val="en-US"/>
        </w:rPr>
        <w:lastRenderedPageBreak/>
        <w:t>2.1 – Search and Examination Capacity</w:t>
      </w:r>
    </w:p>
    <w:p w14:paraId="5DC4DE71" w14:textId="77777777" w:rsidR="0040759D" w:rsidRDefault="0040759D" w:rsidP="0040759D">
      <w:pPr>
        <w:pStyle w:val="RuleQuote"/>
      </w:pPr>
      <w:r w:rsidRPr="00406284">
        <w:t>Rules 36.1(</w:t>
      </w:r>
      <w:proofErr w:type="spellStart"/>
      <w:r w:rsidRPr="00406284">
        <w:t>i</w:t>
      </w:r>
      <w:proofErr w:type="spellEnd"/>
      <w:r w:rsidRPr="00406284">
        <w:t>) and 63.1(</w:t>
      </w:r>
      <w:proofErr w:type="spellStart"/>
      <w:r w:rsidRPr="00406284">
        <w:t>i</w:t>
      </w:r>
      <w:proofErr w:type="spellEnd"/>
      <w:r w:rsidRPr="00406284">
        <w:t>):  The national Office or intergovernmental organization must have at least 100 full-time employees with sufficient technical qualifications to carry out searches and examinations</w:t>
      </w:r>
      <w:r>
        <w:t>.</w:t>
      </w:r>
    </w:p>
    <w:p w14:paraId="64966D8A" w14:textId="3E2068BD" w:rsidR="0040759D" w:rsidRPr="006175E3" w:rsidRDefault="0040759D" w:rsidP="0040759D">
      <w:pPr>
        <w:pStyle w:val="RuleQuote"/>
        <w:ind w:left="0"/>
        <w:rPr>
          <w:i w:val="0"/>
          <w:iCs w:val="0"/>
        </w:rPr>
      </w:pPr>
      <w:r>
        <w:rPr>
          <w:i w:val="0"/>
          <w:iCs w:val="0"/>
        </w:rPr>
        <w:t xml:space="preserve">The QMS Report provides information from the Authority on the infrastructure in place to ensure </w:t>
      </w:r>
      <w:proofErr w:type="gramStart"/>
      <w:r>
        <w:rPr>
          <w:i w:val="0"/>
          <w:iCs w:val="0"/>
        </w:rPr>
        <w:t>a sufficient</w:t>
      </w:r>
      <w:r>
        <w:rPr>
          <w:i w:val="0"/>
          <w:iCs w:val="0"/>
          <w:vertAlign w:val="subscript"/>
        </w:rPr>
        <w:t xml:space="preserve"> </w:t>
      </w:r>
      <w:r>
        <w:rPr>
          <w:i w:val="0"/>
          <w:iCs w:val="0"/>
        </w:rPr>
        <w:t>quantity of</w:t>
      </w:r>
      <w:proofErr w:type="gramEnd"/>
      <w:r>
        <w:rPr>
          <w:i w:val="0"/>
          <w:iCs w:val="0"/>
        </w:rPr>
        <w:t xml:space="preserve"> technically qualified staff under paragraph 21.15(</w:t>
      </w:r>
      <w:proofErr w:type="spellStart"/>
      <w:r>
        <w:rPr>
          <w:i w:val="0"/>
          <w:iCs w:val="0"/>
        </w:rPr>
        <w:t>i</w:t>
      </w:r>
      <w:proofErr w:type="spellEnd"/>
      <w:r>
        <w:rPr>
          <w:i w:val="0"/>
          <w:iCs w:val="0"/>
        </w:rPr>
        <w:t xml:space="preserve">) of the Guidelines, and on the training and development programs for staff involved in the search and examination process under paragraph 21.15(vi).  The Authority also includes the following information on numbers of employees qualified to carry out search and examination.  </w:t>
      </w:r>
    </w:p>
    <w:p w14:paraId="79F534D3" w14:textId="77777777" w:rsidR="0040759D" w:rsidRDefault="0040759D" w:rsidP="0040759D">
      <w:pPr>
        <w:pStyle w:val="Question"/>
        <w:spacing w:after="480"/>
      </w:pPr>
      <w:r>
        <w:t>Employees qualified to carry out search and examination: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122"/>
        <w:gridCol w:w="1684"/>
        <w:gridCol w:w="1684"/>
        <w:gridCol w:w="3719"/>
      </w:tblGrid>
      <w:tr w:rsidR="0040759D" w14:paraId="60E7EA02" w14:textId="77777777" w:rsidTr="009D319E">
        <w:trPr>
          <w:cantSplit/>
          <w:tblHeader/>
        </w:trPr>
        <w:tc>
          <w:tcPr>
            <w:tcW w:w="2122" w:type="dxa"/>
            <w:tcBorders>
              <w:top w:val="single" w:sz="4" w:space="0" w:color="auto"/>
              <w:left w:val="single" w:sz="4" w:space="0" w:color="auto"/>
              <w:bottom w:val="single" w:sz="4" w:space="0" w:color="auto"/>
              <w:right w:val="single" w:sz="4" w:space="0" w:color="auto"/>
            </w:tcBorders>
            <w:hideMark/>
          </w:tcPr>
          <w:p w14:paraId="4EF87FDB" w14:textId="77777777" w:rsidR="0040759D" w:rsidRDefault="0040759D" w:rsidP="009D319E">
            <w:pPr>
              <w:keepNext/>
              <w:keepLines/>
              <w:suppressAutoHyphens/>
              <w:rPr>
                <w:rFonts w:eastAsia="Times New Roman"/>
                <w:b/>
                <w:bCs/>
                <w:szCs w:val="22"/>
                <w:lang w:eastAsia="en-US" w:bidi="he-IL"/>
              </w:rPr>
            </w:pPr>
            <w:r>
              <w:rPr>
                <w:b/>
                <w:bCs/>
                <w:szCs w:val="22"/>
                <w:lang w:eastAsia="en-US" w:bidi="he-IL"/>
              </w:rPr>
              <w:t>Technical field</w:t>
            </w:r>
          </w:p>
        </w:tc>
        <w:tc>
          <w:tcPr>
            <w:tcW w:w="1684" w:type="dxa"/>
            <w:tcBorders>
              <w:top w:val="single" w:sz="4" w:space="0" w:color="auto"/>
              <w:left w:val="single" w:sz="4" w:space="0" w:color="auto"/>
              <w:bottom w:val="single" w:sz="4" w:space="0" w:color="auto"/>
              <w:right w:val="single" w:sz="4" w:space="0" w:color="auto"/>
            </w:tcBorders>
            <w:hideMark/>
          </w:tcPr>
          <w:p w14:paraId="2E4DE27B" w14:textId="77777777" w:rsidR="0040759D" w:rsidRDefault="0040759D" w:rsidP="009D319E">
            <w:pPr>
              <w:keepNext/>
              <w:keepLines/>
              <w:suppressAutoHyphens/>
              <w:rPr>
                <w:rFonts w:eastAsia="Times New Roman"/>
                <w:b/>
                <w:bCs/>
                <w:szCs w:val="22"/>
                <w:lang w:eastAsia="en-US" w:bidi="he-IL"/>
              </w:rPr>
            </w:pPr>
            <w:r>
              <w:rPr>
                <w:b/>
                <w:bCs/>
                <w:szCs w:val="22"/>
                <w:lang w:eastAsia="en-US" w:bidi="he-IL"/>
              </w:rPr>
              <w:t>Number (in full-time equivalent)</w:t>
            </w:r>
          </w:p>
        </w:tc>
        <w:tc>
          <w:tcPr>
            <w:tcW w:w="1684" w:type="dxa"/>
            <w:tcBorders>
              <w:top w:val="single" w:sz="4" w:space="0" w:color="auto"/>
              <w:left w:val="single" w:sz="4" w:space="0" w:color="auto"/>
              <w:bottom w:val="single" w:sz="4" w:space="0" w:color="auto"/>
              <w:right w:val="single" w:sz="4" w:space="0" w:color="auto"/>
            </w:tcBorders>
            <w:hideMark/>
          </w:tcPr>
          <w:p w14:paraId="7CF64E10" w14:textId="77777777" w:rsidR="0040759D" w:rsidRDefault="0040759D" w:rsidP="009D319E">
            <w:pPr>
              <w:suppressAutoHyphens/>
              <w:rPr>
                <w:rFonts w:eastAsia="Times New Roman"/>
                <w:b/>
                <w:bCs/>
                <w:szCs w:val="24"/>
                <w:lang w:eastAsia="en-US" w:bidi="he-IL"/>
              </w:rPr>
            </w:pPr>
            <w:r>
              <w:rPr>
                <w:b/>
                <w:bCs/>
                <w:lang w:eastAsia="en-US" w:bidi="he-IL"/>
              </w:rPr>
              <w:t>Average experience as examiners (years)</w:t>
            </w:r>
          </w:p>
        </w:tc>
        <w:tc>
          <w:tcPr>
            <w:tcW w:w="3719" w:type="dxa"/>
            <w:tcBorders>
              <w:top w:val="single" w:sz="4" w:space="0" w:color="auto"/>
              <w:left w:val="single" w:sz="4" w:space="0" w:color="auto"/>
              <w:bottom w:val="single" w:sz="4" w:space="0" w:color="auto"/>
              <w:right w:val="single" w:sz="4" w:space="0" w:color="auto"/>
            </w:tcBorders>
            <w:hideMark/>
          </w:tcPr>
          <w:p w14:paraId="101DC3A9" w14:textId="77777777" w:rsidR="0040759D" w:rsidRDefault="0040759D" w:rsidP="009D319E">
            <w:pPr>
              <w:suppressAutoHyphens/>
              <w:rPr>
                <w:rFonts w:eastAsia="Times New Roman"/>
                <w:b/>
                <w:bCs/>
                <w:szCs w:val="24"/>
                <w:lang w:eastAsia="en-US" w:bidi="he-IL"/>
              </w:rPr>
            </w:pPr>
            <w:r>
              <w:rPr>
                <w:b/>
                <w:bCs/>
                <w:lang w:eastAsia="en-US" w:bidi="he-IL"/>
              </w:rPr>
              <w:t>Breakdown of qualifications</w:t>
            </w:r>
          </w:p>
        </w:tc>
      </w:tr>
      <w:tr w:rsidR="0040759D" w14:paraId="420EBC0C" w14:textId="77777777" w:rsidTr="009D319E">
        <w:trPr>
          <w:cantSplit/>
        </w:trPr>
        <w:tc>
          <w:tcPr>
            <w:tcW w:w="2122" w:type="dxa"/>
            <w:tcBorders>
              <w:top w:val="single" w:sz="4" w:space="0" w:color="auto"/>
              <w:left w:val="single" w:sz="4" w:space="0" w:color="auto"/>
              <w:bottom w:val="single" w:sz="4" w:space="0" w:color="auto"/>
              <w:right w:val="single" w:sz="4" w:space="0" w:color="auto"/>
            </w:tcBorders>
            <w:hideMark/>
          </w:tcPr>
          <w:p w14:paraId="3C0930BC" w14:textId="77777777" w:rsidR="0040759D" w:rsidRDefault="0040759D" w:rsidP="009D319E">
            <w:pPr>
              <w:keepNext/>
              <w:keepLines/>
              <w:suppressAutoHyphens/>
              <w:rPr>
                <w:rFonts w:eastAsia="Times New Roman"/>
                <w:szCs w:val="22"/>
                <w:lang w:eastAsia="en-US" w:bidi="he-IL"/>
              </w:rPr>
            </w:pPr>
            <w:r>
              <w:rPr>
                <w:szCs w:val="22"/>
                <w:lang w:eastAsia="en-US" w:bidi="he-IL"/>
              </w:rPr>
              <w:t>Mechanical</w:t>
            </w:r>
          </w:p>
        </w:tc>
        <w:tc>
          <w:tcPr>
            <w:tcW w:w="1684" w:type="dxa"/>
            <w:tcBorders>
              <w:top w:val="single" w:sz="4" w:space="0" w:color="auto"/>
              <w:left w:val="single" w:sz="4" w:space="0" w:color="auto"/>
              <w:bottom w:val="single" w:sz="4" w:space="0" w:color="auto"/>
              <w:right w:val="single" w:sz="4" w:space="0" w:color="auto"/>
            </w:tcBorders>
          </w:tcPr>
          <w:p w14:paraId="479F6640" w14:textId="77777777" w:rsidR="0040759D" w:rsidRDefault="0040759D" w:rsidP="009D319E">
            <w:pPr>
              <w:keepNext/>
              <w:keepLines/>
              <w:suppressAutoHyphens/>
              <w:rPr>
                <w:rFonts w:eastAsia="Times New Roman"/>
                <w:szCs w:val="22"/>
                <w:lang w:eastAsia="en-US" w:bidi="he-IL"/>
              </w:rPr>
            </w:pPr>
          </w:p>
          <w:p w14:paraId="492289CE" w14:textId="77777777" w:rsidR="0040759D" w:rsidRDefault="0040759D" w:rsidP="009D319E">
            <w:pPr>
              <w:keepNext/>
              <w:keepLines/>
              <w:suppressAutoHyphens/>
              <w:rPr>
                <w:rFonts w:eastAsia="Times New Roman"/>
                <w:szCs w:val="22"/>
                <w:lang w:eastAsia="en-US" w:bidi="he-IL"/>
              </w:rPr>
            </w:pPr>
          </w:p>
          <w:p w14:paraId="4D0D7489" w14:textId="77777777" w:rsidR="0040759D" w:rsidRDefault="0040759D" w:rsidP="009D319E">
            <w:pPr>
              <w:keepNext/>
              <w:keepLines/>
              <w:suppressAutoHyphens/>
              <w:rPr>
                <w:rFonts w:eastAsia="Times New Roman"/>
                <w:szCs w:val="22"/>
                <w:lang w:eastAsia="en-US" w:bidi="he-IL"/>
              </w:rPr>
            </w:pPr>
          </w:p>
          <w:p w14:paraId="183C774D" w14:textId="77777777" w:rsidR="0040759D" w:rsidRDefault="0040759D" w:rsidP="009D319E">
            <w:pPr>
              <w:keepNext/>
              <w:keepLines/>
              <w:suppressAutoHyphens/>
              <w:rPr>
                <w:rFonts w:eastAsia="Times New Roman"/>
                <w:szCs w:val="22"/>
                <w:lang w:eastAsia="en-US" w:bidi="he-IL"/>
              </w:rPr>
            </w:pPr>
          </w:p>
          <w:p w14:paraId="62B97C0B" w14:textId="77777777" w:rsidR="0040759D" w:rsidRDefault="0040759D" w:rsidP="009D319E">
            <w:pPr>
              <w:keepNext/>
              <w:keepLines/>
              <w:suppressAutoHyphens/>
              <w:rPr>
                <w:rFonts w:eastAsia="Times New Roman"/>
                <w:szCs w:val="22"/>
                <w:lang w:eastAsia="en-US" w:bidi="he-IL"/>
              </w:rPr>
            </w:pPr>
          </w:p>
          <w:p w14:paraId="00D89F3F" w14:textId="77777777" w:rsidR="0040759D" w:rsidRDefault="0040759D" w:rsidP="009D319E">
            <w:pPr>
              <w:keepNext/>
              <w:keepLines/>
              <w:suppressAutoHyphens/>
              <w:rPr>
                <w:rFonts w:eastAsia="Times New Roman"/>
                <w:szCs w:val="22"/>
                <w:lang w:eastAsia="en-US" w:bidi="he-IL"/>
              </w:rPr>
            </w:pPr>
          </w:p>
          <w:p w14:paraId="1161E0EC" w14:textId="77777777" w:rsidR="0040759D" w:rsidRDefault="0040759D" w:rsidP="009D319E">
            <w:pPr>
              <w:keepNext/>
              <w:keepLines/>
              <w:suppressAutoHyphens/>
              <w:rPr>
                <w:rFonts w:eastAsia="Times New Roman"/>
                <w:szCs w:val="22"/>
                <w:lang w:eastAsia="en-US" w:bidi="he-IL"/>
              </w:rPr>
            </w:pPr>
          </w:p>
          <w:p w14:paraId="72FE7794" w14:textId="77777777" w:rsidR="0040759D" w:rsidRDefault="0040759D" w:rsidP="009D319E">
            <w:pPr>
              <w:keepNext/>
              <w:keepLines/>
              <w:suppressAutoHyphens/>
              <w:rPr>
                <w:rFonts w:eastAsia="Times New Roman"/>
                <w:szCs w:val="22"/>
                <w:lang w:eastAsia="en-US" w:bidi="he-IL"/>
              </w:rPr>
            </w:pPr>
          </w:p>
          <w:p w14:paraId="273E56CD"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60</w:t>
            </w:r>
          </w:p>
        </w:tc>
        <w:tc>
          <w:tcPr>
            <w:tcW w:w="1684" w:type="dxa"/>
            <w:tcBorders>
              <w:top w:val="single" w:sz="4" w:space="0" w:color="auto"/>
              <w:left w:val="single" w:sz="4" w:space="0" w:color="auto"/>
              <w:bottom w:val="single" w:sz="4" w:space="0" w:color="auto"/>
              <w:right w:val="single" w:sz="4" w:space="0" w:color="auto"/>
            </w:tcBorders>
          </w:tcPr>
          <w:p w14:paraId="1D94B33E" w14:textId="77777777" w:rsidR="0040759D" w:rsidRDefault="0040759D" w:rsidP="009D319E">
            <w:pPr>
              <w:keepNext/>
              <w:keepLines/>
              <w:suppressAutoHyphens/>
              <w:rPr>
                <w:rFonts w:eastAsia="Times New Roman"/>
                <w:szCs w:val="22"/>
                <w:lang w:val="pl-PL" w:eastAsia="en-US" w:bidi="he-IL"/>
              </w:rPr>
            </w:pPr>
          </w:p>
          <w:p w14:paraId="6CAD10E9" w14:textId="77777777" w:rsidR="0040759D" w:rsidRDefault="0040759D" w:rsidP="009D319E">
            <w:pPr>
              <w:keepNext/>
              <w:keepLines/>
              <w:suppressAutoHyphens/>
              <w:rPr>
                <w:rFonts w:eastAsia="Times New Roman"/>
                <w:szCs w:val="22"/>
                <w:lang w:val="pl-PL" w:eastAsia="en-US" w:bidi="he-IL"/>
              </w:rPr>
            </w:pPr>
          </w:p>
          <w:p w14:paraId="466EAE1C" w14:textId="77777777" w:rsidR="0040759D" w:rsidRDefault="0040759D" w:rsidP="009D319E">
            <w:pPr>
              <w:keepNext/>
              <w:keepLines/>
              <w:suppressAutoHyphens/>
              <w:rPr>
                <w:rFonts w:eastAsia="Times New Roman"/>
                <w:szCs w:val="22"/>
                <w:lang w:val="pl-PL" w:eastAsia="en-US" w:bidi="he-IL"/>
              </w:rPr>
            </w:pPr>
          </w:p>
          <w:p w14:paraId="1F1A3E91" w14:textId="77777777" w:rsidR="0040759D" w:rsidRDefault="0040759D" w:rsidP="009D319E">
            <w:pPr>
              <w:keepNext/>
              <w:keepLines/>
              <w:suppressAutoHyphens/>
              <w:rPr>
                <w:rFonts w:eastAsia="Times New Roman"/>
                <w:szCs w:val="22"/>
                <w:lang w:val="pl-PL" w:eastAsia="en-US" w:bidi="he-IL"/>
              </w:rPr>
            </w:pPr>
          </w:p>
          <w:p w14:paraId="4CDF04B6" w14:textId="77777777" w:rsidR="0040759D" w:rsidRDefault="0040759D" w:rsidP="009D319E">
            <w:pPr>
              <w:keepNext/>
              <w:keepLines/>
              <w:suppressAutoHyphens/>
              <w:rPr>
                <w:rFonts w:eastAsia="Times New Roman"/>
                <w:szCs w:val="22"/>
                <w:lang w:val="pl-PL" w:eastAsia="en-US" w:bidi="he-IL"/>
              </w:rPr>
            </w:pPr>
          </w:p>
          <w:p w14:paraId="22C49143" w14:textId="77777777" w:rsidR="0040759D" w:rsidRDefault="0040759D" w:rsidP="009D319E">
            <w:pPr>
              <w:keepNext/>
              <w:keepLines/>
              <w:suppressAutoHyphens/>
              <w:rPr>
                <w:rFonts w:eastAsia="Times New Roman"/>
                <w:szCs w:val="22"/>
                <w:lang w:val="pl-PL" w:eastAsia="en-US" w:bidi="he-IL"/>
              </w:rPr>
            </w:pPr>
          </w:p>
          <w:p w14:paraId="6A057454" w14:textId="77777777" w:rsidR="0040759D" w:rsidRDefault="0040759D" w:rsidP="009D319E">
            <w:pPr>
              <w:keepNext/>
              <w:keepLines/>
              <w:suppressAutoHyphens/>
              <w:rPr>
                <w:rFonts w:eastAsia="Times New Roman"/>
                <w:szCs w:val="22"/>
                <w:lang w:val="pl-PL" w:eastAsia="en-US" w:bidi="he-IL"/>
              </w:rPr>
            </w:pPr>
          </w:p>
          <w:p w14:paraId="6E4CB52C" w14:textId="77777777" w:rsidR="0040759D" w:rsidRDefault="0040759D" w:rsidP="009D319E">
            <w:pPr>
              <w:keepNext/>
              <w:keepLines/>
              <w:suppressAutoHyphens/>
              <w:rPr>
                <w:rFonts w:eastAsia="Times New Roman"/>
                <w:szCs w:val="22"/>
                <w:lang w:val="pl-PL" w:eastAsia="en-US" w:bidi="he-IL"/>
              </w:rPr>
            </w:pPr>
          </w:p>
          <w:p w14:paraId="0FCF4017" w14:textId="77777777" w:rsidR="0040759D" w:rsidRPr="00FF2029" w:rsidRDefault="0040759D" w:rsidP="009D319E">
            <w:pPr>
              <w:keepNext/>
              <w:keepLines/>
              <w:suppressAutoHyphens/>
              <w:rPr>
                <w:rFonts w:eastAsia="Times New Roman"/>
                <w:szCs w:val="22"/>
                <w:lang w:val="pl-PL" w:eastAsia="en-US" w:bidi="he-IL"/>
              </w:rPr>
            </w:pPr>
            <w:r w:rsidRPr="00FF2029">
              <w:rPr>
                <w:rFonts w:eastAsia="Times New Roman"/>
                <w:szCs w:val="22"/>
                <w:lang w:val="pl-PL" w:eastAsia="en-US" w:bidi="he-IL"/>
              </w:rPr>
              <w:t>1</w:t>
            </w:r>
            <w:r>
              <w:rPr>
                <w:rFonts w:eastAsia="Times New Roman"/>
                <w:szCs w:val="22"/>
                <w:lang w:val="pl-PL" w:eastAsia="en-US" w:bidi="he-IL"/>
              </w:rPr>
              <w:t>5.1</w:t>
            </w:r>
          </w:p>
        </w:tc>
        <w:tc>
          <w:tcPr>
            <w:tcW w:w="3719" w:type="dxa"/>
            <w:tcBorders>
              <w:top w:val="single" w:sz="4" w:space="0" w:color="auto"/>
              <w:left w:val="single" w:sz="4" w:space="0" w:color="auto"/>
              <w:bottom w:val="single" w:sz="4" w:space="0" w:color="auto"/>
              <w:right w:val="single" w:sz="4" w:space="0" w:color="auto"/>
            </w:tcBorders>
          </w:tcPr>
          <w:p w14:paraId="1CDA6370"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5 PhD in engineering</w:t>
            </w:r>
          </w:p>
          <w:p w14:paraId="01257231" w14:textId="77777777" w:rsidR="0040759D" w:rsidRDefault="0040759D" w:rsidP="009D319E">
            <w:pPr>
              <w:keepNext/>
              <w:keepLines/>
              <w:suppressAutoHyphens/>
              <w:rPr>
                <w:rFonts w:eastAsia="Times New Roman"/>
                <w:szCs w:val="22"/>
                <w:lang w:eastAsia="en-US" w:bidi="he-IL"/>
              </w:rPr>
            </w:pPr>
            <w:r w:rsidRPr="00482D78">
              <w:rPr>
                <w:rFonts w:eastAsia="Times New Roman"/>
                <w:szCs w:val="22"/>
                <w:lang w:eastAsia="en-US" w:bidi="he-IL"/>
              </w:rPr>
              <w:t>1 PhD medical mechanical engineer</w:t>
            </w:r>
          </w:p>
          <w:p w14:paraId="149A859D" w14:textId="77777777" w:rsidR="0040759D" w:rsidRDefault="0040759D" w:rsidP="009D319E">
            <w:pPr>
              <w:keepNext/>
              <w:keepLines/>
              <w:suppressAutoHyphens/>
              <w:rPr>
                <w:rFonts w:eastAsia="Times New Roman"/>
                <w:szCs w:val="22"/>
                <w:lang w:eastAsia="en-US" w:bidi="he-IL"/>
              </w:rPr>
            </w:pPr>
            <w:r w:rsidRPr="00482D78">
              <w:rPr>
                <w:rFonts w:eastAsia="Times New Roman"/>
                <w:szCs w:val="22"/>
                <w:lang w:eastAsia="en-US" w:bidi="he-IL"/>
              </w:rPr>
              <w:t>1 PhD metallurgical engineer</w:t>
            </w:r>
          </w:p>
          <w:p w14:paraId="07049A47"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37 MSc in e</w:t>
            </w:r>
            <w:r w:rsidRPr="009E5891">
              <w:rPr>
                <w:rFonts w:eastAsia="Times New Roman"/>
                <w:szCs w:val="22"/>
                <w:lang w:eastAsia="en-US" w:bidi="he-IL"/>
              </w:rPr>
              <w:t>ngineering</w:t>
            </w:r>
          </w:p>
          <w:p w14:paraId="569F4449" w14:textId="77777777" w:rsidR="0040759D" w:rsidRDefault="0040759D" w:rsidP="009D319E">
            <w:pPr>
              <w:keepNext/>
              <w:keepLines/>
              <w:suppressAutoHyphens/>
              <w:rPr>
                <w:rFonts w:eastAsia="Times New Roman"/>
                <w:szCs w:val="22"/>
                <w:lang w:eastAsia="en-US" w:bidi="he-IL"/>
              </w:rPr>
            </w:pPr>
            <w:r w:rsidRPr="00482D78">
              <w:rPr>
                <w:rFonts w:eastAsia="Times New Roman"/>
                <w:szCs w:val="22"/>
                <w:lang w:eastAsia="en-US" w:bidi="he-IL"/>
              </w:rPr>
              <w:t>7</w:t>
            </w:r>
            <w:r>
              <w:rPr>
                <w:rFonts w:eastAsia="Times New Roman"/>
                <w:szCs w:val="22"/>
                <w:lang w:eastAsia="en-US" w:bidi="he-IL"/>
              </w:rPr>
              <w:t xml:space="preserve"> </w:t>
            </w:r>
            <w:r w:rsidRPr="00482D78">
              <w:rPr>
                <w:rFonts w:eastAsia="Times New Roman"/>
                <w:szCs w:val="22"/>
                <w:lang w:eastAsia="en-US" w:bidi="he-IL"/>
              </w:rPr>
              <w:t>MSc mechanical engineer</w:t>
            </w:r>
          </w:p>
          <w:p w14:paraId="370B8657" w14:textId="77777777" w:rsidR="0040759D" w:rsidRDefault="0040759D" w:rsidP="009D319E">
            <w:pPr>
              <w:keepNext/>
              <w:keepLines/>
              <w:suppressAutoHyphens/>
              <w:rPr>
                <w:rFonts w:eastAsia="Times New Roman"/>
                <w:szCs w:val="22"/>
                <w:lang w:eastAsia="en-US" w:bidi="he-IL"/>
              </w:rPr>
            </w:pPr>
            <w:r w:rsidRPr="00482D78">
              <w:rPr>
                <w:rFonts w:eastAsia="Times New Roman"/>
                <w:szCs w:val="22"/>
                <w:lang w:eastAsia="en-US" w:bidi="he-IL"/>
              </w:rPr>
              <w:t>1 MSc mechatronics engineer</w:t>
            </w:r>
          </w:p>
          <w:p w14:paraId="502D8348" w14:textId="77777777" w:rsidR="0040759D" w:rsidRDefault="0040759D" w:rsidP="009D319E">
            <w:pPr>
              <w:keepNext/>
              <w:keepLines/>
              <w:suppressAutoHyphens/>
              <w:rPr>
                <w:rFonts w:eastAsia="Times New Roman"/>
                <w:szCs w:val="22"/>
                <w:lang w:eastAsia="en-US" w:bidi="he-IL"/>
              </w:rPr>
            </w:pPr>
            <w:r w:rsidRPr="00482D78">
              <w:rPr>
                <w:rFonts w:eastAsia="Times New Roman"/>
                <w:szCs w:val="22"/>
                <w:lang w:eastAsia="en-US" w:bidi="he-IL"/>
              </w:rPr>
              <w:t>2 MSc architect</w:t>
            </w:r>
          </w:p>
          <w:p w14:paraId="7D124C86" w14:textId="77777777" w:rsidR="0040759D" w:rsidRDefault="0040759D" w:rsidP="009D319E">
            <w:pPr>
              <w:keepNext/>
              <w:keepLines/>
              <w:suppressAutoHyphens/>
              <w:rPr>
                <w:rFonts w:eastAsia="Times New Roman"/>
                <w:szCs w:val="22"/>
                <w:lang w:eastAsia="en-US" w:bidi="he-IL"/>
              </w:rPr>
            </w:pPr>
            <w:r w:rsidRPr="00B66EEE">
              <w:rPr>
                <w:rFonts w:eastAsia="Times New Roman"/>
                <w:szCs w:val="22"/>
                <w:lang w:eastAsia="en-US" w:bidi="he-IL"/>
              </w:rPr>
              <w:t xml:space="preserve">6 BSc </w:t>
            </w:r>
            <w:r>
              <w:rPr>
                <w:rFonts w:eastAsia="Times New Roman"/>
                <w:szCs w:val="22"/>
                <w:lang w:eastAsia="en-US" w:bidi="he-IL"/>
              </w:rPr>
              <w:t>e</w:t>
            </w:r>
            <w:r w:rsidRPr="009E5891">
              <w:rPr>
                <w:rFonts w:eastAsia="Times New Roman"/>
                <w:szCs w:val="22"/>
                <w:lang w:eastAsia="en-US" w:bidi="he-IL"/>
              </w:rPr>
              <w:t>ngineering</w:t>
            </w:r>
          </w:p>
        </w:tc>
      </w:tr>
      <w:tr w:rsidR="0040759D" w14:paraId="4D9630B7" w14:textId="77777777" w:rsidTr="009D319E">
        <w:trPr>
          <w:cantSplit/>
        </w:trPr>
        <w:tc>
          <w:tcPr>
            <w:tcW w:w="2122" w:type="dxa"/>
            <w:tcBorders>
              <w:top w:val="single" w:sz="4" w:space="0" w:color="auto"/>
              <w:left w:val="single" w:sz="4" w:space="0" w:color="auto"/>
              <w:bottom w:val="single" w:sz="4" w:space="0" w:color="auto"/>
              <w:right w:val="single" w:sz="4" w:space="0" w:color="auto"/>
            </w:tcBorders>
            <w:hideMark/>
          </w:tcPr>
          <w:p w14:paraId="4A50EC81" w14:textId="77777777" w:rsidR="0040759D" w:rsidRDefault="0040759D" w:rsidP="009D319E">
            <w:pPr>
              <w:keepNext/>
              <w:keepLines/>
              <w:suppressAutoHyphens/>
              <w:rPr>
                <w:rFonts w:eastAsia="Times New Roman"/>
                <w:szCs w:val="22"/>
                <w:lang w:eastAsia="en-US" w:bidi="he-IL"/>
              </w:rPr>
            </w:pPr>
            <w:r>
              <w:rPr>
                <w:szCs w:val="22"/>
                <w:lang w:eastAsia="en-US" w:bidi="he-IL"/>
              </w:rPr>
              <w:t>Electrical/electronic</w:t>
            </w:r>
          </w:p>
        </w:tc>
        <w:tc>
          <w:tcPr>
            <w:tcW w:w="1684" w:type="dxa"/>
            <w:tcBorders>
              <w:top w:val="single" w:sz="4" w:space="0" w:color="auto"/>
              <w:left w:val="single" w:sz="4" w:space="0" w:color="auto"/>
              <w:bottom w:val="single" w:sz="4" w:space="0" w:color="auto"/>
              <w:right w:val="single" w:sz="4" w:space="0" w:color="auto"/>
            </w:tcBorders>
          </w:tcPr>
          <w:p w14:paraId="1D8DEA08" w14:textId="77777777" w:rsidR="0040759D" w:rsidRDefault="0040759D" w:rsidP="009D319E">
            <w:pPr>
              <w:keepNext/>
              <w:keepLines/>
              <w:suppressAutoHyphens/>
              <w:rPr>
                <w:rFonts w:eastAsia="Times New Roman"/>
                <w:szCs w:val="22"/>
                <w:lang w:eastAsia="en-US" w:bidi="he-IL"/>
              </w:rPr>
            </w:pPr>
          </w:p>
          <w:p w14:paraId="6857EE39" w14:textId="77777777" w:rsidR="0040759D" w:rsidRDefault="0040759D" w:rsidP="009D319E">
            <w:pPr>
              <w:keepNext/>
              <w:keepLines/>
              <w:suppressAutoHyphens/>
              <w:rPr>
                <w:rFonts w:eastAsia="Times New Roman"/>
                <w:szCs w:val="22"/>
                <w:lang w:eastAsia="en-US" w:bidi="he-IL"/>
              </w:rPr>
            </w:pPr>
          </w:p>
          <w:p w14:paraId="105AFF30" w14:textId="77777777" w:rsidR="0040759D" w:rsidRDefault="0040759D" w:rsidP="009D319E">
            <w:pPr>
              <w:keepNext/>
              <w:keepLines/>
              <w:suppressAutoHyphens/>
              <w:rPr>
                <w:rFonts w:eastAsia="Times New Roman"/>
                <w:szCs w:val="22"/>
                <w:lang w:eastAsia="en-US" w:bidi="he-IL"/>
              </w:rPr>
            </w:pPr>
          </w:p>
          <w:p w14:paraId="0DFC9F4B" w14:textId="77777777" w:rsidR="0040759D" w:rsidRDefault="0040759D" w:rsidP="009D319E">
            <w:pPr>
              <w:keepNext/>
              <w:keepLines/>
              <w:suppressAutoHyphens/>
              <w:rPr>
                <w:rFonts w:eastAsia="Times New Roman"/>
                <w:szCs w:val="22"/>
                <w:lang w:eastAsia="en-US" w:bidi="he-IL"/>
              </w:rPr>
            </w:pPr>
          </w:p>
          <w:p w14:paraId="2F77C555" w14:textId="77777777" w:rsidR="0040759D" w:rsidRDefault="0040759D" w:rsidP="009D319E">
            <w:pPr>
              <w:keepNext/>
              <w:keepLines/>
              <w:suppressAutoHyphens/>
              <w:rPr>
                <w:rFonts w:eastAsia="Times New Roman"/>
                <w:szCs w:val="22"/>
                <w:lang w:eastAsia="en-US" w:bidi="he-IL"/>
              </w:rPr>
            </w:pPr>
          </w:p>
          <w:p w14:paraId="20DA137D" w14:textId="77777777" w:rsidR="0040759D" w:rsidRDefault="0040759D" w:rsidP="009D319E">
            <w:pPr>
              <w:keepNext/>
              <w:keepLines/>
              <w:suppressAutoHyphens/>
              <w:rPr>
                <w:rFonts w:eastAsia="Times New Roman"/>
                <w:szCs w:val="22"/>
                <w:lang w:eastAsia="en-US" w:bidi="he-IL"/>
              </w:rPr>
            </w:pPr>
          </w:p>
          <w:p w14:paraId="692A726E"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26.5</w:t>
            </w:r>
          </w:p>
        </w:tc>
        <w:tc>
          <w:tcPr>
            <w:tcW w:w="1684" w:type="dxa"/>
            <w:tcBorders>
              <w:top w:val="single" w:sz="4" w:space="0" w:color="auto"/>
              <w:left w:val="single" w:sz="4" w:space="0" w:color="auto"/>
              <w:bottom w:val="single" w:sz="4" w:space="0" w:color="auto"/>
              <w:right w:val="single" w:sz="4" w:space="0" w:color="auto"/>
            </w:tcBorders>
          </w:tcPr>
          <w:p w14:paraId="1C74E5DE" w14:textId="77777777" w:rsidR="0040759D" w:rsidRDefault="0040759D" w:rsidP="009D319E">
            <w:pPr>
              <w:keepNext/>
              <w:keepLines/>
              <w:suppressAutoHyphens/>
              <w:rPr>
                <w:rFonts w:eastAsia="Times New Roman"/>
                <w:szCs w:val="22"/>
                <w:lang w:val="pl-PL" w:eastAsia="en-US" w:bidi="he-IL"/>
              </w:rPr>
            </w:pPr>
          </w:p>
          <w:p w14:paraId="4BA32B72" w14:textId="77777777" w:rsidR="0040759D" w:rsidRDefault="0040759D" w:rsidP="009D319E">
            <w:pPr>
              <w:keepNext/>
              <w:keepLines/>
              <w:suppressAutoHyphens/>
              <w:rPr>
                <w:rFonts w:eastAsia="Times New Roman"/>
                <w:szCs w:val="22"/>
                <w:lang w:val="pl-PL" w:eastAsia="en-US" w:bidi="he-IL"/>
              </w:rPr>
            </w:pPr>
          </w:p>
          <w:p w14:paraId="4DC69E4A" w14:textId="77777777" w:rsidR="0040759D" w:rsidRDefault="0040759D" w:rsidP="009D319E">
            <w:pPr>
              <w:keepNext/>
              <w:keepLines/>
              <w:suppressAutoHyphens/>
              <w:rPr>
                <w:rFonts w:eastAsia="Times New Roman"/>
                <w:szCs w:val="22"/>
                <w:lang w:val="pl-PL" w:eastAsia="en-US" w:bidi="he-IL"/>
              </w:rPr>
            </w:pPr>
          </w:p>
          <w:p w14:paraId="57B3499C" w14:textId="77777777" w:rsidR="0040759D" w:rsidRDefault="0040759D" w:rsidP="009D319E">
            <w:pPr>
              <w:keepNext/>
              <w:keepLines/>
              <w:suppressAutoHyphens/>
              <w:rPr>
                <w:rFonts w:eastAsia="Times New Roman"/>
                <w:szCs w:val="22"/>
                <w:lang w:val="pl-PL" w:eastAsia="en-US" w:bidi="he-IL"/>
              </w:rPr>
            </w:pPr>
          </w:p>
          <w:p w14:paraId="141BBF84" w14:textId="77777777" w:rsidR="0040759D" w:rsidRDefault="0040759D" w:rsidP="009D319E">
            <w:pPr>
              <w:keepNext/>
              <w:keepLines/>
              <w:suppressAutoHyphens/>
              <w:rPr>
                <w:rFonts w:eastAsia="Times New Roman"/>
                <w:szCs w:val="22"/>
                <w:lang w:val="pl-PL" w:eastAsia="en-US" w:bidi="he-IL"/>
              </w:rPr>
            </w:pPr>
          </w:p>
          <w:p w14:paraId="078ED644" w14:textId="77777777" w:rsidR="0040759D" w:rsidRDefault="0040759D" w:rsidP="009D319E">
            <w:pPr>
              <w:keepNext/>
              <w:keepLines/>
              <w:suppressAutoHyphens/>
              <w:rPr>
                <w:rFonts w:eastAsia="Times New Roman"/>
                <w:szCs w:val="22"/>
                <w:lang w:val="pl-PL" w:eastAsia="en-US" w:bidi="he-IL"/>
              </w:rPr>
            </w:pPr>
          </w:p>
          <w:p w14:paraId="0DBEA1BC" w14:textId="77777777" w:rsidR="0040759D" w:rsidRPr="00FF2029" w:rsidRDefault="0040759D" w:rsidP="009D319E">
            <w:pPr>
              <w:keepNext/>
              <w:keepLines/>
              <w:suppressAutoHyphens/>
              <w:rPr>
                <w:rFonts w:eastAsia="Times New Roman"/>
                <w:szCs w:val="22"/>
                <w:lang w:val="pl-PL" w:eastAsia="en-US" w:bidi="he-IL"/>
              </w:rPr>
            </w:pPr>
            <w:r w:rsidRPr="00FF2029">
              <w:rPr>
                <w:rFonts w:eastAsia="Times New Roman"/>
                <w:szCs w:val="22"/>
                <w:lang w:val="pl-PL" w:eastAsia="en-US" w:bidi="he-IL"/>
              </w:rPr>
              <w:t>11</w:t>
            </w:r>
            <w:r>
              <w:rPr>
                <w:rFonts w:eastAsia="Times New Roman"/>
                <w:szCs w:val="22"/>
                <w:lang w:val="pl-PL" w:eastAsia="en-US" w:bidi="he-IL"/>
              </w:rPr>
              <w:t>.1</w:t>
            </w:r>
          </w:p>
        </w:tc>
        <w:tc>
          <w:tcPr>
            <w:tcW w:w="3719" w:type="dxa"/>
            <w:tcBorders>
              <w:top w:val="single" w:sz="4" w:space="0" w:color="auto"/>
              <w:left w:val="single" w:sz="4" w:space="0" w:color="auto"/>
              <w:bottom w:val="single" w:sz="4" w:space="0" w:color="auto"/>
              <w:right w:val="single" w:sz="4" w:space="0" w:color="auto"/>
            </w:tcBorders>
          </w:tcPr>
          <w:p w14:paraId="654F5128" w14:textId="77777777" w:rsidR="0040759D" w:rsidRDefault="0040759D" w:rsidP="009D319E">
            <w:r>
              <w:t>3 PhD in physics</w:t>
            </w:r>
          </w:p>
          <w:p w14:paraId="2EE95DA6" w14:textId="77777777" w:rsidR="0040759D" w:rsidRPr="00C01FE8" w:rsidRDefault="0040759D" w:rsidP="009D319E">
            <w:pPr>
              <w:keepNext/>
              <w:keepLines/>
              <w:suppressAutoHyphens/>
              <w:rPr>
                <w:rFonts w:eastAsia="Times New Roman"/>
                <w:szCs w:val="22"/>
                <w:lang w:eastAsia="en-US" w:bidi="he-IL"/>
              </w:rPr>
            </w:pPr>
            <w:r w:rsidRPr="00C01FE8">
              <w:rPr>
                <w:rFonts w:eastAsia="Times New Roman"/>
                <w:szCs w:val="22"/>
                <w:lang w:eastAsia="en-US" w:bidi="he-IL"/>
              </w:rPr>
              <w:t xml:space="preserve">2 PhD </w:t>
            </w:r>
            <w:r>
              <w:rPr>
                <w:rFonts w:eastAsia="Times New Roman"/>
                <w:szCs w:val="22"/>
                <w:lang w:eastAsia="en-US" w:bidi="he-IL"/>
              </w:rPr>
              <w:t xml:space="preserve">in </w:t>
            </w:r>
            <w:r>
              <w:t>engineering</w:t>
            </w:r>
          </w:p>
          <w:p w14:paraId="49BA7548"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 xml:space="preserve">14 MSc in electrical </w:t>
            </w:r>
            <w:r w:rsidRPr="009E5891">
              <w:rPr>
                <w:rFonts w:eastAsia="Times New Roman"/>
                <w:szCs w:val="22"/>
                <w:lang w:eastAsia="en-US" w:bidi="he-IL"/>
              </w:rPr>
              <w:t>engineering</w:t>
            </w:r>
          </w:p>
          <w:p w14:paraId="11322C0B"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2 MSc in mechanical engineering</w:t>
            </w:r>
          </w:p>
          <w:p w14:paraId="4CD05027" w14:textId="77777777" w:rsidR="0040759D" w:rsidRDefault="0040759D" w:rsidP="009D319E">
            <w:r>
              <w:t>2 MSc in physics</w:t>
            </w:r>
          </w:p>
          <w:p w14:paraId="6E9FBDCF" w14:textId="77777777" w:rsidR="0040759D" w:rsidRDefault="0040759D" w:rsidP="009D319E">
            <w:r>
              <w:t>1 MSc in health engineering</w:t>
            </w:r>
          </w:p>
          <w:p w14:paraId="01419FA5" w14:textId="77777777" w:rsidR="0040759D" w:rsidRPr="00EC28C6" w:rsidRDefault="0040759D" w:rsidP="009D319E">
            <w:pPr>
              <w:keepNext/>
              <w:keepLines/>
              <w:suppressAutoHyphens/>
            </w:pPr>
            <w:r>
              <w:t xml:space="preserve">3 BSc in electrical </w:t>
            </w:r>
            <w:r w:rsidRPr="009E5891">
              <w:rPr>
                <w:rFonts w:eastAsia="Times New Roman"/>
                <w:szCs w:val="22"/>
                <w:lang w:eastAsia="en-US" w:bidi="he-IL"/>
              </w:rPr>
              <w:t>engineering</w:t>
            </w:r>
          </w:p>
        </w:tc>
      </w:tr>
      <w:tr w:rsidR="0040759D" w14:paraId="1F83A838" w14:textId="77777777" w:rsidTr="009D319E">
        <w:trPr>
          <w:cantSplit/>
        </w:trPr>
        <w:tc>
          <w:tcPr>
            <w:tcW w:w="2122" w:type="dxa"/>
            <w:tcBorders>
              <w:top w:val="single" w:sz="4" w:space="0" w:color="auto"/>
              <w:left w:val="single" w:sz="4" w:space="0" w:color="auto"/>
              <w:bottom w:val="single" w:sz="4" w:space="0" w:color="auto"/>
              <w:right w:val="single" w:sz="4" w:space="0" w:color="auto"/>
            </w:tcBorders>
            <w:hideMark/>
          </w:tcPr>
          <w:p w14:paraId="15D7CA08" w14:textId="77777777" w:rsidR="0040759D" w:rsidRDefault="0040759D" w:rsidP="009D319E">
            <w:pPr>
              <w:keepNext/>
              <w:keepLines/>
              <w:suppressAutoHyphens/>
              <w:rPr>
                <w:rFonts w:eastAsia="Times New Roman"/>
                <w:szCs w:val="22"/>
                <w:lang w:eastAsia="en-US" w:bidi="he-IL"/>
              </w:rPr>
            </w:pPr>
            <w:r>
              <w:rPr>
                <w:szCs w:val="22"/>
                <w:lang w:eastAsia="en-US" w:bidi="he-IL"/>
              </w:rPr>
              <w:t>Chemistry</w:t>
            </w:r>
          </w:p>
        </w:tc>
        <w:tc>
          <w:tcPr>
            <w:tcW w:w="1684" w:type="dxa"/>
            <w:tcBorders>
              <w:top w:val="single" w:sz="4" w:space="0" w:color="auto"/>
              <w:left w:val="single" w:sz="4" w:space="0" w:color="auto"/>
              <w:bottom w:val="single" w:sz="4" w:space="0" w:color="auto"/>
              <w:right w:val="single" w:sz="4" w:space="0" w:color="auto"/>
            </w:tcBorders>
          </w:tcPr>
          <w:p w14:paraId="126E42EA" w14:textId="77777777" w:rsidR="0040759D" w:rsidRDefault="0040759D" w:rsidP="009D319E">
            <w:pPr>
              <w:keepNext/>
              <w:keepLines/>
              <w:suppressAutoHyphens/>
              <w:rPr>
                <w:rFonts w:eastAsia="Times New Roman"/>
                <w:szCs w:val="22"/>
                <w:lang w:eastAsia="en-US" w:bidi="he-IL"/>
              </w:rPr>
            </w:pPr>
          </w:p>
          <w:p w14:paraId="2B09D2B7" w14:textId="77777777" w:rsidR="0040759D" w:rsidRDefault="0040759D" w:rsidP="009D319E">
            <w:pPr>
              <w:keepNext/>
              <w:keepLines/>
              <w:suppressAutoHyphens/>
              <w:rPr>
                <w:rFonts w:eastAsia="Times New Roman"/>
                <w:szCs w:val="22"/>
                <w:lang w:eastAsia="en-US" w:bidi="he-IL"/>
              </w:rPr>
            </w:pPr>
          </w:p>
          <w:p w14:paraId="32E589CD" w14:textId="77777777" w:rsidR="0040759D" w:rsidRDefault="0040759D" w:rsidP="009D319E">
            <w:pPr>
              <w:keepNext/>
              <w:keepLines/>
              <w:suppressAutoHyphens/>
              <w:rPr>
                <w:rFonts w:eastAsia="Times New Roman"/>
                <w:szCs w:val="22"/>
                <w:lang w:eastAsia="en-US" w:bidi="he-IL"/>
              </w:rPr>
            </w:pPr>
          </w:p>
          <w:p w14:paraId="2AE456B7" w14:textId="77777777" w:rsidR="0040759D" w:rsidRDefault="0040759D" w:rsidP="009D319E">
            <w:pPr>
              <w:keepNext/>
              <w:keepLines/>
              <w:suppressAutoHyphens/>
              <w:rPr>
                <w:rFonts w:eastAsia="Times New Roman"/>
                <w:szCs w:val="22"/>
                <w:lang w:eastAsia="en-US" w:bidi="he-IL"/>
              </w:rPr>
            </w:pPr>
          </w:p>
          <w:p w14:paraId="14DF6AC6"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45</w:t>
            </w:r>
          </w:p>
        </w:tc>
        <w:tc>
          <w:tcPr>
            <w:tcW w:w="1684" w:type="dxa"/>
            <w:tcBorders>
              <w:top w:val="single" w:sz="4" w:space="0" w:color="auto"/>
              <w:left w:val="single" w:sz="4" w:space="0" w:color="auto"/>
              <w:bottom w:val="single" w:sz="4" w:space="0" w:color="auto"/>
              <w:right w:val="single" w:sz="4" w:space="0" w:color="auto"/>
            </w:tcBorders>
          </w:tcPr>
          <w:p w14:paraId="5A0FDB8F" w14:textId="77777777" w:rsidR="0040759D" w:rsidRDefault="0040759D" w:rsidP="009D319E">
            <w:pPr>
              <w:keepNext/>
              <w:keepLines/>
              <w:suppressAutoHyphens/>
              <w:rPr>
                <w:rFonts w:eastAsia="Times New Roman"/>
                <w:szCs w:val="22"/>
                <w:lang w:val="pl-PL" w:eastAsia="en-US" w:bidi="he-IL"/>
              </w:rPr>
            </w:pPr>
          </w:p>
          <w:p w14:paraId="2D66EE8B" w14:textId="77777777" w:rsidR="0040759D" w:rsidRDefault="0040759D" w:rsidP="009D319E">
            <w:pPr>
              <w:keepNext/>
              <w:keepLines/>
              <w:suppressAutoHyphens/>
              <w:rPr>
                <w:rFonts w:eastAsia="Times New Roman"/>
                <w:szCs w:val="22"/>
                <w:lang w:val="pl-PL" w:eastAsia="en-US" w:bidi="he-IL"/>
              </w:rPr>
            </w:pPr>
          </w:p>
          <w:p w14:paraId="60DA0C0F" w14:textId="77777777" w:rsidR="0040759D" w:rsidRDefault="0040759D" w:rsidP="009D319E">
            <w:pPr>
              <w:keepNext/>
              <w:keepLines/>
              <w:suppressAutoHyphens/>
              <w:rPr>
                <w:rFonts w:eastAsia="Times New Roman"/>
                <w:szCs w:val="22"/>
                <w:lang w:val="pl-PL" w:eastAsia="en-US" w:bidi="he-IL"/>
              </w:rPr>
            </w:pPr>
          </w:p>
          <w:p w14:paraId="280D72D1" w14:textId="77777777" w:rsidR="0040759D" w:rsidRDefault="0040759D" w:rsidP="009D319E">
            <w:pPr>
              <w:keepNext/>
              <w:keepLines/>
              <w:suppressAutoHyphens/>
              <w:rPr>
                <w:rFonts w:eastAsia="Times New Roman"/>
                <w:szCs w:val="22"/>
                <w:lang w:val="pl-PL" w:eastAsia="en-US" w:bidi="he-IL"/>
              </w:rPr>
            </w:pPr>
          </w:p>
          <w:p w14:paraId="26FA8DD3" w14:textId="77777777" w:rsidR="0040759D" w:rsidRPr="00FF2029" w:rsidRDefault="0040759D" w:rsidP="009D319E">
            <w:pPr>
              <w:keepNext/>
              <w:keepLines/>
              <w:suppressAutoHyphens/>
              <w:rPr>
                <w:rFonts w:eastAsia="Times New Roman"/>
                <w:szCs w:val="22"/>
                <w:lang w:val="pl-PL" w:eastAsia="en-US" w:bidi="he-IL"/>
              </w:rPr>
            </w:pPr>
            <w:r w:rsidRPr="00FF2029">
              <w:rPr>
                <w:rFonts w:eastAsia="Times New Roman"/>
                <w:szCs w:val="22"/>
                <w:lang w:val="pl-PL" w:eastAsia="en-US" w:bidi="he-IL"/>
              </w:rPr>
              <w:t>17</w:t>
            </w:r>
          </w:p>
        </w:tc>
        <w:tc>
          <w:tcPr>
            <w:tcW w:w="3719" w:type="dxa"/>
            <w:tcBorders>
              <w:top w:val="single" w:sz="4" w:space="0" w:color="auto"/>
              <w:left w:val="single" w:sz="4" w:space="0" w:color="auto"/>
              <w:bottom w:val="single" w:sz="4" w:space="0" w:color="auto"/>
              <w:right w:val="single" w:sz="4" w:space="0" w:color="auto"/>
            </w:tcBorders>
          </w:tcPr>
          <w:p w14:paraId="751F9F95"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11 PhD in chemical sciences</w:t>
            </w:r>
          </w:p>
          <w:p w14:paraId="5939FF5A"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30 MSc in chemical</w:t>
            </w:r>
            <w:r w:rsidRPr="009E5891">
              <w:rPr>
                <w:rFonts w:eastAsia="Times New Roman"/>
                <w:szCs w:val="22"/>
                <w:lang w:eastAsia="en-US" w:bidi="he-IL"/>
              </w:rPr>
              <w:t xml:space="preserve"> engineering</w:t>
            </w:r>
          </w:p>
          <w:p w14:paraId="21061303"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3 MSc chemist</w:t>
            </w:r>
          </w:p>
          <w:p w14:paraId="0114227A"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1 MSc pharmacist</w:t>
            </w:r>
          </w:p>
          <w:p w14:paraId="7C7B4143" w14:textId="77777777" w:rsidR="0040759D" w:rsidRDefault="0040759D" w:rsidP="009D319E">
            <w:pPr>
              <w:keepNext/>
              <w:keepLines/>
              <w:suppressAutoHyphens/>
              <w:rPr>
                <w:rFonts w:eastAsia="Times New Roman"/>
                <w:szCs w:val="22"/>
                <w:lang w:eastAsia="en-US" w:bidi="he-IL"/>
              </w:rPr>
            </w:pPr>
            <w:r w:rsidRPr="00C01FE8">
              <w:rPr>
                <w:rFonts w:eastAsia="Times New Roman"/>
                <w:szCs w:val="22"/>
                <w:lang w:eastAsia="en-US" w:bidi="he-IL"/>
              </w:rPr>
              <w:t xml:space="preserve">1 BSc </w:t>
            </w:r>
            <w:r>
              <w:rPr>
                <w:rFonts w:eastAsia="Times New Roman"/>
                <w:szCs w:val="22"/>
                <w:lang w:eastAsia="en-US" w:bidi="he-IL"/>
              </w:rPr>
              <w:t xml:space="preserve">in </w:t>
            </w:r>
            <w:r>
              <w:t>chemical engineering</w:t>
            </w:r>
          </w:p>
        </w:tc>
      </w:tr>
      <w:tr w:rsidR="0040759D" w14:paraId="30BFF0B3" w14:textId="77777777" w:rsidTr="009D319E">
        <w:trPr>
          <w:cantSplit/>
        </w:trPr>
        <w:tc>
          <w:tcPr>
            <w:tcW w:w="2122" w:type="dxa"/>
            <w:tcBorders>
              <w:top w:val="single" w:sz="4" w:space="0" w:color="auto"/>
              <w:left w:val="single" w:sz="4" w:space="0" w:color="auto"/>
              <w:bottom w:val="single" w:sz="4" w:space="0" w:color="auto"/>
              <w:right w:val="single" w:sz="4" w:space="0" w:color="auto"/>
            </w:tcBorders>
            <w:hideMark/>
          </w:tcPr>
          <w:p w14:paraId="18D93B8C" w14:textId="77777777" w:rsidR="0040759D" w:rsidRDefault="0040759D" w:rsidP="009D319E">
            <w:pPr>
              <w:keepNext/>
              <w:keepLines/>
              <w:suppressAutoHyphens/>
              <w:rPr>
                <w:rFonts w:eastAsia="Times New Roman"/>
                <w:szCs w:val="22"/>
                <w:lang w:eastAsia="en-US" w:bidi="he-IL"/>
              </w:rPr>
            </w:pPr>
            <w:r>
              <w:rPr>
                <w:szCs w:val="22"/>
                <w:lang w:eastAsia="en-US" w:bidi="he-IL"/>
              </w:rPr>
              <w:t>Biotech</w:t>
            </w:r>
          </w:p>
        </w:tc>
        <w:tc>
          <w:tcPr>
            <w:tcW w:w="1684" w:type="dxa"/>
            <w:tcBorders>
              <w:top w:val="single" w:sz="4" w:space="0" w:color="auto"/>
              <w:left w:val="single" w:sz="4" w:space="0" w:color="auto"/>
              <w:bottom w:val="single" w:sz="4" w:space="0" w:color="auto"/>
              <w:right w:val="single" w:sz="4" w:space="0" w:color="auto"/>
            </w:tcBorders>
          </w:tcPr>
          <w:p w14:paraId="60CE1D1C" w14:textId="77777777" w:rsidR="0040759D" w:rsidRDefault="0040759D" w:rsidP="009D319E">
            <w:pPr>
              <w:keepNext/>
              <w:keepLines/>
              <w:suppressAutoHyphens/>
              <w:rPr>
                <w:rFonts w:eastAsia="Times New Roman"/>
                <w:szCs w:val="22"/>
                <w:lang w:eastAsia="en-US" w:bidi="he-IL"/>
              </w:rPr>
            </w:pPr>
          </w:p>
          <w:p w14:paraId="5E3F9E4D" w14:textId="77777777" w:rsidR="0040759D" w:rsidRDefault="0040759D" w:rsidP="009D319E">
            <w:pPr>
              <w:keepNext/>
              <w:keepLines/>
              <w:suppressAutoHyphens/>
              <w:rPr>
                <w:rFonts w:eastAsia="Times New Roman"/>
                <w:szCs w:val="22"/>
                <w:lang w:eastAsia="en-US" w:bidi="he-IL"/>
              </w:rPr>
            </w:pPr>
          </w:p>
          <w:p w14:paraId="49A8D5BA" w14:textId="77777777" w:rsidR="0040759D" w:rsidRDefault="0040759D" w:rsidP="009D319E">
            <w:pPr>
              <w:keepNext/>
              <w:keepLines/>
              <w:suppressAutoHyphens/>
              <w:rPr>
                <w:rFonts w:eastAsia="Times New Roman"/>
                <w:szCs w:val="22"/>
                <w:lang w:eastAsia="en-US" w:bidi="he-IL"/>
              </w:rPr>
            </w:pPr>
          </w:p>
          <w:p w14:paraId="6D1C0DAB"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13.25</w:t>
            </w:r>
          </w:p>
        </w:tc>
        <w:tc>
          <w:tcPr>
            <w:tcW w:w="1684" w:type="dxa"/>
            <w:tcBorders>
              <w:top w:val="single" w:sz="4" w:space="0" w:color="auto"/>
              <w:left w:val="single" w:sz="4" w:space="0" w:color="auto"/>
              <w:bottom w:val="single" w:sz="4" w:space="0" w:color="auto"/>
              <w:right w:val="single" w:sz="4" w:space="0" w:color="auto"/>
            </w:tcBorders>
          </w:tcPr>
          <w:p w14:paraId="684555CD" w14:textId="77777777" w:rsidR="0040759D" w:rsidRDefault="0040759D" w:rsidP="009D319E">
            <w:pPr>
              <w:keepNext/>
              <w:keepLines/>
              <w:suppressAutoHyphens/>
              <w:rPr>
                <w:rFonts w:eastAsia="Times New Roman"/>
                <w:szCs w:val="22"/>
                <w:lang w:val="pl-PL" w:eastAsia="en-US" w:bidi="he-IL"/>
              </w:rPr>
            </w:pPr>
          </w:p>
          <w:p w14:paraId="46F97CE7" w14:textId="77777777" w:rsidR="0040759D" w:rsidRDefault="0040759D" w:rsidP="009D319E">
            <w:pPr>
              <w:keepNext/>
              <w:keepLines/>
              <w:suppressAutoHyphens/>
              <w:rPr>
                <w:rFonts w:eastAsia="Times New Roman"/>
                <w:szCs w:val="22"/>
                <w:lang w:val="pl-PL" w:eastAsia="en-US" w:bidi="he-IL"/>
              </w:rPr>
            </w:pPr>
          </w:p>
          <w:p w14:paraId="6C39852E" w14:textId="77777777" w:rsidR="0040759D" w:rsidRDefault="0040759D" w:rsidP="009D319E">
            <w:pPr>
              <w:keepNext/>
              <w:keepLines/>
              <w:suppressAutoHyphens/>
              <w:rPr>
                <w:rFonts w:eastAsia="Times New Roman"/>
                <w:szCs w:val="22"/>
                <w:lang w:val="pl-PL" w:eastAsia="en-US" w:bidi="he-IL"/>
              </w:rPr>
            </w:pPr>
          </w:p>
          <w:p w14:paraId="75B718B0" w14:textId="77777777" w:rsidR="0040759D" w:rsidRPr="00FF2029" w:rsidRDefault="0040759D" w:rsidP="009D319E">
            <w:pPr>
              <w:keepNext/>
              <w:keepLines/>
              <w:suppressAutoHyphens/>
              <w:rPr>
                <w:rFonts w:eastAsia="Times New Roman"/>
                <w:szCs w:val="22"/>
                <w:lang w:val="pl-PL" w:eastAsia="en-US" w:bidi="he-IL"/>
              </w:rPr>
            </w:pPr>
            <w:r w:rsidRPr="00FF2029">
              <w:rPr>
                <w:rFonts w:eastAsia="Times New Roman"/>
                <w:szCs w:val="22"/>
                <w:lang w:val="pl-PL" w:eastAsia="en-US" w:bidi="he-IL"/>
              </w:rPr>
              <w:t>14</w:t>
            </w:r>
            <w:r>
              <w:rPr>
                <w:rFonts w:eastAsia="Times New Roman"/>
                <w:szCs w:val="22"/>
                <w:lang w:val="pl-PL" w:eastAsia="en-US" w:bidi="he-IL"/>
              </w:rPr>
              <w:t>.6</w:t>
            </w:r>
          </w:p>
        </w:tc>
        <w:tc>
          <w:tcPr>
            <w:tcW w:w="3719" w:type="dxa"/>
            <w:tcBorders>
              <w:top w:val="single" w:sz="4" w:space="0" w:color="auto"/>
              <w:left w:val="single" w:sz="4" w:space="0" w:color="auto"/>
              <w:bottom w:val="single" w:sz="4" w:space="0" w:color="auto"/>
              <w:right w:val="single" w:sz="4" w:space="0" w:color="auto"/>
            </w:tcBorders>
          </w:tcPr>
          <w:p w14:paraId="0C3B1632" w14:textId="77777777" w:rsidR="0040759D" w:rsidRPr="00CD024A" w:rsidRDefault="0040759D" w:rsidP="009D319E">
            <w:pPr>
              <w:keepNext/>
              <w:keepLines/>
              <w:suppressAutoHyphens/>
              <w:rPr>
                <w:rFonts w:eastAsia="Times New Roman"/>
                <w:szCs w:val="22"/>
                <w:lang w:eastAsia="en-US" w:bidi="he-IL"/>
              </w:rPr>
            </w:pPr>
            <w:r>
              <w:rPr>
                <w:rFonts w:eastAsia="Times New Roman"/>
                <w:szCs w:val="22"/>
                <w:lang w:eastAsia="en-US" w:bidi="he-IL"/>
              </w:rPr>
              <w:t>3</w:t>
            </w:r>
            <w:r w:rsidRPr="00CD024A">
              <w:rPr>
                <w:rFonts w:eastAsia="Times New Roman"/>
                <w:szCs w:val="22"/>
                <w:lang w:eastAsia="en-US" w:bidi="he-IL"/>
              </w:rPr>
              <w:t xml:space="preserve"> PhD</w:t>
            </w:r>
            <w:r>
              <w:rPr>
                <w:rFonts w:eastAsia="Times New Roman"/>
                <w:szCs w:val="22"/>
                <w:lang w:eastAsia="en-US" w:bidi="he-IL"/>
              </w:rPr>
              <w:t xml:space="preserve"> in </w:t>
            </w:r>
            <w:r w:rsidRPr="00CD024A">
              <w:rPr>
                <w:rFonts w:eastAsia="Times New Roman"/>
                <w:szCs w:val="22"/>
                <w:lang w:eastAsia="en-US" w:bidi="he-IL"/>
              </w:rPr>
              <w:t>biology</w:t>
            </w:r>
          </w:p>
          <w:p w14:paraId="51CF3230"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 xml:space="preserve">1 PhD in bioengineering </w:t>
            </w:r>
          </w:p>
          <w:p w14:paraId="14C533DB"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3 MSc</w:t>
            </w:r>
            <w:r w:rsidRPr="009E5891">
              <w:rPr>
                <w:rFonts w:eastAsia="Times New Roman"/>
                <w:szCs w:val="22"/>
                <w:lang w:eastAsia="en-US" w:bidi="he-IL"/>
              </w:rPr>
              <w:t xml:space="preserve"> in</w:t>
            </w:r>
            <w:r>
              <w:rPr>
                <w:rFonts w:eastAsia="Times New Roman"/>
                <w:szCs w:val="22"/>
                <w:lang w:eastAsia="en-US" w:bidi="he-IL"/>
              </w:rPr>
              <w:t xml:space="preserve"> chemical</w:t>
            </w:r>
            <w:r w:rsidRPr="009E5891">
              <w:rPr>
                <w:rFonts w:eastAsia="Times New Roman"/>
                <w:szCs w:val="22"/>
                <w:lang w:eastAsia="en-US" w:bidi="he-IL"/>
              </w:rPr>
              <w:t xml:space="preserve"> engineering</w:t>
            </w:r>
          </w:p>
          <w:p w14:paraId="6C6318EB"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7</w:t>
            </w:r>
            <w:r w:rsidRPr="00CD024A">
              <w:rPr>
                <w:rFonts w:eastAsia="Times New Roman"/>
                <w:szCs w:val="22"/>
                <w:lang w:eastAsia="en-US" w:bidi="he-IL"/>
              </w:rPr>
              <w:t xml:space="preserve"> MSc </w:t>
            </w:r>
            <w:r>
              <w:rPr>
                <w:rFonts w:eastAsia="Times New Roman"/>
                <w:szCs w:val="22"/>
                <w:lang w:eastAsia="en-US" w:bidi="he-IL"/>
              </w:rPr>
              <w:t>in b</w:t>
            </w:r>
            <w:r w:rsidRPr="00CD024A">
              <w:rPr>
                <w:rFonts w:eastAsia="Times New Roman"/>
                <w:szCs w:val="22"/>
                <w:lang w:eastAsia="en-US" w:bidi="he-IL"/>
              </w:rPr>
              <w:t>ioengineering</w:t>
            </w:r>
          </w:p>
        </w:tc>
      </w:tr>
      <w:tr w:rsidR="0040759D" w14:paraId="239048B0" w14:textId="77777777" w:rsidTr="009D319E">
        <w:trPr>
          <w:cantSplit/>
        </w:trPr>
        <w:tc>
          <w:tcPr>
            <w:tcW w:w="2122" w:type="dxa"/>
            <w:tcBorders>
              <w:top w:val="single" w:sz="4" w:space="0" w:color="auto"/>
              <w:left w:val="single" w:sz="4" w:space="0" w:color="auto"/>
              <w:bottom w:val="single" w:sz="4" w:space="0" w:color="auto"/>
              <w:right w:val="single" w:sz="4" w:space="0" w:color="auto"/>
            </w:tcBorders>
          </w:tcPr>
          <w:p w14:paraId="4E81CA49" w14:textId="77777777" w:rsidR="0040759D" w:rsidRDefault="0040759D" w:rsidP="009D319E">
            <w:pPr>
              <w:keepNext/>
              <w:keepLines/>
              <w:suppressAutoHyphens/>
              <w:rPr>
                <w:szCs w:val="22"/>
                <w:lang w:eastAsia="en-US" w:bidi="he-IL"/>
              </w:rPr>
            </w:pPr>
            <w:r>
              <w:rPr>
                <w:szCs w:val="22"/>
                <w:lang w:eastAsia="en-US" w:bidi="he-IL"/>
              </w:rPr>
              <w:t>Agriculture &amp; food industry</w:t>
            </w:r>
          </w:p>
        </w:tc>
        <w:tc>
          <w:tcPr>
            <w:tcW w:w="1684" w:type="dxa"/>
            <w:tcBorders>
              <w:top w:val="single" w:sz="4" w:space="0" w:color="auto"/>
              <w:left w:val="single" w:sz="4" w:space="0" w:color="auto"/>
              <w:bottom w:val="single" w:sz="4" w:space="0" w:color="auto"/>
              <w:right w:val="single" w:sz="4" w:space="0" w:color="auto"/>
            </w:tcBorders>
          </w:tcPr>
          <w:p w14:paraId="643A2264" w14:textId="77777777" w:rsidR="0040759D" w:rsidRDefault="0040759D" w:rsidP="009D319E">
            <w:pPr>
              <w:keepNext/>
              <w:keepLines/>
              <w:suppressAutoHyphens/>
              <w:rPr>
                <w:rFonts w:eastAsia="Times New Roman"/>
                <w:szCs w:val="22"/>
                <w:lang w:eastAsia="en-US" w:bidi="he-IL"/>
              </w:rPr>
            </w:pPr>
          </w:p>
          <w:p w14:paraId="2546484C" w14:textId="77777777" w:rsidR="0040759D" w:rsidRDefault="0040759D" w:rsidP="009D319E">
            <w:pPr>
              <w:keepNext/>
              <w:keepLines/>
              <w:suppressAutoHyphens/>
              <w:rPr>
                <w:rFonts w:eastAsia="Times New Roman"/>
                <w:szCs w:val="22"/>
                <w:lang w:eastAsia="en-US" w:bidi="he-IL"/>
              </w:rPr>
            </w:pPr>
            <w:r w:rsidRPr="007D542A">
              <w:rPr>
                <w:rFonts w:eastAsia="Times New Roman"/>
                <w:szCs w:val="22"/>
                <w:lang w:eastAsia="en-US" w:bidi="he-IL"/>
              </w:rPr>
              <w:t>6</w:t>
            </w:r>
          </w:p>
        </w:tc>
        <w:tc>
          <w:tcPr>
            <w:tcW w:w="1684" w:type="dxa"/>
            <w:tcBorders>
              <w:top w:val="single" w:sz="4" w:space="0" w:color="auto"/>
              <w:left w:val="single" w:sz="4" w:space="0" w:color="auto"/>
              <w:bottom w:val="single" w:sz="4" w:space="0" w:color="auto"/>
              <w:right w:val="single" w:sz="4" w:space="0" w:color="auto"/>
            </w:tcBorders>
          </w:tcPr>
          <w:p w14:paraId="145049A7" w14:textId="77777777" w:rsidR="0040759D" w:rsidRDefault="0040759D" w:rsidP="009D319E">
            <w:pPr>
              <w:keepNext/>
              <w:keepLines/>
              <w:suppressAutoHyphens/>
              <w:rPr>
                <w:rFonts w:eastAsia="Times New Roman"/>
                <w:szCs w:val="22"/>
                <w:lang w:eastAsia="en-US" w:bidi="he-IL"/>
              </w:rPr>
            </w:pPr>
          </w:p>
          <w:p w14:paraId="67264E6D" w14:textId="77777777" w:rsidR="0040759D" w:rsidRDefault="0040759D" w:rsidP="009D319E">
            <w:pPr>
              <w:keepNext/>
              <w:keepLines/>
              <w:suppressAutoHyphens/>
              <w:rPr>
                <w:rFonts w:eastAsia="Times New Roman"/>
                <w:szCs w:val="22"/>
                <w:lang w:eastAsia="en-US" w:bidi="he-IL"/>
              </w:rPr>
            </w:pPr>
            <w:r w:rsidRPr="007D542A">
              <w:rPr>
                <w:rFonts w:eastAsia="Times New Roman"/>
                <w:szCs w:val="22"/>
                <w:lang w:eastAsia="en-US" w:bidi="he-IL"/>
              </w:rPr>
              <w:t>20</w:t>
            </w:r>
          </w:p>
        </w:tc>
        <w:tc>
          <w:tcPr>
            <w:tcW w:w="3719" w:type="dxa"/>
            <w:tcBorders>
              <w:top w:val="single" w:sz="4" w:space="0" w:color="auto"/>
              <w:left w:val="single" w:sz="4" w:space="0" w:color="auto"/>
              <w:bottom w:val="single" w:sz="4" w:space="0" w:color="auto"/>
              <w:right w:val="single" w:sz="4" w:space="0" w:color="auto"/>
            </w:tcBorders>
          </w:tcPr>
          <w:p w14:paraId="439BA5BB"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3 MSc horticultural engineering</w:t>
            </w:r>
          </w:p>
          <w:p w14:paraId="4531D39F" w14:textId="77777777" w:rsidR="0040759D" w:rsidRDefault="0040759D" w:rsidP="009D319E">
            <w:pPr>
              <w:keepNext/>
              <w:keepLines/>
              <w:suppressAutoHyphens/>
              <w:rPr>
                <w:rFonts w:eastAsia="Times New Roman"/>
                <w:szCs w:val="22"/>
                <w:lang w:eastAsia="en-US" w:bidi="he-IL"/>
              </w:rPr>
            </w:pPr>
            <w:r>
              <w:rPr>
                <w:rFonts w:eastAsia="Times New Roman"/>
                <w:szCs w:val="22"/>
                <w:lang w:eastAsia="en-US" w:bidi="he-IL"/>
              </w:rPr>
              <w:t>3 MSc food engineer</w:t>
            </w:r>
          </w:p>
        </w:tc>
      </w:tr>
      <w:tr w:rsidR="0040759D" w:rsidRPr="001C158D" w14:paraId="47D3851A" w14:textId="77777777" w:rsidTr="009D319E">
        <w:trPr>
          <w:cantSplit/>
          <w:trHeight w:val="327"/>
        </w:trPr>
        <w:tc>
          <w:tcPr>
            <w:tcW w:w="2122" w:type="dxa"/>
            <w:tcBorders>
              <w:top w:val="single" w:sz="4" w:space="0" w:color="auto"/>
              <w:left w:val="single" w:sz="4" w:space="0" w:color="auto"/>
              <w:bottom w:val="single" w:sz="4" w:space="0" w:color="auto"/>
              <w:right w:val="single" w:sz="4" w:space="0" w:color="auto"/>
            </w:tcBorders>
            <w:hideMark/>
          </w:tcPr>
          <w:p w14:paraId="71415E2D" w14:textId="77777777" w:rsidR="0040759D" w:rsidRDefault="0040759D" w:rsidP="009D319E">
            <w:pPr>
              <w:suppressAutoHyphens/>
              <w:rPr>
                <w:rFonts w:eastAsia="Times New Roman"/>
                <w:i/>
                <w:iCs/>
                <w:szCs w:val="22"/>
                <w:lang w:eastAsia="en-US" w:bidi="he-IL"/>
              </w:rPr>
            </w:pPr>
            <w:r>
              <w:rPr>
                <w:i/>
                <w:iCs/>
                <w:szCs w:val="22"/>
                <w:lang w:eastAsia="en-US" w:bidi="he-IL"/>
              </w:rPr>
              <w:t>Total</w:t>
            </w:r>
          </w:p>
        </w:tc>
        <w:tc>
          <w:tcPr>
            <w:tcW w:w="1684" w:type="dxa"/>
            <w:tcBorders>
              <w:top w:val="single" w:sz="4" w:space="0" w:color="auto"/>
              <w:left w:val="single" w:sz="4" w:space="0" w:color="auto"/>
              <w:bottom w:val="single" w:sz="4" w:space="0" w:color="auto"/>
              <w:right w:val="single" w:sz="4" w:space="0" w:color="auto"/>
            </w:tcBorders>
          </w:tcPr>
          <w:p w14:paraId="73C6E72B" w14:textId="77777777" w:rsidR="0040759D" w:rsidRPr="009C5ADB" w:rsidRDefault="0040759D" w:rsidP="009D319E">
            <w:pPr>
              <w:suppressAutoHyphens/>
              <w:rPr>
                <w:rFonts w:eastAsia="Times New Roman"/>
                <w:i/>
                <w:iCs/>
                <w:szCs w:val="22"/>
                <w:lang w:eastAsia="en-US" w:bidi="he-IL"/>
              </w:rPr>
            </w:pPr>
            <w:r w:rsidRPr="009C5ADB">
              <w:rPr>
                <w:rFonts w:eastAsia="Times New Roman"/>
                <w:i/>
                <w:iCs/>
                <w:szCs w:val="22"/>
                <w:lang w:eastAsia="en-US" w:bidi="he-IL"/>
              </w:rPr>
              <w:t>150.75</w:t>
            </w:r>
          </w:p>
        </w:tc>
        <w:tc>
          <w:tcPr>
            <w:tcW w:w="1684" w:type="dxa"/>
            <w:tcBorders>
              <w:top w:val="single" w:sz="4" w:space="0" w:color="auto"/>
              <w:left w:val="single" w:sz="4" w:space="0" w:color="auto"/>
              <w:bottom w:val="single" w:sz="4" w:space="0" w:color="auto"/>
              <w:right w:val="single" w:sz="4" w:space="0" w:color="auto"/>
            </w:tcBorders>
          </w:tcPr>
          <w:p w14:paraId="309F6285" w14:textId="77777777" w:rsidR="0040759D" w:rsidRPr="009C5ADB" w:rsidRDefault="0040759D" w:rsidP="009D319E">
            <w:pPr>
              <w:suppressAutoHyphens/>
              <w:rPr>
                <w:rFonts w:eastAsia="Times New Roman"/>
                <w:i/>
                <w:iCs/>
                <w:szCs w:val="22"/>
                <w:lang w:val="pl-PL" w:eastAsia="en-US" w:bidi="he-IL"/>
              </w:rPr>
            </w:pPr>
            <w:r w:rsidRPr="009C5ADB">
              <w:rPr>
                <w:rFonts w:eastAsia="Times New Roman"/>
                <w:i/>
                <w:iCs/>
                <w:szCs w:val="22"/>
                <w:lang w:val="pl-PL" w:eastAsia="en-US" w:bidi="he-IL"/>
              </w:rPr>
              <w:t>15.</w:t>
            </w:r>
            <w:r>
              <w:rPr>
                <w:rFonts w:eastAsia="Times New Roman"/>
                <w:i/>
                <w:iCs/>
                <w:szCs w:val="22"/>
                <w:lang w:val="pl-PL" w:eastAsia="en-US" w:bidi="he-IL"/>
              </w:rPr>
              <w:t>5</w:t>
            </w:r>
            <w:r w:rsidRPr="009C5ADB">
              <w:rPr>
                <w:rFonts w:eastAsia="Times New Roman"/>
                <w:i/>
                <w:iCs/>
                <w:szCs w:val="22"/>
                <w:lang w:val="pl-PL" w:eastAsia="en-US" w:bidi="he-IL"/>
              </w:rPr>
              <w:t>6</w:t>
            </w:r>
          </w:p>
        </w:tc>
        <w:tc>
          <w:tcPr>
            <w:tcW w:w="3719" w:type="dxa"/>
            <w:tcBorders>
              <w:top w:val="single" w:sz="4" w:space="0" w:color="auto"/>
              <w:left w:val="single" w:sz="4" w:space="0" w:color="auto"/>
              <w:bottom w:val="single" w:sz="4" w:space="0" w:color="auto"/>
              <w:right w:val="single" w:sz="4" w:space="0" w:color="auto"/>
            </w:tcBorders>
          </w:tcPr>
          <w:p w14:paraId="6D935291" w14:textId="77777777" w:rsidR="0040759D" w:rsidRPr="00FF2029" w:rsidRDefault="0040759D" w:rsidP="009D319E">
            <w:pPr>
              <w:suppressAutoHyphens/>
              <w:rPr>
                <w:rFonts w:eastAsia="Times New Roman"/>
                <w:i/>
                <w:iCs/>
                <w:szCs w:val="22"/>
                <w:lang w:val="pl-PL" w:eastAsia="en-US" w:bidi="he-IL"/>
              </w:rPr>
            </w:pPr>
            <w:r>
              <w:rPr>
                <w:rFonts w:eastAsia="Times New Roman"/>
                <w:i/>
                <w:iCs/>
                <w:szCs w:val="22"/>
                <w:lang w:val="pl-PL" w:eastAsia="en-US" w:bidi="he-IL"/>
              </w:rPr>
              <w:t>153 examiners</w:t>
            </w:r>
            <w:r w:rsidRPr="009C5ADB">
              <w:rPr>
                <w:rStyle w:val="FootnoteReference"/>
                <w:rFonts w:eastAsia="Times New Roman"/>
                <w:i/>
                <w:iCs/>
                <w:szCs w:val="22"/>
                <w:lang w:eastAsia="en-US" w:bidi="he-IL"/>
              </w:rPr>
              <w:footnoteReference w:id="2"/>
            </w:r>
          </w:p>
        </w:tc>
      </w:tr>
    </w:tbl>
    <w:p w14:paraId="18A61D2D" w14:textId="77777777" w:rsidR="0040759D" w:rsidRDefault="0040759D" w:rsidP="0040759D">
      <w:pPr>
        <w:pStyle w:val="RuleQuote"/>
        <w:ind w:left="0"/>
        <w:rPr>
          <w:i w:val="0"/>
          <w:iCs w:val="0"/>
        </w:rPr>
      </w:pPr>
      <w:r>
        <w:rPr>
          <w:i w:val="0"/>
          <w:iCs w:val="0"/>
        </w:rPr>
        <w:lastRenderedPageBreak/>
        <w:t xml:space="preserve">Other information beyond the QMS Report and the above table – </w:t>
      </w:r>
    </w:p>
    <w:p w14:paraId="37B9FBF3" w14:textId="23B039B3" w:rsidR="0040759D" w:rsidRDefault="0040759D" w:rsidP="0040759D">
      <w:pPr>
        <w:pStyle w:val="RuleQuote"/>
        <w:ind w:left="0"/>
        <w:rPr>
          <w:i w:val="0"/>
          <w:iCs w:val="0"/>
        </w:rPr>
      </w:pPr>
      <w:r w:rsidRPr="00E50E7C">
        <w:rPr>
          <w:i w:val="0"/>
          <w:iCs w:val="0"/>
        </w:rPr>
        <w:t xml:space="preserve">All examiners have the technical </w:t>
      </w:r>
      <w:proofErr w:type="gramStart"/>
      <w:r w:rsidRPr="00E50E7C">
        <w:rPr>
          <w:i w:val="0"/>
          <w:iCs w:val="0"/>
        </w:rPr>
        <w:t>qualification</w:t>
      </w:r>
      <w:proofErr w:type="gramEnd"/>
      <w:r w:rsidRPr="00E50E7C">
        <w:rPr>
          <w:i w:val="0"/>
          <w:iCs w:val="0"/>
        </w:rPr>
        <w:t xml:space="preserve"> and experience necessary to carry out high-quality </w:t>
      </w:r>
      <w:proofErr w:type="gramStart"/>
      <w:r w:rsidRPr="00E50E7C">
        <w:rPr>
          <w:i w:val="0"/>
          <w:iCs w:val="0"/>
        </w:rPr>
        <w:t>search</w:t>
      </w:r>
      <w:proofErr w:type="gramEnd"/>
      <w:r w:rsidRPr="00E50E7C">
        <w:rPr>
          <w:i w:val="0"/>
          <w:iCs w:val="0"/>
        </w:rPr>
        <w:t xml:space="preserve"> and </w:t>
      </w:r>
      <w:proofErr w:type="gramStart"/>
      <w:r w:rsidRPr="00E50E7C">
        <w:rPr>
          <w:i w:val="0"/>
          <w:iCs w:val="0"/>
        </w:rPr>
        <w:t>examination</w:t>
      </w:r>
      <w:proofErr w:type="gramEnd"/>
      <w:r w:rsidRPr="00E50E7C">
        <w:rPr>
          <w:i w:val="0"/>
          <w:iCs w:val="0"/>
        </w:rPr>
        <w:t xml:space="preserve"> in an efficient and timely manner. </w:t>
      </w:r>
      <w:r w:rsidR="008B1A3E">
        <w:rPr>
          <w:i w:val="0"/>
          <w:iCs w:val="0"/>
        </w:rPr>
        <w:t xml:space="preserve"> </w:t>
      </w:r>
      <w:r>
        <w:rPr>
          <w:i w:val="0"/>
          <w:iCs w:val="0"/>
        </w:rPr>
        <w:t>E</w:t>
      </w:r>
      <w:r w:rsidRPr="00E50E7C">
        <w:rPr>
          <w:i w:val="0"/>
          <w:iCs w:val="0"/>
        </w:rPr>
        <w:t xml:space="preserve">xaminers possess </w:t>
      </w:r>
      <w:r>
        <w:rPr>
          <w:i w:val="0"/>
          <w:iCs w:val="0"/>
        </w:rPr>
        <w:t xml:space="preserve">suitable </w:t>
      </w:r>
      <w:r w:rsidRPr="00E50E7C">
        <w:rPr>
          <w:i w:val="0"/>
          <w:iCs w:val="0"/>
        </w:rPr>
        <w:t>academic degrees</w:t>
      </w:r>
      <w:r>
        <w:rPr>
          <w:i w:val="0"/>
          <w:iCs w:val="0"/>
        </w:rPr>
        <w:t xml:space="preserve">, and the overwhelming majority advanced </w:t>
      </w:r>
      <w:r w:rsidRPr="00E50E7C">
        <w:rPr>
          <w:i w:val="0"/>
          <w:iCs w:val="0"/>
        </w:rPr>
        <w:t xml:space="preserve">academic degrees (MSc or PhD) in engineering and have undergone intensive and comprehensive </w:t>
      </w:r>
      <w:r>
        <w:rPr>
          <w:i w:val="0"/>
          <w:iCs w:val="0"/>
        </w:rPr>
        <w:t xml:space="preserve">and special </w:t>
      </w:r>
      <w:r w:rsidRPr="00E50E7C">
        <w:rPr>
          <w:i w:val="0"/>
          <w:iCs w:val="0"/>
        </w:rPr>
        <w:t xml:space="preserve">training before being appointed as examiners. </w:t>
      </w:r>
      <w:r w:rsidR="008B1A3E">
        <w:rPr>
          <w:i w:val="0"/>
          <w:iCs w:val="0"/>
        </w:rPr>
        <w:t xml:space="preserve"> </w:t>
      </w:r>
      <w:r>
        <w:rPr>
          <w:i w:val="0"/>
          <w:iCs w:val="0"/>
        </w:rPr>
        <w:t xml:space="preserve">Moreover, the examiners are regularly trained via a wide variety of courses. </w:t>
      </w:r>
      <w:r w:rsidR="008B1A3E">
        <w:rPr>
          <w:i w:val="0"/>
          <w:iCs w:val="0"/>
        </w:rPr>
        <w:t xml:space="preserve"> </w:t>
      </w:r>
      <w:r>
        <w:rPr>
          <w:i w:val="0"/>
          <w:iCs w:val="0"/>
        </w:rPr>
        <w:t>T</w:t>
      </w:r>
      <w:r w:rsidRPr="00E50E7C">
        <w:rPr>
          <w:i w:val="0"/>
          <w:iCs w:val="0"/>
        </w:rPr>
        <w:t xml:space="preserve">hey complete </w:t>
      </w:r>
      <w:r>
        <w:rPr>
          <w:i w:val="0"/>
          <w:iCs w:val="0"/>
        </w:rPr>
        <w:t xml:space="preserve">a </w:t>
      </w:r>
      <w:r w:rsidRPr="00E50E7C">
        <w:rPr>
          <w:i w:val="0"/>
          <w:iCs w:val="0"/>
        </w:rPr>
        <w:t xml:space="preserve">variety of </w:t>
      </w:r>
      <w:proofErr w:type="gramStart"/>
      <w:r w:rsidRPr="00E50E7C">
        <w:rPr>
          <w:i w:val="0"/>
          <w:iCs w:val="0"/>
        </w:rPr>
        <w:t>trainings</w:t>
      </w:r>
      <w:proofErr w:type="gramEnd"/>
      <w:r w:rsidRPr="00E50E7C">
        <w:rPr>
          <w:i w:val="0"/>
          <w:iCs w:val="0"/>
        </w:rPr>
        <w:t xml:space="preserve"> organized by WIPO</w:t>
      </w:r>
      <w:r>
        <w:rPr>
          <w:i w:val="0"/>
          <w:iCs w:val="0"/>
        </w:rPr>
        <w:t>,</w:t>
      </w:r>
      <w:r w:rsidRPr="00E50E7C">
        <w:rPr>
          <w:i w:val="0"/>
          <w:iCs w:val="0"/>
        </w:rPr>
        <w:t xml:space="preserve"> EPO</w:t>
      </w:r>
      <w:r>
        <w:rPr>
          <w:i w:val="0"/>
          <w:iCs w:val="0"/>
        </w:rPr>
        <w:t xml:space="preserve"> and in case of examiners, who are responsible for plant variety protection matters, attend special seminars organized by the UPOV</w:t>
      </w:r>
      <w:r w:rsidRPr="00E50E7C">
        <w:rPr>
          <w:i w:val="0"/>
          <w:iCs w:val="0"/>
        </w:rPr>
        <w:t>.</w:t>
      </w:r>
      <w:r>
        <w:rPr>
          <w:i w:val="0"/>
          <w:iCs w:val="0"/>
        </w:rPr>
        <w:t xml:space="preserve"> </w:t>
      </w:r>
      <w:r w:rsidR="008B1A3E">
        <w:rPr>
          <w:i w:val="0"/>
          <w:iCs w:val="0"/>
        </w:rPr>
        <w:t xml:space="preserve"> </w:t>
      </w:r>
      <w:r>
        <w:rPr>
          <w:i w:val="0"/>
          <w:iCs w:val="0"/>
        </w:rPr>
        <w:t xml:space="preserve">In-house seminars on best practices and current legal or methodological changes are held on a regular basis. Experienced examiners are involved in the updating works of the NOs’ and VPI’s search and examination guidelines </w:t>
      </w:r>
      <w:proofErr w:type="gramStart"/>
      <w:r>
        <w:rPr>
          <w:i w:val="0"/>
          <w:iCs w:val="0"/>
        </w:rPr>
        <w:t>in order to</w:t>
      </w:r>
      <w:proofErr w:type="gramEnd"/>
      <w:r>
        <w:rPr>
          <w:i w:val="0"/>
          <w:iCs w:val="0"/>
        </w:rPr>
        <w:t xml:space="preserve"> share their knowledge and contribute to harmonized patent procedures.</w:t>
      </w:r>
    </w:p>
    <w:p w14:paraId="75036062" w14:textId="1EAD821B" w:rsidR="0040759D" w:rsidRPr="0040759D" w:rsidRDefault="0040759D" w:rsidP="0040759D">
      <w:pPr>
        <w:pStyle w:val="SectionHeading"/>
        <w:rPr>
          <w:lang w:val="en-US"/>
        </w:rPr>
      </w:pPr>
      <w:r w:rsidRPr="0040759D">
        <w:rPr>
          <w:lang w:val="en-US"/>
        </w:rPr>
        <w:t>2.2 –</w:t>
      </w:r>
      <w:r w:rsidR="00BA4365">
        <w:rPr>
          <w:lang w:val="en-US"/>
        </w:rPr>
        <w:t xml:space="preserve"> </w:t>
      </w:r>
      <w:r w:rsidRPr="0040759D">
        <w:rPr>
          <w:lang w:val="en-US"/>
        </w:rPr>
        <w:t>Minimum Documentation – Making Available for Consultation</w:t>
      </w:r>
    </w:p>
    <w:p w14:paraId="1D9577E7" w14:textId="0AF51BDA" w:rsidR="0040759D" w:rsidRDefault="0040759D" w:rsidP="0040759D">
      <w:pPr>
        <w:pStyle w:val="RuleQuote"/>
      </w:pPr>
      <w:r w:rsidRPr="00C81827">
        <w:t>Rules 36.1(ii) and 63.1(i</w:t>
      </w:r>
      <w:r>
        <w:t>i</w:t>
      </w:r>
      <w:r w:rsidRPr="00C81827">
        <w:t>)</w:t>
      </w:r>
      <w:r w:rsidR="00BA4365">
        <w:t xml:space="preserve">:  </w:t>
      </w:r>
      <w:r w:rsidRPr="00C81827">
        <w:t xml:space="preserve">That Office or organization must </w:t>
      </w:r>
      <w:r>
        <w:t>make available for consultation as part of the minimum documentation referred to in Rule 34, in accordance with the requirements specified in the Administrative Instructions, any patent issued, and any patent application published, by it, and where applicable by its legal predecessor(s)</w:t>
      </w:r>
      <w:r w:rsidRPr="00C81827">
        <w:t>.</w:t>
      </w:r>
    </w:p>
    <w:p w14:paraId="0A25ACC4" w14:textId="47B3358E" w:rsidR="0040759D" w:rsidRPr="00C81827" w:rsidRDefault="0040759D" w:rsidP="0040759D">
      <w:pPr>
        <w:pStyle w:val="RuleQuote"/>
        <w:rPr>
          <w:szCs w:val="24"/>
        </w:rPr>
      </w:pPr>
      <w:r>
        <w:t xml:space="preserve">The requirements specified in the Administrative Instructions are set out in </w:t>
      </w:r>
      <w:hyperlink r:id="rId13" w:history="1">
        <w:r w:rsidRPr="007A2136">
          <w:rPr>
            <w:rStyle w:val="Hyperlink"/>
          </w:rPr>
          <w:t>Circular C. PCT 1672</w:t>
        </w:r>
      </w:hyperlink>
      <w:r>
        <w:t>, dated June 19, 2024.</w:t>
      </w:r>
    </w:p>
    <w:p w14:paraId="6261987E" w14:textId="34719B58" w:rsidR="0040759D" w:rsidRDefault="0040759D" w:rsidP="0040759D">
      <w:pPr>
        <w:pStyle w:val="Question"/>
        <w:spacing w:after="0"/>
        <w:rPr>
          <w:b w:val="0"/>
          <w:bCs w:val="0"/>
        </w:rPr>
      </w:pPr>
      <w:r>
        <w:rPr>
          <w:b w:val="0"/>
          <w:bCs w:val="0"/>
        </w:rPr>
        <w:t>The making available for consultation as part of the minimum documentation referred to in Rule 34 of the patents issued and patent applications published by the Office or, where applicable, the Offices that are members of the intergovernmental organization in accordance with the Understanding adopted by the PCT Assembly in paragraph 8 of document PCT/A/55/2, is reported as follows:</w:t>
      </w:r>
      <w:r>
        <w:rPr>
          <w:b w:val="0"/>
          <w:bCs w:val="0"/>
        </w:rPr>
        <w:br/>
      </w:r>
      <w:r>
        <w:rPr>
          <w:b w:val="0"/>
          <w:bCs w:val="0"/>
        </w:rPr>
        <w:br/>
        <w:t>Either:</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Pr>
          <w:b w:val="0"/>
          <w:bCs w:val="0"/>
        </w:rPr>
        <w:t xml:space="preserve"> The PCT Minimum Documentation Task Force has tested the availability of the patent documentation collections before November 1, 2025, and certifies that the requirements have been met.  The extent and format of the documents that the Authority has made available for consultation has been published in the PCT Gazette on October 23, 2025</w:t>
      </w:r>
      <w:r w:rsidR="00112580">
        <w:rPr>
          <w:b w:val="0"/>
          <w:bCs w:val="0"/>
        </w:rPr>
        <w:t>,</w:t>
      </w:r>
      <w:r w:rsidR="00105C87">
        <w:rPr>
          <w:b w:val="0"/>
          <w:bCs w:val="0"/>
        </w:rPr>
        <w:t xml:space="preserve"> </w:t>
      </w:r>
      <w:r w:rsidR="00112580">
        <w:rPr>
          <w:b w:val="0"/>
          <w:bCs w:val="0"/>
        </w:rPr>
        <w:t xml:space="preserve">at </w:t>
      </w:r>
      <w:bookmarkStart w:id="5" w:name="_Hlk215818016"/>
      <w:r w:rsidR="005F0D97">
        <w:rPr>
          <w:b w:val="0"/>
          <w:bCs w:val="0"/>
        </w:rPr>
        <w:fldChar w:fldCharType="begin"/>
      </w:r>
      <w:r w:rsidR="005F0D97">
        <w:rPr>
          <w:b w:val="0"/>
          <w:bCs w:val="0"/>
        </w:rPr>
        <w:instrText>HYPERLINK "</w:instrText>
      </w:r>
      <w:r w:rsidR="005F0D97" w:rsidRPr="005F0D97">
        <w:rPr>
          <w:b w:val="0"/>
          <w:bCs w:val="0"/>
        </w:rPr>
        <w:instrText>https://www.wipo.int/documents/d/pct-system/docs-en-official-notices-officialnotices.pdf#page=185</w:instrText>
      </w:r>
      <w:r w:rsidR="005F0D97">
        <w:rPr>
          <w:b w:val="0"/>
          <w:bCs w:val="0"/>
        </w:rPr>
        <w:instrText>"</w:instrText>
      </w:r>
      <w:r w:rsidR="00027C89">
        <w:rPr>
          <w:b w:val="0"/>
          <w:bCs w:val="0"/>
        </w:rPr>
      </w:r>
      <w:r w:rsidR="005F0D97">
        <w:rPr>
          <w:b w:val="0"/>
          <w:bCs w:val="0"/>
        </w:rPr>
        <w:fldChar w:fldCharType="separate"/>
      </w:r>
      <w:r w:rsidR="005F0D97" w:rsidRPr="009F01C9">
        <w:rPr>
          <w:rStyle w:val="Hyperlink"/>
          <w:b w:val="0"/>
          <w:bCs w:val="0"/>
        </w:rPr>
        <w:t>https://www.wipo.int/documents/d/pct-system/docs-en-official-notices-officialnotices.pdf#page=18</w:t>
      </w:r>
      <w:bookmarkEnd w:id="5"/>
      <w:r w:rsidR="005F0D97" w:rsidRPr="009F01C9">
        <w:rPr>
          <w:rStyle w:val="Hyperlink"/>
          <w:b w:val="0"/>
          <w:bCs w:val="0"/>
        </w:rPr>
        <w:t>5</w:t>
      </w:r>
      <w:r w:rsidR="005F0D97">
        <w:rPr>
          <w:b w:val="0"/>
          <w:bCs w:val="0"/>
        </w:rPr>
        <w:fldChar w:fldCharType="end"/>
      </w:r>
      <w:r w:rsidR="005F0D97">
        <w:t xml:space="preserve"> </w:t>
      </w:r>
      <w:r w:rsidR="005F0D97" w:rsidRPr="005F0D97">
        <w:rPr>
          <w:b w:val="0"/>
          <w:bCs w:val="0"/>
        </w:rPr>
        <w:t>and</w:t>
      </w:r>
      <w:r w:rsidR="005F0D97">
        <w:t xml:space="preserve"> </w:t>
      </w:r>
      <w:hyperlink r:id="rId14" w:anchor="page=195" w:history="1">
        <w:r w:rsidR="005F0D97" w:rsidRPr="009F01C9">
          <w:rPr>
            <w:rStyle w:val="Hyperlink"/>
            <w:b w:val="0"/>
            <w:bCs w:val="0"/>
          </w:rPr>
          <w:t>https://www.wipo.int/documents/d/pct-system/docs-en-official-notices-officialnotices.pdf#page=195</w:t>
        </w:r>
      </w:hyperlink>
      <w:r w:rsidR="005F0D97">
        <w:rPr>
          <w:b w:val="0"/>
          <w:bCs w:val="0"/>
        </w:rPr>
        <w:t xml:space="preserve"> </w:t>
      </w:r>
      <w:proofErr w:type="spellStart"/>
      <w:r w:rsidR="005F0D97" w:rsidRPr="005F0D97">
        <w:rPr>
          <w:b w:val="0"/>
          <w:bCs w:val="0"/>
        </w:rPr>
        <w:t>and</w:t>
      </w:r>
      <w:proofErr w:type="spellEnd"/>
      <w:r w:rsidR="005F0D97">
        <w:t xml:space="preserve"> </w:t>
      </w:r>
      <w:hyperlink r:id="rId15" w:anchor="page=203" w:history="1">
        <w:r w:rsidR="005F0D97" w:rsidRPr="009F01C9">
          <w:rPr>
            <w:rStyle w:val="Hyperlink"/>
            <w:b w:val="0"/>
            <w:bCs w:val="0"/>
          </w:rPr>
          <w:t>https://www.wipo.int/documents/d/pct-system/docs-en-official-notices-officialnotices.pdf#page=203</w:t>
        </w:r>
      </w:hyperlink>
      <w:r w:rsidR="005F0D97">
        <w:rPr>
          <w:b w:val="0"/>
          <w:bCs w:val="0"/>
        </w:rPr>
        <w:t xml:space="preserve"> </w:t>
      </w:r>
      <w:proofErr w:type="spellStart"/>
      <w:r w:rsidR="005F0D97">
        <w:rPr>
          <w:b w:val="0"/>
          <w:bCs w:val="0"/>
        </w:rPr>
        <w:t>and</w:t>
      </w:r>
      <w:proofErr w:type="spellEnd"/>
      <w:r w:rsidR="005F0D97">
        <w:rPr>
          <w:b w:val="0"/>
          <w:bCs w:val="0"/>
        </w:rPr>
        <w:t xml:space="preserve"> </w:t>
      </w:r>
      <w:hyperlink r:id="rId16" w:anchor="page=207" w:history="1">
        <w:r w:rsidR="005F0D97" w:rsidRPr="009F01C9">
          <w:rPr>
            <w:rStyle w:val="Hyperlink"/>
            <w:b w:val="0"/>
            <w:bCs w:val="0"/>
          </w:rPr>
          <w:t>https://www.wipo.int/documents/d/pct-system/docs-en-official-notices-officialnotices.pdf#page=</w:t>
        </w:r>
        <w:r w:rsidR="005F0D97" w:rsidRPr="005F0D97">
          <w:rPr>
            <w:rStyle w:val="Hyperlink"/>
            <w:b w:val="0"/>
            <w:bCs w:val="0"/>
          </w:rPr>
          <w:t>207</w:t>
        </w:r>
      </w:hyperlink>
      <w:r w:rsidR="005F0D97" w:rsidRPr="005F0D97">
        <w:rPr>
          <w:b w:val="0"/>
          <w:bCs w:val="0"/>
        </w:rPr>
        <w:t>.</w:t>
      </w:r>
    </w:p>
    <w:p w14:paraId="552409F1" w14:textId="77777777" w:rsidR="0040759D" w:rsidRPr="00935C61" w:rsidRDefault="0040759D" w:rsidP="0040759D">
      <w:pPr>
        <w:pStyle w:val="Answer"/>
      </w:pPr>
    </w:p>
    <w:p w14:paraId="629E392B" w14:textId="77777777" w:rsidR="0040759D" w:rsidRDefault="0040759D" w:rsidP="0040759D">
      <w:pPr>
        <w:pStyle w:val="Answer"/>
        <w:ind w:left="0"/>
      </w:pPr>
      <w:r>
        <w:t>Or:</w:t>
      </w:r>
    </w:p>
    <w:p w14:paraId="6B03FF8F" w14:textId="77777777" w:rsidR="0040759D" w:rsidRPr="00935C61" w:rsidRDefault="00027C89" w:rsidP="0040759D">
      <w:pPr>
        <w:pStyle w:val="Answer"/>
        <w:ind w:left="0"/>
      </w:pPr>
      <w:sdt>
        <w:sdtPr>
          <w:id w:val="229279132"/>
          <w14:checkbox>
            <w14:checked w14:val="0"/>
            <w14:checkedState w14:val="2612" w14:font="MS Gothic"/>
            <w14:uncheckedState w14:val="2610" w14:font="MS Gothic"/>
          </w14:checkbox>
        </w:sdtPr>
        <w:sdtEndPr/>
        <w:sdtContent>
          <w:r w:rsidR="0040759D">
            <w:rPr>
              <w:rFonts w:ascii="MS Gothic" w:eastAsia="MS Gothic" w:hAnsi="MS Gothic" w:hint="eastAsia"/>
            </w:rPr>
            <w:t>☐</w:t>
          </w:r>
        </w:sdtContent>
      </w:sdt>
      <w:r w:rsidR="0040759D">
        <w:t xml:space="preserve"> The Authority reports on the availability of its patent documentation collection as follows, including a timetable for when testing and full availability can be certified by the PCT Minimum Documentation Task Force.  Please also provide details of your Authority File with any links, as appropriate.</w:t>
      </w:r>
    </w:p>
    <w:p w14:paraId="13700218" w14:textId="77777777" w:rsidR="0040759D" w:rsidRDefault="0040759D" w:rsidP="0040759D"/>
    <w:p w14:paraId="30200CEB" w14:textId="77777777" w:rsidR="005A1F81" w:rsidRDefault="005A1F81" w:rsidP="0040759D"/>
    <w:p w14:paraId="0189DCEF" w14:textId="77777777" w:rsidR="005A1F81" w:rsidRDefault="005A1F81" w:rsidP="0040759D"/>
    <w:p w14:paraId="4E61DE02" w14:textId="77777777" w:rsidR="005A1F81" w:rsidRDefault="005A1F81" w:rsidP="0040759D"/>
    <w:p w14:paraId="3D013162" w14:textId="77777777" w:rsidR="0040759D" w:rsidRPr="0040759D" w:rsidRDefault="0040759D" w:rsidP="0040759D">
      <w:pPr>
        <w:pStyle w:val="SectionHeading"/>
        <w:keepNext w:val="0"/>
        <w:rPr>
          <w:lang w:val="en-US"/>
        </w:rPr>
      </w:pPr>
      <w:r w:rsidRPr="0040759D">
        <w:rPr>
          <w:lang w:val="en-US"/>
        </w:rPr>
        <w:t>2.3 – Minimum Documentation – Access</w:t>
      </w:r>
    </w:p>
    <w:p w14:paraId="71D060EE" w14:textId="77777777" w:rsidR="0040759D" w:rsidRPr="006175E3" w:rsidRDefault="0040759D" w:rsidP="0040759D">
      <w:pPr>
        <w:pStyle w:val="RuleQuote"/>
        <w:keepNext w:val="0"/>
        <w:rPr>
          <w:i w:val="0"/>
          <w:iCs w:val="0"/>
        </w:rPr>
      </w:pPr>
      <w:r w:rsidRPr="00C81827">
        <w:t>Rules 36.1(ii</w:t>
      </w:r>
      <w:r>
        <w:t>i</w:t>
      </w:r>
      <w:r w:rsidRPr="00C81827">
        <w:t>) and 63.1(ii</w:t>
      </w:r>
      <w:r>
        <w:t>i</w:t>
      </w:r>
      <w:r w:rsidRPr="00C81827">
        <w:t xml:space="preserve">):  That Office or organization must have in its possession, or </w:t>
      </w:r>
      <w:r>
        <w:t>maintain</w:t>
      </w:r>
      <w:r w:rsidRPr="00C81827">
        <w:t xml:space="preserve"> access </w:t>
      </w:r>
      <w:proofErr w:type="gramStart"/>
      <w:r w:rsidRPr="00C81827">
        <w:t>to,</w:t>
      </w:r>
      <w:proofErr w:type="gramEnd"/>
      <w:r w:rsidRPr="00C81827">
        <w:t xml:space="preserve"> at least the minimum documentation referred to in Rule 34, </w:t>
      </w:r>
      <w:r>
        <w:t>for</w:t>
      </w:r>
      <w:r w:rsidRPr="00C81827">
        <w:t xml:space="preserve"> search purposes</w:t>
      </w:r>
      <w:r>
        <w:t xml:space="preserve"> in accordance with the Administrative Instructions</w:t>
      </w:r>
      <w:r w:rsidRPr="00C81827">
        <w:t>.</w:t>
      </w:r>
    </w:p>
    <w:p w14:paraId="62236C9E" w14:textId="77777777" w:rsidR="0040759D" w:rsidRDefault="0040759D" w:rsidP="0040759D">
      <w:pPr>
        <w:pStyle w:val="RuleQuote"/>
        <w:keepNext w:val="0"/>
        <w:ind w:left="0"/>
        <w:rPr>
          <w:i w:val="0"/>
          <w:iCs w:val="0"/>
        </w:rPr>
      </w:pPr>
      <w:r>
        <w:rPr>
          <w:i w:val="0"/>
          <w:iCs w:val="0"/>
        </w:rPr>
        <w:t xml:space="preserve">The QMS Report provides information from the Authority on the infrastructure in place to ensure that at least the minimum documentation referred to in Rule 34 is available, accessible, properly arranged and maintained for search and examination purposes under paragraph 21.15(iv) of the Guidelines.  </w:t>
      </w:r>
    </w:p>
    <w:p w14:paraId="040AC171" w14:textId="77777777" w:rsidR="0040759D" w:rsidRDefault="0040759D" w:rsidP="0040759D">
      <w:pPr>
        <w:pStyle w:val="RuleQuote"/>
        <w:rPr>
          <w:bCs w:val="0"/>
        </w:rPr>
      </w:pPr>
      <w:r>
        <w:rPr>
          <w:i w:val="0"/>
          <w:iCs w:val="0"/>
        </w:rPr>
        <w:t>Other information beyond the QMS Report (optional)</w:t>
      </w:r>
      <w:r w:rsidRPr="00732073">
        <w:rPr>
          <w:bCs w:val="0"/>
        </w:rPr>
        <w:t xml:space="preserve"> </w:t>
      </w:r>
    </w:p>
    <w:p w14:paraId="2BABCFF0" w14:textId="77777777" w:rsidR="0040759D" w:rsidRPr="00FD26AF" w:rsidRDefault="0040759D" w:rsidP="0040759D">
      <w:pPr>
        <w:pStyle w:val="RuleQuote"/>
        <w:ind w:left="0"/>
        <w:rPr>
          <w:i w:val="0"/>
          <w:iCs w:val="0"/>
        </w:rPr>
      </w:pPr>
      <w:r w:rsidRPr="007275FD">
        <w:rPr>
          <w:i w:val="0"/>
          <w:iCs w:val="0"/>
        </w:rPr>
        <w:t xml:space="preserve">The examiners have access to the minimum documentation referred to in Rule 34 through the </w:t>
      </w:r>
      <w:proofErr w:type="spellStart"/>
      <w:r w:rsidRPr="007275FD">
        <w:rPr>
          <w:i w:val="0"/>
          <w:iCs w:val="0"/>
        </w:rPr>
        <w:t>Ansera</w:t>
      </w:r>
      <w:proofErr w:type="spellEnd"/>
      <w:r w:rsidRPr="007275FD">
        <w:rPr>
          <w:i w:val="0"/>
          <w:iCs w:val="0"/>
        </w:rPr>
        <w:t xml:space="preserve">-based Search and </w:t>
      </w:r>
      <w:proofErr w:type="spellStart"/>
      <w:r w:rsidRPr="007275FD">
        <w:rPr>
          <w:i w:val="0"/>
          <w:iCs w:val="0"/>
        </w:rPr>
        <w:t>STNext</w:t>
      </w:r>
      <w:proofErr w:type="spellEnd"/>
      <w:r w:rsidRPr="007275FD">
        <w:rPr>
          <w:i w:val="0"/>
          <w:iCs w:val="0"/>
        </w:rPr>
        <w:t xml:space="preserve"> search systems in the VPI's Branch Offices.</w:t>
      </w:r>
    </w:p>
    <w:p w14:paraId="7954F364" w14:textId="6A3C198F" w:rsidR="0040759D" w:rsidRPr="0040759D" w:rsidRDefault="0040759D" w:rsidP="0040759D">
      <w:pPr>
        <w:pStyle w:val="SectionHeading"/>
        <w:keepNext w:val="0"/>
        <w:rPr>
          <w:lang w:val="en-US"/>
        </w:rPr>
      </w:pPr>
      <w:r w:rsidRPr="0040759D">
        <w:rPr>
          <w:lang w:val="en-US"/>
        </w:rPr>
        <w:t>2.4 –</w:t>
      </w:r>
      <w:r w:rsidR="00BA4365">
        <w:rPr>
          <w:lang w:val="en-US"/>
        </w:rPr>
        <w:t xml:space="preserve"> </w:t>
      </w:r>
      <w:r w:rsidRPr="0040759D">
        <w:rPr>
          <w:lang w:val="en-US"/>
        </w:rPr>
        <w:t>Quality Management</w:t>
      </w:r>
    </w:p>
    <w:p w14:paraId="4B0A2EED" w14:textId="77777777" w:rsidR="0040759D" w:rsidRDefault="0040759D" w:rsidP="0040759D">
      <w:pPr>
        <w:pStyle w:val="RuleQuote"/>
        <w:keepNext w:val="0"/>
      </w:pPr>
      <w:r>
        <w:t>Rules 36.1(iv) and 63.1(iv):  That Office or organization must have in place a quality management system and internal review arrangements in accordance with the common rules of international search,</w:t>
      </w:r>
    </w:p>
    <w:p w14:paraId="60B70DA4" w14:textId="77777777" w:rsidR="0040759D" w:rsidRDefault="0040759D" w:rsidP="0040759D">
      <w:pPr>
        <w:pStyle w:val="RuleQuote"/>
        <w:keepNext w:val="0"/>
        <w:ind w:left="0"/>
        <w:rPr>
          <w:i w:val="0"/>
          <w:iCs w:val="0"/>
        </w:rPr>
      </w:pPr>
      <w:r>
        <w:rPr>
          <w:i w:val="0"/>
          <w:iCs w:val="0"/>
        </w:rPr>
        <w:t>The QMS Report provides information from the Authority on the quality management system in place under Chapter 21 of the Guidelines and includes a report under paragraph 21.09 of the internal review arrangements that are further described in paragraphs 21.27 to 21.30 of the Guidelines.</w:t>
      </w:r>
    </w:p>
    <w:p w14:paraId="69933AB8" w14:textId="77777777" w:rsidR="0040759D" w:rsidRDefault="0040759D" w:rsidP="0040759D">
      <w:pPr>
        <w:pStyle w:val="RuleQuote"/>
        <w:keepNext w:val="0"/>
        <w:ind w:left="0"/>
        <w:rPr>
          <w:i w:val="0"/>
          <w:iCs w:val="0"/>
        </w:rPr>
      </w:pPr>
      <w:r>
        <w:rPr>
          <w:i w:val="0"/>
          <w:iCs w:val="0"/>
        </w:rPr>
        <w:t>Other information beyond the QMS Report (optional)</w:t>
      </w:r>
    </w:p>
    <w:p w14:paraId="5040A57F" w14:textId="3AFBA942" w:rsidR="0040759D" w:rsidRDefault="0040759D" w:rsidP="0040759D">
      <w:pPr>
        <w:pStyle w:val="RuleQuote"/>
        <w:ind w:left="0"/>
        <w:rPr>
          <w:i w:val="0"/>
          <w:iCs w:val="0"/>
        </w:rPr>
      </w:pPr>
      <w:r>
        <w:rPr>
          <w:rFonts w:eastAsia="Times New Roman"/>
          <w:i w:val="0"/>
          <w:iCs w:val="0"/>
          <w:szCs w:val="22"/>
          <w:lang w:eastAsia="en-US" w:bidi="he-IL"/>
        </w:rPr>
        <w:t xml:space="preserve">The VPI itself and all its Branch Offices </w:t>
      </w:r>
      <w:r w:rsidRPr="00FD26AF">
        <w:rPr>
          <w:i w:val="0"/>
          <w:iCs w:val="0"/>
        </w:rPr>
        <w:t>ha</w:t>
      </w:r>
      <w:r>
        <w:rPr>
          <w:i w:val="0"/>
          <w:iCs w:val="0"/>
        </w:rPr>
        <w:t>ve</w:t>
      </w:r>
      <w:r w:rsidRPr="00FD26AF">
        <w:rPr>
          <w:i w:val="0"/>
          <w:iCs w:val="0"/>
        </w:rPr>
        <w:t xml:space="preserve"> an</w:t>
      </w:r>
      <w:r>
        <w:rPr>
          <w:i w:val="0"/>
          <w:iCs w:val="0"/>
        </w:rPr>
        <w:t xml:space="preserve"> under</w:t>
      </w:r>
      <w:r w:rsidRPr="00FD26AF">
        <w:rPr>
          <w:i w:val="0"/>
          <w:iCs w:val="0"/>
        </w:rPr>
        <w:t xml:space="preserve"> ISO 9001</w:t>
      </w:r>
      <w:r>
        <w:rPr>
          <w:i w:val="0"/>
          <w:iCs w:val="0"/>
        </w:rPr>
        <w:t>:2015</w:t>
      </w:r>
      <w:r w:rsidRPr="00FD26AF">
        <w:rPr>
          <w:i w:val="0"/>
          <w:iCs w:val="0"/>
        </w:rPr>
        <w:t xml:space="preserve"> certified quality management system</w:t>
      </w:r>
      <w:r>
        <w:rPr>
          <w:i w:val="0"/>
          <w:iCs w:val="0"/>
        </w:rPr>
        <w:t>.</w:t>
      </w:r>
      <w:r w:rsidRPr="00FD26AF">
        <w:rPr>
          <w:i w:val="0"/>
          <w:iCs w:val="0"/>
        </w:rPr>
        <w:t xml:space="preserve"> </w:t>
      </w:r>
      <w:r w:rsidR="008B1A3E">
        <w:rPr>
          <w:i w:val="0"/>
          <w:iCs w:val="0"/>
        </w:rPr>
        <w:t xml:space="preserve"> </w:t>
      </w:r>
      <w:r>
        <w:rPr>
          <w:i w:val="0"/>
          <w:iCs w:val="0"/>
        </w:rPr>
        <w:t>T</w:t>
      </w:r>
      <w:r w:rsidRPr="00FD26AF">
        <w:rPr>
          <w:i w:val="0"/>
          <w:iCs w:val="0"/>
        </w:rPr>
        <w:t>he system</w:t>
      </w:r>
      <w:r>
        <w:rPr>
          <w:i w:val="0"/>
          <w:iCs w:val="0"/>
        </w:rPr>
        <w:t>s</w:t>
      </w:r>
      <w:r w:rsidRPr="00FD26AF">
        <w:rPr>
          <w:i w:val="0"/>
          <w:iCs w:val="0"/>
        </w:rPr>
        <w:t xml:space="preserve"> cover also all procedures performed on behalf of the VPI. </w:t>
      </w:r>
    </w:p>
    <w:p w14:paraId="5B19CE41" w14:textId="7AA874A3" w:rsidR="0040759D" w:rsidRPr="00FD26AF" w:rsidRDefault="0040759D" w:rsidP="0040759D">
      <w:pPr>
        <w:pStyle w:val="RuleQuote"/>
        <w:ind w:left="0"/>
        <w:rPr>
          <w:i w:val="0"/>
          <w:iCs w:val="0"/>
        </w:rPr>
      </w:pPr>
      <w:r>
        <w:rPr>
          <w:i w:val="0"/>
          <w:iCs w:val="0"/>
        </w:rPr>
        <w:t xml:space="preserve">All ISA/IPEA work is performed by a pair of examiners who discuss </w:t>
      </w:r>
      <w:r w:rsidR="00747708">
        <w:rPr>
          <w:i w:val="0"/>
          <w:iCs w:val="0"/>
        </w:rPr>
        <w:t>their findings with each other</w:t>
      </w:r>
      <w:r>
        <w:rPr>
          <w:i w:val="0"/>
          <w:iCs w:val="0"/>
        </w:rPr>
        <w:t xml:space="preserve">. </w:t>
      </w:r>
      <w:r w:rsidR="008B1A3E">
        <w:rPr>
          <w:i w:val="0"/>
          <w:iCs w:val="0"/>
        </w:rPr>
        <w:t xml:space="preserve"> </w:t>
      </w:r>
      <w:r>
        <w:rPr>
          <w:i w:val="0"/>
          <w:iCs w:val="0"/>
        </w:rPr>
        <w:t xml:space="preserve">Thus, the reports issued are a common and settled result of their individual work. </w:t>
      </w:r>
      <w:r w:rsidR="008B1A3E">
        <w:rPr>
          <w:i w:val="0"/>
          <w:iCs w:val="0"/>
        </w:rPr>
        <w:t xml:space="preserve"> </w:t>
      </w:r>
      <w:r>
        <w:rPr>
          <w:i w:val="0"/>
          <w:iCs w:val="0"/>
        </w:rPr>
        <w:t>All reports to be issued undergo a rigorous double-check performed by one senior examiner and the head of the respective section to ensure high quality.</w:t>
      </w:r>
      <w:r w:rsidR="008B1A3E">
        <w:rPr>
          <w:i w:val="0"/>
          <w:iCs w:val="0"/>
        </w:rPr>
        <w:t xml:space="preserve"> </w:t>
      </w:r>
      <w:r>
        <w:rPr>
          <w:i w:val="0"/>
          <w:iCs w:val="0"/>
        </w:rPr>
        <w:t xml:space="preserve"> Hence, corrective measures are at place right before the issuance of any report.</w:t>
      </w:r>
    </w:p>
    <w:p w14:paraId="080A7AA5" w14:textId="77777777" w:rsidR="0040759D" w:rsidRPr="0040759D" w:rsidRDefault="0040759D" w:rsidP="00797D35">
      <w:pPr>
        <w:pStyle w:val="SectionHeading"/>
        <w:keepNext w:val="0"/>
        <w:keepLines w:val="0"/>
        <w:rPr>
          <w:lang w:val="en-US"/>
        </w:rPr>
      </w:pPr>
      <w:r w:rsidRPr="0040759D">
        <w:rPr>
          <w:lang w:val="en-US"/>
        </w:rPr>
        <w:t>3 – Scope of Operation</w:t>
      </w:r>
    </w:p>
    <w:p w14:paraId="150FB60E" w14:textId="783A28CC" w:rsidR="0040759D" w:rsidRDefault="0040759D" w:rsidP="00797D35">
      <w:pPr>
        <w:pStyle w:val="Question"/>
        <w:keepNext w:val="0"/>
        <w:keepLines w:val="0"/>
        <w:spacing w:after="480"/>
      </w:pPr>
      <w:r w:rsidRPr="006175E3">
        <w:t>(a)</w:t>
      </w:r>
      <w:r w:rsidRPr="006175E3">
        <w:tab/>
        <w:t>Current scope of operation</w:t>
      </w:r>
    </w:p>
    <w:p w14:paraId="16C7EDB6" w14:textId="02E5C9D5" w:rsidR="0040759D" w:rsidRPr="00DC4533" w:rsidRDefault="0040759D" w:rsidP="00797D35">
      <w:pPr>
        <w:pStyle w:val="Question"/>
        <w:keepNext w:val="0"/>
        <w:keepLines w:val="0"/>
        <w:spacing w:after="480"/>
      </w:pPr>
      <w:r>
        <w:rPr>
          <w:b w:val="0"/>
          <w:bCs w:val="0"/>
        </w:rPr>
        <w:t>The r</w:t>
      </w:r>
      <w:r w:rsidRPr="006175E3">
        <w:rPr>
          <w:b w:val="0"/>
          <w:bCs w:val="0"/>
        </w:rPr>
        <w:t xml:space="preserve">eceiving Offices for which the Office or intergovernmental organization is competent as an International Searching Authority and </w:t>
      </w:r>
      <w:r>
        <w:rPr>
          <w:b w:val="0"/>
          <w:bCs w:val="0"/>
        </w:rPr>
        <w:t xml:space="preserve">an </w:t>
      </w:r>
      <w:r w:rsidRPr="006175E3">
        <w:rPr>
          <w:b w:val="0"/>
          <w:bCs w:val="0"/>
        </w:rPr>
        <w:t>International Preliminary Examining Authority</w:t>
      </w:r>
      <w:r>
        <w:rPr>
          <w:b w:val="0"/>
          <w:bCs w:val="0"/>
        </w:rPr>
        <w:t>, l</w:t>
      </w:r>
      <w:r w:rsidRPr="006175E3">
        <w:rPr>
          <w:b w:val="0"/>
          <w:bCs w:val="0"/>
        </w:rPr>
        <w:t>anguage(s) in which services are offered</w:t>
      </w:r>
      <w:r>
        <w:rPr>
          <w:b w:val="0"/>
          <w:bCs w:val="0"/>
        </w:rPr>
        <w:t xml:space="preserve"> and other details of scope of operation are listed in </w:t>
      </w:r>
      <w:r>
        <w:rPr>
          <w:b w:val="0"/>
          <w:bCs w:val="0"/>
        </w:rPr>
        <w:lastRenderedPageBreak/>
        <w:t xml:space="preserve">the </w:t>
      </w:r>
      <w:r w:rsidRPr="006175E3">
        <w:rPr>
          <w:b w:val="0"/>
          <w:bCs w:val="0"/>
          <w:i/>
          <w:iCs/>
        </w:rPr>
        <w:t>PCT Applicant’s Guide</w:t>
      </w:r>
      <w:r>
        <w:rPr>
          <w:b w:val="0"/>
          <w:bCs w:val="0"/>
        </w:rPr>
        <w:t xml:space="preserve"> at the following link</w:t>
      </w:r>
      <w:r w:rsidR="00275B20">
        <w:rPr>
          <w:b w:val="0"/>
          <w:bCs w:val="0"/>
        </w:rPr>
        <w:t>s</w:t>
      </w:r>
      <w:r>
        <w:rPr>
          <w:b w:val="0"/>
          <w:bCs w:val="0"/>
        </w:rPr>
        <w:t xml:space="preserve">:  </w:t>
      </w:r>
      <w:bookmarkStart w:id="6" w:name="_Hlk215085102"/>
      <w:r w:rsidR="00EA5809">
        <w:rPr>
          <w:b w:val="0"/>
          <w:bCs w:val="0"/>
        </w:rPr>
        <w:fldChar w:fldCharType="begin"/>
      </w:r>
      <w:r w:rsidR="00E573C8">
        <w:rPr>
          <w:b w:val="0"/>
          <w:bCs w:val="0"/>
        </w:rPr>
        <w:instrText>HYPERLINK "\\\\adi.wipo.int\\wipodata\\DAT1\\OrgPctLdev\\Shared\\WIPO meetings - PCT\\PCT-CTC-33\\Applications for extension of appointment\\VPI\\pct_ctc_33_25 draft XV-VPI.docx"</w:instrText>
      </w:r>
      <w:r w:rsidR="00027C89">
        <w:rPr>
          <w:b w:val="0"/>
          <w:bCs w:val="0"/>
        </w:rPr>
      </w:r>
      <w:r w:rsidR="00EA5809">
        <w:rPr>
          <w:b w:val="0"/>
          <w:bCs w:val="0"/>
        </w:rPr>
        <w:fldChar w:fldCharType="separate"/>
      </w:r>
      <w:r w:rsidR="00EA5809" w:rsidRPr="00EA5809">
        <w:rPr>
          <w:rStyle w:val="Hyperlink"/>
          <w:b w:val="0"/>
          <w:bCs w:val="0"/>
        </w:rPr>
        <w:t>https://pctlegal.wipo.int/eGuide/view-doc.xhtml?doc-code=XV&amp;doc-lang=en#ISA</w:t>
      </w:r>
      <w:r w:rsidR="00EA5809">
        <w:rPr>
          <w:b w:val="0"/>
          <w:bCs w:val="0"/>
        </w:rPr>
        <w:fldChar w:fldCharType="end"/>
      </w:r>
      <w:r w:rsidR="00EA5809">
        <w:rPr>
          <w:b w:val="0"/>
          <w:bCs w:val="0"/>
          <w:color w:val="004F88"/>
        </w:rPr>
        <w:t xml:space="preserve"> </w:t>
      </w:r>
      <w:r w:rsidR="007B17E6" w:rsidRPr="008673EF">
        <w:rPr>
          <w:b w:val="0"/>
          <w:bCs w:val="0"/>
        </w:rPr>
        <w:t>and</w:t>
      </w:r>
      <w:bookmarkEnd w:id="6"/>
      <w:r w:rsidR="00EA5809" w:rsidRPr="00EA5809">
        <w:rPr>
          <w:b w:val="0"/>
          <w:bCs w:val="0"/>
        </w:rPr>
        <w:t xml:space="preserve"> </w:t>
      </w:r>
      <w:hyperlink r:id="rId17" w:history="1">
        <w:r w:rsidR="00EA5809" w:rsidRPr="00EA5809">
          <w:rPr>
            <w:rStyle w:val="Hyperlink"/>
            <w:b w:val="0"/>
            <w:bCs w:val="0"/>
          </w:rPr>
          <w:t>https://pctlegal.wipo.int/eGuide/view-doc.xhtml?doc-code=XV&amp;doc-lang=en#IPEA</w:t>
        </w:r>
      </w:hyperlink>
      <w:r w:rsidRPr="008B1A3E">
        <w:rPr>
          <w:b w:val="0"/>
          <w:bCs w:val="0"/>
        </w:rPr>
        <w:t>.</w:t>
      </w:r>
    </w:p>
    <w:p w14:paraId="0EF7228E" w14:textId="1BCECAEC" w:rsidR="0040759D" w:rsidRDefault="0040759D" w:rsidP="0040759D">
      <w:pPr>
        <w:pStyle w:val="Question"/>
        <w:keepNext w:val="0"/>
        <w:spacing w:after="480"/>
      </w:pPr>
      <w:r>
        <w:t xml:space="preserve">(b)    Planned changes to scope of operation as an Authority, such </w:t>
      </w:r>
      <w:r w:rsidR="00C5684F">
        <w:t xml:space="preserve">as </w:t>
      </w:r>
      <w:r>
        <w:t xml:space="preserve">the receiving Offices for which the Authority is competent and languages offered (if any): </w:t>
      </w:r>
    </w:p>
    <w:p w14:paraId="39F56758" w14:textId="77777777" w:rsidR="0040759D" w:rsidRPr="006A5881" w:rsidRDefault="0040759D" w:rsidP="0040759D">
      <w:pPr>
        <w:pStyle w:val="Answer"/>
        <w:ind w:left="0"/>
      </w:pPr>
      <w:r>
        <w:t>N</w:t>
      </w:r>
      <w:r w:rsidRPr="003640A5">
        <w:t>o</w:t>
      </w:r>
      <w:r>
        <w:t xml:space="preserve"> </w:t>
      </w:r>
      <w:r w:rsidRPr="003640A5">
        <w:t>changes are planned</w:t>
      </w:r>
      <w:r>
        <w:t>.</w:t>
      </w:r>
    </w:p>
    <w:p w14:paraId="168A78EF" w14:textId="77777777" w:rsidR="0040759D" w:rsidRPr="0040759D" w:rsidRDefault="0040759D" w:rsidP="0040759D">
      <w:pPr>
        <w:pStyle w:val="SectionHeading"/>
        <w:rPr>
          <w:lang w:val="en-US"/>
        </w:rPr>
      </w:pPr>
      <w:r w:rsidRPr="0040759D">
        <w:rPr>
          <w:lang w:val="en-US"/>
        </w:rPr>
        <w:t>4 – Other</w:t>
      </w:r>
    </w:p>
    <w:p w14:paraId="594E13C2" w14:textId="77777777" w:rsidR="0040759D" w:rsidRDefault="0040759D" w:rsidP="0040759D">
      <w:r>
        <w:t xml:space="preserve">Any further information relevant to the extension of </w:t>
      </w:r>
      <w:proofErr w:type="gramStart"/>
      <w:r>
        <w:t>appointment</w:t>
      </w:r>
      <w:proofErr w:type="gramEnd"/>
      <w:r>
        <w:t xml:space="preserve"> as an International Searching and Preliminary Examining Authority:  </w:t>
      </w:r>
    </w:p>
    <w:p w14:paraId="2358D664" w14:textId="77777777" w:rsidR="0040759D" w:rsidRDefault="0040759D" w:rsidP="0040759D"/>
    <w:p w14:paraId="222576CC" w14:textId="271219CD" w:rsidR="0040759D" w:rsidRPr="00FA0CBE" w:rsidRDefault="0040759D" w:rsidP="0040759D"/>
    <w:p w14:paraId="124B39FE" w14:textId="77777777" w:rsidR="0040759D" w:rsidRPr="0040759D" w:rsidRDefault="0040759D" w:rsidP="0040759D">
      <w:pPr>
        <w:pStyle w:val="SectionHeading"/>
        <w:rPr>
          <w:lang w:val="en-US"/>
        </w:rPr>
      </w:pPr>
    </w:p>
    <w:p w14:paraId="3B3E50D2" w14:textId="7C342CB5" w:rsidR="00C5047D" w:rsidRPr="001702FA" w:rsidRDefault="00C5047D" w:rsidP="001702FA">
      <w:pPr>
        <w:pStyle w:val="Endofdocument-Annex"/>
        <w:keepNext/>
        <w:rPr>
          <w:b/>
          <w:bCs/>
          <w:iCs/>
          <w:caps/>
          <w:szCs w:val="28"/>
        </w:rPr>
      </w:pPr>
      <w:r>
        <w:t>[End of Annex and of document]</w:t>
      </w:r>
    </w:p>
    <w:sectPr w:rsidR="00C5047D" w:rsidRPr="001702FA" w:rsidSect="009A31F1">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45EE" w14:textId="77777777" w:rsidR="009A31F1" w:rsidRDefault="009A31F1">
      <w:r>
        <w:separator/>
      </w:r>
    </w:p>
  </w:endnote>
  <w:endnote w:type="continuationSeparator" w:id="0">
    <w:p w14:paraId="41E10350" w14:textId="77777777" w:rsidR="009A31F1" w:rsidRDefault="009A31F1" w:rsidP="003B38C1">
      <w:r>
        <w:separator/>
      </w:r>
    </w:p>
    <w:p w14:paraId="7048F205" w14:textId="77777777" w:rsidR="009A31F1" w:rsidRPr="003B38C1" w:rsidRDefault="009A31F1" w:rsidP="003B38C1">
      <w:pPr>
        <w:spacing w:after="60"/>
        <w:rPr>
          <w:sz w:val="17"/>
        </w:rPr>
      </w:pPr>
      <w:r>
        <w:rPr>
          <w:sz w:val="17"/>
        </w:rPr>
        <w:t>[Endnote continued from previous page]</w:t>
      </w:r>
    </w:p>
  </w:endnote>
  <w:endnote w:type="continuationNotice" w:id="1">
    <w:p w14:paraId="0A34A24F" w14:textId="77777777" w:rsidR="009A31F1" w:rsidRPr="003B38C1" w:rsidRDefault="009A31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75DF" w14:textId="77777777" w:rsidR="009A31F1" w:rsidRDefault="009A31F1">
      <w:r>
        <w:separator/>
      </w:r>
    </w:p>
  </w:footnote>
  <w:footnote w:type="continuationSeparator" w:id="0">
    <w:p w14:paraId="158324D2" w14:textId="77777777" w:rsidR="009A31F1" w:rsidRDefault="009A31F1" w:rsidP="008B60B2">
      <w:r>
        <w:separator/>
      </w:r>
    </w:p>
    <w:p w14:paraId="63284036" w14:textId="77777777" w:rsidR="009A31F1" w:rsidRPr="00ED77FB" w:rsidRDefault="009A31F1" w:rsidP="008B60B2">
      <w:pPr>
        <w:spacing w:after="60"/>
        <w:rPr>
          <w:sz w:val="17"/>
          <w:szCs w:val="17"/>
        </w:rPr>
      </w:pPr>
      <w:r w:rsidRPr="00ED77FB">
        <w:rPr>
          <w:sz w:val="17"/>
          <w:szCs w:val="17"/>
        </w:rPr>
        <w:t>[Footnote continued from previous page]</w:t>
      </w:r>
    </w:p>
  </w:footnote>
  <w:footnote w:type="continuationNotice" w:id="1">
    <w:p w14:paraId="6464CD1B" w14:textId="77777777" w:rsidR="009A31F1" w:rsidRPr="00ED77FB" w:rsidRDefault="009A31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AFC7C7E" w14:textId="77777777" w:rsidR="0040759D" w:rsidRPr="00330D55" w:rsidRDefault="0040759D" w:rsidP="0040759D">
      <w:pPr>
        <w:pStyle w:val="FootnoteText"/>
      </w:pPr>
      <w:r w:rsidRPr="00330D55">
        <w:rPr>
          <w:rStyle w:val="FootnoteReference"/>
        </w:rPr>
        <w:footnoteRef/>
      </w:r>
      <w:r w:rsidRPr="00330D55">
        <w:t xml:space="preserve"> </w:t>
      </w:r>
      <w:r w:rsidRPr="007E5A8A">
        <w:t xml:space="preserve">The total number of examiners is </w:t>
      </w:r>
      <w:r>
        <w:t>153</w:t>
      </w:r>
      <w:r w:rsidRPr="007E5A8A">
        <w:t xml:space="preserve">, though due to part-time working arrangements, the number in full-time equivalent is </w:t>
      </w:r>
      <w:r>
        <w:t>150.7</w:t>
      </w:r>
      <w:r w:rsidRPr="007E5A8A">
        <w:t>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237770F1" w:rsidR="009A31F1" w:rsidRPr="00346ECC" w:rsidRDefault="009A31F1" w:rsidP="009A31F1">
        <w:pPr>
          <w:jc w:val="right"/>
          <w:rPr>
            <w:caps/>
            <w:lang w:val="fr-CH"/>
          </w:rPr>
        </w:pPr>
        <w:r w:rsidRPr="00346ECC">
          <w:rPr>
            <w:caps/>
            <w:lang w:val="fr-CH"/>
          </w:rPr>
          <w:t>PCT/CTC/33/</w:t>
        </w:r>
        <w:r w:rsidR="00461825">
          <w:rPr>
            <w:caps/>
            <w:lang w:val="fr-CH"/>
          </w:rPr>
          <w:t>2</w:t>
        </w:r>
        <w:r w:rsidR="00DB06C0">
          <w:rPr>
            <w:caps/>
            <w:lang w:val="fr-CH"/>
          </w:rPr>
          <w:t>6</w:t>
        </w:r>
      </w:p>
      <w:p w14:paraId="28DB5474" w14:textId="77777777" w:rsidR="009A31F1" w:rsidRDefault="009A31F1" w:rsidP="009A31F1">
        <w:pPr>
          <w:pStyle w:val="Header"/>
          <w:jc w:val="right"/>
          <w:rPr>
            <w:noProof/>
          </w:rPr>
        </w:pPr>
        <w:r w:rsidRPr="00346ECC">
          <w:rPr>
            <w:lang w:val="fr-CH"/>
          </w:rPr>
          <w:t>Annex, page</w:t>
        </w:r>
        <w:r>
          <w:t xml:space="preserve"> </w:t>
        </w:r>
        <w:r>
          <w:fldChar w:fldCharType="begin"/>
        </w:r>
        <w:r>
          <w:instrText xml:space="preserve"> PAGE   \* MERGEFORMAT </w:instrText>
        </w:r>
        <w:r>
          <w:fldChar w:fldCharType="separate"/>
        </w:r>
        <w:r>
          <w:rPr>
            <w:noProof/>
          </w:rPr>
          <w:t>2</w:t>
        </w:r>
        <w:r>
          <w:rPr>
            <w:noProof/>
          </w:rPr>
          <w:fldChar w:fldCharType="end"/>
        </w:r>
      </w:p>
      <w:p w14:paraId="236FE3E6" w14:textId="66536876" w:rsidR="009A31F1" w:rsidRDefault="00027C89"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21E5A09C" w:rsidR="009A31F1" w:rsidRDefault="009A31F1" w:rsidP="009A31F1">
    <w:pPr>
      <w:pStyle w:val="Header"/>
      <w:jc w:val="right"/>
    </w:pPr>
    <w:r>
      <w:tab/>
      <w:t>PCT/CTC/33/</w:t>
    </w:r>
    <w:r w:rsidR="00461825">
      <w:t>2</w:t>
    </w:r>
    <w:r w:rsidR="00DB06C0">
      <w:t>6</w:t>
    </w:r>
  </w:p>
  <w:p w14:paraId="0AD3DC1D" w14:textId="77777777" w:rsidR="009A31F1" w:rsidRDefault="009A31F1" w:rsidP="009A31F1">
    <w:pPr>
      <w:pStyle w:val="Header"/>
      <w:jc w:val="right"/>
    </w:pPr>
    <w:r>
      <w:t>ANNEX</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5"/>
  </w:num>
  <w:num w:numId="3" w16cid:durableId="1310986793">
    <w:abstractNumId w:val="1"/>
  </w:num>
  <w:num w:numId="4" w16cid:durableId="1556547374">
    <w:abstractNumId w:val="6"/>
  </w:num>
  <w:num w:numId="5" w16cid:durableId="1511680175">
    <w:abstractNumId w:val="2"/>
  </w:num>
  <w:num w:numId="6" w16cid:durableId="1008404777">
    <w:abstractNumId w:val="4"/>
  </w:num>
  <w:num w:numId="7" w16cid:durableId="1835752940">
    <w:abstractNumId w:val="8"/>
  </w:num>
  <w:num w:numId="8" w16cid:durableId="1686783144">
    <w:abstractNumId w:val="0"/>
  </w:num>
  <w:num w:numId="9" w16cid:durableId="1325159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89"/>
    <w:rsid w:val="00027CD7"/>
    <w:rsid w:val="00043CAA"/>
    <w:rsid w:val="00056816"/>
    <w:rsid w:val="00075432"/>
    <w:rsid w:val="000756C6"/>
    <w:rsid w:val="000760CC"/>
    <w:rsid w:val="000968ED"/>
    <w:rsid w:val="000A3D97"/>
    <w:rsid w:val="000A6309"/>
    <w:rsid w:val="000D46FE"/>
    <w:rsid w:val="000F5E56"/>
    <w:rsid w:val="00105C87"/>
    <w:rsid w:val="00111BB0"/>
    <w:rsid w:val="00112580"/>
    <w:rsid w:val="001362EE"/>
    <w:rsid w:val="001647D5"/>
    <w:rsid w:val="001702FA"/>
    <w:rsid w:val="001832A6"/>
    <w:rsid w:val="001B1201"/>
    <w:rsid w:val="001D4107"/>
    <w:rsid w:val="00203D24"/>
    <w:rsid w:val="0021217E"/>
    <w:rsid w:val="00217FB1"/>
    <w:rsid w:val="002326AB"/>
    <w:rsid w:val="00243430"/>
    <w:rsid w:val="002634C4"/>
    <w:rsid w:val="00275B20"/>
    <w:rsid w:val="002928D3"/>
    <w:rsid w:val="002E29C7"/>
    <w:rsid w:val="002F1FE6"/>
    <w:rsid w:val="002F4E68"/>
    <w:rsid w:val="00312F7F"/>
    <w:rsid w:val="003514C1"/>
    <w:rsid w:val="00361450"/>
    <w:rsid w:val="003673CF"/>
    <w:rsid w:val="003845C1"/>
    <w:rsid w:val="003A6F89"/>
    <w:rsid w:val="003B38C1"/>
    <w:rsid w:val="003C34E9"/>
    <w:rsid w:val="003F6F01"/>
    <w:rsid w:val="0040759D"/>
    <w:rsid w:val="00423E3E"/>
    <w:rsid w:val="00427AF4"/>
    <w:rsid w:val="00442A32"/>
    <w:rsid w:val="00461825"/>
    <w:rsid w:val="004647DA"/>
    <w:rsid w:val="00466D9E"/>
    <w:rsid w:val="00474062"/>
    <w:rsid w:val="00477D6B"/>
    <w:rsid w:val="004A3256"/>
    <w:rsid w:val="004B446A"/>
    <w:rsid w:val="004B6994"/>
    <w:rsid w:val="004C5935"/>
    <w:rsid w:val="005019FF"/>
    <w:rsid w:val="0053057A"/>
    <w:rsid w:val="00556076"/>
    <w:rsid w:val="00560A29"/>
    <w:rsid w:val="00596424"/>
    <w:rsid w:val="005A1F81"/>
    <w:rsid w:val="005C6649"/>
    <w:rsid w:val="005C79F6"/>
    <w:rsid w:val="005F0D97"/>
    <w:rsid w:val="00605827"/>
    <w:rsid w:val="00646050"/>
    <w:rsid w:val="006513B2"/>
    <w:rsid w:val="006713CA"/>
    <w:rsid w:val="00676C5C"/>
    <w:rsid w:val="006A5C36"/>
    <w:rsid w:val="006C238E"/>
    <w:rsid w:val="006C322C"/>
    <w:rsid w:val="006C712A"/>
    <w:rsid w:val="006D3315"/>
    <w:rsid w:val="006F04BC"/>
    <w:rsid w:val="006F0C84"/>
    <w:rsid w:val="00705803"/>
    <w:rsid w:val="00720EFD"/>
    <w:rsid w:val="00747708"/>
    <w:rsid w:val="007578A4"/>
    <w:rsid w:val="00761CD8"/>
    <w:rsid w:val="007854AF"/>
    <w:rsid w:val="00786F89"/>
    <w:rsid w:val="00793A7C"/>
    <w:rsid w:val="00797D35"/>
    <w:rsid w:val="007A37BA"/>
    <w:rsid w:val="007A398A"/>
    <w:rsid w:val="007A3EC4"/>
    <w:rsid w:val="007B17E6"/>
    <w:rsid w:val="007D0724"/>
    <w:rsid w:val="007D1613"/>
    <w:rsid w:val="007E4593"/>
    <w:rsid w:val="007E4C0E"/>
    <w:rsid w:val="008543C9"/>
    <w:rsid w:val="008A134B"/>
    <w:rsid w:val="008B1A3E"/>
    <w:rsid w:val="008B2CC1"/>
    <w:rsid w:val="008B60B2"/>
    <w:rsid w:val="008C0763"/>
    <w:rsid w:val="008D5EAB"/>
    <w:rsid w:val="0090731E"/>
    <w:rsid w:val="00916EE2"/>
    <w:rsid w:val="00966A22"/>
    <w:rsid w:val="0096722F"/>
    <w:rsid w:val="00980843"/>
    <w:rsid w:val="009A31F1"/>
    <w:rsid w:val="009A53C9"/>
    <w:rsid w:val="009A774D"/>
    <w:rsid w:val="009E2791"/>
    <w:rsid w:val="009E3F6F"/>
    <w:rsid w:val="009F499F"/>
    <w:rsid w:val="00A0628B"/>
    <w:rsid w:val="00A35E9C"/>
    <w:rsid w:val="00A37342"/>
    <w:rsid w:val="00A42DAF"/>
    <w:rsid w:val="00A45BD8"/>
    <w:rsid w:val="00A53F2A"/>
    <w:rsid w:val="00A869B7"/>
    <w:rsid w:val="00A90F0A"/>
    <w:rsid w:val="00AC205C"/>
    <w:rsid w:val="00AF0A6B"/>
    <w:rsid w:val="00B05A69"/>
    <w:rsid w:val="00B34C5F"/>
    <w:rsid w:val="00B75281"/>
    <w:rsid w:val="00B92F1F"/>
    <w:rsid w:val="00B9734B"/>
    <w:rsid w:val="00B97F25"/>
    <w:rsid w:val="00BA30E2"/>
    <w:rsid w:val="00BA4365"/>
    <w:rsid w:val="00BB19AC"/>
    <w:rsid w:val="00BB1AA9"/>
    <w:rsid w:val="00BB23EE"/>
    <w:rsid w:val="00BC039A"/>
    <w:rsid w:val="00C11BFE"/>
    <w:rsid w:val="00C5047D"/>
    <w:rsid w:val="00C5068F"/>
    <w:rsid w:val="00C5684F"/>
    <w:rsid w:val="00C86D74"/>
    <w:rsid w:val="00CD04F1"/>
    <w:rsid w:val="00CF6256"/>
    <w:rsid w:val="00CF681A"/>
    <w:rsid w:val="00D07C78"/>
    <w:rsid w:val="00D153F2"/>
    <w:rsid w:val="00D3391E"/>
    <w:rsid w:val="00D45252"/>
    <w:rsid w:val="00D5175A"/>
    <w:rsid w:val="00D61EC6"/>
    <w:rsid w:val="00D71B4D"/>
    <w:rsid w:val="00D93D4C"/>
    <w:rsid w:val="00D93D55"/>
    <w:rsid w:val="00DB06C0"/>
    <w:rsid w:val="00DD7B7F"/>
    <w:rsid w:val="00E142F7"/>
    <w:rsid w:val="00E14C7F"/>
    <w:rsid w:val="00E15015"/>
    <w:rsid w:val="00E335FE"/>
    <w:rsid w:val="00E35192"/>
    <w:rsid w:val="00E573C8"/>
    <w:rsid w:val="00E82F6F"/>
    <w:rsid w:val="00E9238D"/>
    <w:rsid w:val="00E955BE"/>
    <w:rsid w:val="00EA5809"/>
    <w:rsid w:val="00EA7D6E"/>
    <w:rsid w:val="00EB2F76"/>
    <w:rsid w:val="00EC4E49"/>
    <w:rsid w:val="00ED77FB"/>
    <w:rsid w:val="00EE45FA"/>
    <w:rsid w:val="00F043DE"/>
    <w:rsid w:val="00F63809"/>
    <w:rsid w:val="00F66152"/>
    <w:rsid w:val="00F84CA5"/>
    <w:rsid w:val="00F9165B"/>
    <w:rsid w:val="00F92B15"/>
    <w:rsid w:val="00FC482F"/>
    <w:rsid w:val="00FE0B36"/>
    <w:rsid w:val="00FF668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en-US"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en-US" w:eastAsia="zh-CN"/>
    </w:rPr>
  </w:style>
  <w:style w:type="paragraph" w:styleId="Revision">
    <w:name w:val="Revision"/>
    <w:hidden/>
    <w:uiPriority w:val="99"/>
    <w:semiHidden/>
    <w:rsid w:val="007578A4"/>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BB23EE"/>
    <w:rPr>
      <w:color w:val="605E5C"/>
      <w:shd w:val="clear" w:color="auto" w:fill="E1DFDD"/>
    </w:rPr>
  </w:style>
  <w:style w:type="paragraph" w:styleId="NormalWeb">
    <w:name w:val="Normal (Web)"/>
    <w:basedOn w:val="Normal"/>
    <w:uiPriority w:val="99"/>
    <w:unhideWhenUsed/>
    <w:rsid w:val="00596424"/>
    <w:pPr>
      <w:spacing w:before="100" w:beforeAutospacing="1" w:after="100" w:afterAutospacing="1"/>
    </w:pPr>
    <w:rPr>
      <w:rFonts w:ascii="Times New Roman" w:eastAsia="Times New Roman" w:hAnsi="Times New Roman" w:cs="Times New Roman"/>
      <w:sz w:val="24"/>
      <w:szCs w:val="24"/>
      <w:lang w:val="de-AT" w:eastAsia="de-AT"/>
    </w:rPr>
  </w:style>
  <w:style w:type="character" w:styleId="PlaceholderText">
    <w:name w:val="Placeholder Text"/>
    <w:basedOn w:val="DefaultParagraphFont"/>
    <w:uiPriority w:val="99"/>
    <w:semiHidden/>
    <w:rsid w:val="00596424"/>
    <w:rPr>
      <w:color w:val="666666"/>
    </w:rPr>
  </w:style>
  <w:style w:type="character" w:styleId="FollowedHyperlink">
    <w:name w:val="FollowedHyperlink"/>
    <w:basedOn w:val="DefaultParagraphFont"/>
    <w:semiHidden/>
    <w:unhideWhenUsed/>
    <w:rsid w:val="00596424"/>
    <w:rPr>
      <w:color w:val="800080" w:themeColor="followedHyperlink"/>
      <w:u w:val="single"/>
    </w:rPr>
  </w:style>
  <w:style w:type="paragraph" w:styleId="BalloonText">
    <w:name w:val="Balloon Text"/>
    <w:basedOn w:val="Normal"/>
    <w:link w:val="BalloonTextChar"/>
    <w:semiHidden/>
    <w:unhideWhenUsed/>
    <w:rsid w:val="001702FA"/>
    <w:rPr>
      <w:rFonts w:ascii="Segoe UI" w:hAnsi="Segoe UI" w:cs="Segoe UI"/>
      <w:sz w:val="18"/>
      <w:szCs w:val="18"/>
    </w:rPr>
  </w:style>
  <w:style w:type="character" w:customStyle="1" w:styleId="BalloonTextChar">
    <w:name w:val="Balloon Text Char"/>
    <w:basedOn w:val="DefaultParagraphFont"/>
    <w:link w:val="BalloonText"/>
    <w:semiHidden/>
    <w:rsid w:val="001702FA"/>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4075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n/docs/circulars/2024/1672.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adi.wipo.int\wipodata\DAT1\OrgPctLdev\Shared\WIPO%20meetings%20-%20PCT\PCT-CTC-33\Applications%20for%20extension%20of%20appointment\VPI\pct_ctc_33_25%20draft%20XV-VPI.docx" TargetMode="External"/><Relationship Id="rId17" Type="http://schemas.openxmlformats.org/officeDocument/2006/relationships/hyperlink" Target="file:///\\adi.wipo.int\wipodata\DAT1\OrgPctLdev\Shared\WIPO%20meetings%20-%20PCT\PCT-CTC-33\Applications%20for%20extension%20of%20appointment\VPI\pct_ctc_33_25%20draft%20XV-VPI.docx" TargetMode="External"/><Relationship Id="rId2" Type="http://schemas.openxmlformats.org/officeDocument/2006/relationships/numbering" Target="numbering.xml"/><Relationship Id="rId16" Type="http://schemas.openxmlformats.org/officeDocument/2006/relationships/hyperlink" Target="https://www.wipo.int/documents/d/pct-system/docs-en-official-notices-officialnotic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vpi.int" TargetMode="External"/><Relationship Id="rId5" Type="http://schemas.openxmlformats.org/officeDocument/2006/relationships/webSettings" Target="webSettings.xml"/><Relationship Id="rId15" Type="http://schemas.openxmlformats.org/officeDocument/2006/relationships/hyperlink" Target="https://www.wipo.int/documents/d/pct-system/docs-en-official-notices-officialnotices.pdf"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documents/d/pct-system/docs-en-official-notices-officialnotic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(E).dotm</Template>
  <TotalTime>2</TotalTime>
  <Pages>6</Pages>
  <Words>1355</Words>
  <Characters>9501</Characters>
  <Application>Microsoft Office Word</Application>
  <DocSecurity>0</DocSecurity>
  <Lines>296</Lines>
  <Paragraphs>135</Paragraphs>
  <ScaleCrop>false</ScaleCrop>
  <HeadingPairs>
    <vt:vector size="2" baseType="variant">
      <vt:variant>
        <vt:lpstr>Title</vt:lpstr>
      </vt:variant>
      <vt:variant>
        <vt:i4>1</vt:i4>
      </vt:variant>
    </vt:vector>
  </HeadingPairs>
  <TitlesOfParts>
    <vt:vector size="1" baseType="lpstr">
      <vt:lpstr>PCT/CTC/33/26</vt:lpstr>
    </vt:vector>
  </TitlesOfParts>
  <Company>WIPO</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PCT/CTC/33/26</dc:title>
  <dc:subject>Extension of Appointment of the Visegrad Patent Institute as an Intellectual Searching and Preliminary Examining Authority Under the PCT</dc:subject>
  <dc:creator>NOVRUZOVA Elnara</dc:creator>
  <cp:keywords>FOR OFFICIAL USE ONLY</cp:keywords>
  <cp:lastModifiedBy>RICHARDSON Michael</cp:lastModifiedBy>
  <cp:revision>4</cp:revision>
  <cp:lastPrinted>2011-02-15T11:56:00Z</cp:lastPrinted>
  <dcterms:created xsi:type="dcterms:W3CDTF">2025-12-19T10:22:00Z</dcterms:created>
  <dcterms:modified xsi:type="dcterms:W3CDTF">2025-12-19T15:47:00Z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2025-11-27T14:25:03Z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2862c55a-3e94-4e4f-af41-115f64ab3cac</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