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71E1A918"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2713DE">
        <w:rPr>
          <w:rFonts w:ascii="Arial Black" w:hAnsi="Arial Black"/>
          <w:caps/>
          <w:sz w:val="15"/>
          <w:szCs w:val="15"/>
        </w:rPr>
        <w:t>2</w:t>
      </w:r>
      <w:r w:rsidR="000A480B">
        <w:rPr>
          <w:rFonts w:ascii="Arial Black" w:hAnsi="Arial Black"/>
          <w:caps/>
          <w:sz w:val="15"/>
          <w:szCs w:val="15"/>
        </w:rPr>
        <w:t>4</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5B891A9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F83A51">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3F92A265" w:rsidR="008B2CC1" w:rsidRPr="003845C1" w:rsidRDefault="009A31F1" w:rsidP="00DD7B7F">
      <w:pPr>
        <w:spacing w:after="360"/>
        <w:outlineLvl w:val="0"/>
        <w:rPr>
          <w:caps/>
          <w:sz w:val="24"/>
        </w:rPr>
      </w:pPr>
      <w:bookmarkStart w:id="3" w:name="TitleOfDoc"/>
      <w:r>
        <w:rPr>
          <w:caps/>
          <w:sz w:val="24"/>
        </w:rPr>
        <w:t xml:space="preserve">EXTENSION OF APPOINTMENT OF THE </w:t>
      </w:r>
      <w:r w:rsidR="002713DE">
        <w:rPr>
          <w:caps/>
          <w:sz w:val="24"/>
        </w:rPr>
        <w:t>UNITED STATES PATENT AND TRADEMARK</w:t>
      </w:r>
      <w:r w:rsidR="00A1569E">
        <w:rPr>
          <w:caps/>
          <w:sz w:val="24"/>
        </w:rPr>
        <w:t xml:space="preserve"> OFFICE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68023BD4" w:rsidR="009A31F1" w:rsidRDefault="009A31F1" w:rsidP="002326AB">
      <w:pPr>
        <w:spacing w:after="220"/>
      </w:pPr>
      <w:r w:rsidRPr="009A31F1">
        <w:t>2.</w:t>
      </w:r>
      <w:r w:rsidRPr="009A31F1">
        <w:tab/>
        <w:t xml:space="preserve">On </w:t>
      </w:r>
      <w:r w:rsidR="00A1569E">
        <w:t>November</w:t>
      </w:r>
      <w:r w:rsidR="002713DE">
        <w:t xml:space="preserve"> 24</w:t>
      </w:r>
      <w:r w:rsidRPr="009A31F1">
        <w:t xml:space="preserve">, 2025, the </w:t>
      </w:r>
      <w:r w:rsidR="002713DE">
        <w:t>United States Patent and Trademark</w:t>
      </w:r>
      <w:r w:rsidR="00A1569E">
        <w:t xml:space="preserve"> Office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Pr="002B3808" w:rsidRDefault="009A31F1" w:rsidP="009A31F1">
      <w:pPr>
        <w:pStyle w:val="SectionHeading"/>
        <w:rPr>
          <w:lang w:val="en-US"/>
        </w:rPr>
      </w:pPr>
      <w:r w:rsidRPr="002B3808">
        <w:rPr>
          <w:lang w:val="en-US"/>
        </w:rPr>
        <w:t>1 – General</w:t>
      </w:r>
    </w:p>
    <w:p w14:paraId="2E3EA985" w14:textId="77777777" w:rsidR="009E67E7" w:rsidRDefault="009E67E7" w:rsidP="009E67E7">
      <w:pPr>
        <w:pStyle w:val="Question"/>
        <w:spacing w:after="480"/>
      </w:pPr>
      <w:r>
        <w:t>(a)</w:t>
      </w:r>
      <w:r>
        <w:tab/>
        <w:t xml:space="preserve">Name of Office or intergovernmental organization: </w:t>
      </w:r>
    </w:p>
    <w:p w14:paraId="635FF93B" w14:textId="5F2C8D76" w:rsidR="009E67E7" w:rsidRDefault="009E67E7" w:rsidP="002A398E">
      <w:pPr>
        <w:pStyle w:val="Answer"/>
        <w:ind w:left="0"/>
      </w:pPr>
      <w:bookmarkStart w:id="5" w:name="_Hlk214975038"/>
      <w:r>
        <w:t>United States Patent and Trademark Office</w:t>
      </w:r>
      <w:bookmarkEnd w:id="5"/>
    </w:p>
    <w:p w14:paraId="5DF6B56A" w14:textId="77777777" w:rsidR="009E67E7" w:rsidRPr="00870216" w:rsidRDefault="009E67E7" w:rsidP="009E67E7">
      <w:pPr>
        <w:pStyle w:val="Answer"/>
      </w:pPr>
    </w:p>
    <w:p w14:paraId="7C24AEE4" w14:textId="77777777" w:rsidR="009E67E7" w:rsidRDefault="009E67E7" w:rsidP="009E67E7">
      <w:pPr>
        <w:pStyle w:val="Question"/>
        <w:spacing w:after="480"/>
      </w:pPr>
      <w:r>
        <w:t>(b)</w:t>
      </w:r>
      <w:r>
        <w:tab/>
        <w:t>Name and contact details of official for any queries about this application:</w:t>
      </w:r>
    </w:p>
    <w:p w14:paraId="26565618" w14:textId="77777777" w:rsidR="009E67E7" w:rsidRDefault="009E67E7" w:rsidP="002A398E">
      <w:pPr>
        <w:pStyle w:val="Answer"/>
        <w:spacing w:after="120"/>
        <w:ind w:left="0"/>
      </w:pPr>
      <w:r>
        <w:t>Michael Neas</w:t>
      </w:r>
    </w:p>
    <w:p w14:paraId="59319489" w14:textId="77777777" w:rsidR="009E67E7" w:rsidRDefault="009E67E7" w:rsidP="002A398E">
      <w:pPr>
        <w:pStyle w:val="Answer"/>
        <w:spacing w:after="120"/>
        <w:ind w:left="0"/>
      </w:pPr>
      <w:r>
        <w:t>Acting Director, International Patent Legal Administration</w:t>
      </w:r>
    </w:p>
    <w:p w14:paraId="5E1C1FFD" w14:textId="77777777" w:rsidR="009E67E7" w:rsidRDefault="009E67E7" w:rsidP="002A398E">
      <w:pPr>
        <w:pStyle w:val="Answer"/>
        <w:spacing w:after="120"/>
        <w:ind w:left="0"/>
      </w:pPr>
      <w:r>
        <w:t>United States Patent and Trademark Office</w:t>
      </w:r>
    </w:p>
    <w:p w14:paraId="78040D0A" w14:textId="77777777" w:rsidR="009E67E7" w:rsidRDefault="009E67E7" w:rsidP="002A398E">
      <w:pPr>
        <w:pStyle w:val="Answer"/>
        <w:spacing w:after="120"/>
        <w:ind w:left="0"/>
      </w:pPr>
      <w:r>
        <w:t>+1-571-272-3289</w:t>
      </w:r>
    </w:p>
    <w:p w14:paraId="4E753A8F" w14:textId="7425A505" w:rsidR="009E67E7" w:rsidRPr="009A3FD0" w:rsidRDefault="00FB21FF" w:rsidP="002A398E">
      <w:pPr>
        <w:pStyle w:val="Answer"/>
        <w:spacing w:after="120"/>
        <w:ind w:left="0"/>
        <w:rPr>
          <w:color w:val="365F91" w:themeColor="accent1" w:themeShade="BF"/>
          <w:u w:val="single"/>
        </w:rPr>
      </w:pPr>
      <w:hyperlink r:id="rId11" w:history="1">
        <w:r w:rsidRPr="006C4CED">
          <w:rPr>
            <w:rStyle w:val="Hyperlink"/>
          </w:rPr>
          <w:t>michael.neas@uspto.gov</w:t>
        </w:r>
      </w:hyperlink>
      <w:r>
        <w:rPr>
          <w:color w:val="365F91" w:themeColor="accent1" w:themeShade="BF"/>
          <w:u w:val="single"/>
        </w:rPr>
        <w:t xml:space="preserve"> </w:t>
      </w:r>
    </w:p>
    <w:p w14:paraId="59279634" w14:textId="3A5E82AE" w:rsidR="009A31F1" w:rsidRPr="00245354" w:rsidRDefault="009A31F1" w:rsidP="002713DE">
      <w:pPr>
        <w:pStyle w:val="Answer"/>
        <w:ind w:left="0"/>
        <w:rPr>
          <w:color w:val="000000" w:themeColor="text1"/>
        </w:rPr>
      </w:pPr>
    </w:p>
    <w:p w14:paraId="5EBA2C3E" w14:textId="77777777" w:rsidR="009A31F1" w:rsidRDefault="009A31F1" w:rsidP="009A31F1">
      <w:pPr>
        <w:pStyle w:val="Question"/>
      </w:pPr>
      <w:r>
        <w:t>(c)</w:t>
      </w:r>
      <w:r>
        <w:tab/>
        <w:t>Date on which application for extension of appointment was received by the Director General:</w:t>
      </w:r>
    </w:p>
    <w:p w14:paraId="2740412F" w14:textId="2D93462D" w:rsidR="009A31F1" w:rsidRPr="004C5F56" w:rsidRDefault="00A1569E" w:rsidP="009A31F1">
      <w:pPr>
        <w:pStyle w:val="Answer"/>
      </w:pPr>
      <w:r>
        <w:t xml:space="preserve">November </w:t>
      </w:r>
      <w:r w:rsidR="002713DE">
        <w:t>24</w:t>
      </w:r>
      <w:r w:rsidR="009A31F1" w:rsidRPr="004C5F56">
        <w:t>,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0EB5981E" w:rsidR="009A31F1" w:rsidRDefault="009A31F1" w:rsidP="009A31F1">
      <w:r>
        <w:t xml:space="preserve">In addition to the annual report on the quality management system by the Office or organization for 2025 (“the QMS Report” </w:t>
      </w:r>
      <w:hyperlink r:id="rId12" w:anchor="US" w:history="1">
        <w:r w:rsidR="002A7554" w:rsidRPr="003A6086">
          <w:rPr>
            <w:rStyle w:val="Hyperlink"/>
          </w:rPr>
          <w:t>https://www.wipo.int/en/web/pct-system/quality/authorities#US</w:t>
        </w:r>
      </w:hyperlink>
      <w:r w:rsidR="002A7554">
        <w:t>)</w:t>
      </w:r>
      <w:r w:rsidR="002A7554">
        <w:rPr>
          <w:color w:val="004F88"/>
        </w:rPr>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011691EA" w:rsidR="009A31F1" w:rsidRDefault="009A31F1" w:rsidP="00D87365">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B23337F" w14:textId="77777777" w:rsidR="00C5047D" w:rsidRPr="00A1569E" w:rsidRDefault="00C5047D" w:rsidP="009A31F1">
      <w:pPr>
        <w:ind w:left="540"/>
        <w:jc w:val="both"/>
        <w:rPr>
          <w:rFonts w:ascii="Helvetica" w:hAnsi="Helvetica" w:cs="Helvetica"/>
          <w:color w:val="000000" w:themeColor="text1"/>
          <w:szCs w:val="22"/>
        </w:rPr>
      </w:pPr>
    </w:p>
    <w:p w14:paraId="70EE9A7D" w14:textId="77777777" w:rsidR="00C5047D" w:rsidRPr="009D0055" w:rsidRDefault="00C5047D" w:rsidP="009A31F1">
      <w:pPr>
        <w:ind w:left="540"/>
        <w:jc w:val="both"/>
        <w:rPr>
          <w:rFonts w:ascii="Helvetica" w:hAnsi="Helvetica" w:cs="Helvetica"/>
          <w:i/>
          <w:iCs/>
          <w:color w:val="000000" w:themeColor="text1"/>
          <w:szCs w:val="22"/>
        </w:rPr>
      </w:pPr>
    </w:p>
    <w:p w14:paraId="0066CCED" w14:textId="77777777" w:rsidR="00C5047D" w:rsidRDefault="00C5047D" w:rsidP="00E129EC">
      <w:pPr>
        <w:pStyle w:val="Question"/>
        <w:spacing w:after="480"/>
      </w:pPr>
      <w:r>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1684"/>
        <w:gridCol w:w="1684"/>
        <w:gridCol w:w="1684"/>
      </w:tblGrid>
      <w:tr w:rsidR="00F00598" w14:paraId="49538465" w14:textId="77777777" w:rsidTr="00EE0897">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03528514" w14:textId="77777777" w:rsidR="00F00598" w:rsidRDefault="00F00598" w:rsidP="00EE0897">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14:paraId="0FC808D7" w14:textId="77777777" w:rsidR="00F00598" w:rsidRDefault="00F00598" w:rsidP="00EE0897">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14:paraId="0807D8E8" w14:textId="77777777" w:rsidR="00F00598" w:rsidRDefault="00F00598" w:rsidP="00EE0897">
            <w:pPr>
              <w:suppressAutoHyphens/>
              <w:rPr>
                <w:rFonts w:eastAsia="Times New Roman"/>
                <w:b/>
                <w:bCs/>
                <w:szCs w:val="24"/>
                <w:lang w:eastAsia="en-US" w:bidi="he-IL"/>
              </w:rPr>
            </w:pPr>
            <w:r>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14:paraId="3018FA9F" w14:textId="77777777" w:rsidR="00F00598" w:rsidRDefault="00F00598" w:rsidP="00EE0897">
            <w:pPr>
              <w:suppressAutoHyphens/>
              <w:rPr>
                <w:rFonts w:eastAsia="Times New Roman"/>
                <w:b/>
                <w:bCs/>
                <w:szCs w:val="24"/>
                <w:lang w:eastAsia="en-US" w:bidi="he-IL"/>
              </w:rPr>
            </w:pPr>
            <w:r>
              <w:rPr>
                <w:b/>
                <w:bCs/>
                <w:lang w:eastAsia="en-US" w:bidi="he-IL"/>
              </w:rPr>
              <w:t>Breakdown of qualifications</w:t>
            </w:r>
          </w:p>
        </w:tc>
      </w:tr>
      <w:tr w:rsidR="00F00598" w14:paraId="7F9AE895"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240B0058" w14:textId="77777777" w:rsidR="00F00598" w:rsidRDefault="00F00598" w:rsidP="00EE0897">
            <w:pPr>
              <w:keepNext/>
              <w:keepLines/>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14:paraId="5518E7CA"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2643</w:t>
            </w:r>
          </w:p>
        </w:tc>
        <w:tc>
          <w:tcPr>
            <w:tcW w:w="1684" w:type="dxa"/>
            <w:tcBorders>
              <w:top w:val="single" w:sz="4" w:space="0" w:color="auto"/>
              <w:left w:val="single" w:sz="4" w:space="0" w:color="auto"/>
              <w:bottom w:val="single" w:sz="4" w:space="0" w:color="auto"/>
              <w:right w:val="single" w:sz="4" w:space="0" w:color="auto"/>
            </w:tcBorders>
          </w:tcPr>
          <w:p w14:paraId="37811696"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12</w:t>
            </w:r>
          </w:p>
        </w:tc>
        <w:tc>
          <w:tcPr>
            <w:tcW w:w="1684" w:type="dxa"/>
            <w:tcBorders>
              <w:top w:val="single" w:sz="4" w:space="0" w:color="auto"/>
              <w:left w:val="single" w:sz="4" w:space="0" w:color="auto"/>
              <w:bottom w:val="single" w:sz="4" w:space="0" w:color="auto"/>
              <w:right w:val="single" w:sz="4" w:space="0" w:color="auto"/>
            </w:tcBorders>
          </w:tcPr>
          <w:p w14:paraId="6E4C490A"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See below</w:t>
            </w:r>
          </w:p>
        </w:tc>
      </w:tr>
      <w:tr w:rsidR="00F00598" w14:paraId="571C7860"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74D9A851" w14:textId="77777777" w:rsidR="00F00598" w:rsidRDefault="00F00598" w:rsidP="00EE0897">
            <w:pPr>
              <w:keepNext/>
              <w:keepLines/>
              <w:suppressAutoHyphens/>
              <w:rPr>
                <w:rFonts w:eastAsia="Times New Roman"/>
                <w:szCs w:val="22"/>
                <w:lang w:eastAsia="en-US" w:bidi="he-IL"/>
              </w:rPr>
            </w:pPr>
            <w:r>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14:paraId="5D1B25EF"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4086</w:t>
            </w:r>
          </w:p>
        </w:tc>
        <w:tc>
          <w:tcPr>
            <w:tcW w:w="1684" w:type="dxa"/>
            <w:tcBorders>
              <w:top w:val="single" w:sz="4" w:space="0" w:color="auto"/>
              <w:left w:val="single" w:sz="4" w:space="0" w:color="auto"/>
              <w:bottom w:val="single" w:sz="4" w:space="0" w:color="auto"/>
              <w:right w:val="single" w:sz="4" w:space="0" w:color="auto"/>
            </w:tcBorders>
          </w:tcPr>
          <w:p w14:paraId="758B1B10"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14</w:t>
            </w:r>
          </w:p>
        </w:tc>
        <w:tc>
          <w:tcPr>
            <w:tcW w:w="1684" w:type="dxa"/>
            <w:tcBorders>
              <w:top w:val="single" w:sz="4" w:space="0" w:color="auto"/>
              <w:left w:val="single" w:sz="4" w:space="0" w:color="auto"/>
              <w:bottom w:val="single" w:sz="4" w:space="0" w:color="auto"/>
              <w:right w:val="single" w:sz="4" w:space="0" w:color="auto"/>
            </w:tcBorders>
          </w:tcPr>
          <w:p w14:paraId="749A1B76"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See below</w:t>
            </w:r>
          </w:p>
        </w:tc>
      </w:tr>
      <w:tr w:rsidR="00F00598" w14:paraId="166291CE"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7A42D41D" w14:textId="77777777" w:rsidR="00F00598" w:rsidRDefault="00F00598" w:rsidP="00EE0897">
            <w:pPr>
              <w:keepNext/>
              <w:keepLines/>
              <w:suppressAutoHyphens/>
              <w:rPr>
                <w:rFonts w:eastAsia="Times New Roman"/>
                <w:szCs w:val="22"/>
                <w:lang w:eastAsia="en-US" w:bidi="he-IL"/>
              </w:rPr>
            </w:pPr>
            <w:r>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14:paraId="70D0432F"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983</w:t>
            </w:r>
          </w:p>
        </w:tc>
        <w:tc>
          <w:tcPr>
            <w:tcW w:w="1684" w:type="dxa"/>
            <w:tcBorders>
              <w:top w:val="single" w:sz="4" w:space="0" w:color="auto"/>
              <w:left w:val="single" w:sz="4" w:space="0" w:color="auto"/>
              <w:bottom w:val="single" w:sz="4" w:space="0" w:color="auto"/>
              <w:right w:val="single" w:sz="4" w:space="0" w:color="auto"/>
            </w:tcBorders>
          </w:tcPr>
          <w:p w14:paraId="00AE5C96"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13</w:t>
            </w:r>
          </w:p>
        </w:tc>
        <w:tc>
          <w:tcPr>
            <w:tcW w:w="1684" w:type="dxa"/>
            <w:tcBorders>
              <w:top w:val="single" w:sz="4" w:space="0" w:color="auto"/>
              <w:left w:val="single" w:sz="4" w:space="0" w:color="auto"/>
              <w:bottom w:val="single" w:sz="4" w:space="0" w:color="auto"/>
              <w:right w:val="single" w:sz="4" w:space="0" w:color="auto"/>
            </w:tcBorders>
          </w:tcPr>
          <w:p w14:paraId="3C22995E"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See below</w:t>
            </w:r>
          </w:p>
        </w:tc>
      </w:tr>
      <w:tr w:rsidR="00F00598" w14:paraId="63A047AF"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5E8044EE" w14:textId="77777777" w:rsidR="00F00598" w:rsidRDefault="00F00598" w:rsidP="00EE0897">
            <w:pPr>
              <w:keepNext/>
              <w:keepLines/>
              <w:suppressAutoHyphens/>
              <w:rPr>
                <w:rFonts w:eastAsia="Times New Roman"/>
                <w:szCs w:val="22"/>
                <w:lang w:eastAsia="en-US" w:bidi="he-IL"/>
              </w:rPr>
            </w:pPr>
            <w:r>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14:paraId="79E14808"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812</w:t>
            </w:r>
          </w:p>
        </w:tc>
        <w:tc>
          <w:tcPr>
            <w:tcW w:w="1684" w:type="dxa"/>
            <w:tcBorders>
              <w:top w:val="single" w:sz="4" w:space="0" w:color="auto"/>
              <w:left w:val="single" w:sz="4" w:space="0" w:color="auto"/>
              <w:bottom w:val="single" w:sz="4" w:space="0" w:color="auto"/>
              <w:right w:val="single" w:sz="4" w:space="0" w:color="auto"/>
            </w:tcBorders>
          </w:tcPr>
          <w:p w14:paraId="5295587C"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11</w:t>
            </w:r>
          </w:p>
        </w:tc>
        <w:tc>
          <w:tcPr>
            <w:tcW w:w="1684" w:type="dxa"/>
            <w:tcBorders>
              <w:top w:val="single" w:sz="4" w:space="0" w:color="auto"/>
              <w:left w:val="single" w:sz="4" w:space="0" w:color="auto"/>
              <w:bottom w:val="single" w:sz="4" w:space="0" w:color="auto"/>
              <w:right w:val="single" w:sz="4" w:space="0" w:color="auto"/>
            </w:tcBorders>
          </w:tcPr>
          <w:p w14:paraId="4670775F" w14:textId="77777777" w:rsidR="00F00598" w:rsidRDefault="00F00598" w:rsidP="00EE0897">
            <w:pPr>
              <w:keepNext/>
              <w:keepLines/>
              <w:suppressAutoHyphens/>
              <w:rPr>
                <w:rFonts w:eastAsia="Times New Roman"/>
                <w:szCs w:val="22"/>
                <w:lang w:eastAsia="en-US" w:bidi="he-IL"/>
              </w:rPr>
            </w:pPr>
            <w:r>
              <w:rPr>
                <w:rFonts w:eastAsia="Times New Roman"/>
                <w:szCs w:val="22"/>
                <w:lang w:eastAsia="en-US" w:bidi="he-IL"/>
              </w:rPr>
              <w:t>See below</w:t>
            </w:r>
          </w:p>
        </w:tc>
      </w:tr>
      <w:tr w:rsidR="00F00598" w14:paraId="7E29A664" w14:textId="77777777" w:rsidTr="00EE0897">
        <w:trPr>
          <w:cantSplit/>
        </w:trPr>
        <w:tc>
          <w:tcPr>
            <w:tcW w:w="3527" w:type="dxa"/>
            <w:tcBorders>
              <w:top w:val="single" w:sz="4" w:space="0" w:color="auto"/>
              <w:left w:val="single" w:sz="4" w:space="0" w:color="auto"/>
              <w:bottom w:val="single" w:sz="4" w:space="0" w:color="auto"/>
              <w:right w:val="single" w:sz="4" w:space="0" w:color="auto"/>
            </w:tcBorders>
            <w:hideMark/>
          </w:tcPr>
          <w:p w14:paraId="16EAEC0E" w14:textId="77777777" w:rsidR="00F00598" w:rsidRDefault="00F00598" w:rsidP="00EE0897">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14:paraId="4D6E82A4" w14:textId="77777777" w:rsidR="00F00598" w:rsidRDefault="00F00598" w:rsidP="00EE0897">
            <w:pPr>
              <w:suppressAutoHyphens/>
              <w:rPr>
                <w:rFonts w:eastAsia="Times New Roman"/>
                <w:i/>
                <w:iCs/>
                <w:szCs w:val="22"/>
                <w:lang w:eastAsia="en-US" w:bidi="he-IL"/>
              </w:rPr>
            </w:pPr>
            <w:r>
              <w:rPr>
                <w:rFonts w:eastAsia="Times New Roman"/>
                <w:i/>
                <w:iCs/>
                <w:szCs w:val="22"/>
                <w:lang w:eastAsia="en-US" w:bidi="he-IL"/>
              </w:rPr>
              <w:t>8524</w:t>
            </w:r>
          </w:p>
        </w:tc>
        <w:tc>
          <w:tcPr>
            <w:tcW w:w="1684" w:type="dxa"/>
            <w:tcBorders>
              <w:top w:val="single" w:sz="4" w:space="0" w:color="auto"/>
              <w:left w:val="single" w:sz="4" w:space="0" w:color="auto"/>
              <w:bottom w:val="single" w:sz="4" w:space="0" w:color="auto"/>
              <w:right w:val="single" w:sz="4" w:space="0" w:color="auto"/>
            </w:tcBorders>
          </w:tcPr>
          <w:p w14:paraId="2396B834" w14:textId="77777777" w:rsidR="00F00598" w:rsidRDefault="00F00598" w:rsidP="00EE0897">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8256892" w14:textId="77777777" w:rsidR="00F00598" w:rsidRDefault="00F00598" w:rsidP="00EE0897">
            <w:pPr>
              <w:suppressAutoHyphens/>
              <w:rPr>
                <w:rFonts w:eastAsia="Times New Roman"/>
                <w:i/>
                <w:iCs/>
                <w:szCs w:val="22"/>
                <w:lang w:eastAsia="en-US" w:bidi="he-IL"/>
              </w:rPr>
            </w:pPr>
          </w:p>
        </w:tc>
      </w:tr>
    </w:tbl>
    <w:p w14:paraId="44FA77DC" w14:textId="77777777" w:rsidR="00F00598" w:rsidRDefault="00F00598" w:rsidP="00C5047D">
      <w:pPr>
        <w:pStyle w:val="RuleQuote"/>
        <w:ind w:left="0"/>
        <w:rPr>
          <w:i w:val="0"/>
          <w:iCs w:val="0"/>
        </w:rPr>
      </w:pPr>
    </w:p>
    <w:p w14:paraId="1633CD0D" w14:textId="59E86F16" w:rsidR="00C5047D" w:rsidRDefault="00C5047D" w:rsidP="00C5047D">
      <w:pPr>
        <w:pStyle w:val="RuleQuote"/>
        <w:ind w:left="0"/>
        <w:rPr>
          <w:i w:val="0"/>
          <w:iCs w:val="0"/>
        </w:rPr>
      </w:pPr>
      <w:r>
        <w:rPr>
          <w:i w:val="0"/>
          <w:iCs w:val="0"/>
        </w:rPr>
        <w:t xml:space="preserve">Other information beyond the QMS Report and the above table (optional):  </w:t>
      </w:r>
    </w:p>
    <w:p w14:paraId="04C75A6E" w14:textId="0686B48A" w:rsidR="00F00598" w:rsidRPr="00B9724E" w:rsidRDefault="00F00598" w:rsidP="00F00598">
      <w:pPr>
        <w:pStyle w:val="RuleQuote"/>
        <w:ind w:left="0"/>
        <w:rPr>
          <w:bCs w:val="0"/>
          <w:i w:val="0"/>
          <w:iCs w:val="0"/>
        </w:rPr>
      </w:pPr>
      <w:r>
        <w:rPr>
          <w:i w:val="0"/>
          <w:iCs w:val="0"/>
        </w:rPr>
        <w:t>Data source:</w:t>
      </w:r>
      <w:r w:rsidR="002C5A18">
        <w:rPr>
          <w:i w:val="0"/>
          <w:iCs w:val="0"/>
        </w:rPr>
        <w:t xml:space="preserve"> </w:t>
      </w:r>
      <w:r>
        <w:rPr>
          <w:i w:val="0"/>
          <w:iCs w:val="0"/>
        </w:rPr>
        <w:t xml:space="preserve"> </w:t>
      </w:r>
      <w:hyperlink r:id="rId13" w:history="1">
        <w:r w:rsidR="00B9724E" w:rsidRPr="00EE6321">
          <w:rPr>
            <w:bCs w:val="0"/>
            <w:i w:val="0"/>
            <w:iCs w:val="0"/>
            <w:color w:val="0000FF"/>
            <w:u w:val="single"/>
          </w:rPr>
          <w:t>tcleveldashboard.xlsx</w:t>
        </w:r>
      </w:hyperlink>
    </w:p>
    <w:p w14:paraId="51D0B03C" w14:textId="77777777" w:rsidR="004C41CF" w:rsidRDefault="00F00598" w:rsidP="00F00598">
      <w:r>
        <w:t xml:space="preserve">In addition to the resources identified above, the USPTO leverages additional resources for performance of international </w:t>
      </w:r>
      <w:proofErr w:type="gramStart"/>
      <w:r>
        <w:t>searches</w:t>
      </w:r>
      <w:proofErr w:type="gramEnd"/>
      <w:r>
        <w:t xml:space="preserve"> under Chapter I of the Treaty through contractual arrangements as referenced in our QMS report</w:t>
      </w:r>
      <w:r w:rsidR="004C41CF">
        <w:t>.</w:t>
      </w:r>
    </w:p>
    <w:p w14:paraId="528B7E90" w14:textId="77777777" w:rsidR="004C41CF" w:rsidRDefault="004C41CF" w:rsidP="00F00598"/>
    <w:p w14:paraId="25CF7E80" w14:textId="376F643E" w:rsidR="0063331C" w:rsidRDefault="0063331C" w:rsidP="0063331C"/>
    <w:p w14:paraId="1DC1EF92" w14:textId="52716E46" w:rsidR="0063331C" w:rsidRDefault="0063331C" w:rsidP="004C41CF">
      <w:pPr>
        <w:pStyle w:val="RuleQuote"/>
        <w:ind w:left="0"/>
        <w:rPr>
          <w:bCs w:val="0"/>
          <w:i w:val="0"/>
          <w:iCs w:val="0"/>
        </w:rPr>
      </w:pPr>
      <w:r>
        <w:rPr>
          <w:bCs w:val="0"/>
          <w:i w:val="0"/>
          <w:iCs w:val="0"/>
        </w:rPr>
        <w:lastRenderedPageBreak/>
        <w:t>Breakdown of qualifications:</w:t>
      </w:r>
    </w:p>
    <w:p w14:paraId="1E36BBD1" w14:textId="050EA44E" w:rsidR="004C41CF" w:rsidRDefault="004C41CF" w:rsidP="004C41CF">
      <w:pPr>
        <w:pStyle w:val="RuleQuote"/>
        <w:ind w:left="0"/>
        <w:rPr>
          <w:bCs w:val="0"/>
          <w:i w:val="0"/>
          <w:iCs w:val="0"/>
        </w:rPr>
      </w:pPr>
      <w:r>
        <w:rPr>
          <w:bCs w:val="0"/>
          <w:i w:val="0"/>
          <w:iCs w:val="0"/>
        </w:rPr>
        <w:t>The following are basic general qualifications.  It should be noted that the USPTO often focuses hiring on more specific technical fields for which the qualifications may be more specific.  Several examples are provided below, including computer science.</w:t>
      </w:r>
    </w:p>
    <w:p w14:paraId="5580EC6C" w14:textId="77777777" w:rsidR="004C41CF" w:rsidRDefault="004C41CF" w:rsidP="004C41CF">
      <w:pPr>
        <w:pStyle w:val="RuleQuote"/>
        <w:ind w:left="0"/>
        <w:rPr>
          <w:bCs w:val="0"/>
          <w:i w:val="0"/>
          <w:iCs w:val="0"/>
        </w:rPr>
      </w:pPr>
      <w:r>
        <w:rPr>
          <w:bCs w:val="0"/>
          <w:i w:val="0"/>
          <w:iCs w:val="0"/>
        </w:rPr>
        <w:t>Generally:</w:t>
      </w:r>
    </w:p>
    <w:p w14:paraId="22C073DB" w14:textId="154B7475" w:rsidR="004C41CF" w:rsidRDefault="004C41CF" w:rsidP="004C41CF">
      <w:pPr>
        <w:pStyle w:val="RuleQuote"/>
        <w:ind w:left="0"/>
        <w:rPr>
          <w:bCs w:val="0"/>
          <w:i w:val="0"/>
          <w:iCs w:val="0"/>
        </w:rPr>
      </w:pPr>
      <w:r>
        <w:rPr>
          <w:bCs w:val="0"/>
          <w:i w:val="0"/>
          <w:iCs w:val="0"/>
        </w:rPr>
        <w:t>Either:</w:t>
      </w:r>
    </w:p>
    <w:p w14:paraId="6892F8B7" w14:textId="0C6B19E4" w:rsidR="004C41CF" w:rsidRPr="009B3093" w:rsidRDefault="004C41CF" w:rsidP="004C41CF">
      <w:pPr>
        <w:pStyle w:val="RuleQuote"/>
        <w:numPr>
          <w:ilvl w:val="0"/>
          <w:numId w:val="10"/>
        </w:numPr>
        <w:rPr>
          <w:bCs w:val="0"/>
          <w:i w:val="0"/>
          <w:iCs w:val="0"/>
        </w:rPr>
      </w:pPr>
      <w:r w:rsidRPr="009B3093">
        <w:rPr>
          <w:bCs w:val="0"/>
          <w:i w:val="0"/>
          <w:iCs w:val="0"/>
        </w:rPr>
        <w:t xml:space="preserve">Successfully completed a full four-year course of study in an accredited college or university leading to a bachelor's or higher degree in engineering, OR a combination of qualifying education and </w:t>
      </w:r>
      <w:proofErr w:type="gramStart"/>
      <w:r w:rsidRPr="009B3093">
        <w:rPr>
          <w:bCs w:val="0"/>
          <w:i w:val="0"/>
          <w:iCs w:val="0"/>
        </w:rPr>
        <w:t>experience</w:t>
      </w:r>
      <w:r>
        <w:rPr>
          <w:bCs w:val="0"/>
          <w:i w:val="0"/>
          <w:iCs w:val="0"/>
        </w:rPr>
        <w:t>;</w:t>
      </w:r>
      <w:proofErr w:type="gramEnd"/>
      <w:r w:rsidRPr="009B3093">
        <w:rPr>
          <w:bCs w:val="0"/>
          <w:i w:val="0"/>
          <w:iCs w:val="0"/>
        </w:rPr>
        <w:t xml:space="preserve"> </w:t>
      </w:r>
      <w:r w:rsidR="003E65D4">
        <w:rPr>
          <w:bCs w:val="0"/>
          <w:i w:val="0"/>
          <w:iCs w:val="0"/>
        </w:rPr>
        <w:t xml:space="preserve"> </w:t>
      </w:r>
      <w:r w:rsidRPr="009B3093">
        <w:rPr>
          <w:bCs w:val="0"/>
          <w:i w:val="0"/>
          <w:iCs w:val="0"/>
        </w:rPr>
        <w:t>OR</w:t>
      </w:r>
    </w:p>
    <w:p w14:paraId="03BF7778" w14:textId="38BE1CFE" w:rsidR="004C41CF" w:rsidRDefault="004C41CF" w:rsidP="004C41CF">
      <w:pPr>
        <w:pStyle w:val="RuleQuote"/>
        <w:numPr>
          <w:ilvl w:val="0"/>
          <w:numId w:val="10"/>
        </w:numPr>
        <w:rPr>
          <w:bCs w:val="0"/>
          <w:i w:val="0"/>
          <w:iCs w:val="0"/>
        </w:rPr>
      </w:pPr>
      <w:r w:rsidRPr="007A3D87">
        <w:rPr>
          <w:bCs w:val="0"/>
          <w:i w:val="0"/>
          <w:iCs w:val="0"/>
        </w:rPr>
        <w:t xml:space="preserve">A combination of education and experience. </w:t>
      </w:r>
      <w:r w:rsidR="002A398E">
        <w:rPr>
          <w:bCs w:val="0"/>
          <w:i w:val="0"/>
          <w:iCs w:val="0"/>
        </w:rPr>
        <w:t xml:space="preserve"> </w:t>
      </w:r>
      <w:r w:rsidRPr="007A3D87">
        <w:rPr>
          <w:bCs w:val="0"/>
          <w:i w:val="0"/>
          <w:iCs w:val="0"/>
        </w:rPr>
        <w:t>This combination of college-level education, training, and/or technical experience must have furnished both: a thorough knowledge of the physical and mathematical sciences underlying professional engineering; AND a good understanding, both theoretical and practical, of the engineering sciences and techniques and their application to professional engineering.</w:t>
      </w:r>
    </w:p>
    <w:p w14:paraId="3AE243AF" w14:textId="77777777" w:rsidR="004C41CF" w:rsidRDefault="004C41CF" w:rsidP="004C41CF">
      <w:pPr>
        <w:pStyle w:val="RuleQuote"/>
        <w:ind w:left="0"/>
        <w:rPr>
          <w:bCs w:val="0"/>
          <w:i w:val="0"/>
          <w:iCs w:val="0"/>
        </w:rPr>
      </w:pPr>
      <w:r>
        <w:rPr>
          <w:bCs w:val="0"/>
          <w:i w:val="0"/>
          <w:iCs w:val="0"/>
        </w:rPr>
        <w:t>Chemistry:</w:t>
      </w:r>
    </w:p>
    <w:p w14:paraId="6B8CC972" w14:textId="77777777" w:rsidR="004C41CF" w:rsidRDefault="004C41CF" w:rsidP="004C41CF">
      <w:pPr>
        <w:pStyle w:val="RuleQuote"/>
        <w:rPr>
          <w:bCs w:val="0"/>
          <w:i w:val="0"/>
          <w:iCs w:val="0"/>
        </w:rPr>
      </w:pPr>
      <w:bookmarkStart w:id="6" w:name="_Hlk215071061"/>
      <w:r>
        <w:rPr>
          <w:bCs w:val="0"/>
          <w:i w:val="0"/>
          <w:iCs w:val="0"/>
        </w:rPr>
        <w:t>Either:</w:t>
      </w:r>
    </w:p>
    <w:bookmarkEnd w:id="6"/>
    <w:p w14:paraId="452790D5" w14:textId="03CCF4CE" w:rsidR="004C41CF" w:rsidRPr="00D73895" w:rsidRDefault="004C41CF" w:rsidP="004C41CF">
      <w:pPr>
        <w:pStyle w:val="RuleQuote"/>
        <w:rPr>
          <w:bCs w:val="0"/>
          <w:i w:val="0"/>
          <w:iCs w:val="0"/>
        </w:rPr>
      </w:pPr>
      <w:r w:rsidRPr="00D73895">
        <w:rPr>
          <w:bCs w:val="0"/>
          <w:i w:val="0"/>
          <w:iCs w:val="0"/>
        </w:rPr>
        <w:t>A) At least a bachelor's degree in physical sciences, life sciences, or engineering that included 30 semester hours in chemistry, supplemented by coursework in mathematics through differential and integral calculus, and at least 6 semester hours of physics</w:t>
      </w:r>
      <w:r>
        <w:rPr>
          <w:bCs w:val="0"/>
          <w:i w:val="0"/>
          <w:iCs w:val="0"/>
        </w:rPr>
        <w:t xml:space="preserve">; </w:t>
      </w:r>
      <w:r w:rsidR="003E65D4">
        <w:rPr>
          <w:bCs w:val="0"/>
          <w:i w:val="0"/>
          <w:iCs w:val="0"/>
        </w:rPr>
        <w:t xml:space="preserve"> </w:t>
      </w:r>
      <w:r>
        <w:rPr>
          <w:bCs w:val="0"/>
          <w:i w:val="0"/>
          <w:iCs w:val="0"/>
        </w:rPr>
        <w:t>OR</w:t>
      </w:r>
    </w:p>
    <w:p w14:paraId="1121F514" w14:textId="1B0F6056" w:rsidR="004C41CF" w:rsidRDefault="004C41CF" w:rsidP="004C41CF">
      <w:pPr>
        <w:pStyle w:val="RuleQuote"/>
        <w:rPr>
          <w:bCs w:val="0"/>
          <w:i w:val="0"/>
          <w:iCs w:val="0"/>
        </w:rPr>
      </w:pPr>
      <w:r w:rsidRPr="00D73895">
        <w:rPr>
          <w:bCs w:val="0"/>
          <w:i w:val="0"/>
          <w:iCs w:val="0"/>
        </w:rPr>
        <w:t xml:space="preserve">B) Have a combination of education and </w:t>
      </w:r>
      <w:r w:rsidR="00E129EC" w:rsidRPr="00D73895">
        <w:rPr>
          <w:bCs w:val="0"/>
          <w:i w:val="0"/>
          <w:iCs w:val="0"/>
        </w:rPr>
        <w:t>experience-course</w:t>
      </w:r>
      <w:r w:rsidRPr="00D73895">
        <w:rPr>
          <w:bCs w:val="0"/>
          <w:i w:val="0"/>
          <w:iCs w:val="0"/>
        </w:rPr>
        <w:t xml:space="preserve"> work equivalent to a major as shown in A above, including at least 30 semester hours in chemistry, supplemented by mathematics through differential and integral calculus, and at least 6 semester hours of physics, plus appropriate experience or additional education.</w:t>
      </w:r>
    </w:p>
    <w:p w14:paraId="1C7C6FD8" w14:textId="77777777" w:rsidR="004C41CF" w:rsidRDefault="004C41CF" w:rsidP="004C41CF">
      <w:pPr>
        <w:pStyle w:val="RuleQuote"/>
        <w:ind w:left="0"/>
        <w:rPr>
          <w:bCs w:val="0"/>
          <w:i w:val="0"/>
          <w:iCs w:val="0"/>
        </w:rPr>
      </w:pPr>
      <w:r>
        <w:rPr>
          <w:bCs w:val="0"/>
          <w:i w:val="0"/>
          <w:iCs w:val="0"/>
        </w:rPr>
        <w:t>Computer Science:</w:t>
      </w:r>
    </w:p>
    <w:p w14:paraId="6E0F2705" w14:textId="77777777" w:rsidR="004C41CF" w:rsidRDefault="004C41CF" w:rsidP="004C41CF">
      <w:pPr>
        <w:pStyle w:val="RuleQuote"/>
        <w:rPr>
          <w:bCs w:val="0"/>
          <w:i w:val="0"/>
          <w:iCs w:val="0"/>
        </w:rPr>
      </w:pPr>
      <w:r>
        <w:rPr>
          <w:bCs w:val="0"/>
          <w:i w:val="0"/>
          <w:iCs w:val="0"/>
        </w:rPr>
        <w:t>Either:</w:t>
      </w:r>
    </w:p>
    <w:p w14:paraId="78870CAC" w14:textId="68D8466B" w:rsidR="0063331C" w:rsidRPr="00D5173C" w:rsidRDefault="0063331C" w:rsidP="0063331C">
      <w:pPr>
        <w:pStyle w:val="RuleQuote"/>
        <w:rPr>
          <w:bCs w:val="0"/>
          <w:i w:val="0"/>
          <w:iCs w:val="0"/>
        </w:rPr>
      </w:pPr>
      <w:r w:rsidRPr="00D5173C">
        <w:rPr>
          <w:bCs w:val="0"/>
          <w:i w:val="0"/>
          <w:iCs w:val="0"/>
        </w:rPr>
        <w:t xml:space="preserve">A) Bachelor's degree in computer science; </w:t>
      </w:r>
      <w:r w:rsidR="003E65D4">
        <w:rPr>
          <w:bCs w:val="0"/>
          <w:i w:val="0"/>
          <w:iCs w:val="0"/>
        </w:rPr>
        <w:t xml:space="preserve"> </w:t>
      </w:r>
      <w:r w:rsidRPr="00D5173C">
        <w:rPr>
          <w:bCs w:val="0"/>
          <w:i w:val="0"/>
          <w:iCs w:val="0"/>
        </w:rPr>
        <w:t>OR</w:t>
      </w:r>
    </w:p>
    <w:p w14:paraId="1E1DDBAF" w14:textId="706B021B" w:rsidR="0063331C" w:rsidRPr="0063331C" w:rsidRDefault="0063331C" w:rsidP="0063331C">
      <w:pPr>
        <w:pStyle w:val="RuleQuote"/>
        <w:rPr>
          <w:bCs w:val="0"/>
          <w:i w:val="0"/>
          <w:iCs w:val="0"/>
        </w:rPr>
      </w:pPr>
      <w:r w:rsidRPr="00D5173C">
        <w:rPr>
          <w:bCs w:val="0"/>
          <w:i w:val="0"/>
          <w:iCs w:val="0"/>
        </w:rPr>
        <w:t xml:space="preserve">B) Bachelor's degree with 30 semester hours in a combination of mathematics, statistics, and computer science. </w:t>
      </w:r>
      <w:r w:rsidR="002A398E">
        <w:rPr>
          <w:bCs w:val="0"/>
          <w:i w:val="0"/>
          <w:iCs w:val="0"/>
        </w:rPr>
        <w:t xml:space="preserve"> </w:t>
      </w:r>
      <w:r w:rsidRPr="00D5173C">
        <w:rPr>
          <w:bCs w:val="0"/>
          <w:i w:val="0"/>
          <w:iCs w:val="0"/>
        </w:rPr>
        <w:t>At least 15 of the 30 semester hours must have been any combination of statistics and mathematics that included differential and integral calculus. All academic degrees and coursework must be from accredited or pre-accredited institutions.</w:t>
      </w:r>
    </w:p>
    <w:p w14:paraId="6EE9EC05" w14:textId="77777777" w:rsidR="00141C5C" w:rsidRDefault="00141C5C" w:rsidP="00C5047D">
      <w:pPr>
        <w:pStyle w:val="RuleQuote"/>
        <w:ind w:left="0"/>
        <w:rPr>
          <w:i w:val="0"/>
          <w:iCs w:val="0"/>
        </w:rPr>
      </w:pPr>
    </w:p>
    <w:p w14:paraId="1C2049F1" w14:textId="77777777" w:rsidR="0063331C" w:rsidRDefault="0063331C" w:rsidP="00C5047D">
      <w:pPr>
        <w:pStyle w:val="RuleQuote"/>
        <w:ind w:left="0"/>
        <w:rPr>
          <w:i w:val="0"/>
          <w:iCs w:val="0"/>
        </w:rPr>
      </w:pPr>
    </w:p>
    <w:p w14:paraId="1D9DD5C0" w14:textId="77777777" w:rsidR="0063331C" w:rsidRDefault="0063331C" w:rsidP="00C5047D">
      <w:pPr>
        <w:pStyle w:val="RuleQuote"/>
        <w:ind w:left="0"/>
        <w:rPr>
          <w:i w:val="0"/>
          <w:iCs w:val="0"/>
        </w:rPr>
      </w:pPr>
    </w:p>
    <w:p w14:paraId="56D60BE0" w14:textId="77777777" w:rsidR="0063331C" w:rsidRDefault="0063331C" w:rsidP="00C5047D">
      <w:pPr>
        <w:pStyle w:val="RuleQuote"/>
        <w:ind w:left="0"/>
        <w:rPr>
          <w:i w:val="0"/>
          <w:iCs w:val="0"/>
        </w:rPr>
      </w:pPr>
    </w:p>
    <w:p w14:paraId="60AF6307" w14:textId="53C35BCC" w:rsidR="00C5047D" w:rsidRPr="002B3808" w:rsidRDefault="00C5047D" w:rsidP="00C5047D">
      <w:pPr>
        <w:pStyle w:val="SectionHeading"/>
        <w:rPr>
          <w:lang w:val="en-US"/>
        </w:rPr>
      </w:pPr>
      <w:r w:rsidRPr="002B3808">
        <w:rPr>
          <w:lang w:val="en-US"/>
        </w:rPr>
        <w:lastRenderedPageBreak/>
        <w:t>2.2 –</w:t>
      </w:r>
      <w:r w:rsidR="008E1297">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47CDB4CD" w:rsidR="00C5047D" w:rsidRDefault="00C5047D" w:rsidP="00C5047D">
      <w:pPr>
        <w:pStyle w:val="RuleQuote"/>
        <w:rPr>
          <w:szCs w:val="24"/>
        </w:rPr>
      </w:pPr>
      <w:r>
        <w:t xml:space="preserve">The requirements specified in the Administrative Instructions are set out in </w:t>
      </w:r>
      <w:hyperlink r:id="rId14" w:history="1">
        <w:r w:rsidRPr="00D33D7A">
          <w:rPr>
            <w:rStyle w:val="Hyperlink"/>
          </w:rPr>
          <w:t>Circular C. PCT 1672</w:t>
        </w:r>
      </w:hyperlink>
      <w:r>
        <w:t>, dated June 19, 2024.</w:t>
      </w:r>
    </w:p>
    <w:p w14:paraId="1F2DB717" w14:textId="7ED38C24" w:rsidR="00C5047D" w:rsidRDefault="00C5047D" w:rsidP="00C504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w:t>
      </w:r>
      <w:r w:rsidR="00B57D90">
        <w:rPr>
          <w:b w:val="0"/>
          <w:bCs w:val="0"/>
        </w:rPr>
        <w:t>30</w:t>
      </w:r>
      <w:r>
        <w:rPr>
          <w:b w:val="0"/>
          <w:bCs w:val="0"/>
        </w:rPr>
        <w:t>, 2025</w:t>
      </w:r>
      <w:r w:rsidR="007578A4">
        <w:rPr>
          <w:b w:val="0"/>
          <w:bCs w:val="0"/>
        </w:rPr>
        <w:t>,</w:t>
      </w:r>
      <w:r>
        <w:rPr>
          <w:b w:val="0"/>
          <w:bCs w:val="0"/>
        </w:rPr>
        <w:t xml:space="preserve"> at:  </w:t>
      </w:r>
      <w:hyperlink r:id="rId15" w:history="1">
        <w:r w:rsidR="00730164" w:rsidRPr="00730164">
          <w:rPr>
            <w:rStyle w:val="Hyperlink"/>
            <w:b w:val="0"/>
            <w:bCs w:val="0"/>
          </w:rPr>
          <w:t>https://www.wipo.int/documents/d/pct-system/docs-en-official-notices-officialnotices.pdf#page=216</w:t>
        </w:r>
      </w:hyperlink>
      <w:r w:rsidRPr="00D114DC">
        <w:rPr>
          <w:b w:val="0"/>
          <w:bCs w:val="0"/>
        </w:rPr>
        <w:t>.</w:t>
      </w:r>
    </w:p>
    <w:p w14:paraId="37D5BDD4" w14:textId="77777777" w:rsidR="00C5047D" w:rsidRDefault="00C5047D" w:rsidP="00C5047D">
      <w:pPr>
        <w:pStyle w:val="Answer"/>
      </w:pPr>
    </w:p>
    <w:p w14:paraId="1DE04B01" w14:textId="77777777" w:rsidR="00C5047D" w:rsidRDefault="00C5047D" w:rsidP="00C5047D">
      <w:pPr>
        <w:pStyle w:val="Answer"/>
        <w:ind w:left="0"/>
      </w:pPr>
      <w:r>
        <w:t>Or:</w:t>
      </w:r>
    </w:p>
    <w:p w14:paraId="5487139A" w14:textId="77777777" w:rsidR="00141C5C" w:rsidRDefault="00141C5C" w:rsidP="00C5047D">
      <w:pPr>
        <w:pStyle w:val="Answer"/>
        <w:ind w:left="0"/>
      </w:pPr>
    </w:p>
    <w:p w14:paraId="29122C8D" w14:textId="1288FD07" w:rsidR="006A5C36" w:rsidRDefault="005614E2"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9A4C13D" w14:textId="77777777" w:rsidR="00C5047D" w:rsidRPr="002B3808" w:rsidRDefault="00C5047D" w:rsidP="00C5047D">
      <w:pPr>
        <w:pStyle w:val="SectionHeading"/>
        <w:rPr>
          <w:lang w:val="en-US"/>
        </w:rPr>
      </w:pPr>
      <w:r w:rsidRPr="002B3808">
        <w:rPr>
          <w:lang w:val="en-US"/>
        </w:rPr>
        <w:lastRenderedPageBreak/>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5D07E27F" w:rsidR="00C5047D" w:rsidRDefault="00C5047D" w:rsidP="00C5047D">
      <w:pPr>
        <w:pStyle w:val="RuleQuote"/>
        <w:ind w:left="0"/>
        <w:rPr>
          <w:i w:val="0"/>
          <w:iCs w:val="0"/>
        </w:rPr>
      </w:pPr>
      <w:r>
        <w:rPr>
          <w:i w:val="0"/>
          <w:iCs w:val="0"/>
        </w:rPr>
        <w:t xml:space="preserve">Other information beyond the QMS Report (optional):  </w:t>
      </w:r>
    </w:p>
    <w:p w14:paraId="61FFA6D9" w14:textId="77777777" w:rsidR="004E7E2F" w:rsidRDefault="004E7E2F" w:rsidP="00C5047D">
      <w:pPr>
        <w:pStyle w:val="RuleQuote"/>
        <w:ind w:left="0"/>
        <w:rPr>
          <w:i w:val="0"/>
          <w:iCs w:val="0"/>
        </w:rPr>
      </w:pPr>
    </w:p>
    <w:p w14:paraId="6EF613BF" w14:textId="08A591F5" w:rsidR="00C5047D" w:rsidRPr="002B3808" w:rsidRDefault="00C5047D" w:rsidP="00C5047D">
      <w:pPr>
        <w:pStyle w:val="SectionHeading"/>
        <w:rPr>
          <w:lang w:val="en-US"/>
        </w:rPr>
      </w:pPr>
      <w:r w:rsidRPr="002B3808">
        <w:rPr>
          <w:lang w:val="en-US"/>
        </w:rPr>
        <w:t>2.4 –</w:t>
      </w:r>
      <w:r w:rsidR="008E1297">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37200028" w:rsidR="00C5047D" w:rsidRDefault="00C5047D" w:rsidP="00C5047D">
      <w:pPr>
        <w:pStyle w:val="RuleQuote"/>
        <w:ind w:left="0"/>
        <w:rPr>
          <w:i w:val="0"/>
          <w:iCs w:val="0"/>
        </w:rPr>
      </w:pPr>
      <w:r>
        <w:rPr>
          <w:i w:val="0"/>
          <w:iCs w:val="0"/>
        </w:rPr>
        <w:t xml:space="preserve">Other information beyond the QMS Report (optional):  </w:t>
      </w:r>
    </w:p>
    <w:p w14:paraId="21916F50" w14:textId="77777777" w:rsidR="004E7E2F" w:rsidRDefault="004E7E2F" w:rsidP="00C5047D">
      <w:pPr>
        <w:pStyle w:val="RuleQuote"/>
        <w:ind w:left="0"/>
        <w:rPr>
          <w:i w:val="0"/>
          <w:iCs w:val="0"/>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r>
        <w:tab/>
      </w:r>
      <w:r w:rsidRPr="00D33D7A">
        <w:t>Current scope of operation</w:t>
      </w:r>
    </w:p>
    <w:p w14:paraId="00647516" w14:textId="534A4EA9" w:rsidR="00C5047D" w:rsidRPr="003F6F01"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bookmarkStart w:id="7" w:name="_Hlk214637647"/>
      <w:r w:rsidR="006916DB">
        <w:rPr>
          <w:b w:val="0"/>
          <w:bCs w:val="0"/>
        </w:rPr>
        <w:t>s</w:t>
      </w:r>
      <w:r>
        <w:rPr>
          <w:b w:val="0"/>
          <w:bCs w:val="0"/>
        </w:rPr>
        <w:t>:</w:t>
      </w:r>
      <w:r w:rsidR="009E67E7">
        <w:rPr>
          <w:b w:val="0"/>
          <w:bCs w:val="0"/>
        </w:rPr>
        <w:t xml:space="preserve"> </w:t>
      </w:r>
      <w:r w:rsidR="00730164">
        <w:rPr>
          <w:b w:val="0"/>
          <w:bCs w:val="0"/>
        </w:rPr>
        <w:t xml:space="preserve"> </w:t>
      </w:r>
      <w:hyperlink r:id="rId16" w:history="1">
        <w:r w:rsidR="00730164" w:rsidRPr="00730164">
          <w:rPr>
            <w:rStyle w:val="Hyperlink"/>
            <w:b w:val="0"/>
            <w:bCs w:val="0"/>
          </w:rPr>
          <w:t>https://pctlegal.wipo.int/eGuide/view-doc.xhtml?doc-code=US&amp;doc-lang=en#ISA</w:t>
        </w:r>
      </w:hyperlink>
      <w:r>
        <w:rPr>
          <w:b w:val="0"/>
          <w:bCs w:val="0"/>
        </w:rPr>
        <w:t xml:space="preserve"> </w:t>
      </w:r>
      <w:r w:rsidRPr="00730164">
        <w:rPr>
          <w:b w:val="0"/>
          <w:bCs w:val="0"/>
        </w:rPr>
        <w:t>and</w:t>
      </w:r>
      <w:bookmarkEnd w:id="7"/>
      <w:r w:rsidR="00730164" w:rsidRPr="00730164">
        <w:rPr>
          <w:b w:val="0"/>
          <w:bCs w:val="0"/>
        </w:rPr>
        <w:t xml:space="preserve"> </w:t>
      </w:r>
      <w:hyperlink r:id="rId17" w:history="1">
        <w:r w:rsidR="00730164" w:rsidRPr="00730164">
          <w:rPr>
            <w:rStyle w:val="Hyperlink"/>
            <w:b w:val="0"/>
            <w:bCs w:val="0"/>
          </w:rPr>
          <w:t>https://pctlegal.wipo.int/eGuide/view-doc.xhtml?doc-code=US&amp;doc-lang=en#IPEA</w:t>
        </w:r>
      </w:hyperlink>
      <w:r>
        <w:rPr>
          <w:b w:val="0"/>
          <w:bCs w:val="0"/>
          <w:i/>
          <w:iCs/>
        </w:rPr>
        <w:t>.</w:t>
      </w:r>
    </w:p>
    <w:p w14:paraId="28EC7561" w14:textId="15DC26C3" w:rsidR="00C5047D" w:rsidRDefault="00C5047D" w:rsidP="00C5047D">
      <w:pPr>
        <w:pStyle w:val="Question"/>
        <w:numPr>
          <w:ilvl w:val="0"/>
          <w:numId w:val="8"/>
        </w:numPr>
        <w:spacing w:after="240"/>
      </w:pPr>
      <w:r>
        <w:t xml:space="preserve">   Planned changes to scope of operation as an Authority, such</w:t>
      </w:r>
      <w:r w:rsidR="003E65D4">
        <w:t xml:space="preserve"> as</w:t>
      </w:r>
      <w:r>
        <w:t xml:space="preserve"> the receiving Offices for which the Authority is competent and languages offered (if any):</w:t>
      </w:r>
      <w:r w:rsidR="004E7E2F">
        <w:t xml:space="preserve">  </w:t>
      </w:r>
    </w:p>
    <w:p w14:paraId="3CB68C76" w14:textId="77777777" w:rsidR="004E7E2F" w:rsidRPr="004E7E2F" w:rsidRDefault="004E7E2F" w:rsidP="004E7E2F">
      <w:pPr>
        <w:pStyle w:val="Answer"/>
      </w:pPr>
    </w:p>
    <w:p w14:paraId="0330D9AA" w14:textId="77777777" w:rsidR="00C5047D" w:rsidRPr="002B3808" w:rsidRDefault="00C5047D" w:rsidP="00C5047D">
      <w:pPr>
        <w:pStyle w:val="SectionHeading"/>
        <w:rPr>
          <w:lang w:val="en-US"/>
        </w:rPr>
      </w:pPr>
      <w:r w:rsidRPr="002B3808">
        <w:rPr>
          <w:lang w:val="en-US"/>
        </w:rPr>
        <w:lastRenderedPageBreak/>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77777777" w:rsidR="00C5047D" w:rsidRDefault="00C5047D" w:rsidP="00C5047D"/>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6DE7DF72" w:rsidR="009A31F1" w:rsidRPr="00346ECC" w:rsidRDefault="009A31F1" w:rsidP="009A31F1">
        <w:pPr>
          <w:jc w:val="right"/>
          <w:rPr>
            <w:caps/>
            <w:lang w:val="fr-CH"/>
          </w:rPr>
        </w:pPr>
        <w:r w:rsidRPr="00346ECC">
          <w:rPr>
            <w:caps/>
            <w:lang w:val="fr-CH"/>
          </w:rPr>
          <w:t>PCT/CTC/33/</w:t>
        </w:r>
        <w:r w:rsidR="002713DE">
          <w:rPr>
            <w:caps/>
            <w:lang w:val="fr-CH"/>
          </w:rPr>
          <w:t>2</w:t>
        </w:r>
        <w:r w:rsidR="000A480B">
          <w:rPr>
            <w:caps/>
            <w:lang w:val="fr-CH"/>
          </w:rPr>
          <w:t>4</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5614E2"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3283CC13" w:rsidR="009A31F1" w:rsidRDefault="009A31F1" w:rsidP="009A31F1">
    <w:pPr>
      <w:pStyle w:val="Header"/>
      <w:jc w:val="right"/>
    </w:pPr>
    <w:r>
      <w:tab/>
      <w:t>PCT/CTC/33/</w:t>
    </w:r>
    <w:r w:rsidR="002713DE">
      <w:t>2</w:t>
    </w:r>
    <w:r w:rsidR="000A480B">
      <w:t>4</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3A0173E"/>
    <w:multiLevelType w:val="hybridMultilevel"/>
    <w:tmpl w:val="5B2E56E6"/>
    <w:lvl w:ilvl="0" w:tplc="CAE2D1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 w:numId="10" w16cid:durableId="1232888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92AAB"/>
    <w:rsid w:val="000968ED"/>
    <w:rsid w:val="000A3D97"/>
    <w:rsid w:val="000A480B"/>
    <w:rsid w:val="000A6309"/>
    <w:rsid w:val="000D46FE"/>
    <w:rsid w:val="000F5E56"/>
    <w:rsid w:val="00111BB0"/>
    <w:rsid w:val="001136E5"/>
    <w:rsid w:val="001362EE"/>
    <w:rsid w:val="00141C5C"/>
    <w:rsid w:val="001647D5"/>
    <w:rsid w:val="001832A6"/>
    <w:rsid w:val="001D4107"/>
    <w:rsid w:val="001F1115"/>
    <w:rsid w:val="00203D24"/>
    <w:rsid w:val="0021217E"/>
    <w:rsid w:val="00217FB1"/>
    <w:rsid w:val="002326AB"/>
    <w:rsid w:val="00243430"/>
    <w:rsid w:val="00253068"/>
    <w:rsid w:val="002634C4"/>
    <w:rsid w:val="002713DE"/>
    <w:rsid w:val="002928D3"/>
    <w:rsid w:val="002A398E"/>
    <w:rsid w:val="002A7554"/>
    <w:rsid w:val="002C5A18"/>
    <w:rsid w:val="002E29C7"/>
    <w:rsid w:val="002F1FE6"/>
    <w:rsid w:val="002F4E68"/>
    <w:rsid w:val="00312F7F"/>
    <w:rsid w:val="0034197A"/>
    <w:rsid w:val="00361450"/>
    <w:rsid w:val="003673CF"/>
    <w:rsid w:val="003845C1"/>
    <w:rsid w:val="00397B19"/>
    <w:rsid w:val="003A6F89"/>
    <w:rsid w:val="003B38C1"/>
    <w:rsid w:val="003C34E9"/>
    <w:rsid w:val="003E65D4"/>
    <w:rsid w:val="003F6F01"/>
    <w:rsid w:val="00423E3E"/>
    <w:rsid w:val="00427AF4"/>
    <w:rsid w:val="00460698"/>
    <w:rsid w:val="004647DA"/>
    <w:rsid w:val="00466D9E"/>
    <w:rsid w:val="00473C18"/>
    <w:rsid w:val="00474062"/>
    <w:rsid w:val="00477D6B"/>
    <w:rsid w:val="00480FAD"/>
    <w:rsid w:val="004B446A"/>
    <w:rsid w:val="004B6994"/>
    <w:rsid w:val="004C41CF"/>
    <w:rsid w:val="004E7E2F"/>
    <w:rsid w:val="005019FF"/>
    <w:rsid w:val="00517EBA"/>
    <w:rsid w:val="0053057A"/>
    <w:rsid w:val="00544724"/>
    <w:rsid w:val="00556076"/>
    <w:rsid w:val="00560A29"/>
    <w:rsid w:val="005614E2"/>
    <w:rsid w:val="005C6649"/>
    <w:rsid w:val="005C79F6"/>
    <w:rsid w:val="00605827"/>
    <w:rsid w:val="0063331C"/>
    <w:rsid w:val="00646050"/>
    <w:rsid w:val="00647CAE"/>
    <w:rsid w:val="006713CA"/>
    <w:rsid w:val="00676C5C"/>
    <w:rsid w:val="006916DB"/>
    <w:rsid w:val="006A4A38"/>
    <w:rsid w:val="006A5C36"/>
    <w:rsid w:val="006C238E"/>
    <w:rsid w:val="006C712A"/>
    <w:rsid w:val="006F04BC"/>
    <w:rsid w:val="006F7742"/>
    <w:rsid w:val="00720EFD"/>
    <w:rsid w:val="00723855"/>
    <w:rsid w:val="00730164"/>
    <w:rsid w:val="00756C6B"/>
    <w:rsid w:val="007578A4"/>
    <w:rsid w:val="00761CD8"/>
    <w:rsid w:val="007837EB"/>
    <w:rsid w:val="007854AF"/>
    <w:rsid w:val="00793A7C"/>
    <w:rsid w:val="007A398A"/>
    <w:rsid w:val="007A3EC4"/>
    <w:rsid w:val="007D0724"/>
    <w:rsid w:val="007D1613"/>
    <w:rsid w:val="007E4C0E"/>
    <w:rsid w:val="008543C9"/>
    <w:rsid w:val="008769C1"/>
    <w:rsid w:val="008A134B"/>
    <w:rsid w:val="008B2CC1"/>
    <w:rsid w:val="008B60B2"/>
    <w:rsid w:val="008E1297"/>
    <w:rsid w:val="0090731E"/>
    <w:rsid w:val="009164E6"/>
    <w:rsid w:val="00916EE2"/>
    <w:rsid w:val="00936531"/>
    <w:rsid w:val="00966A22"/>
    <w:rsid w:val="0096722F"/>
    <w:rsid w:val="00980843"/>
    <w:rsid w:val="009A31F1"/>
    <w:rsid w:val="009A3FD0"/>
    <w:rsid w:val="009A53C9"/>
    <w:rsid w:val="009E2791"/>
    <w:rsid w:val="009E3F6F"/>
    <w:rsid w:val="009E67E7"/>
    <w:rsid w:val="009F499F"/>
    <w:rsid w:val="00A0628B"/>
    <w:rsid w:val="00A1569E"/>
    <w:rsid w:val="00A37342"/>
    <w:rsid w:val="00A42DAF"/>
    <w:rsid w:val="00A45BD8"/>
    <w:rsid w:val="00A53F2A"/>
    <w:rsid w:val="00A869B7"/>
    <w:rsid w:val="00A90F0A"/>
    <w:rsid w:val="00AC205C"/>
    <w:rsid w:val="00AC3AD6"/>
    <w:rsid w:val="00AC4B8D"/>
    <w:rsid w:val="00AF0A6B"/>
    <w:rsid w:val="00B0073F"/>
    <w:rsid w:val="00B00D48"/>
    <w:rsid w:val="00B05A69"/>
    <w:rsid w:val="00B442F5"/>
    <w:rsid w:val="00B57D90"/>
    <w:rsid w:val="00B75281"/>
    <w:rsid w:val="00B81893"/>
    <w:rsid w:val="00B92F1F"/>
    <w:rsid w:val="00B9724E"/>
    <w:rsid w:val="00B9734B"/>
    <w:rsid w:val="00BA30E2"/>
    <w:rsid w:val="00BC039A"/>
    <w:rsid w:val="00BE5A39"/>
    <w:rsid w:val="00C014ED"/>
    <w:rsid w:val="00C11BFE"/>
    <w:rsid w:val="00C22B2B"/>
    <w:rsid w:val="00C5047D"/>
    <w:rsid w:val="00C5068F"/>
    <w:rsid w:val="00C70563"/>
    <w:rsid w:val="00C86D74"/>
    <w:rsid w:val="00CD04F1"/>
    <w:rsid w:val="00CF681A"/>
    <w:rsid w:val="00D07C78"/>
    <w:rsid w:val="00D45252"/>
    <w:rsid w:val="00D50FB2"/>
    <w:rsid w:val="00D71B4D"/>
    <w:rsid w:val="00D87365"/>
    <w:rsid w:val="00D93D55"/>
    <w:rsid w:val="00DD7B7F"/>
    <w:rsid w:val="00E129EC"/>
    <w:rsid w:val="00E15015"/>
    <w:rsid w:val="00E335FE"/>
    <w:rsid w:val="00E82F6F"/>
    <w:rsid w:val="00E955BE"/>
    <w:rsid w:val="00EA6422"/>
    <w:rsid w:val="00EA7D6E"/>
    <w:rsid w:val="00EB2F76"/>
    <w:rsid w:val="00EC4E49"/>
    <w:rsid w:val="00ED77FB"/>
    <w:rsid w:val="00EE45FA"/>
    <w:rsid w:val="00F00598"/>
    <w:rsid w:val="00F043DE"/>
    <w:rsid w:val="00F63809"/>
    <w:rsid w:val="00F66152"/>
    <w:rsid w:val="00F83A51"/>
    <w:rsid w:val="00F9165B"/>
    <w:rsid w:val="00FB21FF"/>
    <w:rsid w:val="00FB4EAD"/>
    <w:rsid w:val="00FC3A37"/>
    <w:rsid w:val="00FC482F"/>
    <w:rsid w:val="00FE0B36"/>
    <w:rsid w:val="00FF4B4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51954">
      <w:bodyDiv w:val="1"/>
      <w:marLeft w:val="0"/>
      <w:marRight w:val="0"/>
      <w:marTop w:val="0"/>
      <w:marBottom w:val="0"/>
      <w:divBdr>
        <w:top w:val="none" w:sz="0" w:space="0" w:color="auto"/>
        <w:left w:val="none" w:sz="0" w:space="0" w:color="auto"/>
        <w:bottom w:val="none" w:sz="0" w:space="0" w:color="auto"/>
        <w:right w:val="none" w:sz="0" w:space="0" w:color="auto"/>
      </w:divBdr>
    </w:div>
    <w:div w:id="19540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w.officeapps.live.com/op/view.aspx?src=https%3A%2F%2Fwww.uspto.gov%2Fdashboard%2Fdata%2Fpatents%2Ftcleveldashboard.xlsx&amp;wdOrigin=BROWSELIN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yperlink" Target="file:///\\adi.wipo.int\wipodata\DAT1\OrgPctLdev\Shared\WIPO%20meetings%20-%20PCT\PCT-CTC-33\Applications%20for%20extension%20of%20appointment\US\pct_ctc_33_23%20draft%20US.docx" TargetMode="Externa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US\pct_ctc_33_23%20draft%20U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neas@uspto.gov"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US\pct_ctc_33_23%20draft%20US.docx"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en/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3</TotalTime>
  <Pages>7</Pages>
  <Words>1293</Words>
  <Characters>8919</Characters>
  <Application>Microsoft Office Word</Application>
  <DocSecurity>0</DocSecurity>
  <Lines>241</Lines>
  <Paragraphs>126</Paragraphs>
  <ScaleCrop>false</ScaleCrop>
  <HeadingPairs>
    <vt:vector size="2" baseType="variant">
      <vt:variant>
        <vt:lpstr>Title</vt:lpstr>
      </vt:variant>
      <vt:variant>
        <vt:i4>1</vt:i4>
      </vt:variant>
    </vt:vector>
  </HeadingPairs>
  <TitlesOfParts>
    <vt:vector size="1" baseType="lpstr">
      <vt:lpstr>PCT/CTC/33/24</vt:lpstr>
    </vt:vector>
  </TitlesOfParts>
  <Company>WIPO</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PCT/CTC/33/24</dc:title>
  <dc:subject>Extension of Apointment of the United States Patent and Trademark Office as an International Searching and Preliminary Examining Authority Under the PCT</dc:subject>
  <dc:creator>NOVRUZOVA Elnara</dc:creator>
  <cp:keywords/>
  <cp:lastModifiedBy>RICHARDSON Michael</cp:lastModifiedBy>
  <cp:revision>6</cp:revision>
  <cp:lastPrinted>2025-11-24T16:36:00Z</cp:lastPrinted>
  <dcterms:created xsi:type="dcterms:W3CDTF">2025-12-19T10:20:00Z</dcterms:created>
  <dcterms:modified xsi:type="dcterms:W3CDTF">2025-12-19T16:05:00Z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