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4FB294A6"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04521A">
        <w:rPr>
          <w:rFonts w:ascii="Arial Black" w:hAnsi="Arial Black"/>
          <w:caps/>
          <w:sz w:val="15"/>
          <w:szCs w:val="15"/>
        </w:rPr>
        <w:t>2</w:t>
      </w:r>
      <w:r w:rsidR="00CA7D08">
        <w:rPr>
          <w:rFonts w:ascii="Arial Black" w:hAnsi="Arial Black"/>
          <w:caps/>
          <w:sz w:val="15"/>
          <w:szCs w:val="15"/>
        </w:rPr>
        <w:t>0</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2526251A"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B83413">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3D53AB4E" w:rsidR="008B2CC1" w:rsidRPr="003845C1" w:rsidRDefault="009A31F1" w:rsidP="00DD7B7F">
      <w:pPr>
        <w:spacing w:after="360"/>
        <w:outlineLvl w:val="0"/>
        <w:rPr>
          <w:caps/>
          <w:sz w:val="24"/>
        </w:rPr>
      </w:pPr>
      <w:bookmarkStart w:id="3" w:name="TitleOfDoc"/>
      <w:r>
        <w:rPr>
          <w:caps/>
          <w:sz w:val="24"/>
        </w:rPr>
        <w:t xml:space="preserve">EXTENSION OF APPOINTMENT OF THE </w:t>
      </w:r>
      <w:r w:rsidR="004E2E89">
        <w:rPr>
          <w:caps/>
          <w:sz w:val="24"/>
        </w:rPr>
        <w:t>swedish intellectual property</w:t>
      </w:r>
      <w:r w:rsidR="00A1569E">
        <w:rPr>
          <w:caps/>
          <w:sz w:val="24"/>
        </w:rPr>
        <w:t xml:space="preserve"> OFFICE</w:t>
      </w:r>
      <w:r w:rsidR="004E2E89">
        <w:rPr>
          <w:caps/>
          <w:sz w:val="24"/>
        </w:rPr>
        <w:t xml:space="preserv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2D6A6280" w:rsidR="009A31F1" w:rsidRDefault="009A31F1" w:rsidP="002326AB">
      <w:pPr>
        <w:spacing w:after="220"/>
      </w:pPr>
      <w:r w:rsidRPr="009A31F1">
        <w:t>2.</w:t>
      </w:r>
      <w:r w:rsidRPr="009A31F1">
        <w:tab/>
        <w:t xml:space="preserve">On </w:t>
      </w:r>
      <w:r w:rsidR="004E2E89">
        <w:t>December</w:t>
      </w:r>
      <w:r w:rsidR="00A1569E">
        <w:t xml:space="preserve"> </w:t>
      </w:r>
      <w:r w:rsidR="004E2E89">
        <w:t>1</w:t>
      </w:r>
      <w:r w:rsidRPr="009A31F1">
        <w:t xml:space="preserve">, 2025, the </w:t>
      </w:r>
      <w:r w:rsidR="004E2E89">
        <w:t>Swedish Intellectual Property</w:t>
      </w:r>
      <w:r w:rsidR="00A1569E">
        <w:t xml:space="preserve"> Office</w:t>
      </w:r>
      <w:r w:rsidR="004E2E89">
        <w:t xml:space="preserve"> (PRV)</w:t>
      </w:r>
      <w:r w:rsidR="00A1569E">
        <w:t xml:space="preserv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Pr="002B3808" w:rsidRDefault="009A31F1" w:rsidP="009A31F1">
      <w:pPr>
        <w:pStyle w:val="SectionHeading"/>
        <w:rPr>
          <w:lang w:val="en-US"/>
        </w:rPr>
      </w:pPr>
      <w:r w:rsidRPr="002B3808">
        <w:rPr>
          <w:lang w:val="en-US"/>
        </w:rPr>
        <w:t>1 – General</w:t>
      </w:r>
    </w:p>
    <w:p w14:paraId="3EC1838E" w14:textId="77777777" w:rsidR="004E2E89" w:rsidRPr="00727A7B" w:rsidRDefault="004E2E89" w:rsidP="004E2E89">
      <w:pPr>
        <w:pStyle w:val="Question"/>
        <w:spacing w:after="480"/>
        <w:rPr>
          <w:b w:val="0"/>
          <w:bCs w:val="0"/>
        </w:rPr>
      </w:pPr>
      <w:r>
        <w:t>(a)</w:t>
      </w:r>
      <w:r>
        <w:tab/>
        <w:t xml:space="preserve">Name of Office or intergovernmental organization: </w:t>
      </w:r>
      <w:r>
        <w:br/>
      </w:r>
      <w:r>
        <w:br/>
      </w:r>
      <w:r w:rsidRPr="00727A7B">
        <w:rPr>
          <w:b w:val="0"/>
          <w:bCs w:val="0"/>
        </w:rPr>
        <w:t>Swedish Intellectual Property Office (PRV)</w:t>
      </w:r>
    </w:p>
    <w:p w14:paraId="20E0BE46" w14:textId="77777777" w:rsidR="004E2E89" w:rsidRDefault="004E2E89" w:rsidP="004E2E89">
      <w:pPr>
        <w:pStyle w:val="Question"/>
        <w:spacing w:after="480"/>
      </w:pPr>
      <w:r>
        <w:t>(b)</w:t>
      </w:r>
      <w:r>
        <w:tab/>
        <w:t>Name and contact details of official for any queries about this application:</w:t>
      </w:r>
    </w:p>
    <w:p w14:paraId="59279634" w14:textId="5BE7A706" w:rsidR="009A31F1" w:rsidRPr="004E2E89" w:rsidRDefault="004E2E89" w:rsidP="004E2E89">
      <w:pPr>
        <w:pStyle w:val="Question"/>
        <w:spacing w:after="480"/>
        <w:rPr>
          <w:b w:val="0"/>
          <w:bCs w:val="0"/>
        </w:rPr>
      </w:pPr>
      <w:r w:rsidRPr="00040633">
        <w:rPr>
          <w:b w:val="0"/>
          <w:bCs w:val="0"/>
        </w:rPr>
        <w:t>Åsa Viken,</w:t>
      </w:r>
      <w:r w:rsidR="00834AA5" w:rsidRPr="00834AA5">
        <w:t xml:space="preserve"> </w:t>
      </w:r>
      <w:hyperlink r:id="rId11" w:history="1">
        <w:r w:rsidR="00834AA5" w:rsidRPr="00040633">
          <w:rPr>
            <w:rStyle w:val="Hyperlink"/>
            <w:b w:val="0"/>
            <w:bCs w:val="0"/>
          </w:rPr>
          <w:t>asa.viken@prv.se</w:t>
        </w:r>
      </w:hyperlink>
      <w:r w:rsidR="00834AA5">
        <w:rPr>
          <w:b w:val="0"/>
          <w:bCs w:val="0"/>
        </w:rPr>
        <w:t xml:space="preserve">, </w:t>
      </w:r>
      <w:r w:rsidRPr="00040633">
        <w:rPr>
          <w:b w:val="0"/>
          <w:bCs w:val="0"/>
        </w:rPr>
        <w:t>+46-8-782 27 45, Patent Process Owner, Patent department</w:t>
      </w:r>
      <w:r>
        <w:br/>
      </w:r>
      <w:r w:rsidRPr="004B5355">
        <w:br/>
      </w:r>
      <w:r w:rsidRPr="00040633">
        <w:rPr>
          <w:b w:val="0"/>
          <w:bCs w:val="0"/>
        </w:rPr>
        <w:t xml:space="preserve">Marie Eriksson, </w:t>
      </w:r>
      <w:hyperlink r:id="rId12" w:history="1">
        <w:r w:rsidR="00834AA5" w:rsidRPr="00040633">
          <w:rPr>
            <w:rStyle w:val="Hyperlink"/>
            <w:b w:val="0"/>
            <w:bCs w:val="0"/>
          </w:rPr>
          <w:t>marie.eriksson@prv.se</w:t>
        </w:r>
      </w:hyperlink>
      <w:r w:rsidR="00834AA5">
        <w:rPr>
          <w:b w:val="0"/>
          <w:bCs w:val="0"/>
        </w:rPr>
        <w:t xml:space="preserve">, </w:t>
      </w:r>
      <w:r w:rsidRPr="00040633">
        <w:rPr>
          <w:b w:val="0"/>
          <w:bCs w:val="0"/>
        </w:rPr>
        <w:t>+46-8-782 25 84, Head of Legal Unit, Patent department</w:t>
      </w:r>
    </w:p>
    <w:p w14:paraId="5EBA2C3E" w14:textId="77777777" w:rsidR="009A31F1" w:rsidRDefault="009A31F1" w:rsidP="009A31F1">
      <w:pPr>
        <w:pStyle w:val="Question"/>
      </w:pPr>
      <w:r>
        <w:t>(c)</w:t>
      </w:r>
      <w:r>
        <w:tab/>
        <w:t>Date on which application for extension of appointment was received by the Director General:</w:t>
      </w:r>
    </w:p>
    <w:p w14:paraId="2740412F" w14:textId="7A539B55" w:rsidR="009A31F1" w:rsidRPr="004C5F56" w:rsidRDefault="004E2E89" w:rsidP="009A31F1">
      <w:pPr>
        <w:pStyle w:val="Answer"/>
      </w:pPr>
      <w:r>
        <w:t>December 1</w:t>
      </w:r>
      <w:r w:rsidR="009A31F1" w:rsidRPr="004C5F56">
        <w:t>,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41F8ADA5" w:rsidR="009A31F1" w:rsidRDefault="009A31F1" w:rsidP="009A31F1">
      <w:r>
        <w:t xml:space="preserve">In addition to the annual report on the quality management system by the Office or organization for 2025 (“the QMS Report” </w:t>
      </w:r>
      <w:hyperlink r:id="rId13" w:anchor="SE" w:history="1">
        <w:r w:rsidR="007A4A5F" w:rsidRPr="00590D94">
          <w:rPr>
            <w:rStyle w:val="Hyperlink"/>
          </w:rPr>
          <w:t>https://www.wipo.int/en/web/pct-system/quality/authorities#SE</w:t>
        </w:r>
      </w:hyperlink>
      <w:r w:rsidR="007A4A5F">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422F4FE7" w:rsidR="009A31F1" w:rsidRDefault="009A31F1" w:rsidP="00D87365">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B23337F" w14:textId="77777777" w:rsidR="00C5047D" w:rsidRPr="00A1569E" w:rsidRDefault="00C5047D" w:rsidP="009A31F1">
      <w:pPr>
        <w:ind w:left="540"/>
        <w:jc w:val="both"/>
        <w:rPr>
          <w:rFonts w:ascii="Helvetica" w:hAnsi="Helvetica" w:cs="Helvetica"/>
          <w:color w:val="000000" w:themeColor="text1"/>
          <w:szCs w:val="22"/>
        </w:rPr>
      </w:pPr>
    </w:p>
    <w:p w14:paraId="70EE9A7D" w14:textId="77777777" w:rsidR="00C5047D" w:rsidRPr="009D0055" w:rsidRDefault="00C5047D" w:rsidP="009A31F1">
      <w:pPr>
        <w:ind w:left="540"/>
        <w:jc w:val="both"/>
        <w:rPr>
          <w:rFonts w:ascii="Helvetica" w:hAnsi="Helvetica" w:cs="Helvetica"/>
          <w:i/>
          <w:iCs/>
          <w:color w:val="000000" w:themeColor="text1"/>
          <w:szCs w:val="22"/>
        </w:rPr>
      </w:pPr>
    </w:p>
    <w:p w14:paraId="0066CCED" w14:textId="77777777" w:rsidR="00C5047D" w:rsidRDefault="00C5047D" w:rsidP="00FE1756">
      <w:pPr>
        <w:pStyle w:val="Question"/>
        <w:spacing w:after="480"/>
      </w:pPr>
      <w:r>
        <w:lastRenderedPageBreak/>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527"/>
        <w:gridCol w:w="1684"/>
        <w:gridCol w:w="1684"/>
        <w:gridCol w:w="1684"/>
      </w:tblGrid>
      <w:tr w:rsidR="004E2E89" w14:paraId="0E615A6B" w14:textId="77777777" w:rsidTr="00025C51">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2BFB37C6" w14:textId="77777777" w:rsidR="004E2E89" w:rsidRDefault="004E2E89" w:rsidP="00025C51">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14:paraId="5F976A37" w14:textId="77777777" w:rsidR="004E2E89" w:rsidRDefault="004E2E89" w:rsidP="00025C51">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14:paraId="4ED29E2A" w14:textId="77777777" w:rsidR="004E2E89" w:rsidRDefault="004E2E89" w:rsidP="00025C51">
            <w:pPr>
              <w:suppressAutoHyphens/>
              <w:rPr>
                <w:rFonts w:eastAsia="Times New Roman"/>
                <w:b/>
                <w:bCs/>
                <w:szCs w:val="24"/>
                <w:lang w:eastAsia="en-US" w:bidi="he-IL"/>
              </w:rPr>
            </w:pPr>
            <w:r>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14:paraId="010A9777" w14:textId="77777777" w:rsidR="004E2E89" w:rsidRDefault="004E2E89" w:rsidP="00025C51">
            <w:pPr>
              <w:suppressAutoHyphens/>
              <w:rPr>
                <w:rFonts w:eastAsia="Times New Roman"/>
                <w:b/>
                <w:bCs/>
                <w:szCs w:val="24"/>
                <w:lang w:eastAsia="en-US" w:bidi="he-IL"/>
              </w:rPr>
            </w:pPr>
            <w:r>
              <w:rPr>
                <w:b/>
                <w:bCs/>
                <w:lang w:eastAsia="en-US" w:bidi="he-IL"/>
              </w:rPr>
              <w:t>Breakdown of qualifications</w:t>
            </w:r>
          </w:p>
        </w:tc>
      </w:tr>
      <w:tr w:rsidR="004E2E89" w14:paraId="4CA1133E"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47D67877" w14:textId="77777777" w:rsidR="004E2E89" w:rsidRDefault="004E2E89" w:rsidP="00025C51">
            <w:pPr>
              <w:keepNext/>
              <w:keepLines/>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14:paraId="09D8380D" w14:textId="77777777" w:rsidR="004E2E89" w:rsidRDefault="004E2E89" w:rsidP="00025C51">
            <w:pPr>
              <w:keepNext/>
              <w:keepLines/>
              <w:suppressAutoHyphens/>
              <w:rPr>
                <w:rFonts w:eastAsia="Times New Roman"/>
                <w:szCs w:val="22"/>
                <w:lang w:eastAsia="en-US" w:bidi="he-IL"/>
              </w:rPr>
            </w:pPr>
            <w:r>
              <w:rPr>
                <w:rFonts w:eastAsia="Times New Roman"/>
                <w:szCs w:val="22"/>
                <w:lang w:eastAsia="en-US" w:bidi="he-IL"/>
              </w:rPr>
              <w:t>33</w:t>
            </w:r>
          </w:p>
        </w:tc>
        <w:tc>
          <w:tcPr>
            <w:tcW w:w="1684" w:type="dxa"/>
            <w:tcBorders>
              <w:top w:val="single" w:sz="4" w:space="0" w:color="auto"/>
              <w:left w:val="single" w:sz="4" w:space="0" w:color="auto"/>
              <w:bottom w:val="single" w:sz="4" w:space="0" w:color="auto"/>
              <w:right w:val="single" w:sz="4" w:space="0" w:color="auto"/>
            </w:tcBorders>
          </w:tcPr>
          <w:p w14:paraId="46EAF92E" w14:textId="77777777" w:rsidR="004E2E89" w:rsidRDefault="004E2E89" w:rsidP="00025C51">
            <w:pPr>
              <w:keepNext/>
              <w:keepLines/>
              <w:suppressAutoHyphens/>
              <w:rPr>
                <w:rFonts w:eastAsia="Times New Roman"/>
                <w:szCs w:val="22"/>
                <w:lang w:eastAsia="en-US" w:bidi="he-IL"/>
              </w:rPr>
            </w:pPr>
            <w:r>
              <w:rPr>
                <w:rFonts w:eastAsia="Times New Roman"/>
                <w:szCs w:val="22"/>
                <w:lang w:eastAsia="en-US" w:bidi="he-IL"/>
              </w:rPr>
              <w:t>14,4</w:t>
            </w:r>
          </w:p>
        </w:tc>
        <w:tc>
          <w:tcPr>
            <w:tcW w:w="1684" w:type="dxa"/>
            <w:tcBorders>
              <w:top w:val="single" w:sz="4" w:space="0" w:color="auto"/>
              <w:left w:val="single" w:sz="4" w:space="0" w:color="auto"/>
              <w:bottom w:val="nil"/>
              <w:right w:val="single" w:sz="4" w:space="0" w:color="auto"/>
            </w:tcBorders>
          </w:tcPr>
          <w:p w14:paraId="3F6624DD" w14:textId="77777777" w:rsidR="004E2E89" w:rsidRDefault="004E2E89" w:rsidP="00025C51">
            <w:pPr>
              <w:keepNext/>
              <w:keepLines/>
              <w:suppressAutoHyphens/>
              <w:rPr>
                <w:rFonts w:eastAsia="Times New Roman"/>
                <w:szCs w:val="22"/>
                <w:lang w:eastAsia="en-US" w:bidi="he-IL"/>
              </w:rPr>
            </w:pPr>
          </w:p>
        </w:tc>
      </w:tr>
      <w:tr w:rsidR="004E2E89" w14:paraId="4F11629D"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5A6C0D02" w14:textId="77777777" w:rsidR="004E2E89" w:rsidRDefault="004E2E89" w:rsidP="00025C51">
            <w:pPr>
              <w:keepNext/>
              <w:keepLines/>
              <w:suppressAutoHyphens/>
              <w:rPr>
                <w:rFonts w:eastAsia="Times New Roman"/>
                <w:szCs w:val="22"/>
                <w:lang w:eastAsia="en-US" w:bidi="he-IL"/>
              </w:rPr>
            </w:pPr>
            <w:r>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14:paraId="7E3BFD9C" w14:textId="77777777" w:rsidR="004E2E89" w:rsidRDefault="004E2E89" w:rsidP="00025C51">
            <w:pPr>
              <w:keepNext/>
              <w:keepLines/>
              <w:suppressAutoHyphens/>
              <w:rPr>
                <w:rFonts w:eastAsia="Times New Roman"/>
                <w:szCs w:val="22"/>
                <w:lang w:eastAsia="en-US" w:bidi="he-IL"/>
              </w:rPr>
            </w:pPr>
            <w:r>
              <w:rPr>
                <w:rFonts w:eastAsia="Times New Roman"/>
                <w:szCs w:val="22"/>
                <w:lang w:eastAsia="en-US" w:bidi="he-IL"/>
              </w:rPr>
              <w:t>39</w:t>
            </w:r>
          </w:p>
        </w:tc>
        <w:tc>
          <w:tcPr>
            <w:tcW w:w="1684" w:type="dxa"/>
            <w:tcBorders>
              <w:top w:val="single" w:sz="4" w:space="0" w:color="auto"/>
              <w:left w:val="single" w:sz="4" w:space="0" w:color="auto"/>
              <w:bottom w:val="single" w:sz="4" w:space="0" w:color="auto"/>
              <w:right w:val="single" w:sz="4" w:space="0" w:color="auto"/>
            </w:tcBorders>
          </w:tcPr>
          <w:p w14:paraId="5E7D3B7D" w14:textId="77777777" w:rsidR="004E2E89" w:rsidRDefault="004E2E89" w:rsidP="00025C51">
            <w:pPr>
              <w:keepNext/>
              <w:keepLines/>
              <w:suppressAutoHyphens/>
              <w:rPr>
                <w:rFonts w:eastAsia="Times New Roman"/>
                <w:szCs w:val="22"/>
                <w:lang w:eastAsia="en-US" w:bidi="he-IL"/>
              </w:rPr>
            </w:pPr>
            <w:r>
              <w:rPr>
                <w:rFonts w:eastAsia="Times New Roman"/>
                <w:szCs w:val="22"/>
                <w:lang w:eastAsia="en-US" w:bidi="he-IL"/>
              </w:rPr>
              <w:t>12,1</w:t>
            </w:r>
          </w:p>
        </w:tc>
        <w:tc>
          <w:tcPr>
            <w:tcW w:w="1684" w:type="dxa"/>
            <w:tcBorders>
              <w:top w:val="nil"/>
              <w:left w:val="single" w:sz="4" w:space="0" w:color="auto"/>
              <w:bottom w:val="nil"/>
              <w:right w:val="single" w:sz="4" w:space="0" w:color="auto"/>
            </w:tcBorders>
          </w:tcPr>
          <w:p w14:paraId="056000F5" w14:textId="77777777" w:rsidR="004E2E89" w:rsidRDefault="004E2E89" w:rsidP="00025C51">
            <w:pPr>
              <w:keepNext/>
              <w:keepLines/>
              <w:suppressAutoHyphens/>
              <w:rPr>
                <w:rFonts w:eastAsia="Times New Roman"/>
                <w:szCs w:val="22"/>
                <w:lang w:eastAsia="en-US" w:bidi="he-IL"/>
              </w:rPr>
            </w:pPr>
          </w:p>
        </w:tc>
      </w:tr>
      <w:tr w:rsidR="004E2E89" w14:paraId="43566BB3"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6900EFEF" w14:textId="77777777" w:rsidR="004E2E89" w:rsidRDefault="004E2E89" w:rsidP="00025C51">
            <w:pPr>
              <w:keepNext/>
              <w:keepLines/>
              <w:suppressAutoHyphens/>
              <w:rPr>
                <w:rFonts w:eastAsia="Times New Roman"/>
                <w:szCs w:val="22"/>
                <w:lang w:eastAsia="en-US" w:bidi="he-IL"/>
              </w:rPr>
            </w:pPr>
            <w:r>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14:paraId="640187ED" w14:textId="77777777" w:rsidR="004E2E89" w:rsidRDefault="004E2E89" w:rsidP="00025C51">
            <w:pPr>
              <w:keepNext/>
              <w:keepLines/>
              <w:suppressAutoHyphens/>
              <w:rPr>
                <w:rFonts w:eastAsia="Times New Roman"/>
                <w:szCs w:val="22"/>
                <w:lang w:eastAsia="en-US" w:bidi="he-IL"/>
              </w:rPr>
            </w:pPr>
            <w:r>
              <w:rPr>
                <w:rFonts w:eastAsia="Times New Roman"/>
                <w:szCs w:val="22"/>
                <w:lang w:eastAsia="en-US" w:bidi="he-IL"/>
              </w:rPr>
              <w:t>27</w:t>
            </w:r>
          </w:p>
        </w:tc>
        <w:tc>
          <w:tcPr>
            <w:tcW w:w="1684" w:type="dxa"/>
            <w:tcBorders>
              <w:top w:val="single" w:sz="4" w:space="0" w:color="auto"/>
              <w:left w:val="single" w:sz="4" w:space="0" w:color="auto"/>
              <w:bottom w:val="single" w:sz="4" w:space="0" w:color="auto"/>
              <w:right w:val="single" w:sz="4" w:space="0" w:color="auto"/>
            </w:tcBorders>
          </w:tcPr>
          <w:p w14:paraId="29C882B7" w14:textId="77777777" w:rsidR="004E2E89" w:rsidRDefault="004E2E89" w:rsidP="00025C51">
            <w:pPr>
              <w:keepNext/>
              <w:keepLines/>
              <w:suppressAutoHyphens/>
              <w:rPr>
                <w:rFonts w:eastAsia="Times New Roman"/>
                <w:szCs w:val="22"/>
                <w:lang w:eastAsia="en-US" w:bidi="he-IL"/>
              </w:rPr>
            </w:pPr>
            <w:r>
              <w:rPr>
                <w:rFonts w:eastAsia="Times New Roman"/>
                <w:szCs w:val="22"/>
                <w:lang w:eastAsia="en-US" w:bidi="he-IL"/>
              </w:rPr>
              <w:t>14,4</w:t>
            </w:r>
          </w:p>
        </w:tc>
        <w:tc>
          <w:tcPr>
            <w:tcW w:w="1684" w:type="dxa"/>
            <w:tcBorders>
              <w:top w:val="nil"/>
              <w:left w:val="single" w:sz="4" w:space="0" w:color="auto"/>
              <w:bottom w:val="nil"/>
              <w:right w:val="single" w:sz="4" w:space="0" w:color="auto"/>
            </w:tcBorders>
          </w:tcPr>
          <w:p w14:paraId="0C4B6460" w14:textId="77777777" w:rsidR="004E2E89" w:rsidRDefault="004E2E89" w:rsidP="00025C51">
            <w:pPr>
              <w:keepNext/>
              <w:keepLines/>
              <w:suppressAutoHyphens/>
              <w:rPr>
                <w:rFonts w:eastAsia="Times New Roman"/>
                <w:szCs w:val="22"/>
                <w:lang w:eastAsia="en-US" w:bidi="he-IL"/>
              </w:rPr>
            </w:pPr>
          </w:p>
        </w:tc>
      </w:tr>
      <w:tr w:rsidR="004E2E89" w14:paraId="64D336A4"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656E8E0A" w14:textId="77777777" w:rsidR="004E2E89" w:rsidRDefault="004E2E89" w:rsidP="00025C51">
            <w:pPr>
              <w:keepNext/>
              <w:keepLines/>
              <w:suppressAutoHyphens/>
              <w:rPr>
                <w:rFonts w:eastAsia="Times New Roman"/>
                <w:szCs w:val="22"/>
                <w:lang w:eastAsia="en-US" w:bidi="he-IL"/>
              </w:rPr>
            </w:pPr>
            <w:r>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14:paraId="5D4BF192" w14:textId="77777777" w:rsidR="004E2E89" w:rsidRDefault="004E2E89" w:rsidP="00025C51">
            <w:pPr>
              <w:keepNext/>
              <w:keepLines/>
              <w:suppressAutoHyphens/>
              <w:rPr>
                <w:rFonts w:eastAsia="Times New Roman"/>
                <w:szCs w:val="22"/>
                <w:lang w:eastAsia="en-US" w:bidi="he-IL"/>
              </w:rPr>
            </w:pPr>
            <w:r>
              <w:rPr>
                <w:rFonts w:eastAsia="Times New Roman"/>
                <w:szCs w:val="22"/>
                <w:lang w:eastAsia="en-US" w:bidi="he-IL"/>
              </w:rPr>
              <w:t>5</w:t>
            </w:r>
          </w:p>
        </w:tc>
        <w:tc>
          <w:tcPr>
            <w:tcW w:w="1684" w:type="dxa"/>
            <w:tcBorders>
              <w:top w:val="single" w:sz="4" w:space="0" w:color="auto"/>
              <w:left w:val="single" w:sz="4" w:space="0" w:color="auto"/>
              <w:bottom w:val="single" w:sz="4" w:space="0" w:color="auto"/>
              <w:right w:val="single" w:sz="4" w:space="0" w:color="auto"/>
            </w:tcBorders>
          </w:tcPr>
          <w:p w14:paraId="457F4302" w14:textId="77777777" w:rsidR="004E2E89" w:rsidRDefault="004E2E89" w:rsidP="00025C51">
            <w:pPr>
              <w:keepNext/>
              <w:keepLines/>
              <w:suppressAutoHyphens/>
              <w:rPr>
                <w:rFonts w:eastAsia="Times New Roman"/>
                <w:szCs w:val="22"/>
                <w:lang w:eastAsia="en-US" w:bidi="he-IL"/>
              </w:rPr>
            </w:pPr>
            <w:r>
              <w:rPr>
                <w:rFonts w:eastAsia="Times New Roman"/>
                <w:szCs w:val="22"/>
                <w:lang w:eastAsia="en-US" w:bidi="he-IL"/>
              </w:rPr>
              <w:t>21,4</w:t>
            </w:r>
          </w:p>
        </w:tc>
        <w:tc>
          <w:tcPr>
            <w:tcW w:w="1684" w:type="dxa"/>
            <w:tcBorders>
              <w:top w:val="nil"/>
              <w:left w:val="single" w:sz="4" w:space="0" w:color="auto"/>
              <w:bottom w:val="single" w:sz="4" w:space="0" w:color="auto"/>
              <w:right w:val="single" w:sz="4" w:space="0" w:color="auto"/>
            </w:tcBorders>
          </w:tcPr>
          <w:p w14:paraId="3E3A7CD1" w14:textId="77777777" w:rsidR="004E2E89" w:rsidRDefault="004E2E89" w:rsidP="00025C51">
            <w:pPr>
              <w:keepNext/>
              <w:keepLines/>
              <w:suppressAutoHyphens/>
              <w:rPr>
                <w:rFonts w:eastAsia="Times New Roman"/>
                <w:szCs w:val="22"/>
                <w:lang w:eastAsia="en-US" w:bidi="he-IL"/>
              </w:rPr>
            </w:pPr>
          </w:p>
        </w:tc>
      </w:tr>
      <w:tr w:rsidR="004E2E89" w14:paraId="3F1499DD"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15E40DD1" w14:textId="77777777" w:rsidR="004E2E89" w:rsidRDefault="004E2E89" w:rsidP="00025C51">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14:paraId="68F2D567" w14:textId="77777777" w:rsidR="004E2E89" w:rsidRDefault="004E2E89" w:rsidP="00025C51">
            <w:pPr>
              <w:suppressAutoHyphens/>
              <w:rPr>
                <w:rFonts w:eastAsia="Times New Roman"/>
                <w:i/>
                <w:iCs/>
                <w:szCs w:val="22"/>
                <w:lang w:eastAsia="en-US" w:bidi="he-IL"/>
              </w:rPr>
            </w:pPr>
            <w:r>
              <w:rPr>
                <w:rFonts w:eastAsia="Times New Roman"/>
                <w:i/>
                <w:iCs/>
                <w:szCs w:val="22"/>
                <w:lang w:eastAsia="en-US" w:bidi="he-IL"/>
              </w:rPr>
              <w:t>104</w:t>
            </w:r>
          </w:p>
        </w:tc>
        <w:tc>
          <w:tcPr>
            <w:tcW w:w="1684" w:type="dxa"/>
            <w:tcBorders>
              <w:top w:val="single" w:sz="4" w:space="0" w:color="auto"/>
              <w:left w:val="single" w:sz="4" w:space="0" w:color="auto"/>
              <w:bottom w:val="single" w:sz="4" w:space="0" w:color="auto"/>
              <w:right w:val="single" w:sz="4" w:space="0" w:color="auto"/>
            </w:tcBorders>
          </w:tcPr>
          <w:p w14:paraId="46F1BF63" w14:textId="77777777" w:rsidR="004E2E89" w:rsidRDefault="004E2E89" w:rsidP="00025C51">
            <w:pPr>
              <w:suppressAutoHyphens/>
              <w:rPr>
                <w:rFonts w:eastAsia="Times New Roman"/>
                <w:i/>
                <w:iCs/>
                <w:szCs w:val="22"/>
                <w:lang w:eastAsia="en-US" w:bidi="he-IL"/>
              </w:rPr>
            </w:pPr>
            <w:r>
              <w:rPr>
                <w:rFonts w:eastAsia="Times New Roman"/>
                <w:i/>
                <w:iCs/>
                <w:szCs w:val="22"/>
                <w:lang w:eastAsia="en-US" w:bidi="he-IL"/>
              </w:rPr>
              <w:t>13,9</w:t>
            </w:r>
          </w:p>
        </w:tc>
        <w:tc>
          <w:tcPr>
            <w:tcW w:w="1684" w:type="dxa"/>
            <w:tcBorders>
              <w:top w:val="single" w:sz="4" w:space="0" w:color="auto"/>
              <w:left w:val="single" w:sz="4" w:space="0" w:color="auto"/>
              <w:bottom w:val="single" w:sz="4" w:space="0" w:color="auto"/>
              <w:right w:val="single" w:sz="4" w:space="0" w:color="auto"/>
            </w:tcBorders>
          </w:tcPr>
          <w:p w14:paraId="4348132E" w14:textId="77777777" w:rsidR="004E2E89" w:rsidRDefault="004E2E89" w:rsidP="00025C51">
            <w:pPr>
              <w:suppressAutoHyphens/>
              <w:rPr>
                <w:rFonts w:eastAsia="Times New Roman"/>
                <w:i/>
                <w:iCs/>
                <w:szCs w:val="22"/>
                <w:lang w:eastAsia="en-US" w:bidi="he-IL"/>
              </w:rPr>
            </w:pPr>
            <w:r>
              <w:rPr>
                <w:rFonts w:eastAsia="Times New Roman"/>
                <w:i/>
                <w:iCs/>
                <w:szCs w:val="22"/>
                <w:lang w:eastAsia="en-US" w:bidi="he-IL"/>
              </w:rPr>
              <w:t>19.2% PhD, 80.8% MSc</w:t>
            </w:r>
          </w:p>
        </w:tc>
      </w:tr>
    </w:tbl>
    <w:p w14:paraId="44ED2F5F" w14:textId="77777777" w:rsidR="00C5047D" w:rsidRDefault="00C5047D" w:rsidP="009A31F1"/>
    <w:p w14:paraId="1633CD0D" w14:textId="3C742992" w:rsidR="00C5047D" w:rsidRDefault="00C5047D" w:rsidP="00C5047D">
      <w:pPr>
        <w:pStyle w:val="RuleQuote"/>
        <w:ind w:left="0"/>
        <w:rPr>
          <w:i w:val="0"/>
          <w:iCs w:val="0"/>
        </w:rPr>
      </w:pPr>
      <w:r>
        <w:rPr>
          <w:i w:val="0"/>
          <w:iCs w:val="0"/>
        </w:rPr>
        <w:t xml:space="preserve">Other information beyond the QMS Report and the above table (optional):  </w:t>
      </w:r>
    </w:p>
    <w:p w14:paraId="6EE9EC05" w14:textId="7CC5E829" w:rsidR="00141C5C" w:rsidRDefault="004E2E89" w:rsidP="004E2E89">
      <w:pPr>
        <w:pStyle w:val="Question"/>
        <w:spacing w:before="240" w:after="480"/>
        <w:rPr>
          <w:rFonts w:eastAsia="Times New Roman"/>
          <w:b w:val="0"/>
          <w:bCs w:val="0"/>
          <w:kern w:val="32"/>
          <w:szCs w:val="32"/>
        </w:rPr>
      </w:pPr>
      <w:r w:rsidRPr="00BF208F">
        <w:rPr>
          <w:rFonts w:eastAsia="Times New Roman"/>
          <w:b w:val="0"/>
          <w:bCs w:val="0"/>
          <w:kern w:val="32"/>
          <w:szCs w:val="32"/>
        </w:rPr>
        <w:t xml:space="preserve">PRV is in </w:t>
      </w:r>
      <w:r>
        <w:rPr>
          <w:rFonts w:eastAsia="Times New Roman"/>
          <w:b w:val="0"/>
          <w:bCs w:val="0"/>
          <w:kern w:val="32"/>
          <w:szCs w:val="32"/>
        </w:rPr>
        <w:t>the</w:t>
      </w:r>
      <w:r w:rsidRPr="00BF208F">
        <w:rPr>
          <w:rFonts w:eastAsia="Times New Roman"/>
          <w:b w:val="0"/>
          <w:bCs w:val="0"/>
          <w:kern w:val="32"/>
          <w:szCs w:val="32"/>
        </w:rPr>
        <w:t xml:space="preserve"> process of recruiting </w:t>
      </w:r>
      <w:r>
        <w:rPr>
          <w:rFonts w:eastAsia="Times New Roman"/>
          <w:b w:val="0"/>
          <w:bCs w:val="0"/>
          <w:kern w:val="32"/>
          <w:szCs w:val="32"/>
        </w:rPr>
        <w:t xml:space="preserve">around additional </w:t>
      </w:r>
      <w:r w:rsidRPr="00BF208F">
        <w:rPr>
          <w:rFonts w:eastAsia="Times New Roman"/>
          <w:b w:val="0"/>
          <w:bCs w:val="0"/>
          <w:kern w:val="32"/>
          <w:szCs w:val="32"/>
        </w:rPr>
        <w:t xml:space="preserve">4 patent examiners. </w:t>
      </w:r>
      <w:r w:rsidR="00D83A0A">
        <w:rPr>
          <w:rFonts w:eastAsia="Times New Roman"/>
          <w:b w:val="0"/>
          <w:bCs w:val="0"/>
          <w:kern w:val="32"/>
          <w:szCs w:val="32"/>
        </w:rPr>
        <w:t xml:space="preserve"> </w:t>
      </w:r>
      <w:r>
        <w:rPr>
          <w:rFonts w:eastAsia="Times New Roman"/>
          <w:b w:val="0"/>
          <w:bCs w:val="0"/>
          <w:kern w:val="32"/>
          <w:szCs w:val="32"/>
        </w:rPr>
        <w:t xml:space="preserve">The </w:t>
      </w:r>
      <w:r w:rsidRPr="00C97B58">
        <w:rPr>
          <w:rFonts w:eastAsia="Times New Roman"/>
          <w:b w:val="0"/>
          <w:bCs w:val="0"/>
          <w:kern w:val="32"/>
          <w:szCs w:val="32"/>
        </w:rPr>
        <w:t>breakdown</w:t>
      </w:r>
      <w:r>
        <w:rPr>
          <w:rFonts w:eastAsia="Times New Roman"/>
          <w:b w:val="0"/>
          <w:bCs w:val="0"/>
          <w:kern w:val="32"/>
          <w:szCs w:val="32"/>
        </w:rPr>
        <w:t xml:space="preserve"> of qualifications</w:t>
      </w:r>
      <w:r w:rsidRPr="00C97B58">
        <w:rPr>
          <w:rFonts w:eastAsia="Times New Roman"/>
          <w:b w:val="0"/>
          <w:bCs w:val="0"/>
          <w:kern w:val="32"/>
          <w:szCs w:val="32"/>
        </w:rPr>
        <w:t xml:space="preserve"> across the whole examining </w:t>
      </w:r>
      <w:r>
        <w:rPr>
          <w:rFonts w:eastAsia="Times New Roman"/>
          <w:b w:val="0"/>
          <w:bCs w:val="0"/>
          <w:kern w:val="32"/>
          <w:szCs w:val="32"/>
        </w:rPr>
        <w:t xml:space="preserve">group is that 19.2% have a doctoral degree (PhD), and the rest of the examining group (80.8%) have a Master of Science degree (MSc). </w:t>
      </w:r>
      <w:r w:rsidR="00D83A0A">
        <w:rPr>
          <w:rFonts w:eastAsia="Times New Roman"/>
          <w:b w:val="0"/>
          <w:bCs w:val="0"/>
          <w:kern w:val="32"/>
          <w:szCs w:val="32"/>
        </w:rPr>
        <w:t xml:space="preserve"> </w:t>
      </w:r>
      <w:r>
        <w:rPr>
          <w:rFonts w:eastAsia="Times New Roman"/>
          <w:b w:val="0"/>
          <w:bCs w:val="0"/>
          <w:kern w:val="32"/>
          <w:szCs w:val="32"/>
        </w:rPr>
        <w:t xml:space="preserve">The minimum qualification required when recruiting patent examiners at PRV is </w:t>
      </w:r>
      <w:proofErr w:type="gramStart"/>
      <w:r>
        <w:rPr>
          <w:rFonts w:eastAsia="Times New Roman"/>
          <w:b w:val="0"/>
          <w:bCs w:val="0"/>
          <w:kern w:val="32"/>
          <w:szCs w:val="32"/>
        </w:rPr>
        <w:t>a MSc</w:t>
      </w:r>
      <w:proofErr w:type="gramEnd"/>
      <w:r>
        <w:rPr>
          <w:rFonts w:eastAsia="Times New Roman"/>
          <w:b w:val="0"/>
          <w:bCs w:val="0"/>
          <w:kern w:val="32"/>
          <w:szCs w:val="32"/>
        </w:rPr>
        <w:t>.</w:t>
      </w:r>
    </w:p>
    <w:p w14:paraId="34C58AF8" w14:textId="77777777" w:rsidR="004E2E89" w:rsidRPr="004E2E89" w:rsidRDefault="004E2E89" w:rsidP="004E2E89">
      <w:pPr>
        <w:pStyle w:val="Answer"/>
      </w:pPr>
    </w:p>
    <w:p w14:paraId="60AF6307" w14:textId="5D540087" w:rsidR="00C5047D" w:rsidRPr="002B3808" w:rsidRDefault="00C5047D" w:rsidP="00C5047D">
      <w:pPr>
        <w:pStyle w:val="SectionHeading"/>
        <w:rPr>
          <w:lang w:val="en-US"/>
        </w:rPr>
      </w:pPr>
      <w:r w:rsidRPr="002B3808">
        <w:rPr>
          <w:lang w:val="en-US"/>
        </w:rPr>
        <w:t>2.2 –</w:t>
      </w:r>
      <w:r w:rsidR="00FE1756">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00741F2A" w:rsidR="00C5047D" w:rsidRDefault="00C5047D" w:rsidP="00C5047D">
      <w:pPr>
        <w:pStyle w:val="RuleQuote"/>
        <w:rPr>
          <w:szCs w:val="24"/>
        </w:rPr>
      </w:pPr>
      <w:r>
        <w:t xml:space="preserve">The requirements specified in the Administrative Instructions are set out in </w:t>
      </w:r>
      <w:hyperlink r:id="rId14" w:history="1">
        <w:r w:rsidRPr="00D33D7A">
          <w:rPr>
            <w:rStyle w:val="Hyperlink"/>
          </w:rPr>
          <w:t>Circular C. PCT 1672</w:t>
        </w:r>
      </w:hyperlink>
      <w:r>
        <w:t>, dated June 19, 2024.</w:t>
      </w:r>
    </w:p>
    <w:p w14:paraId="1F2DB717" w14:textId="779F3451" w:rsidR="00C5047D" w:rsidRDefault="00C5047D" w:rsidP="00C504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7578A4">
        <w:rPr>
          <w:b w:val="0"/>
          <w:bCs w:val="0"/>
        </w:rPr>
        <w:t>,</w:t>
      </w:r>
      <w:r>
        <w:rPr>
          <w:b w:val="0"/>
          <w:bCs w:val="0"/>
        </w:rPr>
        <w:t xml:space="preserve"> at:</w:t>
      </w:r>
      <w:r w:rsidR="00DD29E0">
        <w:rPr>
          <w:b w:val="0"/>
          <w:bCs w:val="0"/>
        </w:rPr>
        <w:t xml:space="preserve">  </w:t>
      </w:r>
      <w:hyperlink r:id="rId15" w:history="1">
        <w:r w:rsidR="00DD29E0" w:rsidRPr="00DD29E0">
          <w:rPr>
            <w:rStyle w:val="Hyperlink"/>
            <w:b w:val="0"/>
            <w:bCs w:val="0"/>
          </w:rPr>
          <w:t>https://www.wipo.int/documents/d/pct-system/docs-en-official-notices-officialnotices.pdf#page=204</w:t>
        </w:r>
      </w:hyperlink>
      <w:r w:rsidRPr="00D114DC">
        <w:rPr>
          <w:b w:val="0"/>
          <w:bCs w:val="0"/>
        </w:rPr>
        <w:t>.</w:t>
      </w:r>
    </w:p>
    <w:p w14:paraId="37D5BDD4" w14:textId="77777777" w:rsidR="00C5047D" w:rsidRDefault="00C5047D" w:rsidP="00C5047D">
      <w:pPr>
        <w:pStyle w:val="Answer"/>
      </w:pPr>
    </w:p>
    <w:p w14:paraId="1DE04B01" w14:textId="77777777" w:rsidR="00C5047D" w:rsidRDefault="00C5047D" w:rsidP="00C5047D">
      <w:pPr>
        <w:pStyle w:val="Answer"/>
        <w:ind w:left="0"/>
      </w:pPr>
      <w:r>
        <w:t>Or:</w:t>
      </w:r>
    </w:p>
    <w:p w14:paraId="5487139A" w14:textId="77777777" w:rsidR="00141C5C" w:rsidRDefault="00141C5C" w:rsidP="00C5047D">
      <w:pPr>
        <w:pStyle w:val="Answer"/>
        <w:ind w:left="0"/>
      </w:pPr>
    </w:p>
    <w:p w14:paraId="29122C8D" w14:textId="1288FD07" w:rsidR="006A5C36" w:rsidRDefault="005D5867"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9A4C13D" w14:textId="77777777" w:rsidR="00C5047D" w:rsidRPr="002B3808" w:rsidRDefault="00C5047D" w:rsidP="00C5047D">
      <w:pPr>
        <w:pStyle w:val="SectionHeading"/>
        <w:rPr>
          <w:lang w:val="en-US"/>
        </w:rPr>
      </w:pPr>
      <w:r w:rsidRPr="002B3808">
        <w:rPr>
          <w:lang w:val="en-US"/>
        </w:rPr>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5D07E27F" w:rsidR="00C5047D" w:rsidRDefault="00C5047D" w:rsidP="00C5047D">
      <w:pPr>
        <w:pStyle w:val="RuleQuote"/>
        <w:ind w:left="0"/>
        <w:rPr>
          <w:i w:val="0"/>
          <w:iCs w:val="0"/>
        </w:rPr>
      </w:pPr>
      <w:r>
        <w:rPr>
          <w:i w:val="0"/>
          <w:iCs w:val="0"/>
        </w:rPr>
        <w:t xml:space="preserve">Other information beyond the QMS Report (optional):  </w:t>
      </w:r>
    </w:p>
    <w:p w14:paraId="5C569097" w14:textId="77777777" w:rsidR="004E2E89" w:rsidRPr="00476571" w:rsidRDefault="004E2E89" w:rsidP="004E2E89">
      <w:pPr>
        <w:pStyle w:val="RuleQuote"/>
        <w:keepNext w:val="0"/>
        <w:ind w:left="0"/>
        <w:rPr>
          <w:i w:val="0"/>
          <w:iCs w:val="0"/>
        </w:rPr>
      </w:pPr>
      <w:r w:rsidRPr="00476571">
        <w:rPr>
          <w:i w:val="0"/>
          <w:iCs w:val="0"/>
        </w:rPr>
        <w:t xml:space="preserve">The authority has access to extensive databases, the so-called minimum documentation for </w:t>
      </w:r>
      <w:proofErr w:type="gramStart"/>
      <w:r w:rsidRPr="00476571">
        <w:rPr>
          <w:i w:val="0"/>
          <w:iCs w:val="0"/>
        </w:rPr>
        <w:t>PCT-applications</w:t>
      </w:r>
      <w:proofErr w:type="gramEnd"/>
      <w:r w:rsidRPr="00476571">
        <w:rPr>
          <w:i w:val="0"/>
          <w:iCs w:val="0"/>
        </w:rPr>
        <w:t xml:space="preserve">, capacity for efficient and accurate searches and examinations to ensure that </w:t>
      </w:r>
      <w:r w:rsidRPr="003829AF">
        <w:rPr>
          <w:i w:val="0"/>
          <w:iCs w:val="0"/>
        </w:rPr>
        <w:t>documents relevant to patentability</w:t>
      </w:r>
      <w:r>
        <w:rPr>
          <w:i w:val="0"/>
          <w:iCs w:val="0"/>
        </w:rPr>
        <w:t xml:space="preserve"> </w:t>
      </w:r>
      <w:r w:rsidRPr="00476571">
        <w:rPr>
          <w:i w:val="0"/>
          <w:iCs w:val="0"/>
        </w:rPr>
        <w:t>are found during the search.</w:t>
      </w:r>
    </w:p>
    <w:p w14:paraId="61FFA6D9" w14:textId="77777777" w:rsidR="004E7E2F" w:rsidRDefault="004E7E2F" w:rsidP="00C5047D">
      <w:pPr>
        <w:pStyle w:val="RuleQuote"/>
        <w:ind w:left="0"/>
        <w:rPr>
          <w:i w:val="0"/>
          <w:iCs w:val="0"/>
        </w:rPr>
      </w:pPr>
    </w:p>
    <w:p w14:paraId="6EF613BF" w14:textId="7AA52D01" w:rsidR="00C5047D" w:rsidRPr="002B3808" w:rsidRDefault="00C5047D" w:rsidP="00C5047D">
      <w:pPr>
        <w:pStyle w:val="SectionHeading"/>
        <w:rPr>
          <w:lang w:val="en-US"/>
        </w:rPr>
      </w:pPr>
      <w:r w:rsidRPr="002B3808">
        <w:rPr>
          <w:lang w:val="en-US"/>
        </w:rPr>
        <w:t>2.4 –</w:t>
      </w:r>
      <w:r w:rsidR="00FE1756">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37200028" w:rsidR="00C5047D" w:rsidRDefault="00C5047D" w:rsidP="00C5047D">
      <w:pPr>
        <w:pStyle w:val="RuleQuote"/>
        <w:ind w:left="0"/>
        <w:rPr>
          <w:i w:val="0"/>
          <w:iCs w:val="0"/>
        </w:rPr>
      </w:pPr>
      <w:r>
        <w:rPr>
          <w:i w:val="0"/>
          <w:iCs w:val="0"/>
        </w:rPr>
        <w:t xml:space="preserve">Other information beyond the QMS Report (optional):  </w:t>
      </w:r>
    </w:p>
    <w:p w14:paraId="095E2B44" w14:textId="77777777" w:rsidR="006204AA" w:rsidRPr="00F66205" w:rsidRDefault="006204AA" w:rsidP="006204AA">
      <w:pPr>
        <w:pStyle w:val="Notestext"/>
      </w:pPr>
      <w:r w:rsidRPr="00CF7D93">
        <w:t>The authority has a quality management system with regular audits</w:t>
      </w:r>
      <w:r>
        <w:t xml:space="preserve"> and was recertified in 2025 </w:t>
      </w:r>
      <w:r w:rsidRPr="00693555">
        <w:t>according to the Standard ISO9001:</w:t>
      </w:r>
      <w:r w:rsidRPr="00A2010E">
        <w:t>2015</w:t>
      </w:r>
      <w:r w:rsidRPr="00CF7D93">
        <w:t>.</w:t>
      </w:r>
    </w:p>
    <w:p w14:paraId="21916F50" w14:textId="77777777" w:rsidR="004E7E2F" w:rsidRDefault="004E7E2F" w:rsidP="00C5047D">
      <w:pPr>
        <w:pStyle w:val="RuleQuote"/>
        <w:ind w:left="0"/>
        <w:rPr>
          <w:i w:val="0"/>
          <w:iCs w:val="0"/>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bookmarkStart w:id="5" w:name="_Hlk215156473"/>
      <w:r>
        <w:tab/>
      </w:r>
      <w:bookmarkEnd w:id="5"/>
      <w:r w:rsidRPr="00D33D7A">
        <w:t>Current scope of operation</w:t>
      </w:r>
    </w:p>
    <w:p w14:paraId="00647516" w14:textId="0054369C" w:rsidR="00C5047D" w:rsidRPr="00DD29E0"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w:t>
      </w:r>
      <w:proofErr w:type="spellStart"/>
      <w:r>
        <w:rPr>
          <w:b w:val="0"/>
          <w:bCs w:val="0"/>
        </w:rPr>
        <w:t>ar</w:t>
      </w:r>
      <w:r w:rsidR="00DD29E0">
        <w:rPr>
          <w:b w:val="0"/>
          <w:bCs w:val="0"/>
        </w:rPr>
        <w:t>.</w:t>
      </w:r>
      <w:r>
        <w:rPr>
          <w:b w:val="0"/>
          <w:bCs w:val="0"/>
        </w:rPr>
        <w:t>e</w:t>
      </w:r>
      <w:proofErr w:type="spellEnd"/>
      <w:r>
        <w:rPr>
          <w:b w:val="0"/>
          <w:bCs w:val="0"/>
        </w:rPr>
        <w:t xml:space="preserve"> listed in the </w:t>
      </w:r>
      <w:r w:rsidRPr="006175E3">
        <w:rPr>
          <w:b w:val="0"/>
          <w:bCs w:val="0"/>
          <w:i/>
          <w:iCs/>
        </w:rPr>
        <w:t>PCT Applicant’s Guide</w:t>
      </w:r>
      <w:r>
        <w:rPr>
          <w:b w:val="0"/>
          <w:bCs w:val="0"/>
        </w:rPr>
        <w:t xml:space="preserve"> at the following link</w:t>
      </w:r>
      <w:bookmarkStart w:id="6" w:name="_Hlk214637647"/>
      <w:r w:rsidR="006916DB">
        <w:rPr>
          <w:b w:val="0"/>
          <w:bCs w:val="0"/>
        </w:rPr>
        <w:t>s</w:t>
      </w:r>
      <w:r>
        <w:rPr>
          <w:b w:val="0"/>
          <w:bCs w:val="0"/>
        </w:rPr>
        <w:t xml:space="preserve">: </w:t>
      </w:r>
      <w:r w:rsidR="00DD29E0">
        <w:rPr>
          <w:b w:val="0"/>
          <w:bCs w:val="0"/>
        </w:rPr>
        <w:t xml:space="preserve"> </w:t>
      </w:r>
      <w:hyperlink r:id="rId16" w:anchor="ISA" w:history="1">
        <w:r w:rsidR="00DD29E0" w:rsidRPr="00294E1D">
          <w:rPr>
            <w:rStyle w:val="Hyperlink"/>
            <w:b w:val="0"/>
            <w:bCs w:val="0"/>
          </w:rPr>
          <w:t>https://pctlegal.wipo.int/eGuide/view-doc.xhtml?doc-code=SE&amp;doc-lang=en#ISA</w:t>
        </w:r>
      </w:hyperlink>
      <w:r>
        <w:rPr>
          <w:b w:val="0"/>
          <w:bCs w:val="0"/>
        </w:rPr>
        <w:t xml:space="preserve"> </w:t>
      </w:r>
      <w:r w:rsidRPr="00D83A0A">
        <w:rPr>
          <w:b w:val="0"/>
          <w:bCs w:val="0"/>
        </w:rPr>
        <w:t>and</w:t>
      </w:r>
      <w:bookmarkEnd w:id="6"/>
      <w:r w:rsidR="001F76D2" w:rsidRPr="00D83A0A">
        <w:rPr>
          <w:b w:val="0"/>
          <w:bCs w:val="0"/>
        </w:rPr>
        <w:t xml:space="preserve"> </w:t>
      </w:r>
      <w:hyperlink r:id="rId17" w:history="1">
        <w:r w:rsidR="00DD29E0" w:rsidRPr="00DD29E0">
          <w:rPr>
            <w:rStyle w:val="Hyperlink"/>
            <w:b w:val="0"/>
            <w:bCs w:val="0"/>
          </w:rPr>
          <w:t>https://pctlegal.wipo.int/eGuide/view-doc.xhtml?doc-code=SE&amp;doc-lang=en#IPEA</w:t>
        </w:r>
      </w:hyperlink>
      <w:r w:rsidR="00DD29E0" w:rsidRPr="00DD29E0">
        <w:rPr>
          <w:b w:val="0"/>
          <w:bCs w:val="0"/>
        </w:rPr>
        <w:t>.</w:t>
      </w:r>
    </w:p>
    <w:p w14:paraId="28EC7561" w14:textId="39649D7D" w:rsidR="00C5047D" w:rsidRDefault="00AA4FB4" w:rsidP="00C5047D">
      <w:pPr>
        <w:pStyle w:val="Question"/>
        <w:numPr>
          <w:ilvl w:val="0"/>
          <w:numId w:val="8"/>
        </w:numPr>
        <w:spacing w:after="240"/>
      </w:pPr>
      <w:r>
        <w:tab/>
      </w:r>
      <w:r w:rsidR="00C5047D">
        <w:t>Planned changes to scope of operation as an Authority, such</w:t>
      </w:r>
      <w:r w:rsidR="00CC3DCE">
        <w:t xml:space="preserve"> as</w:t>
      </w:r>
      <w:r w:rsidR="00C5047D">
        <w:t xml:space="preserve"> the receiving Offices for which the Authority is competent and languages offered (if any):</w:t>
      </w:r>
      <w:r w:rsidR="004E7E2F">
        <w:t xml:space="preserve">  </w:t>
      </w:r>
    </w:p>
    <w:p w14:paraId="3CB68C76" w14:textId="77777777" w:rsidR="004E7E2F" w:rsidRPr="004E7E2F" w:rsidRDefault="004E7E2F" w:rsidP="004E7E2F">
      <w:pPr>
        <w:pStyle w:val="Answer"/>
      </w:pPr>
    </w:p>
    <w:p w14:paraId="0330D9AA" w14:textId="77777777" w:rsidR="00C5047D" w:rsidRPr="002B3808" w:rsidRDefault="00C5047D" w:rsidP="00C5047D">
      <w:pPr>
        <w:pStyle w:val="SectionHeading"/>
        <w:rPr>
          <w:lang w:val="en-US"/>
        </w:rPr>
      </w:pPr>
      <w:r w:rsidRPr="002B3808">
        <w:rPr>
          <w:lang w:val="en-US"/>
        </w:rPr>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64969DA9" w14:textId="77777777" w:rsidR="006204AA" w:rsidRDefault="006204AA" w:rsidP="00C5047D"/>
    <w:p w14:paraId="504E8677" w14:textId="4248B6E3" w:rsidR="006204AA" w:rsidRPr="00CF7D93" w:rsidRDefault="006204AA" w:rsidP="006204AA">
      <w:pPr>
        <w:pStyle w:val="Notestext"/>
      </w:pPr>
      <w:r w:rsidRPr="00CF7D93">
        <w:t xml:space="preserve">PRV </w:t>
      </w:r>
      <w:proofErr w:type="gramStart"/>
      <w:r w:rsidRPr="00CF7D93">
        <w:t>is</w:t>
      </w:r>
      <w:proofErr w:type="gramEnd"/>
      <w:r w:rsidRPr="00CF7D93">
        <w:t xml:space="preserve"> an authorized PCT Authority since the late 1970s and thus ha</w:t>
      </w:r>
      <w:r>
        <w:t>s</w:t>
      </w:r>
      <w:r w:rsidRPr="00CF7D93">
        <w:t xml:space="preserve"> a long experience in examining PCT applications. </w:t>
      </w:r>
      <w:r w:rsidR="00D83A0A">
        <w:t xml:space="preserve"> </w:t>
      </w:r>
      <w:r w:rsidRPr="00CF7D93">
        <w:t xml:space="preserve">It means that PRV guarantees high quality in the novelty search and preliminary examination of patentability for the applications, and PRV meets high international quality standards in all technical fields. </w:t>
      </w:r>
      <w:r w:rsidR="00D83A0A">
        <w:t xml:space="preserve"> </w:t>
      </w:r>
      <w:r w:rsidRPr="00CF7D93">
        <w:t xml:space="preserve">The authority has more than 100 full-time employed </w:t>
      </w:r>
      <w:r>
        <w:t xml:space="preserve">patent </w:t>
      </w:r>
      <w:r w:rsidRPr="00CF7D93">
        <w:t xml:space="preserve">engineers and has competence in all technical fields. </w:t>
      </w:r>
      <w:r w:rsidR="00D83A0A">
        <w:t xml:space="preserve"> </w:t>
      </w:r>
      <w:r w:rsidRPr="00CF7D93">
        <w:t xml:space="preserve">The authority has access to extensive databases, the so-called minimum documentation for </w:t>
      </w:r>
      <w:proofErr w:type="gramStart"/>
      <w:r w:rsidRPr="00CF7D93">
        <w:t>PCT-applications</w:t>
      </w:r>
      <w:proofErr w:type="gramEnd"/>
      <w:r w:rsidRPr="00CF7D93">
        <w:t xml:space="preserve">, capacity for efficient and accurate searches and examinations to ensure that potentially novelty-preventing documents are found during the search. </w:t>
      </w:r>
      <w:r w:rsidR="00D83A0A">
        <w:t xml:space="preserve"> </w:t>
      </w:r>
      <w:r w:rsidRPr="00CF7D93">
        <w:t>The authority has a quality management system with regular audits</w:t>
      </w:r>
      <w:r>
        <w:t xml:space="preserve"> and was recertified in 2025 </w:t>
      </w:r>
      <w:r w:rsidRPr="00693555">
        <w:t>according to the Standard ISO9001:</w:t>
      </w:r>
      <w:r w:rsidRPr="00A2010E">
        <w:t>2015</w:t>
      </w:r>
      <w:r w:rsidRPr="00CF7D93">
        <w:t>.</w:t>
      </w:r>
    </w:p>
    <w:p w14:paraId="1BEC6111" w14:textId="77777777" w:rsidR="00C5047D" w:rsidRDefault="00C5047D" w:rsidP="00C5047D"/>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4682F2A5" w:rsidR="009A31F1" w:rsidRPr="00346ECC" w:rsidRDefault="009A31F1" w:rsidP="009A31F1">
        <w:pPr>
          <w:jc w:val="right"/>
          <w:rPr>
            <w:caps/>
            <w:lang w:val="fr-CH"/>
          </w:rPr>
        </w:pPr>
        <w:r w:rsidRPr="00346ECC">
          <w:rPr>
            <w:caps/>
            <w:lang w:val="fr-CH"/>
          </w:rPr>
          <w:t>PCT/CTC/33/</w:t>
        </w:r>
        <w:r w:rsidR="0004521A">
          <w:rPr>
            <w:caps/>
            <w:lang w:val="fr-CH"/>
          </w:rPr>
          <w:t>2</w:t>
        </w:r>
        <w:r w:rsidR="00CA7D08">
          <w:rPr>
            <w:caps/>
            <w:lang w:val="fr-CH"/>
          </w:rPr>
          <w:t>0</w:t>
        </w:r>
      </w:p>
      <w:p w14:paraId="28DB5474" w14:textId="70A8F13C"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5D5867"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5125ED5A" w:rsidR="009A31F1" w:rsidRDefault="009A31F1" w:rsidP="009A31F1">
    <w:pPr>
      <w:pStyle w:val="Header"/>
      <w:jc w:val="right"/>
    </w:pPr>
    <w:r>
      <w:tab/>
      <w:t>PCT/CTC/33/</w:t>
    </w:r>
    <w:r w:rsidR="0004521A">
      <w:t>2</w:t>
    </w:r>
    <w:r w:rsidR="00CA7D08">
      <w:t>0</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4521A"/>
    <w:rsid w:val="00056816"/>
    <w:rsid w:val="00075432"/>
    <w:rsid w:val="000756C6"/>
    <w:rsid w:val="000968ED"/>
    <w:rsid w:val="000A3D97"/>
    <w:rsid w:val="000A6309"/>
    <w:rsid w:val="000D46FE"/>
    <w:rsid w:val="000D59BB"/>
    <w:rsid w:val="000F5E56"/>
    <w:rsid w:val="00111BB0"/>
    <w:rsid w:val="001362EE"/>
    <w:rsid w:val="00141C5C"/>
    <w:rsid w:val="001647D5"/>
    <w:rsid w:val="001832A6"/>
    <w:rsid w:val="001D4107"/>
    <w:rsid w:val="001F1115"/>
    <w:rsid w:val="001F76D2"/>
    <w:rsid w:val="00203D24"/>
    <w:rsid w:val="0021217E"/>
    <w:rsid w:val="00217FB1"/>
    <w:rsid w:val="002326AB"/>
    <w:rsid w:val="00243430"/>
    <w:rsid w:val="002634C4"/>
    <w:rsid w:val="00276168"/>
    <w:rsid w:val="002928D3"/>
    <w:rsid w:val="002E29C7"/>
    <w:rsid w:val="002F1FE6"/>
    <w:rsid w:val="002F4E68"/>
    <w:rsid w:val="00312F7F"/>
    <w:rsid w:val="0034268E"/>
    <w:rsid w:val="00361450"/>
    <w:rsid w:val="003673CF"/>
    <w:rsid w:val="003845C1"/>
    <w:rsid w:val="003A6F89"/>
    <w:rsid w:val="003B38C1"/>
    <w:rsid w:val="003C01E8"/>
    <w:rsid w:val="003C2564"/>
    <w:rsid w:val="003C34E9"/>
    <w:rsid w:val="003E2DD5"/>
    <w:rsid w:val="003F6F01"/>
    <w:rsid w:val="00423E3E"/>
    <w:rsid w:val="00427AF4"/>
    <w:rsid w:val="0046321B"/>
    <w:rsid w:val="004647DA"/>
    <w:rsid w:val="00466D9E"/>
    <w:rsid w:val="00474062"/>
    <w:rsid w:val="00477D6B"/>
    <w:rsid w:val="004B446A"/>
    <w:rsid w:val="004B6994"/>
    <w:rsid w:val="004C667B"/>
    <w:rsid w:val="004E2E89"/>
    <w:rsid w:val="004E7E2F"/>
    <w:rsid w:val="005019FF"/>
    <w:rsid w:val="0053057A"/>
    <w:rsid w:val="00543916"/>
    <w:rsid w:val="00556076"/>
    <w:rsid w:val="00560A29"/>
    <w:rsid w:val="005C6649"/>
    <w:rsid w:val="005C79F6"/>
    <w:rsid w:val="00605827"/>
    <w:rsid w:val="006204AA"/>
    <w:rsid w:val="00646050"/>
    <w:rsid w:val="00647CAE"/>
    <w:rsid w:val="006713CA"/>
    <w:rsid w:val="00676C5C"/>
    <w:rsid w:val="006916DB"/>
    <w:rsid w:val="006A5C36"/>
    <w:rsid w:val="006C238E"/>
    <w:rsid w:val="006C712A"/>
    <w:rsid w:val="006F04BC"/>
    <w:rsid w:val="006F1899"/>
    <w:rsid w:val="00720EFD"/>
    <w:rsid w:val="00756C6B"/>
    <w:rsid w:val="007578A4"/>
    <w:rsid w:val="00761CD8"/>
    <w:rsid w:val="007854AF"/>
    <w:rsid w:val="00793A7C"/>
    <w:rsid w:val="007A398A"/>
    <w:rsid w:val="007A3EC4"/>
    <w:rsid w:val="007A4A5F"/>
    <w:rsid w:val="007B48DC"/>
    <w:rsid w:val="007D0724"/>
    <w:rsid w:val="007D1613"/>
    <w:rsid w:val="007E4C0E"/>
    <w:rsid w:val="00834AA5"/>
    <w:rsid w:val="0084277A"/>
    <w:rsid w:val="008543C9"/>
    <w:rsid w:val="008569B0"/>
    <w:rsid w:val="008769C1"/>
    <w:rsid w:val="008A134B"/>
    <w:rsid w:val="008B2CC1"/>
    <w:rsid w:val="008B2FD6"/>
    <w:rsid w:val="008B60B2"/>
    <w:rsid w:val="0090731E"/>
    <w:rsid w:val="00916EE2"/>
    <w:rsid w:val="0092539A"/>
    <w:rsid w:val="00936531"/>
    <w:rsid w:val="009538F0"/>
    <w:rsid w:val="00966A22"/>
    <w:rsid w:val="0096722F"/>
    <w:rsid w:val="00980843"/>
    <w:rsid w:val="009A11F7"/>
    <w:rsid w:val="009A31F1"/>
    <w:rsid w:val="009A53C9"/>
    <w:rsid w:val="009E2791"/>
    <w:rsid w:val="009E3F6F"/>
    <w:rsid w:val="009F499F"/>
    <w:rsid w:val="00A0628B"/>
    <w:rsid w:val="00A1569E"/>
    <w:rsid w:val="00A37342"/>
    <w:rsid w:val="00A42DAF"/>
    <w:rsid w:val="00A45BD8"/>
    <w:rsid w:val="00A53F2A"/>
    <w:rsid w:val="00A61CCD"/>
    <w:rsid w:val="00A869B7"/>
    <w:rsid w:val="00A90F0A"/>
    <w:rsid w:val="00A966FC"/>
    <w:rsid w:val="00AA4FB4"/>
    <w:rsid w:val="00AC205C"/>
    <w:rsid w:val="00AC4C7C"/>
    <w:rsid w:val="00AF0A6B"/>
    <w:rsid w:val="00B05A69"/>
    <w:rsid w:val="00B10400"/>
    <w:rsid w:val="00B442F5"/>
    <w:rsid w:val="00B75281"/>
    <w:rsid w:val="00B81893"/>
    <w:rsid w:val="00B83413"/>
    <w:rsid w:val="00B92F1F"/>
    <w:rsid w:val="00B9734B"/>
    <w:rsid w:val="00BA30E2"/>
    <w:rsid w:val="00BC039A"/>
    <w:rsid w:val="00C00276"/>
    <w:rsid w:val="00C014ED"/>
    <w:rsid w:val="00C11BFE"/>
    <w:rsid w:val="00C5047D"/>
    <w:rsid w:val="00C5068F"/>
    <w:rsid w:val="00C86D74"/>
    <w:rsid w:val="00CA7D08"/>
    <w:rsid w:val="00CC3DCE"/>
    <w:rsid w:val="00CD04F1"/>
    <w:rsid w:val="00CD578D"/>
    <w:rsid w:val="00CF681A"/>
    <w:rsid w:val="00D07C78"/>
    <w:rsid w:val="00D30AF6"/>
    <w:rsid w:val="00D43C78"/>
    <w:rsid w:val="00D45252"/>
    <w:rsid w:val="00D50FB2"/>
    <w:rsid w:val="00D6548B"/>
    <w:rsid w:val="00D71B4D"/>
    <w:rsid w:val="00D83A0A"/>
    <w:rsid w:val="00D87365"/>
    <w:rsid w:val="00D93D55"/>
    <w:rsid w:val="00DD29E0"/>
    <w:rsid w:val="00DD36B9"/>
    <w:rsid w:val="00DD7B7F"/>
    <w:rsid w:val="00E15015"/>
    <w:rsid w:val="00E335FE"/>
    <w:rsid w:val="00E53F15"/>
    <w:rsid w:val="00E82F6F"/>
    <w:rsid w:val="00E955BE"/>
    <w:rsid w:val="00EA7D6E"/>
    <w:rsid w:val="00EB2F76"/>
    <w:rsid w:val="00EC4E49"/>
    <w:rsid w:val="00ED77FB"/>
    <w:rsid w:val="00EE45FA"/>
    <w:rsid w:val="00F043DE"/>
    <w:rsid w:val="00F63809"/>
    <w:rsid w:val="00F66152"/>
    <w:rsid w:val="00F9165B"/>
    <w:rsid w:val="00FB5C16"/>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 w:type="paragraph" w:customStyle="1" w:styleId="Notestext">
    <w:name w:val="Notes text"/>
    <w:basedOn w:val="BodyText"/>
    <w:qFormat/>
    <w:rsid w:val="006204AA"/>
    <w:pPr>
      <w:keepLines/>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n/web/pct-system/quality/authorit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ie.eriksson@prv.se" TargetMode="External"/><Relationship Id="rId17" Type="http://schemas.openxmlformats.org/officeDocument/2006/relationships/hyperlink" Target="pct_ctc_33_21%20draft%20SE.docx" TargetMode="External"/><Relationship Id="rId2" Type="http://schemas.openxmlformats.org/officeDocument/2006/relationships/numbering" Target="numbering.xml"/><Relationship Id="rId16" Type="http://schemas.openxmlformats.org/officeDocument/2006/relationships/hyperlink" Target="https://pctlegal.wipo.int/eGuide/view-doc.xhtml?doc-code=SE&amp;doc-la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viken@prv.se" TargetMode="External"/><Relationship Id="rId5" Type="http://schemas.openxmlformats.org/officeDocument/2006/relationships/webSettings" Target="webSettings.xml"/><Relationship Id="rId15" Type="http://schemas.openxmlformats.org/officeDocument/2006/relationships/hyperlink" Target="pct_ctc_33_21%20draft%20SE.docx"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en/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47</TotalTime>
  <Pages>5</Pages>
  <Words>1210</Words>
  <Characters>7299</Characters>
  <Application>Microsoft Office Word</Application>
  <DocSecurity>0</DocSecurity>
  <Lines>178</Lines>
  <Paragraphs>71</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PCT/CTC/33/20</dc:title>
  <dc:creator>NOVRUZOVA Elnara</dc:creator>
  <cp:keywords>FOR OFFICIAL USE ONLY</cp:keywords>
  <cp:lastModifiedBy>RICHARDSON Michael</cp:lastModifiedBy>
  <cp:revision>18</cp:revision>
  <cp:lastPrinted>2025-12-01T15:05:00Z</cp:lastPrinted>
  <dcterms:created xsi:type="dcterms:W3CDTF">2025-12-01T14:04:00Z</dcterms:created>
  <dcterms:modified xsi:type="dcterms:W3CDTF">2025-12-19T15:08:00Z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