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72120363"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E827BF">
        <w:rPr>
          <w:rFonts w:ascii="Arial Black" w:hAnsi="Arial Black"/>
          <w:caps/>
          <w:sz w:val="15"/>
          <w:szCs w:val="15"/>
        </w:rPr>
        <w:t>2</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35EBCBB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 xml:space="preserve">DECEMBER </w:t>
      </w:r>
      <w:r w:rsidR="00C02229">
        <w:rPr>
          <w:rFonts w:ascii="Arial Black" w:hAnsi="Arial Black"/>
          <w:caps/>
          <w:sz w:val="15"/>
          <w:szCs w:val="15"/>
        </w:rPr>
        <w:t>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120863AE" w:rsidR="008B2CC1" w:rsidRPr="003845C1" w:rsidRDefault="009A31F1" w:rsidP="00DD7B7F">
      <w:pPr>
        <w:spacing w:after="360"/>
        <w:outlineLvl w:val="0"/>
        <w:rPr>
          <w:caps/>
          <w:sz w:val="24"/>
        </w:rPr>
      </w:pPr>
      <w:bookmarkStart w:id="3" w:name="TitleOfDoc"/>
      <w:r>
        <w:rPr>
          <w:caps/>
          <w:sz w:val="24"/>
        </w:rPr>
        <w:t xml:space="preserve">EXTENSION OF APPOINTMENT OF THE </w:t>
      </w:r>
      <w:r w:rsidR="00D93D4C">
        <w:rPr>
          <w:caps/>
          <w:sz w:val="24"/>
        </w:rPr>
        <w:t xml:space="preserve">austrian patent office </w:t>
      </w:r>
      <w:r>
        <w:rPr>
          <w:caps/>
          <w:sz w:val="24"/>
        </w:rPr>
        <w:t xml:space="preserve">AS AN INTERNATIONAL SEARCHING AND PRELIMINARY EXAMINING AUTHORITY UNDER THE PCT </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71E85776" w:rsidR="009A31F1" w:rsidRDefault="009A31F1" w:rsidP="002326AB">
      <w:pPr>
        <w:spacing w:after="220"/>
      </w:pPr>
      <w:r w:rsidRPr="009A31F1">
        <w:t>2.</w:t>
      </w:r>
      <w:r w:rsidRPr="009A31F1">
        <w:tab/>
        <w:t xml:space="preserve">On </w:t>
      </w:r>
      <w:r w:rsidR="00D93D4C">
        <w:t>November</w:t>
      </w:r>
      <w:r w:rsidRPr="009A31F1">
        <w:t xml:space="preserve"> 2</w:t>
      </w:r>
      <w:r w:rsidR="00D93D4C">
        <w:t>0</w:t>
      </w:r>
      <w:r w:rsidRPr="009A31F1">
        <w:t xml:space="preserve">, 2025, the </w:t>
      </w:r>
      <w:r w:rsidR="00D93D4C">
        <w:t xml:space="preserve">Austrian Patent Office </w:t>
      </w:r>
      <w:r w:rsidRPr="009A31F1">
        <w:t>submitted its application for extension of appointment,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68E5AD2D" w14:textId="77777777" w:rsidR="009A31F1" w:rsidRPr="002B3808" w:rsidRDefault="009A31F1" w:rsidP="009A31F1">
      <w:pPr>
        <w:pStyle w:val="SectionHeading"/>
        <w:rPr>
          <w:lang w:val="en-US"/>
        </w:rPr>
      </w:pPr>
      <w:r w:rsidRPr="002B3808">
        <w:rPr>
          <w:lang w:val="en-US"/>
        </w:rPr>
        <w:t>1 – General</w:t>
      </w:r>
    </w:p>
    <w:p w14:paraId="4E31862B" w14:textId="77777777" w:rsidR="009A31F1" w:rsidRDefault="009A31F1" w:rsidP="009A31F1">
      <w:pPr>
        <w:pStyle w:val="Question"/>
        <w:spacing w:after="240"/>
      </w:pPr>
      <w:r>
        <w:t>(a)</w:t>
      </w:r>
      <w:r>
        <w:tab/>
        <w:t>Name of Office or intergovernmental organization:</w:t>
      </w:r>
    </w:p>
    <w:p w14:paraId="5CF4EBE6" w14:textId="123451F9" w:rsidR="009A31F1" w:rsidRPr="00BB23EE" w:rsidRDefault="00BB23EE" w:rsidP="002F39CD">
      <w:pPr>
        <w:pStyle w:val="Answer"/>
        <w:ind w:left="0"/>
        <w:rPr>
          <w:color w:val="000000" w:themeColor="text1"/>
        </w:rPr>
      </w:pPr>
      <w:r w:rsidRPr="00BB23EE">
        <w:t>Austrian Patent Office (APO)</w:t>
      </w:r>
    </w:p>
    <w:p w14:paraId="3B0AACF3" w14:textId="77777777" w:rsidR="009A31F1" w:rsidRDefault="009A31F1" w:rsidP="009A31F1">
      <w:pPr>
        <w:pStyle w:val="Question"/>
        <w:spacing w:after="240"/>
      </w:pPr>
      <w:r>
        <w:t>(b)</w:t>
      </w:r>
      <w:r>
        <w:tab/>
        <w:t>Name and contact details of official for any queries about this application:</w:t>
      </w:r>
    </w:p>
    <w:p w14:paraId="489B4DC6" w14:textId="60CA85AA" w:rsidR="00BB23EE" w:rsidRPr="00BB23EE" w:rsidRDefault="00BB23EE" w:rsidP="00BB23EE">
      <w:pPr>
        <w:tabs>
          <w:tab w:val="left" w:pos="1410"/>
        </w:tabs>
        <w:spacing w:after="120" w:line="260" w:lineRule="atLeast"/>
        <w:jc w:val="both"/>
      </w:pPr>
      <w:r w:rsidRPr="00BB23EE">
        <w:t xml:space="preserve">Mr. Hannes RAUMAUF </w:t>
      </w:r>
      <w:r w:rsidRPr="00BB23EE">
        <w:tab/>
      </w:r>
      <w:hyperlink r:id="rId11" w:history="1">
        <w:r w:rsidRPr="00687CDD">
          <w:rPr>
            <w:rStyle w:val="Hyperlink"/>
            <w:bCs/>
          </w:rPr>
          <w:t>hannes.raumauf@patentamt.at</w:t>
        </w:r>
      </w:hyperlink>
      <w:r w:rsidRPr="00BB23EE">
        <w:tab/>
      </w:r>
      <w:r w:rsidRPr="00BB23EE">
        <w:tab/>
        <w:t>+43 664 88279130</w:t>
      </w:r>
    </w:p>
    <w:p w14:paraId="090380F2" w14:textId="69EB0CD8" w:rsidR="00BB23EE" w:rsidRPr="00BB23EE" w:rsidRDefault="00BB23EE" w:rsidP="00BB23EE">
      <w:pPr>
        <w:tabs>
          <w:tab w:val="left" w:pos="1410"/>
        </w:tabs>
        <w:spacing w:after="120" w:line="260" w:lineRule="atLeast"/>
        <w:jc w:val="both"/>
      </w:pPr>
      <w:r w:rsidRPr="00BB23EE">
        <w:t>Mr. Martin RIEDL</w:t>
      </w:r>
      <w:r w:rsidRPr="00BB23EE">
        <w:tab/>
      </w:r>
      <w:r w:rsidRPr="00BB23EE">
        <w:tab/>
      </w:r>
      <w:r>
        <w:tab/>
      </w:r>
      <w:hyperlink r:id="rId12" w:history="1">
        <w:r w:rsidR="00EA2A90" w:rsidRPr="00541AF3">
          <w:rPr>
            <w:rStyle w:val="Hyperlink"/>
            <w:bCs/>
          </w:rPr>
          <w:t>martin.riedl@patentamt.at</w:t>
        </w:r>
      </w:hyperlink>
      <w:r w:rsidRPr="00BB23EE">
        <w:tab/>
      </w:r>
      <w:r w:rsidR="00EA2A90">
        <w:tab/>
      </w:r>
      <w:r w:rsidR="00EA2A90">
        <w:tab/>
      </w:r>
      <w:r w:rsidRPr="00BB23EE">
        <w:t>+43 664 4619899</w:t>
      </w:r>
    </w:p>
    <w:p w14:paraId="6676797C" w14:textId="56BA06CF" w:rsidR="00BB23EE" w:rsidRPr="00BB23EE" w:rsidRDefault="00BB23EE" w:rsidP="00BB23EE">
      <w:pPr>
        <w:tabs>
          <w:tab w:val="left" w:pos="1410"/>
        </w:tabs>
        <w:spacing w:after="120" w:line="260" w:lineRule="atLeast"/>
        <w:jc w:val="both"/>
      </w:pPr>
      <w:r w:rsidRPr="00BB23EE">
        <w:t>Ms. Gloria MIRESCU</w:t>
      </w:r>
      <w:r w:rsidRPr="00BB23EE">
        <w:tab/>
      </w:r>
      <w:r w:rsidRPr="00BB23EE">
        <w:tab/>
      </w:r>
      <w:hyperlink r:id="rId13" w:history="1">
        <w:r w:rsidRPr="00687CDD">
          <w:rPr>
            <w:rStyle w:val="Hyperlink"/>
            <w:bCs/>
          </w:rPr>
          <w:t>gloria.mirescu@patentamt.at</w:t>
        </w:r>
      </w:hyperlink>
      <w:r w:rsidRPr="00BB23EE">
        <w:tab/>
      </w:r>
      <w:r w:rsidRPr="00BB23EE">
        <w:tab/>
      </w:r>
      <w:r>
        <w:tab/>
      </w:r>
      <w:r w:rsidRPr="00BB23EE">
        <w:t>+43 664 88279216</w:t>
      </w:r>
    </w:p>
    <w:p w14:paraId="6F257755" w14:textId="77777777" w:rsidR="00BB23EE" w:rsidRPr="007C1EBD" w:rsidRDefault="00BB23EE" w:rsidP="00BB23EE">
      <w:pPr>
        <w:tabs>
          <w:tab w:val="left" w:pos="1410"/>
        </w:tabs>
        <w:spacing w:after="120" w:line="260" w:lineRule="atLeast"/>
        <w:jc w:val="both"/>
        <w:rPr>
          <w:rFonts w:ascii="Open Sans" w:hAnsi="Open Sans" w:cs="Open Sans"/>
        </w:rPr>
      </w:pPr>
    </w:p>
    <w:p w14:paraId="5EBA2C3E" w14:textId="77777777" w:rsidR="009A31F1" w:rsidRDefault="009A31F1" w:rsidP="009A31F1">
      <w:pPr>
        <w:pStyle w:val="Question"/>
      </w:pPr>
      <w:r>
        <w:t>(c)</w:t>
      </w:r>
      <w:r>
        <w:tab/>
        <w:t>Date on which application for extension of appointment was received by the Director General:</w:t>
      </w:r>
    </w:p>
    <w:p w14:paraId="2740412F" w14:textId="79703589" w:rsidR="009A31F1" w:rsidRPr="004C5F56" w:rsidRDefault="00BB23EE" w:rsidP="009A31F1">
      <w:pPr>
        <w:pStyle w:val="Answer"/>
      </w:pPr>
      <w:r>
        <w:t>November 20</w:t>
      </w:r>
      <w:r w:rsidR="009A31F1" w:rsidRPr="004C5F56">
        <w:t>, 2025</w:t>
      </w:r>
    </w:p>
    <w:p w14:paraId="671168CF" w14:textId="77777777" w:rsidR="009A31F1" w:rsidRPr="002B3808" w:rsidRDefault="009A31F1" w:rsidP="009A31F1">
      <w:pPr>
        <w:pStyle w:val="SectionHeading"/>
        <w:rPr>
          <w:lang w:val="en-US"/>
        </w:rPr>
      </w:pPr>
      <w:r w:rsidRPr="002B3808">
        <w:rPr>
          <w:lang w:val="en-US"/>
        </w:rPr>
        <w:t>2 – Minimum Requirements for Appointment</w:t>
      </w:r>
    </w:p>
    <w:p w14:paraId="60D36E86" w14:textId="67B731BB" w:rsidR="00BB23EE" w:rsidRPr="00F416F2" w:rsidRDefault="00BB23EE" w:rsidP="00BB23EE">
      <w:r>
        <w:t>In addition to the annual report on the quality management system by the Office or organization for 2025 (“the QMS Report</w:t>
      </w:r>
      <w:bookmarkStart w:id="5" w:name="_Hlk215084850"/>
      <w:r>
        <w:t>”</w:t>
      </w:r>
      <w:r w:rsidR="00596424" w:rsidRPr="00596424">
        <w:t xml:space="preserve"> </w:t>
      </w:r>
      <w:bookmarkStart w:id="6" w:name="_Hlk215576586"/>
      <w:r w:rsidR="00941949">
        <w:rPr>
          <w:rStyle w:val="Hyperlink"/>
          <w:bCs/>
        </w:rPr>
        <w:fldChar w:fldCharType="begin"/>
      </w:r>
      <w:r w:rsidR="00941949">
        <w:rPr>
          <w:rStyle w:val="Hyperlink"/>
          <w:bCs/>
        </w:rPr>
        <w:instrText>HYPERLINK "https://www.wipo.int/en/web/pct-system/quality/authorities%23AT"</w:instrText>
      </w:r>
      <w:r w:rsidR="004C572F">
        <w:rPr>
          <w:rStyle w:val="Hyperlink"/>
          <w:bCs/>
        </w:rPr>
      </w:r>
      <w:r w:rsidR="00941949">
        <w:rPr>
          <w:rStyle w:val="Hyperlink"/>
          <w:bCs/>
        </w:rPr>
        <w:fldChar w:fldCharType="separate"/>
      </w:r>
      <w:r w:rsidR="00596424" w:rsidRPr="00941949">
        <w:rPr>
          <w:rStyle w:val="Hyperlink"/>
          <w:bCs/>
        </w:rPr>
        <w:t>https://www.wipo.int/en/web/pct-system/quality/authorities#AT</w:t>
      </w:r>
      <w:bookmarkEnd w:id="5"/>
      <w:bookmarkEnd w:id="6"/>
      <w:r w:rsidR="00941949">
        <w:rPr>
          <w:rStyle w:val="Hyperlink"/>
          <w:bCs/>
        </w:rPr>
        <w:fldChar w:fldCharType="end"/>
      </w:r>
      <w:r w:rsidRPr="00CA5343">
        <w:rPr>
          <w:i/>
          <w:iCs/>
        </w:rPr>
        <w:t>)</w:t>
      </w:r>
      <w:r>
        <w:t xml:space="preserve"> produced in accordance with paragraphs 21.31 and 21.32 of the International Search and Preliminary Examination Guidelines (“the Guidelines”), the Authority submits the following information.</w:t>
      </w:r>
    </w:p>
    <w:p w14:paraId="60EEBE3A" w14:textId="77777777" w:rsidR="009A31F1" w:rsidRPr="002B3808" w:rsidRDefault="009A31F1" w:rsidP="009A31F1">
      <w:pPr>
        <w:pStyle w:val="SectionHeading"/>
        <w:rPr>
          <w:lang w:val="en-US"/>
        </w:rPr>
      </w:pPr>
      <w:r w:rsidRPr="002B3808">
        <w:rPr>
          <w:lang w:val="en-US"/>
        </w:rPr>
        <w:lastRenderedPageBreak/>
        <w:t>2.1 – Search and Examination Capacity</w:t>
      </w:r>
    </w:p>
    <w:p w14:paraId="4204A13E" w14:textId="77777777" w:rsidR="009A31F1" w:rsidRDefault="009A31F1" w:rsidP="009A31F1">
      <w:pPr>
        <w:pStyle w:val="RuleQuote"/>
      </w:pPr>
      <w:r>
        <w:t>Rules 36.1(</w:t>
      </w:r>
      <w:proofErr w:type="spellStart"/>
      <w:r>
        <w:t>i</w:t>
      </w:r>
      <w:proofErr w:type="spellEnd"/>
      <w:r>
        <w:t>) and 63.1(</w:t>
      </w:r>
      <w:proofErr w:type="spellStart"/>
      <w:r>
        <w:t>i</w:t>
      </w:r>
      <w:proofErr w:type="spellEnd"/>
      <w:r>
        <w:t>): The national Office or intergovernmental organization must have at least 100 full-time employees with sufficient technical qualifications to carry out searches and examinations.</w:t>
      </w:r>
    </w:p>
    <w:p w14:paraId="0A5B660C" w14:textId="77777777" w:rsidR="00596424" w:rsidRPr="00596424" w:rsidRDefault="00596424" w:rsidP="00596424">
      <w:pPr>
        <w:pStyle w:val="RuleQuote"/>
        <w:ind w:left="0"/>
        <w:rPr>
          <w:i w:val="0"/>
          <w:iCs w:val="0"/>
        </w:rPr>
      </w:pPr>
      <w:r w:rsidRPr="00596424">
        <w:rPr>
          <w:i w:val="0"/>
          <w:iCs w:val="0"/>
        </w:rPr>
        <w:t xml:space="preserve">The QMS Report provides information from the Authority on the infrastructure in place to ensure </w:t>
      </w:r>
      <w:proofErr w:type="gramStart"/>
      <w:r w:rsidRPr="00596424">
        <w:rPr>
          <w:i w:val="0"/>
          <w:iCs w:val="0"/>
        </w:rPr>
        <w:t>a sufficient</w:t>
      </w:r>
      <w:r w:rsidRPr="00596424">
        <w:rPr>
          <w:i w:val="0"/>
          <w:iCs w:val="0"/>
          <w:vertAlign w:val="subscript"/>
        </w:rPr>
        <w:t xml:space="preserve"> </w:t>
      </w:r>
      <w:r w:rsidRPr="00596424">
        <w:rPr>
          <w:i w:val="0"/>
          <w:iCs w:val="0"/>
        </w:rPr>
        <w:t>quantity of</w:t>
      </w:r>
      <w:proofErr w:type="gramEnd"/>
      <w:r w:rsidRPr="00596424">
        <w:rPr>
          <w:i w:val="0"/>
          <w:iCs w:val="0"/>
        </w:rPr>
        <w:t xml:space="preserve"> technically qualified staff under paragraph 21.15(</w:t>
      </w:r>
      <w:proofErr w:type="spellStart"/>
      <w:r w:rsidRPr="00596424">
        <w:rPr>
          <w:i w:val="0"/>
          <w:iCs w:val="0"/>
        </w:rPr>
        <w:t>i</w:t>
      </w:r>
      <w:proofErr w:type="spellEnd"/>
      <w:r w:rsidRPr="00596424">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6F668C2F" w14:textId="77777777" w:rsidR="00596424" w:rsidRPr="00596424" w:rsidRDefault="00596424" w:rsidP="00596424">
      <w:pPr>
        <w:pStyle w:val="Question"/>
        <w:spacing w:after="480"/>
      </w:pPr>
      <w:r w:rsidRPr="00596424">
        <w:t>Employees qualified to carry out search and examination:</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3464"/>
        <w:gridCol w:w="1378"/>
        <w:gridCol w:w="1390"/>
        <w:gridCol w:w="2347"/>
      </w:tblGrid>
      <w:tr w:rsidR="00596424" w:rsidRPr="00596424" w14:paraId="5420AC2E" w14:textId="77777777" w:rsidTr="00616BAE">
        <w:trPr>
          <w:cantSplit/>
          <w:tblHeader/>
          <w:jc w:val="center"/>
        </w:trPr>
        <w:tc>
          <w:tcPr>
            <w:tcW w:w="3464" w:type="dxa"/>
            <w:tcBorders>
              <w:top w:val="single" w:sz="4" w:space="0" w:color="auto"/>
              <w:left w:val="single" w:sz="4" w:space="0" w:color="auto"/>
              <w:bottom w:val="single" w:sz="4" w:space="0" w:color="auto"/>
              <w:right w:val="single" w:sz="4" w:space="0" w:color="auto"/>
            </w:tcBorders>
            <w:hideMark/>
          </w:tcPr>
          <w:p w14:paraId="4C1CDF42" w14:textId="77777777" w:rsidR="00596424" w:rsidRPr="00596424" w:rsidRDefault="00596424" w:rsidP="00616BAE">
            <w:pPr>
              <w:keepNext/>
              <w:keepLines/>
              <w:suppressAutoHyphens/>
              <w:rPr>
                <w:rFonts w:eastAsia="Times New Roman"/>
                <w:b/>
                <w:bCs/>
                <w:szCs w:val="22"/>
                <w:lang w:eastAsia="en-US" w:bidi="he-IL"/>
              </w:rPr>
            </w:pPr>
            <w:r w:rsidRPr="00596424">
              <w:rPr>
                <w:b/>
                <w:bCs/>
                <w:szCs w:val="22"/>
                <w:lang w:eastAsia="en-US" w:bidi="he-IL"/>
              </w:rPr>
              <w:t>Technical field</w:t>
            </w:r>
          </w:p>
        </w:tc>
        <w:tc>
          <w:tcPr>
            <w:tcW w:w="1378" w:type="dxa"/>
            <w:tcBorders>
              <w:top w:val="single" w:sz="4" w:space="0" w:color="auto"/>
              <w:left w:val="single" w:sz="4" w:space="0" w:color="auto"/>
              <w:bottom w:val="single" w:sz="4" w:space="0" w:color="auto"/>
              <w:right w:val="single" w:sz="4" w:space="0" w:color="auto"/>
            </w:tcBorders>
            <w:hideMark/>
          </w:tcPr>
          <w:p w14:paraId="0AADCE4E" w14:textId="77777777" w:rsidR="00596424" w:rsidRPr="00596424" w:rsidRDefault="00596424" w:rsidP="00616BAE">
            <w:pPr>
              <w:keepNext/>
              <w:keepLines/>
              <w:suppressAutoHyphens/>
              <w:rPr>
                <w:rFonts w:eastAsia="Times New Roman"/>
                <w:b/>
                <w:bCs/>
                <w:szCs w:val="22"/>
                <w:lang w:eastAsia="en-US" w:bidi="he-IL"/>
              </w:rPr>
            </w:pPr>
            <w:r w:rsidRPr="00596424">
              <w:rPr>
                <w:b/>
                <w:bCs/>
                <w:szCs w:val="22"/>
                <w:lang w:eastAsia="en-US" w:bidi="he-IL"/>
              </w:rPr>
              <w:t>Number (in full-time equivalent)</w:t>
            </w:r>
          </w:p>
        </w:tc>
        <w:tc>
          <w:tcPr>
            <w:tcW w:w="1390" w:type="dxa"/>
            <w:tcBorders>
              <w:top w:val="single" w:sz="4" w:space="0" w:color="auto"/>
              <w:left w:val="single" w:sz="4" w:space="0" w:color="auto"/>
              <w:bottom w:val="single" w:sz="4" w:space="0" w:color="auto"/>
              <w:right w:val="single" w:sz="4" w:space="0" w:color="auto"/>
            </w:tcBorders>
            <w:hideMark/>
          </w:tcPr>
          <w:p w14:paraId="48D04C52" w14:textId="77777777" w:rsidR="00596424" w:rsidRPr="00596424" w:rsidRDefault="00596424" w:rsidP="00616BAE">
            <w:pPr>
              <w:suppressAutoHyphens/>
              <w:rPr>
                <w:rFonts w:eastAsia="Times New Roman"/>
                <w:b/>
                <w:bCs/>
                <w:szCs w:val="24"/>
                <w:lang w:eastAsia="en-US" w:bidi="he-IL"/>
              </w:rPr>
            </w:pPr>
            <w:r w:rsidRPr="00596424">
              <w:rPr>
                <w:b/>
                <w:bCs/>
                <w:lang w:eastAsia="en-US" w:bidi="he-IL"/>
              </w:rPr>
              <w:t>Average experience as examiners (years)</w:t>
            </w:r>
          </w:p>
        </w:tc>
        <w:tc>
          <w:tcPr>
            <w:tcW w:w="2347" w:type="dxa"/>
            <w:tcBorders>
              <w:top w:val="single" w:sz="4" w:space="0" w:color="auto"/>
              <w:left w:val="single" w:sz="4" w:space="0" w:color="auto"/>
              <w:bottom w:val="single" w:sz="4" w:space="0" w:color="auto"/>
              <w:right w:val="single" w:sz="4" w:space="0" w:color="auto"/>
            </w:tcBorders>
            <w:hideMark/>
          </w:tcPr>
          <w:p w14:paraId="7A0CB24A" w14:textId="77777777" w:rsidR="00596424" w:rsidRPr="00596424" w:rsidRDefault="00596424" w:rsidP="00616BAE">
            <w:pPr>
              <w:suppressAutoHyphens/>
              <w:rPr>
                <w:rFonts w:eastAsia="Times New Roman"/>
                <w:b/>
                <w:bCs/>
                <w:szCs w:val="24"/>
                <w:lang w:eastAsia="en-US" w:bidi="he-IL"/>
              </w:rPr>
            </w:pPr>
            <w:r w:rsidRPr="00596424">
              <w:rPr>
                <w:b/>
                <w:bCs/>
                <w:lang w:eastAsia="en-US" w:bidi="he-IL"/>
              </w:rPr>
              <w:t>Breakdown of qualifications</w:t>
            </w:r>
          </w:p>
        </w:tc>
      </w:tr>
      <w:tr w:rsidR="00596424" w:rsidRPr="00596424" w14:paraId="34B8584D" w14:textId="77777777" w:rsidTr="00616BAE">
        <w:trPr>
          <w:cantSplit/>
          <w:jc w:val="center"/>
        </w:trPr>
        <w:tc>
          <w:tcPr>
            <w:tcW w:w="3464" w:type="dxa"/>
            <w:tcBorders>
              <w:top w:val="single" w:sz="4" w:space="0" w:color="auto"/>
              <w:left w:val="single" w:sz="4" w:space="0" w:color="auto"/>
              <w:bottom w:val="single" w:sz="4" w:space="0" w:color="auto"/>
              <w:right w:val="single" w:sz="4" w:space="0" w:color="auto"/>
            </w:tcBorders>
            <w:vAlign w:val="center"/>
            <w:hideMark/>
          </w:tcPr>
          <w:p w14:paraId="047A3EC0" w14:textId="77777777" w:rsidR="00596424" w:rsidRPr="00596424" w:rsidRDefault="00596424" w:rsidP="00616BAE">
            <w:pPr>
              <w:pStyle w:val="NormalWeb"/>
              <w:shd w:val="clear" w:color="auto" w:fill="FFFFFF"/>
              <w:spacing w:before="120" w:beforeAutospacing="0" w:after="120" w:afterAutospacing="0"/>
              <w:rPr>
                <w:rFonts w:ascii="Arial" w:hAnsi="Arial" w:cs="Arial"/>
                <w:color w:val="202122"/>
                <w:lang w:val="en-US"/>
              </w:rPr>
            </w:pPr>
            <w:r w:rsidRPr="00596424">
              <w:rPr>
                <w:rFonts w:ascii="Arial" w:hAnsi="Arial" w:cs="Arial"/>
                <w:color w:val="202122"/>
                <w:lang w:val="en-US"/>
              </w:rPr>
              <w:t>Physics and Civil Engineering</w:t>
            </w:r>
          </w:p>
        </w:tc>
        <w:tc>
          <w:tcPr>
            <w:tcW w:w="1378" w:type="dxa"/>
            <w:tcBorders>
              <w:top w:val="single" w:sz="4" w:space="0" w:color="auto"/>
              <w:left w:val="single" w:sz="4" w:space="0" w:color="auto"/>
              <w:bottom w:val="single" w:sz="4" w:space="0" w:color="auto"/>
              <w:right w:val="single" w:sz="4" w:space="0" w:color="auto"/>
            </w:tcBorders>
            <w:vAlign w:val="center"/>
          </w:tcPr>
          <w:p w14:paraId="60C5FDA7" w14:textId="77777777" w:rsidR="00596424" w:rsidRPr="00596424" w:rsidRDefault="00596424" w:rsidP="00616BAE">
            <w:pPr>
              <w:keepNext/>
              <w:keepLines/>
              <w:suppressAutoHyphens/>
              <w:jc w:val="center"/>
              <w:rPr>
                <w:rFonts w:eastAsia="Times New Roman"/>
                <w:szCs w:val="22"/>
                <w:lang w:eastAsia="en-US" w:bidi="he-IL"/>
              </w:rPr>
            </w:pPr>
            <w:r w:rsidRPr="00596424">
              <w:rPr>
                <w:rFonts w:eastAsia="Times New Roman"/>
                <w:szCs w:val="22"/>
                <w:lang w:eastAsia="en-US" w:bidi="he-IL"/>
              </w:rPr>
              <w:t>26</w:t>
            </w:r>
          </w:p>
        </w:tc>
        <w:tc>
          <w:tcPr>
            <w:tcW w:w="1390" w:type="dxa"/>
            <w:tcBorders>
              <w:top w:val="single" w:sz="4" w:space="0" w:color="auto"/>
              <w:left w:val="single" w:sz="4" w:space="0" w:color="auto"/>
              <w:bottom w:val="single" w:sz="4" w:space="0" w:color="auto"/>
              <w:right w:val="single" w:sz="4" w:space="0" w:color="auto"/>
            </w:tcBorders>
            <w:vAlign w:val="center"/>
          </w:tcPr>
          <w:p w14:paraId="26A0C876" w14:textId="77777777" w:rsidR="00596424" w:rsidRPr="00596424" w:rsidRDefault="00596424" w:rsidP="00616BAE">
            <w:pPr>
              <w:keepNext/>
              <w:keepLines/>
              <w:suppressAutoHyphens/>
              <w:jc w:val="center"/>
              <w:rPr>
                <w:rFonts w:eastAsia="Times New Roman"/>
                <w:szCs w:val="22"/>
                <w:lang w:eastAsia="en-US" w:bidi="he-IL"/>
              </w:rPr>
            </w:pPr>
            <w:r w:rsidRPr="00596424">
              <w:rPr>
                <w:rFonts w:eastAsia="Times New Roman"/>
                <w:szCs w:val="22"/>
                <w:lang w:eastAsia="en-US" w:bidi="he-IL"/>
              </w:rPr>
              <w:t>16,9</w:t>
            </w:r>
          </w:p>
        </w:tc>
        <w:tc>
          <w:tcPr>
            <w:tcW w:w="2347" w:type="dxa"/>
            <w:tcBorders>
              <w:top w:val="single" w:sz="4" w:space="0" w:color="auto"/>
              <w:left w:val="single" w:sz="4" w:space="0" w:color="auto"/>
              <w:bottom w:val="single" w:sz="4" w:space="0" w:color="auto"/>
              <w:right w:val="single" w:sz="4" w:space="0" w:color="auto"/>
            </w:tcBorders>
            <w:vAlign w:val="center"/>
          </w:tcPr>
          <w:p w14:paraId="013713B7" w14:textId="77777777" w:rsidR="00596424" w:rsidRPr="00596424" w:rsidRDefault="00596424" w:rsidP="00616BAE">
            <w:pPr>
              <w:keepNext/>
              <w:keepLines/>
              <w:suppressAutoHyphens/>
              <w:rPr>
                <w:rFonts w:eastAsia="Times New Roman"/>
                <w:szCs w:val="22"/>
                <w:lang w:eastAsia="en-US" w:bidi="he-IL"/>
              </w:rPr>
            </w:pPr>
            <w:r w:rsidRPr="00596424">
              <w:rPr>
                <w:rFonts w:eastAsia="Times New Roman"/>
                <w:szCs w:val="22"/>
                <w:lang w:eastAsia="en-US" w:bidi="he-IL"/>
              </w:rPr>
              <w:t xml:space="preserve">6 PhD, </w:t>
            </w:r>
          </w:p>
          <w:p w14:paraId="38FBF37A" w14:textId="77777777" w:rsidR="00596424" w:rsidRPr="00596424" w:rsidRDefault="00596424" w:rsidP="00616BAE">
            <w:pPr>
              <w:keepNext/>
              <w:keepLines/>
              <w:suppressAutoHyphens/>
              <w:rPr>
                <w:rFonts w:eastAsia="Times New Roman"/>
                <w:szCs w:val="22"/>
                <w:lang w:eastAsia="en-US" w:bidi="he-IL"/>
              </w:rPr>
            </w:pPr>
            <w:r w:rsidRPr="00596424">
              <w:rPr>
                <w:rFonts w:eastAsia="Times New Roman"/>
                <w:szCs w:val="22"/>
                <w:lang w:eastAsia="en-US" w:bidi="he-IL"/>
              </w:rPr>
              <w:t xml:space="preserve">20 </w:t>
            </w:r>
            <w:proofErr w:type="gramStart"/>
            <w:r w:rsidRPr="00596424">
              <w:rPr>
                <w:rFonts w:eastAsia="Times New Roman"/>
                <w:szCs w:val="22"/>
                <w:lang w:eastAsia="en-US" w:bidi="he-IL"/>
              </w:rPr>
              <w:t>Master’s Degree</w:t>
            </w:r>
            <w:proofErr w:type="gramEnd"/>
          </w:p>
        </w:tc>
      </w:tr>
      <w:tr w:rsidR="00596424" w:rsidRPr="00596424" w14:paraId="51A450B4" w14:textId="77777777" w:rsidTr="00616BAE">
        <w:trPr>
          <w:cantSplit/>
          <w:trHeight w:val="464"/>
          <w:jc w:val="center"/>
        </w:trPr>
        <w:tc>
          <w:tcPr>
            <w:tcW w:w="3464" w:type="dxa"/>
            <w:tcBorders>
              <w:top w:val="single" w:sz="4" w:space="0" w:color="auto"/>
              <w:left w:val="single" w:sz="4" w:space="0" w:color="auto"/>
              <w:bottom w:val="single" w:sz="4" w:space="0" w:color="auto"/>
              <w:right w:val="single" w:sz="4" w:space="0" w:color="auto"/>
            </w:tcBorders>
            <w:vAlign w:val="center"/>
            <w:hideMark/>
          </w:tcPr>
          <w:p w14:paraId="1F206422" w14:textId="77777777" w:rsidR="00596424" w:rsidRPr="00596424" w:rsidRDefault="00596424" w:rsidP="00616BAE">
            <w:pPr>
              <w:keepNext/>
              <w:keepLines/>
              <w:suppressAutoHyphens/>
              <w:rPr>
                <w:color w:val="202122"/>
                <w:sz w:val="24"/>
                <w:szCs w:val="24"/>
              </w:rPr>
            </w:pPr>
            <w:r w:rsidRPr="00596424">
              <w:rPr>
                <w:color w:val="202122"/>
                <w:sz w:val="24"/>
                <w:szCs w:val="24"/>
              </w:rPr>
              <w:t>Mechanical Engineering</w:t>
            </w:r>
          </w:p>
          <w:p w14:paraId="38AE1DE1" w14:textId="77777777" w:rsidR="00596424" w:rsidRPr="00596424" w:rsidRDefault="00596424" w:rsidP="00616BAE">
            <w:pPr>
              <w:keepNext/>
              <w:keepLines/>
              <w:suppressAutoHyphens/>
              <w:rPr>
                <w:rFonts w:eastAsia="Times New Roman"/>
                <w:sz w:val="24"/>
                <w:szCs w:val="24"/>
                <w:lang w:eastAsia="en-US" w:bidi="he-IL"/>
              </w:rPr>
            </w:pPr>
          </w:p>
        </w:tc>
        <w:tc>
          <w:tcPr>
            <w:tcW w:w="1378" w:type="dxa"/>
            <w:tcBorders>
              <w:top w:val="single" w:sz="4" w:space="0" w:color="auto"/>
              <w:left w:val="single" w:sz="4" w:space="0" w:color="auto"/>
              <w:bottom w:val="single" w:sz="4" w:space="0" w:color="auto"/>
              <w:right w:val="single" w:sz="4" w:space="0" w:color="auto"/>
            </w:tcBorders>
            <w:vAlign w:val="center"/>
          </w:tcPr>
          <w:p w14:paraId="0ABD1D0E" w14:textId="77777777" w:rsidR="00596424" w:rsidRPr="00596424" w:rsidRDefault="00596424" w:rsidP="00616BAE">
            <w:pPr>
              <w:keepNext/>
              <w:keepLines/>
              <w:suppressAutoHyphens/>
              <w:jc w:val="center"/>
              <w:rPr>
                <w:rFonts w:eastAsia="Times New Roman"/>
                <w:szCs w:val="22"/>
                <w:lang w:eastAsia="en-US" w:bidi="he-IL"/>
              </w:rPr>
            </w:pPr>
            <w:r w:rsidRPr="00596424">
              <w:rPr>
                <w:rFonts w:eastAsia="Times New Roman"/>
                <w:szCs w:val="22"/>
                <w:lang w:eastAsia="en-US" w:bidi="he-IL"/>
              </w:rPr>
              <w:t>26</w:t>
            </w:r>
          </w:p>
        </w:tc>
        <w:tc>
          <w:tcPr>
            <w:tcW w:w="1390" w:type="dxa"/>
            <w:tcBorders>
              <w:top w:val="single" w:sz="4" w:space="0" w:color="auto"/>
              <w:left w:val="single" w:sz="4" w:space="0" w:color="auto"/>
              <w:bottom w:val="single" w:sz="4" w:space="0" w:color="auto"/>
              <w:right w:val="single" w:sz="4" w:space="0" w:color="auto"/>
            </w:tcBorders>
            <w:vAlign w:val="center"/>
          </w:tcPr>
          <w:p w14:paraId="14104D2C" w14:textId="77777777" w:rsidR="00596424" w:rsidRPr="00596424" w:rsidRDefault="00596424" w:rsidP="00616BAE">
            <w:pPr>
              <w:keepNext/>
              <w:keepLines/>
              <w:suppressAutoHyphens/>
              <w:jc w:val="center"/>
              <w:rPr>
                <w:rFonts w:eastAsia="Times New Roman"/>
                <w:szCs w:val="22"/>
                <w:lang w:eastAsia="en-US" w:bidi="he-IL"/>
              </w:rPr>
            </w:pPr>
            <w:r w:rsidRPr="00596424">
              <w:rPr>
                <w:rFonts w:eastAsia="Times New Roman"/>
                <w:szCs w:val="22"/>
                <w:lang w:eastAsia="en-US" w:bidi="he-IL"/>
              </w:rPr>
              <w:t>18,8</w:t>
            </w:r>
          </w:p>
        </w:tc>
        <w:tc>
          <w:tcPr>
            <w:tcW w:w="2347" w:type="dxa"/>
            <w:tcBorders>
              <w:top w:val="single" w:sz="4" w:space="0" w:color="auto"/>
              <w:left w:val="single" w:sz="4" w:space="0" w:color="auto"/>
              <w:bottom w:val="single" w:sz="4" w:space="0" w:color="auto"/>
              <w:right w:val="single" w:sz="4" w:space="0" w:color="auto"/>
            </w:tcBorders>
            <w:vAlign w:val="center"/>
          </w:tcPr>
          <w:p w14:paraId="506D5578" w14:textId="77777777" w:rsidR="00596424" w:rsidRPr="00596424" w:rsidRDefault="00596424" w:rsidP="00616BAE">
            <w:pPr>
              <w:keepNext/>
              <w:keepLines/>
              <w:suppressAutoHyphens/>
              <w:rPr>
                <w:rFonts w:eastAsia="Times New Roman"/>
                <w:szCs w:val="22"/>
                <w:lang w:eastAsia="en-US" w:bidi="he-IL"/>
              </w:rPr>
            </w:pPr>
            <w:r w:rsidRPr="00596424">
              <w:rPr>
                <w:rFonts w:eastAsia="Times New Roman"/>
                <w:szCs w:val="22"/>
                <w:lang w:eastAsia="en-US" w:bidi="he-IL"/>
              </w:rPr>
              <w:t xml:space="preserve">8 PhD, </w:t>
            </w:r>
          </w:p>
          <w:p w14:paraId="0D74B72F" w14:textId="77777777" w:rsidR="00596424" w:rsidRPr="00596424" w:rsidRDefault="00596424" w:rsidP="00616BAE">
            <w:pPr>
              <w:keepNext/>
              <w:keepLines/>
              <w:suppressAutoHyphens/>
              <w:rPr>
                <w:rFonts w:eastAsia="Times New Roman"/>
                <w:szCs w:val="22"/>
                <w:lang w:eastAsia="en-US" w:bidi="he-IL"/>
              </w:rPr>
            </w:pPr>
            <w:r w:rsidRPr="00596424">
              <w:rPr>
                <w:rFonts w:eastAsia="Times New Roman"/>
                <w:szCs w:val="22"/>
                <w:lang w:eastAsia="en-US" w:bidi="he-IL"/>
              </w:rPr>
              <w:t xml:space="preserve">18 </w:t>
            </w:r>
            <w:proofErr w:type="gramStart"/>
            <w:r w:rsidRPr="00596424">
              <w:rPr>
                <w:rFonts w:eastAsia="Times New Roman"/>
                <w:szCs w:val="22"/>
                <w:lang w:eastAsia="en-US" w:bidi="he-IL"/>
              </w:rPr>
              <w:t>Master’s Degree</w:t>
            </w:r>
            <w:proofErr w:type="gramEnd"/>
          </w:p>
        </w:tc>
      </w:tr>
      <w:tr w:rsidR="00596424" w:rsidRPr="00596424" w14:paraId="543290A2" w14:textId="77777777" w:rsidTr="00616BAE">
        <w:trPr>
          <w:cantSplit/>
          <w:jc w:val="center"/>
        </w:trPr>
        <w:tc>
          <w:tcPr>
            <w:tcW w:w="3464" w:type="dxa"/>
            <w:tcBorders>
              <w:top w:val="single" w:sz="4" w:space="0" w:color="auto"/>
              <w:left w:val="single" w:sz="4" w:space="0" w:color="auto"/>
              <w:bottom w:val="single" w:sz="4" w:space="0" w:color="auto"/>
              <w:right w:val="single" w:sz="4" w:space="0" w:color="auto"/>
            </w:tcBorders>
            <w:vAlign w:val="center"/>
            <w:hideMark/>
          </w:tcPr>
          <w:p w14:paraId="27B8DFEF" w14:textId="77777777" w:rsidR="00596424" w:rsidRPr="00596424" w:rsidRDefault="00596424" w:rsidP="00616BAE">
            <w:pPr>
              <w:keepNext/>
              <w:keepLines/>
              <w:suppressAutoHyphens/>
              <w:rPr>
                <w:rFonts w:eastAsia="Times New Roman"/>
                <w:sz w:val="24"/>
                <w:szCs w:val="24"/>
                <w:lang w:eastAsia="en-US" w:bidi="he-IL"/>
              </w:rPr>
            </w:pPr>
            <w:r w:rsidRPr="00596424">
              <w:rPr>
                <w:color w:val="202122"/>
                <w:sz w:val="24"/>
                <w:szCs w:val="24"/>
              </w:rPr>
              <w:t>Electrical Engineering and Information Technology</w:t>
            </w:r>
          </w:p>
        </w:tc>
        <w:tc>
          <w:tcPr>
            <w:tcW w:w="1378" w:type="dxa"/>
            <w:tcBorders>
              <w:top w:val="single" w:sz="4" w:space="0" w:color="auto"/>
              <w:left w:val="single" w:sz="4" w:space="0" w:color="auto"/>
              <w:bottom w:val="single" w:sz="4" w:space="0" w:color="auto"/>
              <w:right w:val="single" w:sz="4" w:space="0" w:color="auto"/>
            </w:tcBorders>
            <w:vAlign w:val="center"/>
          </w:tcPr>
          <w:p w14:paraId="7A73A5CB" w14:textId="77777777" w:rsidR="00596424" w:rsidRPr="00596424" w:rsidRDefault="00596424" w:rsidP="00616BAE">
            <w:pPr>
              <w:keepNext/>
              <w:keepLines/>
              <w:suppressAutoHyphens/>
              <w:jc w:val="center"/>
              <w:rPr>
                <w:rFonts w:eastAsia="Times New Roman"/>
                <w:szCs w:val="22"/>
                <w:lang w:eastAsia="en-US" w:bidi="he-IL"/>
              </w:rPr>
            </w:pPr>
            <w:r w:rsidRPr="00596424">
              <w:rPr>
                <w:rFonts w:eastAsia="Times New Roman"/>
                <w:szCs w:val="22"/>
                <w:lang w:eastAsia="en-US" w:bidi="he-IL"/>
              </w:rPr>
              <w:t>27</w:t>
            </w:r>
          </w:p>
        </w:tc>
        <w:tc>
          <w:tcPr>
            <w:tcW w:w="1390" w:type="dxa"/>
            <w:tcBorders>
              <w:top w:val="single" w:sz="4" w:space="0" w:color="auto"/>
              <w:left w:val="single" w:sz="4" w:space="0" w:color="auto"/>
              <w:bottom w:val="single" w:sz="4" w:space="0" w:color="auto"/>
              <w:right w:val="single" w:sz="4" w:space="0" w:color="auto"/>
            </w:tcBorders>
            <w:vAlign w:val="center"/>
          </w:tcPr>
          <w:p w14:paraId="41AC5202" w14:textId="77777777" w:rsidR="00596424" w:rsidRPr="00596424" w:rsidRDefault="00596424" w:rsidP="00616BAE">
            <w:pPr>
              <w:keepNext/>
              <w:keepLines/>
              <w:suppressAutoHyphens/>
              <w:jc w:val="center"/>
              <w:rPr>
                <w:rFonts w:eastAsia="Times New Roman"/>
                <w:szCs w:val="22"/>
                <w:lang w:eastAsia="en-US" w:bidi="he-IL"/>
              </w:rPr>
            </w:pPr>
            <w:r w:rsidRPr="00596424">
              <w:rPr>
                <w:rFonts w:eastAsia="Times New Roman"/>
                <w:szCs w:val="22"/>
                <w:lang w:eastAsia="en-US" w:bidi="he-IL"/>
              </w:rPr>
              <w:t>17,5</w:t>
            </w:r>
          </w:p>
        </w:tc>
        <w:tc>
          <w:tcPr>
            <w:tcW w:w="2347" w:type="dxa"/>
            <w:tcBorders>
              <w:top w:val="single" w:sz="4" w:space="0" w:color="auto"/>
              <w:left w:val="single" w:sz="4" w:space="0" w:color="auto"/>
              <w:bottom w:val="single" w:sz="4" w:space="0" w:color="auto"/>
              <w:right w:val="single" w:sz="4" w:space="0" w:color="auto"/>
            </w:tcBorders>
            <w:vAlign w:val="center"/>
          </w:tcPr>
          <w:p w14:paraId="0AD2FAE9" w14:textId="77777777" w:rsidR="00596424" w:rsidRPr="00596424" w:rsidRDefault="00596424" w:rsidP="00616BAE">
            <w:pPr>
              <w:keepNext/>
              <w:keepLines/>
              <w:suppressAutoHyphens/>
              <w:rPr>
                <w:rFonts w:eastAsia="Times New Roman"/>
                <w:szCs w:val="22"/>
                <w:lang w:eastAsia="en-US" w:bidi="he-IL"/>
              </w:rPr>
            </w:pPr>
            <w:r w:rsidRPr="00596424">
              <w:rPr>
                <w:rFonts w:eastAsia="Times New Roman"/>
                <w:szCs w:val="22"/>
                <w:lang w:eastAsia="en-US" w:bidi="he-IL"/>
              </w:rPr>
              <w:t xml:space="preserve">7 PhD, </w:t>
            </w:r>
          </w:p>
          <w:p w14:paraId="5AF06A80" w14:textId="77777777" w:rsidR="00596424" w:rsidRPr="00596424" w:rsidRDefault="00596424" w:rsidP="00616BAE">
            <w:pPr>
              <w:keepNext/>
              <w:keepLines/>
              <w:suppressAutoHyphens/>
              <w:rPr>
                <w:rFonts w:eastAsia="Times New Roman"/>
                <w:szCs w:val="22"/>
                <w:lang w:eastAsia="en-US" w:bidi="he-IL"/>
              </w:rPr>
            </w:pPr>
            <w:r w:rsidRPr="00596424">
              <w:rPr>
                <w:rFonts w:eastAsia="Times New Roman"/>
                <w:szCs w:val="22"/>
                <w:lang w:eastAsia="en-US" w:bidi="he-IL"/>
              </w:rPr>
              <w:t xml:space="preserve">20 </w:t>
            </w:r>
            <w:proofErr w:type="gramStart"/>
            <w:r w:rsidRPr="00596424">
              <w:rPr>
                <w:rFonts w:eastAsia="Times New Roman"/>
                <w:szCs w:val="22"/>
                <w:lang w:eastAsia="en-US" w:bidi="he-IL"/>
              </w:rPr>
              <w:t>Master’s Degree</w:t>
            </w:r>
            <w:proofErr w:type="gramEnd"/>
          </w:p>
        </w:tc>
      </w:tr>
      <w:tr w:rsidR="00596424" w:rsidRPr="00596424" w14:paraId="1670DCD4" w14:textId="77777777" w:rsidTr="00616BAE">
        <w:trPr>
          <w:cantSplit/>
          <w:trHeight w:val="422"/>
          <w:jc w:val="center"/>
        </w:trPr>
        <w:tc>
          <w:tcPr>
            <w:tcW w:w="3464" w:type="dxa"/>
            <w:tcBorders>
              <w:top w:val="single" w:sz="4" w:space="0" w:color="auto"/>
              <w:left w:val="single" w:sz="4" w:space="0" w:color="auto"/>
              <w:bottom w:val="single" w:sz="4" w:space="0" w:color="auto"/>
              <w:right w:val="single" w:sz="4" w:space="0" w:color="auto"/>
            </w:tcBorders>
            <w:vAlign w:val="center"/>
            <w:hideMark/>
          </w:tcPr>
          <w:p w14:paraId="32E3726A" w14:textId="77777777" w:rsidR="00596424" w:rsidRPr="00596424" w:rsidRDefault="00596424" w:rsidP="00616BAE">
            <w:pPr>
              <w:keepNext/>
              <w:keepLines/>
              <w:suppressAutoHyphens/>
              <w:rPr>
                <w:sz w:val="24"/>
                <w:szCs w:val="24"/>
                <w:lang w:eastAsia="en-US" w:bidi="he-IL"/>
              </w:rPr>
            </w:pPr>
            <w:r w:rsidRPr="00596424">
              <w:rPr>
                <w:sz w:val="24"/>
                <w:szCs w:val="24"/>
                <w:lang w:eastAsia="en-US" w:bidi="he-IL"/>
              </w:rPr>
              <w:t>Chemistry/Bio</w:t>
            </w:r>
          </w:p>
          <w:p w14:paraId="5AA924FF" w14:textId="77777777" w:rsidR="00596424" w:rsidRPr="00596424" w:rsidRDefault="00596424" w:rsidP="00616BAE">
            <w:pPr>
              <w:keepNext/>
              <w:keepLines/>
              <w:suppressAutoHyphens/>
              <w:rPr>
                <w:rFonts w:eastAsia="Times New Roman"/>
                <w:sz w:val="24"/>
                <w:szCs w:val="24"/>
                <w:lang w:eastAsia="en-US" w:bidi="he-IL"/>
              </w:rPr>
            </w:pPr>
          </w:p>
        </w:tc>
        <w:tc>
          <w:tcPr>
            <w:tcW w:w="1378" w:type="dxa"/>
            <w:tcBorders>
              <w:top w:val="single" w:sz="4" w:space="0" w:color="auto"/>
              <w:left w:val="single" w:sz="4" w:space="0" w:color="auto"/>
              <w:bottom w:val="single" w:sz="4" w:space="0" w:color="auto"/>
              <w:right w:val="single" w:sz="4" w:space="0" w:color="auto"/>
            </w:tcBorders>
            <w:vAlign w:val="center"/>
          </w:tcPr>
          <w:p w14:paraId="25FD3855" w14:textId="77777777" w:rsidR="00596424" w:rsidRPr="00596424" w:rsidRDefault="00596424" w:rsidP="00616BAE">
            <w:pPr>
              <w:keepNext/>
              <w:keepLines/>
              <w:suppressAutoHyphens/>
              <w:jc w:val="center"/>
              <w:rPr>
                <w:rFonts w:eastAsia="Times New Roman"/>
                <w:szCs w:val="22"/>
                <w:lang w:eastAsia="en-US" w:bidi="he-IL"/>
              </w:rPr>
            </w:pPr>
            <w:r w:rsidRPr="00596424">
              <w:rPr>
                <w:rFonts w:eastAsia="Times New Roman"/>
                <w:szCs w:val="22"/>
                <w:lang w:eastAsia="en-US" w:bidi="he-IL"/>
              </w:rPr>
              <w:t>30</w:t>
            </w:r>
          </w:p>
        </w:tc>
        <w:tc>
          <w:tcPr>
            <w:tcW w:w="1390" w:type="dxa"/>
            <w:tcBorders>
              <w:top w:val="single" w:sz="4" w:space="0" w:color="auto"/>
              <w:left w:val="single" w:sz="4" w:space="0" w:color="auto"/>
              <w:bottom w:val="single" w:sz="4" w:space="0" w:color="auto"/>
              <w:right w:val="single" w:sz="4" w:space="0" w:color="auto"/>
            </w:tcBorders>
            <w:vAlign w:val="center"/>
          </w:tcPr>
          <w:p w14:paraId="7E66EBB8" w14:textId="77777777" w:rsidR="00596424" w:rsidRPr="00596424" w:rsidRDefault="00596424" w:rsidP="00616BAE">
            <w:pPr>
              <w:keepNext/>
              <w:keepLines/>
              <w:suppressAutoHyphens/>
              <w:jc w:val="center"/>
              <w:rPr>
                <w:rFonts w:eastAsia="Times New Roman"/>
                <w:szCs w:val="22"/>
                <w:lang w:eastAsia="en-US" w:bidi="he-IL"/>
              </w:rPr>
            </w:pPr>
            <w:r w:rsidRPr="00596424">
              <w:rPr>
                <w:rFonts w:eastAsia="Times New Roman"/>
                <w:szCs w:val="22"/>
                <w:lang w:eastAsia="en-US" w:bidi="he-IL"/>
              </w:rPr>
              <w:t>15,3</w:t>
            </w:r>
          </w:p>
        </w:tc>
        <w:tc>
          <w:tcPr>
            <w:tcW w:w="2347" w:type="dxa"/>
            <w:tcBorders>
              <w:top w:val="single" w:sz="4" w:space="0" w:color="auto"/>
              <w:left w:val="single" w:sz="4" w:space="0" w:color="auto"/>
              <w:bottom w:val="single" w:sz="4" w:space="0" w:color="auto"/>
              <w:right w:val="single" w:sz="4" w:space="0" w:color="auto"/>
            </w:tcBorders>
            <w:vAlign w:val="center"/>
          </w:tcPr>
          <w:p w14:paraId="4D6DDFB0" w14:textId="77777777" w:rsidR="00596424" w:rsidRPr="00596424" w:rsidRDefault="00596424" w:rsidP="00616BAE">
            <w:pPr>
              <w:keepNext/>
              <w:keepLines/>
              <w:suppressAutoHyphens/>
              <w:rPr>
                <w:rFonts w:eastAsia="Times New Roman"/>
                <w:szCs w:val="22"/>
                <w:lang w:eastAsia="en-US" w:bidi="he-IL"/>
              </w:rPr>
            </w:pPr>
            <w:r w:rsidRPr="00596424">
              <w:rPr>
                <w:rFonts w:eastAsia="Times New Roman"/>
                <w:szCs w:val="22"/>
                <w:lang w:eastAsia="en-US" w:bidi="he-IL"/>
              </w:rPr>
              <w:t xml:space="preserve">12 PhD, </w:t>
            </w:r>
          </w:p>
          <w:p w14:paraId="0B2B47DF" w14:textId="77777777" w:rsidR="00596424" w:rsidRPr="00596424" w:rsidRDefault="00596424" w:rsidP="00616BAE">
            <w:pPr>
              <w:keepNext/>
              <w:keepLines/>
              <w:suppressAutoHyphens/>
              <w:rPr>
                <w:rFonts w:eastAsia="Times New Roman"/>
                <w:szCs w:val="22"/>
                <w:lang w:eastAsia="en-US" w:bidi="he-IL"/>
              </w:rPr>
            </w:pPr>
            <w:r w:rsidRPr="00596424">
              <w:rPr>
                <w:rFonts w:eastAsia="Times New Roman"/>
                <w:szCs w:val="22"/>
                <w:lang w:eastAsia="en-US" w:bidi="he-IL"/>
              </w:rPr>
              <w:t xml:space="preserve">18 </w:t>
            </w:r>
            <w:proofErr w:type="gramStart"/>
            <w:r w:rsidRPr="00596424">
              <w:rPr>
                <w:rFonts w:eastAsia="Times New Roman"/>
                <w:szCs w:val="22"/>
                <w:lang w:eastAsia="en-US" w:bidi="he-IL"/>
              </w:rPr>
              <w:t>Master’s Degree</w:t>
            </w:r>
            <w:proofErr w:type="gramEnd"/>
          </w:p>
        </w:tc>
      </w:tr>
      <w:tr w:rsidR="00596424" w:rsidRPr="00596424" w14:paraId="023E87C9" w14:textId="77777777" w:rsidTr="00616BAE">
        <w:trPr>
          <w:cantSplit/>
          <w:trHeight w:val="542"/>
          <w:jc w:val="center"/>
        </w:trPr>
        <w:tc>
          <w:tcPr>
            <w:tcW w:w="3464" w:type="dxa"/>
            <w:tcBorders>
              <w:top w:val="single" w:sz="4" w:space="0" w:color="auto"/>
              <w:left w:val="single" w:sz="4" w:space="0" w:color="auto"/>
              <w:bottom w:val="single" w:sz="4" w:space="0" w:color="auto"/>
              <w:right w:val="single" w:sz="4" w:space="0" w:color="auto"/>
            </w:tcBorders>
            <w:vAlign w:val="center"/>
            <w:hideMark/>
          </w:tcPr>
          <w:p w14:paraId="02D467F1" w14:textId="77777777" w:rsidR="00596424" w:rsidRPr="00596424" w:rsidRDefault="00596424" w:rsidP="00616BAE">
            <w:pPr>
              <w:suppressAutoHyphens/>
              <w:rPr>
                <w:rFonts w:eastAsia="Times New Roman"/>
                <w:i/>
                <w:iCs/>
                <w:szCs w:val="22"/>
                <w:lang w:eastAsia="en-US" w:bidi="he-IL"/>
              </w:rPr>
            </w:pPr>
            <w:r w:rsidRPr="00596424">
              <w:rPr>
                <w:i/>
                <w:iCs/>
                <w:szCs w:val="22"/>
                <w:lang w:eastAsia="en-US" w:bidi="he-IL"/>
              </w:rPr>
              <w:t>Total</w:t>
            </w:r>
          </w:p>
        </w:tc>
        <w:tc>
          <w:tcPr>
            <w:tcW w:w="1378" w:type="dxa"/>
            <w:tcBorders>
              <w:top w:val="single" w:sz="4" w:space="0" w:color="auto"/>
              <w:left w:val="single" w:sz="4" w:space="0" w:color="auto"/>
              <w:bottom w:val="single" w:sz="4" w:space="0" w:color="auto"/>
              <w:right w:val="single" w:sz="4" w:space="0" w:color="auto"/>
            </w:tcBorders>
            <w:vAlign w:val="center"/>
          </w:tcPr>
          <w:p w14:paraId="29A4417F" w14:textId="77777777" w:rsidR="00596424" w:rsidRPr="00596424" w:rsidRDefault="00596424" w:rsidP="00616BAE">
            <w:pPr>
              <w:suppressAutoHyphens/>
              <w:jc w:val="center"/>
              <w:rPr>
                <w:rFonts w:eastAsia="Times New Roman"/>
                <w:i/>
                <w:iCs/>
                <w:szCs w:val="22"/>
                <w:lang w:eastAsia="en-US" w:bidi="he-IL"/>
              </w:rPr>
            </w:pPr>
            <w:r w:rsidRPr="00596424">
              <w:rPr>
                <w:rFonts w:eastAsia="Times New Roman"/>
                <w:i/>
                <w:iCs/>
                <w:szCs w:val="22"/>
                <w:lang w:eastAsia="en-US" w:bidi="he-IL"/>
              </w:rPr>
              <w:t>109</w:t>
            </w:r>
          </w:p>
        </w:tc>
        <w:tc>
          <w:tcPr>
            <w:tcW w:w="1390" w:type="dxa"/>
            <w:tcBorders>
              <w:top w:val="single" w:sz="4" w:space="0" w:color="auto"/>
              <w:left w:val="single" w:sz="4" w:space="0" w:color="auto"/>
              <w:bottom w:val="single" w:sz="4" w:space="0" w:color="auto"/>
              <w:right w:val="single" w:sz="4" w:space="0" w:color="auto"/>
            </w:tcBorders>
            <w:vAlign w:val="center"/>
          </w:tcPr>
          <w:p w14:paraId="1D7180C7" w14:textId="77777777" w:rsidR="00596424" w:rsidRPr="00596424" w:rsidRDefault="00596424" w:rsidP="00616BAE">
            <w:pPr>
              <w:suppressAutoHyphens/>
              <w:jc w:val="center"/>
              <w:rPr>
                <w:rFonts w:eastAsia="Times New Roman"/>
                <w:i/>
                <w:iCs/>
                <w:szCs w:val="22"/>
                <w:lang w:eastAsia="en-US" w:bidi="he-IL"/>
              </w:rPr>
            </w:pPr>
            <w:r w:rsidRPr="00596424">
              <w:rPr>
                <w:rFonts w:eastAsia="Times New Roman"/>
                <w:i/>
                <w:iCs/>
                <w:szCs w:val="22"/>
                <w:lang w:eastAsia="en-US" w:bidi="he-IL"/>
              </w:rPr>
              <w:t>17,1</w:t>
            </w:r>
          </w:p>
        </w:tc>
        <w:tc>
          <w:tcPr>
            <w:tcW w:w="2347" w:type="dxa"/>
            <w:tcBorders>
              <w:top w:val="single" w:sz="4" w:space="0" w:color="auto"/>
              <w:left w:val="single" w:sz="4" w:space="0" w:color="auto"/>
              <w:bottom w:val="single" w:sz="4" w:space="0" w:color="auto"/>
              <w:right w:val="single" w:sz="4" w:space="0" w:color="auto"/>
            </w:tcBorders>
            <w:vAlign w:val="center"/>
          </w:tcPr>
          <w:p w14:paraId="26662265" w14:textId="77777777" w:rsidR="00596424" w:rsidRPr="00596424" w:rsidRDefault="00596424" w:rsidP="00616BAE">
            <w:pPr>
              <w:suppressAutoHyphens/>
              <w:rPr>
                <w:rFonts w:eastAsia="Times New Roman"/>
                <w:i/>
                <w:iCs/>
                <w:szCs w:val="22"/>
                <w:lang w:eastAsia="en-US" w:bidi="he-IL"/>
              </w:rPr>
            </w:pPr>
            <w:r w:rsidRPr="00596424">
              <w:rPr>
                <w:rFonts w:eastAsia="Times New Roman"/>
                <w:i/>
                <w:iCs/>
                <w:szCs w:val="22"/>
                <w:lang w:eastAsia="en-US" w:bidi="he-IL"/>
              </w:rPr>
              <w:t>33 PhD,</w:t>
            </w:r>
          </w:p>
          <w:p w14:paraId="374236D6" w14:textId="77777777" w:rsidR="00596424" w:rsidRPr="00596424" w:rsidRDefault="00596424" w:rsidP="00616BAE">
            <w:pPr>
              <w:suppressAutoHyphens/>
              <w:rPr>
                <w:rFonts w:eastAsia="Times New Roman"/>
                <w:i/>
                <w:iCs/>
                <w:szCs w:val="22"/>
                <w:lang w:eastAsia="en-US" w:bidi="he-IL"/>
              </w:rPr>
            </w:pPr>
            <w:r w:rsidRPr="00596424">
              <w:rPr>
                <w:rFonts w:eastAsia="Times New Roman"/>
                <w:i/>
                <w:iCs/>
                <w:szCs w:val="22"/>
                <w:lang w:eastAsia="en-US" w:bidi="he-IL"/>
              </w:rPr>
              <w:t xml:space="preserve">76 </w:t>
            </w:r>
            <w:proofErr w:type="gramStart"/>
            <w:r w:rsidRPr="00596424">
              <w:rPr>
                <w:rFonts w:eastAsia="Times New Roman"/>
                <w:i/>
                <w:iCs/>
                <w:szCs w:val="22"/>
                <w:lang w:eastAsia="en-US" w:bidi="he-IL"/>
              </w:rPr>
              <w:t>Master’s Degree</w:t>
            </w:r>
            <w:proofErr w:type="gramEnd"/>
          </w:p>
        </w:tc>
      </w:tr>
    </w:tbl>
    <w:p w14:paraId="33EBEDE8" w14:textId="77777777" w:rsidR="00596424" w:rsidRPr="00596424" w:rsidRDefault="00596424" w:rsidP="00596424">
      <w:pPr>
        <w:pStyle w:val="RuleQuote"/>
        <w:ind w:left="0"/>
        <w:rPr>
          <w:i w:val="0"/>
          <w:iCs w:val="0"/>
        </w:rPr>
      </w:pPr>
    </w:p>
    <w:p w14:paraId="7D12A67C" w14:textId="77777777" w:rsidR="00596424" w:rsidRPr="00596424" w:rsidRDefault="00596424" w:rsidP="00596424">
      <w:pPr>
        <w:pStyle w:val="RuleQuote"/>
        <w:ind w:left="0"/>
        <w:rPr>
          <w:i w:val="0"/>
          <w:iCs w:val="0"/>
        </w:rPr>
      </w:pPr>
      <w:r w:rsidRPr="00596424">
        <w:rPr>
          <w:i w:val="0"/>
          <w:iCs w:val="0"/>
        </w:rPr>
        <w:t xml:space="preserve">Other information beyond the QMS Report and the above table (optional):   </w:t>
      </w:r>
    </w:p>
    <w:p w14:paraId="4F89E5A5" w14:textId="6872AA43" w:rsidR="00596424" w:rsidRPr="00596424" w:rsidRDefault="00596424" w:rsidP="00596424">
      <w:pPr>
        <w:tabs>
          <w:tab w:val="left" w:pos="1410"/>
        </w:tabs>
        <w:spacing w:after="120" w:line="260" w:lineRule="atLeast"/>
        <w:jc w:val="both"/>
      </w:pPr>
      <w:r w:rsidRPr="00596424">
        <w:t xml:space="preserve">All patent examiners are required to be part of the panels in opposition and in invalidation proceedings against patents and utility models. </w:t>
      </w:r>
      <w:r w:rsidR="000C649D">
        <w:t xml:space="preserve"> </w:t>
      </w:r>
      <w:r w:rsidRPr="00596424">
        <w:t>This has a significantly positive effect on the understanding of patent assessment and the procedure during the search and examination activities.</w:t>
      </w:r>
    </w:p>
    <w:p w14:paraId="5D25FD83" w14:textId="11FABB64" w:rsidR="00C5047D" w:rsidRPr="00596424" w:rsidRDefault="00596424" w:rsidP="00596424">
      <w:pPr>
        <w:rPr>
          <w:szCs w:val="22"/>
        </w:rPr>
      </w:pPr>
      <w:r w:rsidRPr="00596424">
        <w:t xml:space="preserve">Furthermore, a significant number of senior patent examiners serve as lay judges on the benches of the </w:t>
      </w:r>
      <w:r w:rsidRPr="00596424">
        <w:rPr>
          <w:b/>
          <w:bCs/>
        </w:rPr>
        <w:t>Higher Regional Court of Vienna</w:t>
      </w:r>
      <w:r w:rsidRPr="00596424">
        <w:t xml:space="preserve"> and the </w:t>
      </w:r>
      <w:r w:rsidRPr="00596424">
        <w:rPr>
          <w:b/>
          <w:bCs/>
        </w:rPr>
        <w:t>Austrian Supreme Civil and Criminal Court</w:t>
      </w:r>
      <w:r w:rsidRPr="00596424">
        <w:t xml:space="preserve"> in patent disputes. </w:t>
      </w:r>
      <w:r w:rsidR="000C649D">
        <w:t xml:space="preserve"> </w:t>
      </w:r>
      <w:r w:rsidRPr="00596424">
        <w:t xml:space="preserve">Two patent examiners even serve as technically qualified judges with the </w:t>
      </w:r>
      <w:r w:rsidRPr="00596424">
        <w:rPr>
          <w:b/>
          <w:bCs/>
        </w:rPr>
        <w:t>Unified Patent Court</w:t>
      </w:r>
      <w:r w:rsidRPr="00596424">
        <w:t xml:space="preserve">. </w:t>
      </w:r>
    </w:p>
    <w:p w14:paraId="60AF6307" w14:textId="5BD094D9" w:rsidR="00C5047D" w:rsidRPr="002B3808" w:rsidRDefault="00C5047D" w:rsidP="00C5047D">
      <w:pPr>
        <w:pStyle w:val="SectionHeading"/>
        <w:rPr>
          <w:lang w:val="en-US"/>
        </w:rPr>
      </w:pPr>
      <w:r w:rsidRPr="002B3808">
        <w:rPr>
          <w:lang w:val="en-US"/>
        </w:rPr>
        <w:lastRenderedPageBreak/>
        <w:t>2.2 –</w:t>
      </w:r>
      <w:r w:rsidR="002F39CD">
        <w:rPr>
          <w:lang w:val="en-US"/>
        </w:rPr>
        <w:t xml:space="preserve"> </w:t>
      </w:r>
      <w:r w:rsidRPr="002B3808">
        <w:rPr>
          <w:lang w:val="en-US"/>
        </w:rPr>
        <w:t>Minimum Documentation – Making Available for Consultation</w:t>
      </w:r>
    </w:p>
    <w:p w14:paraId="44503BDA" w14:textId="77777777" w:rsidR="00C5047D" w:rsidRDefault="00C5047D" w:rsidP="00C5047D">
      <w:pPr>
        <w:pStyle w:val="RuleQuote"/>
      </w:pPr>
      <w:r>
        <w:t>Rules 36.1(ii) and 63.1(ii):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5514EF50" w14:textId="4A72D352" w:rsidR="00C5047D" w:rsidRDefault="00C5047D" w:rsidP="00C5047D">
      <w:pPr>
        <w:pStyle w:val="RuleQuote"/>
        <w:rPr>
          <w:szCs w:val="24"/>
        </w:rPr>
      </w:pPr>
      <w:r>
        <w:t xml:space="preserve">The requirements specified in the Administrative Instructions are set out in </w:t>
      </w:r>
      <w:hyperlink r:id="rId14" w:history="1">
        <w:r w:rsidRPr="00D33D7A">
          <w:rPr>
            <w:rStyle w:val="Hyperlink"/>
          </w:rPr>
          <w:t>Circular C. PCT 1672</w:t>
        </w:r>
      </w:hyperlink>
      <w:r>
        <w:t>, dated June 19, 2024.</w:t>
      </w:r>
    </w:p>
    <w:p w14:paraId="5AC8B809" w14:textId="5686C73A" w:rsidR="00596424" w:rsidRPr="00596424" w:rsidRDefault="00596424" w:rsidP="00596424">
      <w:pPr>
        <w:pStyle w:val="Question"/>
        <w:spacing w:after="0"/>
        <w:rPr>
          <w:b w:val="0"/>
          <w:bCs w:val="0"/>
        </w:rPr>
      </w:pPr>
      <w:r w:rsidRPr="00596424">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sidRPr="00596424">
        <w:rPr>
          <w:b w:val="0"/>
          <w:bCs w:val="0"/>
        </w:rPr>
        <w:br/>
      </w:r>
      <w:r w:rsidRPr="00596424">
        <w:rPr>
          <w:b w:val="0"/>
          <w:bCs w:val="0"/>
        </w:rPr>
        <w:br/>
        <w:t>Either:</w:t>
      </w:r>
      <w:r w:rsidRPr="00596424">
        <w:rPr>
          <w:b w:val="0"/>
          <w:bCs w:val="0"/>
        </w:rPr>
        <w:br/>
      </w:r>
      <w:r w:rsidRPr="00596424">
        <w:rPr>
          <w:b w:val="0"/>
          <w:bCs w:val="0"/>
        </w:rPr>
        <w:br/>
      </w:r>
      <w:sdt>
        <w:sdtPr>
          <w:rPr>
            <w:b w:val="0"/>
            <w:bCs w:val="0"/>
          </w:rPr>
          <w:id w:val="-178122316"/>
          <w14:checkbox>
            <w14:checked w14:val="1"/>
            <w14:checkedState w14:val="2612" w14:font="MS Gothic"/>
            <w14:uncheckedState w14:val="2610" w14:font="MS Gothic"/>
          </w14:checkbox>
        </w:sdtPr>
        <w:sdtEndPr/>
        <w:sdtContent>
          <w:r w:rsidRPr="00596424">
            <w:rPr>
              <w:rFonts w:ascii="Segoe UI Symbol" w:eastAsia="MS Gothic" w:hAnsi="Segoe UI Symbol" w:cs="Segoe UI Symbol"/>
              <w:b w:val="0"/>
              <w:bCs w:val="0"/>
            </w:rPr>
            <w:t>☒</w:t>
          </w:r>
        </w:sdtContent>
      </w:sdt>
      <w:r w:rsidRPr="00596424">
        <w:rPr>
          <w:b w:val="0"/>
          <w:bCs w:val="0"/>
        </w:rPr>
        <w:t xml:space="preserve"> The PCT Minimum Documentation Task Force has tested the availability of the patent documentation collections before November 1, 2025, and certifies that the requirements have been met.  The extent and format of the documents that the Authority has made available for consultation has been published in the PCT Gazette on</w:t>
      </w:r>
      <w:bookmarkStart w:id="7" w:name="_Hlk215087769"/>
      <w:r w:rsidR="00786F89">
        <w:rPr>
          <w:b w:val="0"/>
          <w:bCs w:val="0"/>
        </w:rPr>
        <w:t xml:space="preserve"> </w:t>
      </w:r>
      <w:bookmarkStart w:id="8" w:name="_Hlk215520606"/>
      <w:r w:rsidR="00786F89">
        <w:rPr>
          <w:b w:val="0"/>
          <w:bCs w:val="0"/>
        </w:rPr>
        <w:t>October 23, 2025</w:t>
      </w:r>
      <w:bookmarkEnd w:id="8"/>
      <w:r w:rsidR="00D61EC6">
        <w:rPr>
          <w:b w:val="0"/>
          <w:bCs w:val="0"/>
        </w:rPr>
        <w:t xml:space="preserve"> </w:t>
      </w:r>
      <w:bookmarkStart w:id="9" w:name="_Hlk215520665"/>
      <w:r w:rsidR="00D61EC6">
        <w:rPr>
          <w:b w:val="0"/>
          <w:bCs w:val="0"/>
        </w:rPr>
        <w:t xml:space="preserve">at:  </w:t>
      </w:r>
      <w:bookmarkEnd w:id="7"/>
      <w:bookmarkEnd w:id="9"/>
      <w:r w:rsidR="00EF044F" w:rsidRPr="00687CDD">
        <w:rPr>
          <w:rStyle w:val="Hyperlink"/>
          <w:szCs w:val="20"/>
        </w:rPr>
        <w:fldChar w:fldCharType="begin"/>
      </w:r>
      <w:r w:rsidR="00EF044F" w:rsidRPr="00687CDD">
        <w:rPr>
          <w:rStyle w:val="Hyperlink"/>
          <w:szCs w:val="20"/>
        </w:rPr>
        <w:instrText>HYPERLINK "https://www.wipo.int/documents/d/pct-system/docs-en-official-notices-officialnotices.pdf#page=177"</w:instrText>
      </w:r>
      <w:r w:rsidR="004C572F" w:rsidRPr="00687CDD">
        <w:rPr>
          <w:rStyle w:val="Hyperlink"/>
          <w:szCs w:val="20"/>
        </w:rPr>
      </w:r>
      <w:r w:rsidR="00EF044F" w:rsidRPr="00687CDD">
        <w:rPr>
          <w:rStyle w:val="Hyperlink"/>
          <w:szCs w:val="20"/>
        </w:rPr>
        <w:fldChar w:fldCharType="separate"/>
      </w:r>
      <w:r w:rsidR="00EF044F" w:rsidRPr="00687CDD">
        <w:rPr>
          <w:rStyle w:val="Hyperlink"/>
          <w:b w:val="0"/>
          <w:szCs w:val="20"/>
        </w:rPr>
        <w:t>https://www.wipo.int/documents/d/pct-system/docs-en-official-notices-officialnotices.pdf#page=177</w:t>
      </w:r>
      <w:r w:rsidR="00EF044F" w:rsidRPr="00687CDD">
        <w:rPr>
          <w:rStyle w:val="Hyperlink"/>
          <w:szCs w:val="20"/>
        </w:rPr>
        <w:fldChar w:fldCharType="end"/>
      </w:r>
      <w:r w:rsidR="00EF044F" w:rsidRPr="00C42435">
        <w:rPr>
          <w:b w:val="0"/>
          <w:bCs w:val="0"/>
        </w:rPr>
        <w:t>.</w:t>
      </w:r>
    </w:p>
    <w:p w14:paraId="61491586" w14:textId="77777777" w:rsidR="00596424" w:rsidRPr="00596424" w:rsidRDefault="00596424" w:rsidP="00596424">
      <w:pPr>
        <w:pStyle w:val="Answer"/>
      </w:pPr>
    </w:p>
    <w:p w14:paraId="4BCB90DE" w14:textId="77777777" w:rsidR="00596424" w:rsidRPr="00596424" w:rsidRDefault="00596424" w:rsidP="00596424">
      <w:pPr>
        <w:pStyle w:val="Answer"/>
        <w:ind w:left="0"/>
      </w:pPr>
      <w:r w:rsidRPr="00596424">
        <w:t>Or:</w:t>
      </w:r>
    </w:p>
    <w:p w14:paraId="5B8170A9" w14:textId="77777777" w:rsidR="00596424" w:rsidRPr="00596424" w:rsidRDefault="004C572F" w:rsidP="00596424">
      <w:pPr>
        <w:pStyle w:val="Answer"/>
        <w:ind w:left="0"/>
      </w:pPr>
      <w:sdt>
        <w:sdtPr>
          <w:id w:val="229279132"/>
          <w14:checkbox>
            <w14:checked w14:val="0"/>
            <w14:checkedState w14:val="2612" w14:font="MS Gothic"/>
            <w14:uncheckedState w14:val="2610" w14:font="MS Gothic"/>
          </w14:checkbox>
        </w:sdtPr>
        <w:sdtEndPr/>
        <w:sdtContent>
          <w:r w:rsidR="00596424" w:rsidRPr="00596424">
            <w:rPr>
              <w:rFonts w:ascii="Segoe UI Symbol" w:eastAsia="MS Gothic" w:hAnsi="Segoe UI Symbol" w:cs="Segoe UI Symbol"/>
            </w:rPr>
            <w:t>☐</w:t>
          </w:r>
        </w:sdtContent>
      </w:sdt>
      <w:r w:rsidR="00596424" w:rsidRPr="00596424">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19A4C13D" w14:textId="77777777" w:rsidR="00C5047D" w:rsidRPr="002B3808" w:rsidRDefault="00C5047D" w:rsidP="00C5047D">
      <w:pPr>
        <w:pStyle w:val="SectionHeading"/>
        <w:rPr>
          <w:lang w:val="en-US"/>
        </w:rPr>
      </w:pPr>
      <w:r w:rsidRPr="002B3808">
        <w:rPr>
          <w:lang w:val="en-US"/>
        </w:rPr>
        <w:t>2.3 – Minimum Documentation – Access</w:t>
      </w:r>
    </w:p>
    <w:p w14:paraId="6096117B" w14:textId="77777777" w:rsidR="00C5047D" w:rsidRDefault="00C5047D" w:rsidP="00C5047D">
      <w:pPr>
        <w:pStyle w:val="RuleQuote"/>
        <w:rPr>
          <w:i w:val="0"/>
          <w:iCs w:val="0"/>
        </w:rPr>
      </w:pPr>
      <w:r>
        <w:t xml:space="preserve">Rules 36.1(iii) and 63.1(iii): That Office or organization must have in its </w:t>
      </w:r>
      <w:proofErr w:type="gramStart"/>
      <w:r>
        <w:t>possession, or</w:t>
      </w:r>
      <w:proofErr w:type="gramEnd"/>
      <w:r>
        <w:t xml:space="preserve"> maintain access to at least the minimum documentation referred to in Rule 34, for search purposes in accordance with the Administrative Instructions.</w:t>
      </w:r>
    </w:p>
    <w:p w14:paraId="3A123B66" w14:textId="77777777" w:rsidR="00596424" w:rsidRPr="00596424" w:rsidRDefault="00596424" w:rsidP="00596424">
      <w:pPr>
        <w:pStyle w:val="RuleQuote"/>
        <w:keepNext w:val="0"/>
        <w:ind w:left="0"/>
        <w:rPr>
          <w:i w:val="0"/>
          <w:iCs w:val="0"/>
        </w:rPr>
      </w:pPr>
      <w:r w:rsidRPr="00596424">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687D9D48" w14:textId="77777777" w:rsidR="00596424" w:rsidRPr="00596424" w:rsidRDefault="00596424" w:rsidP="00596424">
      <w:pPr>
        <w:pStyle w:val="RuleQuote"/>
        <w:keepNext w:val="0"/>
        <w:ind w:left="0"/>
        <w:rPr>
          <w:i w:val="0"/>
          <w:iCs w:val="0"/>
        </w:rPr>
      </w:pPr>
      <w:r w:rsidRPr="00596424">
        <w:rPr>
          <w:i w:val="0"/>
          <w:iCs w:val="0"/>
        </w:rPr>
        <w:t xml:space="preserve">Other information beyond the QMS Report (optional):   </w:t>
      </w:r>
    </w:p>
    <w:p w14:paraId="3607BC35" w14:textId="77777777" w:rsidR="00596424" w:rsidRPr="00596424" w:rsidRDefault="00596424" w:rsidP="00596424">
      <w:pPr>
        <w:tabs>
          <w:tab w:val="left" w:pos="1215"/>
        </w:tabs>
        <w:spacing w:after="120" w:line="260" w:lineRule="atLeast"/>
        <w:jc w:val="both"/>
        <w:rPr>
          <w:szCs w:val="22"/>
        </w:rPr>
      </w:pPr>
      <w:r w:rsidRPr="00596424">
        <w:rPr>
          <w:szCs w:val="22"/>
        </w:rPr>
        <w:t>All patent examiners have online access to APO’s primary search tool ANSERA-based SEARCH (</w:t>
      </w:r>
      <w:proofErr w:type="spellStart"/>
      <w:r w:rsidRPr="00596424">
        <w:rPr>
          <w:szCs w:val="22"/>
        </w:rPr>
        <w:t>AbS</w:t>
      </w:r>
      <w:proofErr w:type="spellEnd"/>
      <w:r w:rsidRPr="00596424">
        <w:rPr>
          <w:szCs w:val="22"/>
        </w:rPr>
        <w:t>), Chemical Abstracts Database via STN, WPI, and a plurality of other patent literature and non-patent literature databases.</w:t>
      </w:r>
    </w:p>
    <w:p w14:paraId="6EF613BF" w14:textId="6BEB20B8" w:rsidR="00C5047D" w:rsidRPr="002B3808" w:rsidRDefault="00C5047D" w:rsidP="00C5047D">
      <w:pPr>
        <w:pStyle w:val="SectionHeading"/>
        <w:rPr>
          <w:lang w:val="en-US"/>
        </w:rPr>
      </w:pPr>
      <w:r w:rsidRPr="002B3808">
        <w:rPr>
          <w:lang w:val="en-US"/>
        </w:rPr>
        <w:lastRenderedPageBreak/>
        <w:t>2.4 –</w:t>
      </w:r>
      <w:r w:rsidR="002F39CD">
        <w:rPr>
          <w:lang w:val="en-US"/>
        </w:rPr>
        <w:t xml:space="preserve"> </w:t>
      </w:r>
      <w:r w:rsidRPr="002B3808">
        <w:rPr>
          <w:lang w:val="en-US"/>
        </w:rPr>
        <w:t>Quality Management</w:t>
      </w:r>
    </w:p>
    <w:p w14:paraId="71608889" w14:textId="77777777" w:rsidR="00C5047D" w:rsidRDefault="00C5047D" w:rsidP="00C5047D">
      <w:pPr>
        <w:pStyle w:val="RuleQuote"/>
      </w:pPr>
      <w:r>
        <w:t>Rules 36.1(iv) and 63.1(iv): That Office or organization must have in place a quality management system and internal review arrangements in accordance with the common rules of international search,</w:t>
      </w:r>
    </w:p>
    <w:p w14:paraId="206F4D2C" w14:textId="77777777" w:rsidR="00596424" w:rsidRPr="00596424" w:rsidRDefault="00596424" w:rsidP="00596424">
      <w:pPr>
        <w:pStyle w:val="RuleQuote"/>
        <w:keepNext w:val="0"/>
        <w:ind w:left="0"/>
        <w:rPr>
          <w:i w:val="0"/>
          <w:iCs w:val="0"/>
        </w:rPr>
      </w:pPr>
      <w:r w:rsidRPr="00596424">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68F05265" w14:textId="475AD0F7" w:rsidR="00596424" w:rsidRPr="00596424" w:rsidRDefault="00596424" w:rsidP="00596424">
      <w:pPr>
        <w:pStyle w:val="RuleQuote"/>
        <w:keepNext w:val="0"/>
        <w:ind w:left="0"/>
        <w:rPr>
          <w:i w:val="0"/>
          <w:iCs w:val="0"/>
        </w:rPr>
      </w:pPr>
      <w:r w:rsidRPr="00596424">
        <w:rPr>
          <w:i w:val="0"/>
          <w:iCs w:val="0"/>
        </w:rPr>
        <w:t xml:space="preserve">Other information beyond the QMS Report (optional):  </w:t>
      </w:r>
    </w:p>
    <w:p w14:paraId="6695DC7B" w14:textId="020F7D29" w:rsidR="00596424" w:rsidRPr="00596424" w:rsidRDefault="00596424" w:rsidP="00596424">
      <w:pPr>
        <w:pStyle w:val="RuleQuote"/>
        <w:keepNext w:val="0"/>
        <w:ind w:left="0" w:firstLine="567"/>
        <w:rPr>
          <w:i w:val="0"/>
          <w:iCs w:val="0"/>
        </w:rPr>
      </w:pPr>
      <w:r w:rsidRPr="00596424">
        <w:rPr>
          <w:i w:val="0"/>
          <w:iCs w:val="0"/>
        </w:rPr>
        <w:t xml:space="preserve">ISO 9001/2015: </w:t>
      </w:r>
      <w:r w:rsidR="00EA2A90">
        <w:rPr>
          <w:i w:val="0"/>
          <w:iCs w:val="0"/>
        </w:rPr>
        <w:t xml:space="preserve"> </w:t>
      </w:r>
      <w:r w:rsidRPr="00596424">
        <w:rPr>
          <w:i w:val="0"/>
          <w:iCs w:val="0"/>
        </w:rPr>
        <w:t>2</w:t>
      </w:r>
      <w:r w:rsidRPr="00596424">
        <w:rPr>
          <w:i w:val="0"/>
          <w:iCs w:val="0"/>
          <w:vertAlign w:val="superscript"/>
        </w:rPr>
        <w:t>nd</w:t>
      </w:r>
      <w:r w:rsidRPr="00596424">
        <w:rPr>
          <w:i w:val="0"/>
          <w:iCs w:val="0"/>
        </w:rPr>
        <w:t xml:space="preserve"> Recertification in November 2025 - </w:t>
      </w:r>
      <w:r w:rsidRPr="00596424">
        <w:rPr>
          <w:i w:val="0"/>
          <w:iCs w:val="0"/>
          <w:u w:val="single"/>
        </w:rPr>
        <w:t>passed</w:t>
      </w:r>
      <w:r w:rsidRPr="00596424">
        <w:rPr>
          <w:i w:val="0"/>
          <w:iCs w:val="0"/>
        </w:rPr>
        <w:t xml:space="preserve"> </w:t>
      </w:r>
    </w:p>
    <w:p w14:paraId="6C8165EF" w14:textId="274130D0" w:rsidR="00C5047D" w:rsidRPr="00596424" w:rsidRDefault="00596424" w:rsidP="00596424">
      <w:pPr>
        <w:pStyle w:val="RuleQuote"/>
        <w:keepNext w:val="0"/>
        <w:ind w:left="0" w:firstLine="567"/>
        <w:rPr>
          <w:i w:val="0"/>
          <w:iCs w:val="0"/>
        </w:rPr>
      </w:pPr>
      <w:r w:rsidRPr="00596424">
        <w:rPr>
          <w:i w:val="0"/>
          <w:iCs w:val="0"/>
        </w:rPr>
        <w:t>ISO 27001:</w:t>
      </w:r>
      <w:r w:rsidR="00EA2A90">
        <w:rPr>
          <w:i w:val="0"/>
          <w:iCs w:val="0"/>
        </w:rPr>
        <w:t xml:space="preserve"> </w:t>
      </w:r>
      <w:r w:rsidRPr="00596424">
        <w:rPr>
          <w:i w:val="0"/>
          <w:iCs w:val="0"/>
        </w:rPr>
        <w:t xml:space="preserve"> fully implemented and certified since 2024</w:t>
      </w:r>
    </w:p>
    <w:p w14:paraId="3B307B49" w14:textId="77777777" w:rsidR="00C5047D" w:rsidRDefault="00C5047D" w:rsidP="00C5047D">
      <w:pPr>
        <w:pStyle w:val="SectionHeading"/>
      </w:pPr>
      <w:r>
        <w:t>3 – Scope of Operation</w:t>
      </w:r>
    </w:p>
    <w:p w14:paraId="4DF663EE" w14:textId="77777777" w:rsidR="00C5047D" w:rsidRDefault="00C5047D" w:rsidP="00C5047D">
      <w:pPr>
        <w:pStyle w:val="Question"/>
        <w:numPr>
          <w:ilvl w:val="0"/>
          <w:numId w:val="8"/>
        </w:numPr>
        <w:spacing w:after="240"/>
        <w:rPr>
          <w:i/>
          <w:iCs/>
        </w:rPr>
      </w:pPr>
      <w:r>
        <w:tab/>
      </w:r>
      <w:r w:rsidRPr="00D33D7A">
        <w:t>Current scope of operation</w:t>
      </w:r>
    </w:p>
    <w:p w14:paraId="00647516" w14:textId="79D2EAB2" w:rsidR="00C5047D" w:rsidRPr="001702FA" w:rsidRDefault="00C5047D" w:rsidP="00C5047D">
      <w:pPr>
        <w:pStyle w:val="Question"/>
        <w:keepNext w:val="0"/>
        <w:spacing w:after="480"/>
        <w:rPr>
          <w:b w:val="0"/>
          <w:bCs w:val="0"/>
        </w:rPr>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are listed in the </w:t>
      </w:r>
      <w:r w:rsidRPr="006175E3">
        <w:rPr>
          <w:b w:val="0"/>
          <w:bCs w:val="0"/>
          <w:i/>
          <w:iCs/>
        </w:rPr>
        <w:t>PCT Applicant’s Guide</w:t>
      </w:r>
      <w:r>
        <w:rPr>
          <w:b w:val="0"/>
          <w:bCs w:val="0"/>
        </w:rPr>
        <w:t xml:space="preserve"> at the following links</w:t>
      </w:r>
      <w:bookmarkStart w:id="10" w:name="_Hlk214637647"/>
      <w:r w:rsidR="000E14AC">
        <w:rPr>
          <w:b w:val="0"/>
          <w:bCs w:val="0"/>
        </w:rPr>
        <w:t>:</w:t>
      </w:r>
      <w:r w:rsidR="00596424">
        <w:rPr>
          <w:b w:val="0"/>
          <w:bCs w:val="0"/>
        </w:rPr>
        <w:t xml:space="preserve"> </w:t>
      </w:r>
      <w:bookmarkStart w:id="11" w:name="_Hlk215085102"/>
      <w:r w:rsidR="001702FA" w:rsidRPr="00687CDD">
        <w:rPr>
          <w:rStyle w:val="Hyperlink"/>
          <w:b w:val="0"/>
          <w:szCs w:val="20"/>
        </w:rPr>
        <w:fldChar w:fldCharType="begin"/>
      </w:r>
      <w:r w:rsidR="001702FA" w:rsidRPr="00687CDD">
        <w:rPr>
          <w:rStyle w:val="Hyperlink"/>
          <w:b w:val="0"/>
          <w:szCs w:val="20"/>
        </w:rPr>
        <w:instrText>HYPERLINK "https://pctlegal.wipo.int/eGuide/view-doc.xhtml?doc-code=AT&amp;doc-lang=en" \l "ISA"</w:instrText>
      </w:r>
      <w:r w:rsidR="004C572F" w:rsidRPr="00687CDD">
        <w:rPr>
          <w:rStyle w:val="Hyperlink"/>
          <w:b w:val="0"/>
          <w:szCs w:val="20"/>
        </w:rPr>
      </w:r>
      <w:r w:rsidR="001702FA" w:rsidRPr="00687CDD">
        <w:rPr>
          <w:rStyle w:val="Hyperlink"/>
          <w:b w:val="0"/>
          <w:szCs w:val="20"/>
        </w:rPr>
        <w:fldChar w:fldCharType="separate"/>
      </w:r>
      <w:r w:rsidR="001702FA" w:rsidRPr="00687CDD">
        <w:rPr>
          <w:rStyle w:val="Hyperlink"/>
          <w:b w:val="0"/>
          <w:szCs w:val="20"/>
        </w:rPr>
        <w:t>https://pctlegal.wipo.int/eGuide/view-doc.xhtml?doc-code=AT&amp;doc-lang=en#ISA</w:t>
      </w:r>
      <w:r w:rsidR="001702FA" w:rsidRPr="00687CDD">
        <w:rPr>
          <w:rStyle w:val="Hyperlink"/>
          <w:b w:val="0"/>
          <w:szCs w:val="20"/>
        </w:rPr>
        <w:fldChar w:fldCharType="end"/>
      </w:r>
      <w:r w:rsidR="001702FA" w:rsidRPr="000C649D">
        <w:rPr>
          <w:b w:val="0"/>
          <w:bCs w:val="0"/>
        </w:rPr>
        <w:t xml:space="preserve"> </w:t>
      </w:r>
      <w:r w:rsidRPr="008673EF">
        <w:rPr>
          <w:b w:val="0"/>
          <w:bCs w:val="0"/>
        </w:rPr>
        <w:t>and</w:t>
      </w:r>
      <w:bookmarkEnd w:id="10"/>
      <w:r w:rsidR="001702FA">
        <w:rPr>
          <w:b w:val="0"/>
          <w:bCs w:val="0"/>
        </w:rPr>
        <w:t xml:space="preserve"> </w:t>
      </w:r>
      <w:hyperlink r:id="rId15" w:anchor="IPEA" w:history="1">
        <w:r w:rsidR="001702FA" w:rsidRPr="00687CDD">
          <w:rPr>
            <w:rStyle w:val="Hyperlink"/>
            <w:b w:val="0"/>
            <w:szCs w:val="20"/>
          </w:rPr>
          <w:t>https://pctlegal.wipo.int/eGuide/view-doc.xhtml?doc-code=AT&amp;doc-lang=en#IPEA</w:t>
        </w:r>
      </w:hyperlink>
      <w:bookmarkEnd w:id="11"/>
      <w:r w:rsidRPr="000C649D">
        <w:rPr>
          <w:b w:val="0"/>
          <w:bCs w:val="0"/>
        </w:rPr>
        <w:t>.</w:t>
      </w:r>
    </w:p>
    <w:p w14:paraId="28EC7561" w14:textId="7C6086B8" w:rsidR="00C5047D" w:rsidRDefault="00C5047D" w:rsidP="00C5047D">
      <w:pPr>
        <w:pStyle w:val="Question"/>
        <w:numPr>
          <w:ilvl w:val="0"/>
          <w:numId w:val="8"/>
        </w:numPr>
        <w:spacing w:after="240"/>
      </w:pPr>
      <w:r>
        <w:t xml:space="preserve">   Planned changes to scope of operation as an Authority, such </w:t>
      </w:r>
      <w:r w:rsidR="00E14C7F">
        <w:t xml:space="preserve">as </w:t>
      </w:r>
      <w:r>
        <w:t>the receiving Offices for which the Authority is competent and languages offered (if any):</w:t>
      </w:r>
    </w:p>
    <w:p w14:paraId="125FE069" w14:textId="1563F5F2" w:rsidR="00C5047D" w:rsidRPr="00EA2A90" w:rsidRDefault="001702FA" w:rsidP="004769D1">
      <w:pPr>
        <w:tabs>
          <w:tab w:val="left" w:pos="1215"/>
        </w:tabs>
        <w:spacing w:after="120" w:line="260" w:lineRule="atLeast"/>
        <w:jc w:val="both"/>
        <w:rPr>
          <w:szCs w:val="22"/>
        </w:rPr>
      </w:pPr>
      <w:r w:rsidRPr="001702FA">
        <w:rPr>
          <w:szCs w:val="22"/>
        </w:rPr>
        <w:t>In recent years, we have concluded new agreements in relation to the functioning as an ISA and IPEA under the PCT with several offices (Cabo Verde, Mauritius, Nigeria).</w:t>
      </w:r>
      <w:r w:rsidR="004769D1">
        <w:rPr>
          <w:szCs w:val="22"/>
        </w:rPr>
        <w:t xml:space="preserve">  </w:t>
      </w:r>
      <w:r w:rsidRPr="001702FA">
        <w:rPr>
          <w:szCs w:val="22"/>
        </w:rPr>
        <w:t>We also intend to conclude further agreements with interested offices in the future.</w:t>
      </w:r>
    </w:p>
    <w:p w14:paraId="0330D9AA" w14:textId="77777777" w:rsidR="00C5047D" w:rsidRPr="002B3808" w:rsidRDefault="00C5047D" w:rsidP="00C5047D">
      <w:pPr>
        <w:pStyle w:val="SectionHeading"/>
        <w:rPr>
          <w:lang w:val="en-US"/>
        </w:rPr>
      </w:pPr>
      <w:r w:rsidRPr="002B3808">
        <w:rPr>
          <w:lang w:val="en-US"/>
        </w:rPr>
        <w:t>4 – Other</w:t>
      </w:r>
    </w:p>
    <w:p w14:paraId="62A2FEAB" w14:textId="2210CF79" w:rsidR="00EA2A90" w:rsidRPr="00EA2A90" w:rsidRDefault="001702FA" w:rsidP="001702FA">
      <w:pPr>
        <w:keepNext/>
        <w:rPr>
          <w:iCs/>
        </w:rPr>
      </w:pPr>
      <w:r w:rsidRPr="001702FA">
        <w:rPr>
          <w:iCs/>
        </w:rPr>
        <w:t xml:space="preserve">In 2024 and 2025, APO </w:t>
      </w:r>
      <w:proofErr w:type="gramStart"/>
      <w:r w:rsidRPr="001702FA">
        <w:rPr>
          <w:iCs/>
        </w:rPr>
        <w:t>has significantly increased</w:t>
      </w:r>
      <w:proofErr w:type="gramEnd"/>
      <w:r w:rsidRPr="001702FA">
        <w:rPr>
          <w:iCs/>
        </w:rPr>
        <w:t xml:space="preserve"> its training activity with countries for which it acts as ISA/IPEA. </w:t>
      </w:r>
      <w:r w:rsidR="000C649D">
        <w:rPr>
          <w:iCs/>
        </w:rPr>
        <w:t xml:space="preserve"> </w:t>
      </w:r>
      <w:r w:rsidRPr="001702FA">
        <w:rPr>
          <w:iCs/>
        </w:rPr>
        <w:t xml:space="preserve">In September 2024 and in May 2025, delegations from Ghana, Nigeria, Uganda, South Africa, Mauritius, Cabo Verde and Trinidad &amp; Tobago were welcomed to Vienna for a three- to five-day training with a focus on PCT and patent search and examination. </w:t>
      </w:r>
      <w:r w:rsidR="000C649D">
        <w:rPr>
          <w:iCs/>
        </w:rPr>
        <w:t xml:space="preserve"> </w:t>
      </w:r>
      <w:r w:rsidRPr="001702FA">
        <w:rPr>
          <w:iCs/>
        </w:rPr>
        <w:t xml:space="preserve">In March 2025, delegates from APO travelled to Ghana, and to Lesotho in May of the same year. </w:t>
      </w:r>
      <w:r w:rsidR="00EA2A90">
        <w:rPr>
          <w:iCs/>
        </w:rPr>
        <w:t xml:space="preserve"> </w:t>
      </w:r>
      <w:r w:rsidRPr="001702FA">
        <w:rPr>
          <w:iCs/>
        </w:rPr>
        <w:t xml:space="preserve">These exchanges were organized by WIPO and APO is eager to participate in more such exchange meetings in 2026 (already arranged). </w:t>
      </w:r>
      <w:r w:rsidR="000C649D">
        <w:rPr>
          <w:iCs/>
        </w:rPr>
        <w:t xml:space="preserve"> </w:t>
      </w:r>
      <w:r w:rsidRPr="001702FA">
        <w:rPr>
          <w:iCs/>
        </w:rPr>
        <w:t xml:space="preserve">The participants greatly </w:t>
      </w:r>
      <w:proofErr w:type="gramStart"/>
      <w:r w:rsidRPr="001702FA">
        <w:rPr>
          <w:iCs/>
        </w:rPr>
        <w:t>benefitted</w:t>
      </w:r>
      <w:proofErr w:type="gramEnd"/>
      <w:r w:rsidRPr="001702FA">
        <w:rPr>
          <w:iCs/>
        </w:rPr>
        <w:t xml:space="preserve"> from APO’s expertise as a Receiving Office and ISA/IPEA.</w:t>
      </w:r>
    </w:p>
    <w:p w14:paraId="565493DE" w14:textId="77777777" w:rsidR="00C5047D" w:rsidRPr="002B3808" w:rsidRDefault="00C5047D" w:rsidP="001702FA">
      <w:pPr>
        <w:pStyle w:val="SectionHeading"/>
        <w:keepLines w:val="0"/>
        <w:rPr>
          <w:lang w:val="en-US"/>
        </w:rPr>
      </w:pPr>
    </w:p>
    <w:p w14:paraId="3B3E50D2" w14:textId="7C342CB5" w:rsidR="00C5047D" w:rsidRPr="001702FA" w:rsidRDefault="00C5047D" w:rsidP="001702FA">
      <w:pPr>
        <w:pStyle w:val="Endofdocument-Annex"/>
        <w:keepNext/>
        <w:rPr>
          <w:b/>
          <w:bCs/>
          <w:iCs/>
          <w:caps/>
          <w:szCs w:val="28"/>
        </w:rPr>
      </w:pPr>
      <w:r>
        <w:t>[End of Annex and of document]</w:t>
      </w:r>
    </w:p>
    <w:sectPr w:rsidR="00C5047D" w:rsidRPr="001702FA" w:rsidSect="009A31F1">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698B48A9" w:rsidR="009A31F1" w:rsidRPr="00346ECC" w:rsidRDefault="009A31F1" w:rsidP="009A31F1">
        <w:pPr>
          <w:jc w:val="right"/>
          <w:rPr>
            <w:caps/>
            <w:lang w:val="fr-CH"/>
          </w:rPr>
        </w:pPr>
        <w:r w:rsidRPr="00346ECC">
          <w:rPr>
            <w:caps/>
            <w:lang w:val="fr-CH"/>
          </w:rPr>
          <w:t>PCT/CTC/33/</w:t>
        </w:r>
        <w:r w:rsidR="00E827BF">
          <w:rPr>
            <w:caps/>
            <w:lang w:val="fr-CH"/>
          </w:rPr>
          <w:t>2</w:t>
        </w:r>
      </w:p>
      <w:p w14:paraId="28DB5474" w14:textId="77777777"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4C572F"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1735D65F" w:rsidR="009A31F1" w:rsidRDefault="009A31F1" w:rsidP="009A31F1">
    <w:pPr>
      <w:pStyle w:val="Header"/>
      <w:jc w:val="right"/>
    </w:pPr>
    <w:r>
      <w:tab/>
      <w:t>PCT/CTC/33/</w:t>
    </w:r>
    <w:r w:rsidR="00E827BF">
      <w:t>2</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6816"/>
    <w:rsid w:val="00075432"/>
    <w:rsid w:val="000756C6"/>
    <w:rsid w:val="000760CC"/>
    <w:rsid w:val="000968ED"/>
    <w:rsid w:val="000A3D97"/>
    <w:rsid w:val="000A6309"/>
    <w:rsid w:val="000B5F3F"/>
    <w:rsid w:val="000C649D"/>
    <w:rsid w:val="000D46FE"/>
    <w:rsid w:val="000E14AC"/>
    <w:rsid w:val="000F5E56"/>
    <w:rsid w:val="00111BB0"/>
    <w:rsid w:val="001362EE"/>
    <w:rsid w:val="001647D5"/>
    <w:rsid w:val="001702FA"/>
    <w:rsid w:val="001832A6"/>
    <w:rsid w:val="001B1201"/>
    <w:rsid w:val="001D4107"/>
    <w:rsid w:val="00203D24"/>
    <w:rsid w:val="0021217E"/>
    <w:rsid w:val="00217FB1"/>
    <w:rsid w:val="002326AB"/>
    <w:rsid w:val="00234688"/>
    <w:rsid w:val="00243430"/>
    <w:rsid w:val="002634C4"/>
    <w:rsid w:val="002928D3"/>
    <w:rsid w:val="002B26A0"/>
    <w:rsid w:val="002E29C7"/>
    <w:rsid w:val="002F1FE6"/>
    <w:rsid w:val="002F39CD"/>
    <w:rsid w:val="002F4E68"/>
    <w:rsid w:val="00312F7F"/>
    <w:rsid w:val="003514C1"/>
    <w:rsid w:val="00361450"/>
    <w:rsid w:val="003673CF"/>
    <w:rsid w:val="003845C1"/>
    <w:rsid w:val="003A6F89"/>
    <w:rsid w:val="003B38C1"/>
    <w:rsid w:val="003C34E9"/>
    <w:rsid w:val="003F6F01"/>
    <w:rsid w:val="00423E3E"/>
    <w:rsid w:val="00427AF4"/>
    <w:rsid w:val="00442A32"/>
    <w:rsid w:val="004647DA"/>
    <w:rsid w:val="00466D9E"/>
    <w:rsid w:val="00474062"/>
    <w:rsid w:val="004769D1"/>
    <w:rsid w:val="00477D6B"/>
    <w:rsid w:val="004A2942"/>
    <w:rsid w:val="004B446A"/>
    <w:rsid w:val="004B6994"/>
    <w:rsid w:val="004C572F"/>
    <w:rsid w:val="005019FF"/>
    <w:rsid w:val="0052652C"/>
    <w:rsid w:val="0053057A"/>
    <w:rsid w:val="00556076"/>
    <w:rsid w:val="00560A29"/>
    <w:rsid w:val="00573F0D"/>
    <w:rsid w:val="00596424"/>
    <w:rsid w:val="005C6649"/>
    <w:rsid w:val="005C79F6"/>
    <w:rsid w:val="00605827"/>
    <w:rsid w:val="00646050"/>
    <w:rsid w:val="006713CA"/>
    <w:rsid w:val="00676C5C"/>
    <w:rsid w:val="00687CDD"/>
    <w:rsid w:val="006A5C36"/>
    <w:rsid w:val="006C238E"/>
    <w:rsid w:val="006C322C"/>
    <w:rsid w:val="006C5B74"/>
    <w:rsid w:val="006C712A"/>
    <w:rsid w:val="006D3315"/>
    <w:rsid w:val="006E65FA"/>
    <w:rsid w:val="006F04BC"/>
    <w:rsid w:val="0070049D"/>
    <w:rsid w:val="00705803"/>
    <w:rsid w:val="00720EFD"/>
    <w:rsid w:val="007578A4"/>
    <w:rsid w:val="00761CD8"/>
    <w:rsid w:val="007854AF"/>
    <w:rsid w:val="00786F89"/>
    <w:rsid w:val="00793A7C"/>
    <w:rsid w:val="007A37BA"/>
    <w:rsid w:val="007A398A"/>
    <w:rsid w:val="007A3EC4"/>
    <w:rsid w:val="007D1613"/>
    <w:rsid w:val="007E4593"/>
    <w:rsid w:val="007E4C0E"/>
    <w:rsid w:val="008543C9"/>
    <w:rsid w:val="008A134B"/>
    <w:rsid w:val="008B2CC1"/>
    <w:rsid w:val="008B60B2"/>
    <w:rsid w:val="008C660E"/>
    <w:rsid w:val="008D5EAB"/>
    <w:rsid w:val="0090731E"/>
    <w:rsid w:val="00916EE2"/>
    <w:rsid w:val="00934DF7"/>
    <w:rsid w:val="00941949"/>
    <w:rsid w:val="009551CD"/>
    <w:rsid w:val="00966A22"/>
    <w:rsid w:val="0096722F"/>
    <w:rsid w:val="00980843"/>
    <w:rsid w:val="009A31F1"/>
    <w:rsid w:val="009A53C9"/>
    <w:rsid w:val="009E2791"/>
    <w:rsid w:val="009E3F6F"/>
    <w:rsid w:val="009F499F"/>
    <w:rsid w:val="00A0628B"/>
    <w:rsid w:val="00A37342"/>
    <w:rsid w:val="00A42DAF"/>
    <w:rsid w:val="00A45BD8"/>
    <w:rsid w:val="00A53F2A"/>
    <w:rsid w:val="00A869B7"/>
    <w:rsid w:val="00A90F0A"/>
    <w:rsid w:val="00AB6815"/>
    <w:rsid w:val="00AC205C"/>
    <w:rsid w:val="00AF0A6B"/>
    <w:rsid w:val="00B05A69"/>
    <w:rsid w:val="00B74BB7"/>
    <w:rsid w:val="00B75281"/>
    <w:rsid w:val="00B92F1F"/>
    <w:rsid w:val="00B9734B"/>
    <w:rsid w:val="00BA30E2"/>
    <w:rsid w:val="00BB23EE"/>
    <w:rsid w:val="00BC039A"/>
    <w:rsid w:val="00C00276"/>
    <w:rsid w:val="00C02229"/>
    <w:rsid w:val="00C11BFE"/>
    <w:rsid w:val="00C411AD"/>
    <w:rsid w:val="00C42435"/>
    <w:rsid w:val="00C5047D"/>
    <w:rsid w:val="00C5068F"/>
    <w:rsid w:val="00C86D74"/>
    <w:rsid w:val="00CD04F1"/>
    <w:rsid w:val="00CF6256"/>
    <w:rsid w:val="00CF681A"/>
    <w:rsid w:val="00D07C78"/>
    <w:rsid w:val="00D3391E"/>
    <w:rsid w:val="00D45252"/>
    <w:rsid w:val="00D61EC6"/>
    <w:rsid w:val="00D71B4D"/>
    <w:rsid w:val="00D93D4C"/>
    <w:rsid w:val="00D93D55"/>
    <w:rsid w:val="00DD7B7F"/>
    <w:rsid w:val="00E14C7F"/>
    <w:rsid w:val="00E15015"/>
    <w:rsid w:val="00E31B4F"/>
    <w:rsid w:val="00E335FE"/>
    <w:rsid w:val="00E35192"/>
    <w:rsid w:val="00E827BF"/>
    <w:rsid w:val="00E82F6F"/>
    <w:rsid w:val="00E955BE"/>
    <w:rsid w:val="00EA2A90"/>
    <w:rsid w:val="00EA7D6E"/>
    <w:rsid w:val="00EB2F76"/>
    <w:rsid w:val="00EB363F"/>
    <w:rsid w:val="00EC4E49"/>
    <w:rsid w:val="00ED77FB"/>
    <w:rsid w:val="00EE45FA"/>
    <w:rsid w:val="00EF044F"/>
    <w:rsid w:val="00F043DE"/>
    <w:rsid w:val="00F63809"/>
    <w:rsid w:val="00F66152"/>
    <w:rsid w:val="00F84CA5"/>
    <w:rsid w:val="00F9165B"/>
    <w:rsid w:val="00FA2FA2"/>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loria.mirescu@patentamt.a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riedl@patentamt.a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nes.raumauf@patentamt.at" TargetMode="External"/><Relationship Id="rId5" Type="http://schemas.openxmlformats.org/officeDocument/2006/relationships/webSettings" Target="webSettings.xml"/><Relationship Id="rId15" Type="http://schemas.openxmlformats.org/officeDocument/2006/relationships/hyperlink" Target="https://pctlegal.wipo.int/eGuide/view-doc.xhtml?doc-code=AT&amp;doc-lang=e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export/sites/www/pct/en/docs/circulars/2024/167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(E).dotm</Template>
  <TotalTime>984</TotalTime>
  <Pages>5</Pages>
  <Words>1278</Words>
  <Characters>8229</Characters>
  <Application>Microsoft Office Word</Application>
  <DocSecurity>0</DocSecurity>
  <Lines>178</Lines>
  <Paragraphs>87</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dc:title>
  <dc:creator>NOVRUZOVA Elnara</dc:creator>
  <cp:keywords>FOR OFFICIAL USE ONLY</cp:keywords>
  <cp:lastModifiedBy>RICHARDSON Michael</cp:lastModifiedBy>
  <cp:revision>28</cp:revision>
  <cp:lastPrinted>2011-02-15T11:56:00Z</cp:lastPrinted>
  <dcterms:created xsi:type="dcterms:W3CDTF">2025-11-24T17:35:00Z</dcterms:created>
  <dcterms:modified xsi:type="dcterms:W3CDTF">2025-12-19T15:11:00Z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