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E4462" w14:textId="48BC9A52" w:rsidR="008B2CC1" w:rsidRPr="00442666" w:rsidRDefault="003C541E" w:rsidP="003C541E">
      <w:pPr>
        <w:pBdr>
          <w:bottom w:val="single" w:sz="4" w:space="10" w:color="auto"/>
        </w:pBdr>
        <w:spacing w:after="120"/>
        <w:jc w:val="right"/>
        <w:rPr>
          <w:b/>
          <w:sz w:val="32"/>
          <w:szCs w:val="40"/>
        </w:rPr>
      </w:pPr>
      <w:r>
        <w:rPr>
          <w:noProof/>
          <w:sz w:val="28"/>
          <w:szCs w:val="28"/>
          <w:lang w:eastAsia="en-US"/>
        </w:rPr>
        <w:drawing>
          <wp:inline distT="0" distB="0" distL="0" distR="0" wp14:anchorId="06790DB1" wp14:editId="6D0EE0DE">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1EB226BD" w14:textId="70555581" w:rsidR="008B2CC1" w:rsidRPr="004B2EF8" w:rsidRDefault="004E0043" w:rsidP="003C541E">
      <w:pPr>
        <w:jc w:val="right"/>
        <w:rPr>
          <w:rFonts w:ascii="Arial Black" w:hAnsi="Arial Black"/>
          <w:b/>
          <w:bCs/>
          <w:caps/>
          <w:sz w:val="15"/>
          <w:szCs w:val="15"/>
        </w:rPr>
      </w:pPr>
      <w:r>
        <w:rPr>
          <w:rFonts w:ascii="Arial Black" w:hAnsi="Arial Black"/>
          <w:b/>
          <w:caps/>
          <w:sz w:val="15"/>
        </w:rPr>
        <w:t>PCT/CTC/</w:t>
      </w:r>
      <w:bookmarkStart w:id="0" w:name="Code"/>
      <w:bookmarkEnd w:id="0"/>
      <w:r>
        <w:rPr>
          <w:rFonts w:ascii="Arial Black" w:hAnsi="Arial Black"/>
          <w:b/>
          <w:caps/>
          <w:sz w:val="15"/>
        </w:rPr>
        <w:t>33/19</w:t>
      </w:r>
    </w:p>
    <w:p w14:paraId="3384F0E9" w14:textId="0AC36680" w:rsidR="008B2CC1" w:rsidRPr="00C36CDD" w:rsidRDefault="00CC3E2D" w:rsidP="00CC3E2D">
      <w:pPr>
        <w:jc w:val="right"/>
        <w:rPr>
          <w:rFonts w:ascii="Arial Black" w:hAnsi="Arial Black"/>
          <w:b/>
          <w:bCs/>
          <w:caps/>
          <w:sz w:val="15"/>
          <w:szCs w:val="15"/>
        </w:rPr>
      </w:pPr>
      <w:bookmarkStart w:id="1" w:name="Original"/>
      <w:r w:rsidRPr="00C36CDD">
        <w:rPr>
          <w:rFonts w:ascii="Arial Black" w:hAnsi="Arial Black"/>
          <w:b/>
          <w:caps/>
          <w:sz w:val="15"/>
        </w:rPr>
        <w:t>ORIGINAL: Arabic/English</w:t>
      </w:r>
    </w:p>
    <w:p w14:paraId="0E1AE2BB" w14:textId="70BCA63C" w:rsidR="008B2CC1" w:rsidRPr="00C36CDD" w:rsidRDefault="00CC3E2D" w:rsidP="00CC3E2D">
      <w:pPr>
        <w:spacing w:after="1200"/>
        <w:jc w:val="right"/>
        <w:rPr>
          <w:rFonts w:ascii="Arial Black" w:hAnsi="Arial Black"/>
          <w:b/>
          <w:bCs/>
          <w:caps/>
          <w:sz w:val="15"/>
          <w:szCs w:val="15"/>
        </w:rPr>
      </w:pPr>
      <w:bookmarkStart w:id="2" w:name="Date"/>
      <w:bookmarkEnd w:id="1"/>
      <w:r w:rsidRPr="00C36CDD">
        <w:rPr>
          <w:rFonts w:ascii="Arial Black" w:hAnsi="Arial Black"/>
          <w:b/>
          <w:caps/>
          <w:sz w:val="15"/>
        </w:rPr>
        <w:t>Date: December 19, 2025</w:t>
      </w:r>
    </w:p>
    <w:p w14:paraId="1DE83865" w14:textId="77777777" w:rsidR="003C541E" w:rsidRPr="00720EFD" w:rsidRDefault="003C541E" w:rsidP="003C541E">
      <w:pPr>
        <w:pStyle w:val="Heading1"/>
        <w:rPr>
          <w:sz w:val="28"/>
          <w:szCs w:val="28"/>
        </w:rPr>
      </w:pPr>
      <w:bookmarkStart w:id="3" w:name="TitleOfDoc"/>
      <w:bookmarkEnd w:id="2"/>
      <w:r w:rsidRPr="0096021C">
        <w:rPr>
          <w:caps w:val="0"/>
          <w:sz w:val="28"/>
          <w:szCs w:val="28"/>
        </w:rPr>
        <w:t>Patent Cooperation Treaty (PCT)</w:t>
      </w:r>
      <w:r>
        <w:rPr>
          <w:caps w:val="0"/>
          <w:sz w:val="28"/>
          <w:szCs w:val="28"/>
        </w:rPr>
        <w:br/>
      </w:r>
      <w:r w:rsidRPr="0096021C">
        <w:rPr>
          <w:caps w:val="0"/>
          <w:sz w:val="28"/>
          <w:szCs w:val="28"/>
        </w:rPr>
        <w:t>Committee for Technical Cooperation</w:t>
      </w:r>
    </w:p>
    <w:p w14:paraId="70C84C49" w14:textId="77777777" w:rsidR="003C541E" w:rsidRDefault="003C541E" w:rsidP="003C541E">
      <w:pPr>
        <w:outlineLvl w:val="1"/>
        <w:rPr>
          <w:b/>
          <w:sz w:val="24"/>
          <w:szCs w:val="24"/>
        </w:rPr>
      </w:pPr>
      <w:r>
        <w:rPr>
          <w:b/>
          <w:sz w:val="24"/>
          <w:szCs w:val="24"/>
        </w:rPr>
        <w:t>Thirty-Third</w:t>
      </w:r>
      <w:r w:rsidRPr="0096021C">
        <w:rPr>
          <w:b/>
          <w:sz w:val="24"/>
          <w:szCs w:val="24"/>
        </w:rPr>
        <w:t xml:space="preserve"> Session</w:t>
      </w:r>
    </w:p>
    <w:p w14:paraId="4F23854E" w14:textId="77777777" w:rsidR="003C541E" w:rsidRPr="003845C1" w:rsidRDefault="003C541E" w:rsidP="003C541E">
      <w:pPr>
        <w:spacing w:after="720"/>
        <w:outlineLvl w:val="1"/>
        <w:rPr>
          <w:b/>
          <w:sz w:val="24"/>
          <w:szCs w:val="24"/>
        </w:rPr>
      </w:pPr>
      <w:r>
        <w:rPr>
          <w:b/>
          <w:sz w:val="24"/>
          <w:szCs w:val="24"/>
        </w:rPr>
        <w:t>Geneva, February 2 to 6, 2026</w:t>
      </w:r>
    </w:p>
    <w:p w14:paraId="474C697B" w14:textId="1DC1D67B" w:rsidR="008B2CC1" w:rsidRPr="00442666" w:rsidRDefault="007236A1" w:rsidP="00DD7B7F">
      <w:pPr>
        <w:spacing w:after="360"/>
        <w:outlineLvl w:val="0"/>
        <w:rPr>
          <w:caps/>
          <w:sz w:val="24"/>
        </w:rPr>
      </w:pPr>
      <w:r>
        <w:rPr>
          <w:caps/>
          <w:sz w:val="28"/>
        </w:rPr>
        <w:t>Extension of Appointment of the Saudi Authority for Intellectual Property as an International Searching and Preliminary Examining Authority under the PCT</w:t>
      </w:r>
    </w:p>
    <w:p w14:paraId="59776B20" w14:textId="3133E461" w:rsidR="002928D3" w:rsidRPr="003C541E" w:rsidRDefault="007236A1" w:rsidP="001D4107">
      <w:pPr>
        <w:spacing w:after="1040"/>
        <w:rPr>
          <w:i/>
          <w:iCs/>
        </w:rPr>
      </w:pPr>
      <w:bookmarkStart w:id="4" w:name="Prepared"/>
      <w:bookmarkEnd w:id="3"/>
      <w:bookmarkEnd w:id="4"/>
      <w:r w:rsidRPr="003C541E">
        <w:rPr>
          <w:i/>
          <w:iCs/>
        </w:rPr>
        <w:t>Document prepared by the International Bureau</w:t>
      </w:r>
    </w:p>
    <w:p w14:paraId="258425F5" w14:textId="1584A0B4" w:rsidR="007F061E" w:rsidRPr="00442666" w:rsidRDefault="007F061E" w:rsidP="007F061E">
      <w:pPr>
        <w:pStyle w:val="ONUMA"/>
      </w:pPr>
      <w:r>
        <w:t>All the existing International Authorities were appointed by the PCT Assembly for a period ending on December 31, 2027.</w:t>
      </w:r>
      <w:r w:rsidR="006B4E64">
        <w:t xml:space="preserve"> </w:t>
      </w:r>
      <w:r>
        <w:t xml:space="preserve"> Before the expiry of this period, the Assembly will need to decide on the extension of the appointment of each existing International Authority that wishes to seek an extension of its appointment, having first sought the advice of this Committee (see PCT Articles 16(3)(e) and 32(3)).</w:t>
      </w:r>
      <w:r w:rsidR="006B4E64">
        <w:t xml:space="preserve"> </w:t>
      </w:r>
      <w:r>
        <w:t xml:space="preserve"> Information concerning this process and the role of the Committee is set out in document PCT/CTC/33/INF/1.</w:t>
      </w:r>
    </w:p>
    <w:p w14:paraId="59B0EEE3" w14:textId="2564C78A" w:rsidR="007F061E" w:rsidRPr="00442666" w:rsidRDefault="007F061E" w:rsidP="007F061E">
      <w:pPr>
        <w:pStyle w:val="ONUMA"/>
      </w:pPr>
      <w:r>
        <w:t>On November 30, 2025, the Saudi Authority for Intellectual Property (SAIP) submitted its application for extension of appointment, which is reproduced in the Annex to this document.</w:t>
      </w:r>
    </w:p>
    <w:p w14:paraId="73C94DDB" w14:textId="4B99822B" w:rsidR="007F061E" w:rsidRPr="00442666" w:rsidRDefault="007F061E" w:rsidP="00320C70">
      <w:pPr>
        <w:pStyle w:val="ONUMA"/>
        <w:ind w:left="5527"/>
        <w:rPr>
          <w:i/>
          <w:iCs/>
        </w:rPr>
      </w:pPr>
      <w:r>
        <w:rPr>
          <w:i/>
        </w:rPr>
        <w:t>The Committee is invited to give its advice on this matter.</w:t>
      </w:r>
    </w:p>
    <w:p w14:paraId="47C07450" w14:textId="77777777" w:rsidR="000A1D9D" w:rsidRPr="00442666" w:rsidRDefault="00320C70" w:rsidP="000A1D9D">
      <w:pPr>
        <w:spacing w:before="480"/>
        <w:ind w:left="5534"/>
      </w:pPr>
      <w:r>
        <w:t>[Annex follows]</w:t>
      </w:r>
    </w:p>
    <w:p w14:paraId="249070DD" w14:textId="77777777" w:rsidR="00085A70" w:rsidRPr="00442666" w:rsidRDefault="00085A70" w:rsidP="000A1D9D">
      <w:pPr>
        <w:spacing w:before="480"/>
        <w:ind w:left="5534"/>
        <w:rPr>
          <w:lang w:bidi="ar-EG"/>
        </w:rPr>
      </w:pPr>
    </w:p>
    <w:p w14:paraId="08837193" w14:textId="77777777" w:rsidR="00085A70" w:rsidRPr="00442666" w:rsidRDefault="00085A70" w:rsidP="000A1D9D">
      <w:pPr>
        <w:spacing w:before="480"/>
        <w:ind w:left="5534"/>
        <w:rPr>
          <w:rtl/>
          <w:lang w:bidi="ar-EG"/>
        </w:rPr>
        <w:sectPr w:rsidR="00085A70" w:rsidRPr="00442666" w:rsidSect="00CC3E2D">
          <w:headerReference w:type="default" r:id="rId9"/>
          <w:endnotePr>
            <w:numFmt w:val="decimal"/>
          </w:endnotePr>
          <w:pgSz w:w="11907" w:h="16840" w:code="9"/>
          <w:pgMar w:top="567" w:right="1418" w:bottom="1418" w:left="1134" w:header="510" w:footer="1021" w:gutter="0"/>
          <w:cols w:space="720"/>
          <w:titlePg/>
          <w:bidi/>
          <w:rtlGutter/>
          <w:docGrid w:linePitch="299"/>
        </w:sectPr>
      </w:pPr>
    </w:p>
    <w:p w14:paraId="7B623DD8" w14:textId="0A2CB268" w:rsidR="00C556D7" w:rsidRPr="00442666" w:rsidRDefault="00986D19" w:rsidP="00986D19">
      <w:pPr>
        <w:keepNext/>
        <w:spacing w:before="240" w:after="60"/>
        <w:jc w:val="center"/>
        <w:outlineLvl w:val="1"/>
        <w:rPr>
          <w:bCs/>
          <w:i/>
          <w:caps/>
        </w:rPr>
      </w:pPr>
      <w:r>
        <w:rPr>
          <w:i/>
          <w:caps/>
        </w:rPr>
        <w:lastRenderedPageBreak/>
        <w:t>Application for Extension of Appointment as an International Searching and Preliminary Examining Authority under the PCT</w:t>
      </w:r>
    </w:p>
    <w:p w14:paraId="0F24BABC" w14:textId="77777777" w:rsidR="00986D19" w:rsidRPr="00442666" w:rsidRDefault="00986D19" w:rsidP="00B65BD2">
      <w:pPr>
        <w:keepNext/>
        <w:spacing w:before="240" w:after="60"/>
        <w:outlineLvl w:val="1"/>
        <w:rPr>
          <w:bCs/>
          <w:i/>
          <w:caps/>
          <w:rtl/>
        </w:rPr>
      </w:pPr>
    </w:p>
    <w:p w14:paraId="02EB92C4" w14:textId="77777777" w:rsidR="00C556D7" w:rsidRPr="00442666" w:rsidRDefault="00C556D7" w:rsidP="00B65BD2">
      <w:pPr>
        <w:pStyle w:val="Heading2"/>
        <w:pBdr>
          <w:top w:val="single" w:sz="4" w:space="1" w:color="auto"/>
        </w:pBdr>
      </w:pPr>
      <w:r>
        <w:t>1 – General</w:t>
      </w:r>
    </w:p>
    <w:p w14:paraId="519EA697" w14:textId="77777777" w:rsidR="00986D19" w:rsidRPr="00442666" w:rsidRDefault="00986D19" w:rsidP="00986D19">
      <w:pPr>
        <w:rPr>
          <w:rtl/>
        </w:rPr>
      </w:pPr>
    </w:p>
    <w:p w14:paraId="226A1018" w14:textId="77777777" w:rsidR="00C556D7" w:rsidRPr="003C541E" w:rsidRDefault="00C556D7" w:rsidP="003C541E">
      <w:pPr>
        <w:keepNext/>
        <w:keepLines/>
        <w:spacing w:after="480"/>
        <w:rPr>
          <w:b/>
          <w:bCs/>
        </w:rPr>
      </w:pPr>
      <w:r w:rsidRPr="003C541E">
        <w:rPr>
          <w:b/>
        </w:rPr>
        <w:t>(a)</w:t>
      </w:r>
      <w:r w:rsidRPr="003C541E">
        <w:rPr>
          <w:b/>
        </w:rPr>
        <w:tab/>
        <w:t>Name of Office or intergovernmental organization:</w:t>
      </w:r>
    </w:p>
    <w:p w14:paraId="1FEE20DD" w14:textId="5787E947" w:rsidR="00C556D7" w:rsidRPr="00040776" w:rsidRDefault="009664C5" w:rsidP="00986D19">
      <w:pPr>
        <w:pStyle w:val="ListParagraph"/>
        <w:keepNext/>
        <w:keepLines/>
        <w:spacing w:after="480"/>
        <w:ind w:left="930" w:hanging="931"/>
        <w:rPr>
          <w:rFonts w:eastAsia="SimSun"/>
          <w:bCs/>
        </w:rPr>
      </w:pPr>
      <w:r>
        <w:rPr>
          <w:bCs/>
        </w:rPr>
        <w:t>Saudi Authority for Intellectual Property</w:t>
      </w:r>
      <w:r w:rsidR="00040776" w:rsidRPr="00040776">
        <w:rPr>
          <w:bCs/>
        </w:rPr>
        <w:t xml:space="preserve"> (SAIP)</w:t>
      </w:r>
    </w:p>
    <w:p w14:paraId="0D6F913C" w14:textId="77777777" w:rsidR="00C556D7" w:rsidRPr="00442666" w:rsidRDefault="00C556D7" w:rsidP="00C556D7">
      <w:pPr>
        <w:keepNext/>
        <w:keepLines/>
        <w:spacing w:after="480"/>
        <w:rPr>
          <w:b/>
          <w:bCs/>
        </w:rPr>
      </w:pPr>
      <w:r>
        <w:rPr>
          <w:b/>
        </w:rPr>
        <w:t>(b)</w:t>
      </w:r>
      <w:r>
        <w:rPr>
          <w:b/>
        </w:rPr>
        <w:tab/>
        <w:t>Name and contact details of official for any queries about this application:</w:t>
      </w:r>
    </w:p>
    <w:p w14:paraId="0C236133" w14:textId="77777777" w:rsidR="00C556D7" w:rsidRPr="00442666" w:rsidRDefault="00C556D7" w:rsidP="00C556D7">
      <w:pPr>
        <w:spacing w:after="120" w:line="260" w:lineRule="atLeast"/>
        <w:jc w:val="both"/>
      </w:pPr>
      <w:r>
        <w:t>Name: Mr. Mohammed Althrowi</w:t>
      </w:r>
    </w:p>
    <w:p w14:paraId="4454900F" w14:textId="77777777" w:rsidR="00C556D7" w:rsidRPr="00442666" w:rsidRDefault="00C556D7" w:rsidP="00C556D7">
      <w:pPr>
        <w:spacing w:after="120" w:line="260" w:lineRule="atLeast"/>
        <w:jc w:val="both"/>
      </w:pPr>
      <w:r>
        <w:t>Position: Supervisor of the PCT Department at SAIP</w:t>
      </w:r>
    </w:p>
    <w:p w14:paraId="7B276191" w14:textId="77777777" w:rsidR="00C556D7" w:rsidRPr="00442666" w:rsidRDefault="00C556D7" w:rsidP="00C556D7">
      <w:pPr>
        <w:spacing w:after="120" w:line="260" w:lineRule="atLeast"/>
        <w:jc w:val="both"/>
      </w:pPr>
      <w:r>
        <w:t>Email: pct@saip.gov.sa</w:t>
      </w:r>
    </w:p>
    <w:p w14:paraId="30D6FAE0" w14:textId="77777777" w:rsidR="00C556D7" w:rsidRPr="00442666" w:rsidRDefault="00C556D7" w:rsidP="00C556D7">
      <w:pPr>
        <w:spacing w:after="120" w:line="260" w:lineRule="atLeast"/>
        <w:jc w:val="both"/>
      </w:pPr>
      <w:r>
        <w:t xml:space="preserve">Phone: </w:t>
      </w:r>
      <w:bookmarkStart w:id="5" w:name="_Hlk214352861"/>
      <w:r>
        <w:t>0096656688838</w:t>
      </w:r>
      <w:bookmarkEnd w:id="5"/>
    </w:p>
    <w:p w14:paraId="42633F50" w14:textId="77777777" w:rsidR="00C556D7" w:rsidRPr="00442666" w:rsidRDefault="00C556D7" w:rsidP="00C556D7">
      <w:pPr>
        <w:spacing w:after="120" w:line="260" w:lineRule="atLeast"/>
        <w:jc w:val="both"/>
        <w:rPr>
          <w:rtl/>
        </w:rPr>
      </w:pPr>
    </w:p>
    <w:p w14:paraId="7480B507" w14:textId="77777777" w:rsidR="00C556D7" w:rsidRPr="00442666" w:rsidRDefault="00C556D7" w:rsidP="00C556D7">
      <w:pPr>
        <w:keepNext/>
        <w:keepLines/>
        <w:spacing w:after="220"/>
        <w:rPr>
          <w:b/>
          <w:bCs/>
        </w:rPr>
      </w:pPr>
      <w:r>
        <w:rPr>
          <w:b/>
        </w:rPr>
        <w:t>(c)</w:t>
      </w:r>
      <w:r>
        <w:rPr>
          <w:b/>
        </w:rPr>
        <w:tab/>
        <w:t>Date on which application for extension of appointment was received by the Director General:</w:t>
      </w:r>
    </w:p>
    <w:p w14:paraId="08ADCD00" w14:textId="61179799" w:rsidR="00C556D7" w:rsidRPr="00442666" w:rsidRDefault="00986D19" w:rsidP="00C556D7">
      <w:pPr>
        <w:pStyle w:val="BodyText"/>
        <w:ind w:firstLine="567"/>
      </w:pPr>
      <w:r>
        <w:t>November 30, 2025</w:t>
      </w:r>
    </w:p>
    <w:p w14:paraId="0E9E2B6E" w14:textId="0C751D35" w:rsidR="00C556D7" w:rsidRDefault="00C556D7" w:rsidP="00B65BD2">
      <w:pPr>
        <w:pStyle w:val="Heading2"/>
        <w:pBdr>
          <w:top w:val="single" w:sz="4" w:space="1" w:color="auto"/>
        </w:pBdr>
      </w:pPr>
      <w:r>
        <w:t>(2) Minimum Requirements for Appointment</w:t>
      </w:r>
    </w:p>
    <w:p w14:paraId="024A7EAA" w14:textId="77777777" w:rsidR="003C541E" w:rsidRPr="003C541E" w:rsidRDefault="003C541E" w:rsidP="003C541E"/>
    <w:p w14:paraId="64F4D7CD" w14:textId="75671025" w:rsidR="00C556D7" w:rsidRPr="00442666" w:rsidRDefault="00C556D7" w:rsidP="00C556D7">
      <w:pPr>
        <w:pStyle w:val="BodyText"/>
      </w:pPr>
      <w:r>
        <w:t>In addition to the annual report on the quality management system by the Office or organization for 2025 (</w:t>
      </w:r>
      <w:r w:rsidR="003C541E">
        <w:t>“</w:t>
      </w:r>
      <w:r>
        <w:t>the QMS Report</w:t>
      </w:r>
      <w:r w:rsidR="003C541E">
        <w:t>”</w:t>
      </w:r>
      <w:r>
        <w:t xml:space="preserve"> </w:t>
      </w:r>
      <w:hyperlink r:id="rId10" w:anchor="#SA" w:history="1">
        <w:r>
          <w:rPr>
            <w:rStyle w:val="Hyperlink"/>
          </w:rPr>
          <w:t>https://www.wipo.int/en/web/pct-system/quality/authorities#SA</w:t>
        </w:r>
      </w:hyperlink>
      <w:r>
        <w:t>) in accordance with paragraphs 21.31 and 21.32 of the International Search and Preliminary Examination Guidelines (“the Guidelines”), the Authority submits the following information.</w:t>
      </w:r>
    </w:p>
    <w:p w14:paraId="2007C032" w14:textId="77777777" w:rsidR="00C556D7" w:rsidRPr="00442666" w:rsidRDefault="00C556D7" w:rsidP="00B65BD2">
      <w:pPr>
        <w:pStyle w:val="Heading2"/>
        <w:pBdr>
          <w:top w:val="single" w:sz="4" w:space="1" w:color="auto"/>
        </w:pBdr>
      </w:pPr>
      <w:r>
        <w:t>2.1 – Search and Examination Capacity</w:t>
      </w:r>
    </w:p>
    <w:p w14:paraId="7B2A76EE" w14:textId="77777777" w:rsidR="00975602" w:rsidRDefault="00975602" w:rsidP="00C556D7">
      <w:pPr>
        <w:keepNext/>
        <w:keepLines/>
        <w:spacing w:after="240"/>
        <w:ind w:left="567" w:right="567"/>
        <w:rPr>
          <w:b/>
          <w:i/>
          <w:iCs/>
        </w:rPr>
      </w:pPr>
    </w:p>
    <w:p w14:paraId="64650724" w14:textId="532986F0" w:rsidR="00C556D7" w:rsidRPr="003C541E" w:rsidRDefault="00C556D7" w:rsidP="00C556D7">
      <w:pPr>
        <w:keepNext/>
        <w:keepLines/>
        <w:spacing w:after="240"/>
        <w:ind w:left="567" w:right="567"/>
        <w:rPr>
          <w:bCs/>
          <w:i/>
          <w:iCs/>
        </w:rPr>
      </w:pPr>
      <w:r w:rsidRPr="003C541E">
        <w:rPr>
          <w:bCs/>
          <w:i/>
        </w:rPr>
        <w:t>Rules 36.1(i) and 63.1(i): The national Office or intergovernmental organization must have at least 100 full-time employees with sufficient technical qualifications to carry out searches and examinations.</w:t>
      </w:r>
    </w:p>
    <w:p w14:paraId="1BA58EAE" w14:textId="30B8901E" w:rsidR="00EC3F8B" w:rsidRPr="00442666" w:rsidRDefault="00EC3F8B" w:rsidP="00EC3F8B">
      <w:pPr>
        <w:pStyle w:val="BodyText"/>
      </w:pPr>
      <w:r>
        <w:t xml:space="preserve">The QMS Report provides information from the Authority on the infrastructure in place to ensure </w:t>
      </w:r>
      <w:proofErr w:type="gramStart"/>
      <w:r>
        <w:t>a sufficient quantity of</w:t>
      </w:r>
      <w:proofErr w:type="gramEnd"/>
      <w:r>
        <w:t xml:space="preserve"> technically qualified staff under paragraph 21.15(i) of the Guidelines, and on the training and development programs for staff involved in the search and examination process under paragraph 21.15(iv). </w:t>
      </w:r>
      <w:r w:rsidR="00F1070A">
        <w:t xml:space="preserve"> </w:t>
      </w:r>
      <w:r>
        <w:t xml:space="preserve">The Authority also includes the following information on numbers of employees qualified to carry out search and examination. </w:t>
      </w:r>
    </w:p>
    <w:p w14:paraId="1BBB4EDE" w14:textId="77777777" w:rsidR="00EC3F8B" w:rsidRDefault="00EC3F8B" w:rsidP="00762FEB">
      <w:pPr>
        <w:spacing w:line="360" w:lineRule="auto"/>
      </w:pPr>
    </w:p>
    <w:p w14:paraId="12CFED23" w14:textId="7FCC857F" w:rsidR="00C556D7" w:rsidRPr="00F1070A" w:rsidRDefault="00EC3F8B" w:rsidP="00F1070A">
      <w:r w:rsidRPr="00F1070A">
        <w:t>The r</w:t>
      </w:r>
      <w:r w:rsidR="00C556D7" w:rsidRPr="00F1070A">
        <w:t xml:space="preserve">ecruitment </w:t>
      </w:r>
      <w:r w:rsidRPr="00F1070A">
        <w:t xml:space="preserve">of </w:t>
      </w:r>
      <w:r w:rsidR="00C556D7" w:rsidRPr="00F1070A">
        <w:t xml:space="preserve">highly skilled and technically qualified staff is key to ensuring the quality of search and examination processes. </w:t>
      </w:r>
      <w:r w:rsidR="00F1070A" w:rsidRPr="00F1070A">
        <w:t xml:space="preserve"> </w:t>
      </w:r>
      <w:r w:rsidR="00C556D7" w:rsidRPr="00F1070A">
        <w:t>This section contains information on the number of examiners and their technical fields, and on the programs in place to train them and develop their skills.</w:t>
      </w:r>
    </w:p>
    <w:p w14:paraId="4DC91142" w14:textId="77777777" w:rsidR="00C556D7" w:rsidRPr="00442666" w:rsidRDefault="00C556D7" w:rsidP="00EC3F8B">
      <w:pPr>
        <w:spacing w:line="360" w:lineRule="auto"/>
        <w:jc w:val="both"/>
        <w:rPr>
          <w:lang w:bidi="ar-EG"/>
        </w:rPr>
      </w:pPr>
    </w:p>
    <w:p w14:paraId="35A7FE00" w14:textId="11693D01" w:rsidR="00C556D7" w:rsidRPr="003C541E" w:rsidRDefault="00C556D7" w:rsidP="00EC3F8B">
      <w:pPr>
        <w:pStyle w:val="ListParagraph"/>
        <w:numPr>
          <w:ilvl w:val="0"/>
          <w:numId w:val="39"/>
        </w:numPr>
        <w:spacing w:after="160" w:line="256" w:lineRule="auto"/>
        <w:jc w:val="both"/>
        <w:rPr>
          <w:b/>
          <w:bCs/>
        </w:rPr>
      </w:pPr>
      <w:r w:rsidRPr="003C541E">
        <w:rPr>
          <w:b/>
        </w:rPr>
        <w:t>Employees qualified to carry out searches and examinations:</w:t>
      </w:r>
    </w:p>
    <w:p w14:paraId="7C611BFA" w14:textId="24CB794A" w:rsidR="00C556D7" w:rsidRPr="00442666" w:rsidRDefault="00C556D7" w:rsidP="00F1070A">
      <w:r>
        <w:t>Following the appointment of the Authority as an International Searching and Preliminary Examining Authority and in accordance with the established plan, the recruitment and training of examiners has been completed</w:t>
      </w:r>
      <w:r w:rsidR="00F1070A">
        <w:t xml:space="preserve">.  </w:t>
      </w:r>
      <w:r>
        <w:t xml:space="preserve">SAIP currently has 110 staff members capable of carrying out search and examination activities, with full-time employees working at several organizational levels. </w:t>
      </w:r>
      <w:r w:rsidR="00F1070A">
        <w:t xml:space="preserve"> </w:t>
      </w:r>
      <w:r>
        <w:t xml:space="preserve">These examiners have the necessary scientific and technical qualifications to carry out examination work in their respective </w:t>
      </w:r>
      <w:proofErr w:type="gramStart"/>
      <w:r>
        <w:t>fields</w:t>
      </w:r>
      <w:proofErr w:type="gramEnd"/>
      <w:r>
        <w:t xml:space="preserve"> and all SAIP examiners have at least a </w:t>
      </w:r>
      <w:proofErr w:type="gramStart"/>
      <w:r>
        <w:t>Bachelor's</w:t>
      </w:r>
      <w:proofErr w:type="gramEnd"/>
      <w:r>
        <w:t xml:space="preserve"> degree; 57 per cent have higher degrees (</w:t>
      </w:r>
      <w:proofErr w:type="gramStart"/>
      <w:r>
        <w:t>Master</w:t>
      </w:r>
      <w:r w:rsidR="00EC3F8B">
        <w:t>’</w:t>
      </w:r>
      <w:r>
        <w:t>s</w:t>
      </w:r>
      <w:proofErr w:type="gramEnd"/>
      <w:r>
        <w:t xml:space="preserve"> or PhD). </w:t>
      </w:r>
      <w:r w:rsidR="00F1070A">
        <w:t xml:space="preserve"> </w:t>
      </w:r>
      <w:r>
        <w:t xml:space="preserve">On average, SAIP examiners have nine years’ experience. </w:t>
      </w:r>
      <w:r w:rsidR="00F1070A">
        <w:t xml:space="preserve"> </w:t>
      </w:r>
      <w:r>
        <w:t>Examiners are assigned to specialized technical centers in line with their professional specialization, with a view to deepening specific expertise and enhancing specialist efficiency.</w:t>
      </w:r>
      <w:bookmarkStart w:id="6" w:name="_Hlk213757645"/>
      <w:r w:rsidR="00F1070A">
        <w:t xml:space="preserve">  </w:t>
      </w:r>
      <w:r>
        <w:t>Which of the five technical centers they are assigned to depends on the specific technical field of each center.</w:t>
      </w:r>
      <w:r w:rsidR="00F1070A">
        <w:t xml:space="preserve"> </w:t>
      </w:r>
      <w:r>
        <w:t xml:space="preserve"> Examiners’ functional grade reflects the number of years of experience they have.</w:t>
      </w:r>
    </w:p>
    <w:bookmarkEnd w:id="6"/>
    <w:p w14:paraId="347B4D97" w14:textId="77777777" w:rsidR="00C556D7" w:rsidRPr="00442666" w:rsidRDefault="00C556D7" w:rsidP="00F1070A">
      <w:pPr>
        <w:spacing w:line="276" w:lineRule="auto"/>
      </w:pPr>
      <w:r>
        <w:t xml:space="preserve"> </w:t>
      </w:r>
    </w:p>
    <w:p w14:paraId="795C78C9" w14:textId="77777777" w:rsidR="00C556D7" w:rsidRPr="00442666" w:rsidRDefault="00C556D7" w:rsidP="00C556D7">
      <w:pPr>
        <w:rPr>
          <w:b/>
          <w:bCs/>
        </w:rPr>
      </w:pPr>
      <w:r>
        <w:rPr>
          <w:b/>
        </w:rPr>
        <w:t>Table 1. Patent examiners in each technical field</w:t>
      </w:r>
    </w:p>
    <w:p w14:paraId="621A6CB4" w14:textId="77777777" w:rsidR="00B65BD2" w:rsidRPr="00442666" w:rsidRDefault="00B65BD2" w:rsidP="00C556D7">
      <w:pPr>
        <w:rPr>
          <w:b/>
          <w:bCs/>
        </w:rPr>
      </w:pPr>
    </w:p>
    <w:tbl>
      <w:tblPr>
        <w:tblW w:w="9345" w:type="dxa"/>
        <w:tblCellMar>
          <w:left w:w="0" w:type="dxa"/>
          <w:right w:w="0" w:type="dxa"/>
        </w:tblCellMar>
        <w:tblLook w:val="04A0" w:firstRow="1" w:lastRow="0" w:firstColumn="1" w:lastColumn="0" w:noHBand="0" w:noVBand="1"/>
      </w:tblPr>
      <w:tblGrid>
        <w:gridCol w:w="1274"/>
        <w:gridCol w:w="2676"/>
        <w:gridCol w:w="1440"/>
        <w:gridCol w:w="1620"/>
        <w:gridCol w:w="2335"/>
      </w:tblGrid>
      <w:tr w:rsidR="00442666" w:rsidRPr="00442666" w14:paraId="47AC67F6" w14:textId="77777777" w:rsidTr="003C541E">
        <w:trPr>
          <w:cantSplit/>
          <w:trHeight w:val="868"/>
          <w:tblHeader/>
        </w:trPr>
        <w:tc>
          <w:tcPr>
            <w:tcW w:w="1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92BC8A" w14:textId="77777777" w:rsidR="00C556D7" w:rsidRPr="00442666" w:rsidRDefault="00C556D7" w:rsidP="00456085">
            <w:pPr>
              <w:rPr>
                <w:b/>
                <w:bCs/>
              </w:rPr>
            </w:pPr>
            <w:r>
              <w:rPr>
                <w:b/>
              </w:rPr>
              <w:t>Technical center</w:t>
            </w:r>
          </w:p>
        </w:tc>
        <w:tc>
          <w:tcPr>
            <w:tcW w:w="26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57EE58" w14:textId="77777777" w:rsidR="00C556D7" w:rsidRPr="00442666" w:rsidRDefault="00C556D7" w:rsidP="00456085">
            <w:pPr>
              <w:rPr>
                <w:b/>
                <w:bCs/>
              </w:rPr>
            </w:pPr>
            <w:r>
              <w:rPr>
                <w:b/>
              </w:rPr>
              <w:t>Technical field</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5F9BAF" w14:textId="77777777" w:rsidR="00C556D7" w:rsidRPr="00442666" w:rsidRDefault="00C556D7" w:rsidP="00456085">
            <w:pPr>
              <w:rPr>
                <w:b/>
                <w:bCs/>
              </w:rPr>
            </w:pPr>
            <w:r>
              <w:rPr>
                <w:b/>
              </w:rPr>
              <w:t>Number (in full-time equivalent)</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E449D7" w14:textId="77777777" w:rsidR="00C556D7" w:rsidRPr="00442666" w:rsidRDefault="00C556D7" w:rsidP="00456085">
            <w:pPr>
              <w:rPr>
                <w:b/>
                <w:bCs/>
              </w:rPr>
            </w:pPr>
            <w:r>
              <w:rPr>
                <w:b/>
              </w:rPr>
              <w:t>Average experience as examiners (years)</w:t>
            </w:r>
          </w:p>
        </w:tc>
        <w:tc>
          <w:tcPr>
            <w:tcW w:w="23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F1789A" w14:textId="77777777" w:rsidR="00C556D7" w:rsidRPr="00442666" w:rsidRDefault="00C556D7" w:rsidP="00456085">
            <w:pPr>
              <w:rPr>
                <w:b/>
                <w:bCs/>
              </w:rPr>
            </w:pPr>
            <w:r>
              <w:rPr>
                <w:b/>
              </w:rPr>
              <w:t xml:space="preserve">Breakdown of qualifications </w:t>
            </w:r>
          </w:p>
        </w:tc>
      </w:tr>
      <w:tr w:rsidR="00442666" w:rsidRPr="00442666" w14:paraId="5B81567F" w14:textId="77777777" w:rsidTr="003C541E">
        <w:trPr>
          <w:cantSplit/>
          <w:trHeight w:val="251"/>
        </w:trPr>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D352A" w14:textId="77777777" w:rsidR="00C556D7" w:rsidRPr="00442666" w:rsidRDefault="00C556D7" w:rsidP="00456085">
            <w:r>
              <w:t>100</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478D5C35" w14:textId="77777777" w:rsidR="00C556D7" w:rsidRPr="00442666" w:rsidRDefault="00C556D7" w:rsidP="00456085">
            <w:r>
              <w:t>Chemistry and chemical engineering</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15172FD4" w14:textId="77777777" w:rsidR="00C556D7" w:rsidRPr="00442666" w:rsidRDefault="00C556D7" w:rsidP="00456085">
            <w:r>
              <w:t>24</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359291F0" w14:textId="77777777" w:rsidR="00C556D7" w:rsidRPr="00442666" w:rsidRDefault="00C556D7" w:rsidP="00456085">
            <w:r>
              <w:t>7.5</w:t>
            </w:r>
          </w:p>
        </w:tc>
        <w:tc>
          <w:tcPr>
            <w:tcW w:w="233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2F56753" w14:textId="77777777" w:rsidR="00C556D7" w:rsidRPr="00442666" w:rsidRDefault="00C556D7" w:rsidP="00456085">
            <w:r>
              <w:t>1. Examiners: 110</w:t>
            </w:r>
          </w:p>
          <w:p w14:paraId="2B89AB67" w14:textId="77777777" w:rsidR="00C556D7" w:rsidRPr="00442666" w:rsidRDefault="00C556D7" w:rsidP="00456085">
            <w:r>
              <w:t>2. Heads of technical center: 5</w:t>
            </w:r>
          </w:p>
        </w:tc>
      </w:tr>
      <w:tr w:rsidR="00442666" w:rsidRPr="00442666" w14:paraId="103FF216" w14:textId="77777777" w:rsidTr="003C541E">
        <w:trPr>
          <w:cantSplit/>
          <w:trHeight w:val="251"/>
        </w:trPr>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E03C4D" w14:textId="77777777" w:rsidR="00C556D7" w:rsidRPr="00442666" w:rsidRDefault="00C556D7" w:rsidP="00456085">
            <w:r>
              <w:t>200</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34761A9C" w14:textId="77777777" w:rsidR="00C556D7" w:rsidRPr="00442666" w:rsidRDefault="00C556D7" w:rsidP="00456085">
            <w:r>
              <w:t xml:space="preserve">Biotechnology and pharmacy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31E794D6" w14:textId="77777777" w:rsidR="00C556D7" w:rsidRPr="00442666" w:rsidRDefault="00C556D7" w:rsidP="00456085">
            <w:r>
              <w:t>27</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1C459822" w14:textId="77777777" w:rsidR="00C556D7" w:rsidRPr="00442666" w:rsidRDefault="00C556D7" w:rsidP="00456085">
            <w:r>
              <w:t>7.5</w:t>
            </w:r>
          </w:p>
        </w:tc>
        <w:tc>
          <w:tcPr>
            <w:tcW w:w="2335" w:type="dxa"/>
            <w:vMerge/>
            <w:tcBorders>
              <w:top w:val="nil"/>
              <w:left w:val="nil"/>
              <w:bottom w:val="single" w:sz="8" w:space="0" w:color="auto"/>
              <w:right w:val="single" w:sz="8" w:space="0" w:color="auto"/>
            </w:tcBorders>
            <w:vAlign w:val="center"/>
            <w:hideMark/>
          </w:tcPr>
          <w:p w14:paraId="34EA0148" w14:textId="77777777" w:rsidR="00C556D7" w:rsidRPr="00442666" w:rsidRDefault="00C556D7" w:rsidP="00456085">
            <w:pPr>
              <w:rPr>
                <w:lang w:eastAsia="ko-KR" w:bidi="ar-EG"/>
              </w:rPr>
            </w:pPr>
          </w:p>
        </w:tc>
      </w:tr>
      <w:tr w:rsidR="00442666" w:rsidRPr="00442666" w14:paraId="030B5D6C" w14:textId="77777777" w:rsidTr="003C541E">
        <w:trPr>
          <w:cantSplit/>
          <w:trHeight w:val="251"/>
        </w:trPr>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7020C" w14:textId="77777777" w:rsidR="00C556D7" w:rsidRPr="00442666" w:rsidRDefault="00C556D7" w:rsidP="00456085">
            <w:r>
              <w:t>300</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595647D8" w14:textId="77777777" w:rsidR="00C556D7" w:rsidRPr="00442666" w:rsidRDefault="00C556D7" w:rsidP="00456085">
            <w:r>
              <w:t>Information and communications technology</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5E0F203B" w14:textId="77777777" w:rsidR="00C556D7" w:rsidRPr="00442666" w:rsidRDefault="00C556D7" w:rsidP="00456085">
            <w:r>
              <w:t>16</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05545BD7" w14:textId="77777777" w:rsidR="00C556D7" w:rsidRPr="00442666" w:rsidRDefault="00C556D7" w:rsidP="00456085">
            <w:r>
              <w:t>5</w:t>
            </w:r>
          </w:p>
        </w:tc>
        <w:tc>
          <w:tcPr>
            <w:tcW w:w="2335" w:type="dxa"/>
            <w:vMerge/>
            <w:tcBorders>
              <w:top w:val="nil"/>
              <w:left w:val="nil"/>
              <w:bottom w:val="single" w:sz="8" w:space="0" w:color="auto"/>
              <w:right w:val="single" w:sz="8" w:space="0" w:color="auto"/>
            </w:tcBorders>
            <w:vAlign w:val="center"/>
            <w:hideMark/>
          </w:tcPr>
          <w:p w14:paraId="105409DF" w14:textId="77777777" w:rsidR="00C556D7" w:rsidRPr="00442666" w:rsidRDefault="00C556D7" w:rsidP="00456085">
            <w:pPr>
              <w:rPr>
                <w:lang w:eastAsia="ko-KR" w:bidi="ar-EG"/>
              </w:rPr>
            </w:pPr>
          </w:p>
        </w:tc>
      </w:tr>
      <w:tr w:rsidR="00442666" w:rsidRPr="00442666" w14:paraId="07A9B132" w14:textId="77777777" w:rsidTr="003C541E">
        <w:trPr>
          <w:cantSplit/>
          <w:trHeight w:val="262"/>
        </w:trPr>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0BAE8E" w14:textId="77777777" w:rsidR="00C556D7" w:rsidRPr="00442666" w:rsidRDefault="00C556D7" w:rsidP="00456085">
            <w:r>
              <w:t>400</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693471E0" w14:textId="77777777" w:rsidR="00C556D7" w:rsidRPr="00442666" w:rsidRDefault="00C556D7" w:rsidP="00456085">
            <w:r>
              <w:t>Mechanical</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1C018B9F" w14:textId="77777777" w:rsidR="00C556D7" w:rsidRPr="00442666" w:rsidRDefault="00C556D7" w:rsidP="00456085">
            <w:r>
              <w:t>15</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02562629" w14:textId="77777777" w:rsidR="00C556D7" w:rsidRPr="00442666" w:rsidRDefault="00C556D7" w:rsidP="00456085">
            <w:r>
              <w:t>12</w:t>
            </w:r>
          </w:p>
        </w:tc>
        <w:tc>
          <w:tcPr>
            <w:tcW w:w="2335" w:type="dxa"/>
            <w:vMerge/>
            <w:tcBorders>
              <w:top w:val="nil"/>
              <w:left w:val="nil"/>
              <w:bottom w:val="single" w:sz="8" w:space="0" w:color="auto"/>
              <w:right w:val="single" w:sz="8" w:space="0" w:color="auto"/>
            </w:tcBorders>
            <w:vAlign w:val="center"/>
            <w:hideMark/>
          </w:tcPr>
          <w:p w14:paraId="3E02ACBD" w14:textId="77777777" w:rsidR="00C556D7" w:rsidRPr="00442666" w:rsidRDefault="00C556D7" w:rsidP="00456085">
            <w:pPr>
              <w:rPr>
                <w:lang w:eastAsia="ko-KR" w:bidi="ar-EG"/>
              </w:rPr>
            </w:pPr>
          </w:p>
        </w:tc>
      </w:tr>
      <w:tr w:rsidR="00442666" w:rsidRPr="00442666" w14:paraId="66D5CAF0" w14:textId="77777777" w:rsidTr="003C541E">
        <w:trPr>
          <w:cantSplit/>
          <w:trHeight w:val="251"/>
        </w:trPr>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FF902D" w14:textId="77777777" w:rsidR="00C556D7" w:rsidRPr="00442666" w:rsidRDefault="00C556D7" w:rsidP="00456085">
            <w:r>
              <w:t>500</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4E4ACCFD" w14:textId="77777777" w:rsidR="00C556D7" w:rsidRPr="00442666" w:rsidRDefault="00C556D7" w:rsidP="00456085">
            <w:r>
              <w:t>Petroleum engineering and construction</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26A6DA0E" w14:textId="77777777" w:rsidR="00C556D7" w:rsidRPr="00442666" w:rsidRDefault="00C556D7" w:rsidP="00456085">
            <w:r>
              <w:t>16</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A082440" w14:textId="77777777" w:rsidR="00C556D7" w:rsidRPr="00442666" w:rsidRDefault="00C556D7" w:rsidP="00456085">
            <w:r>
              <w:t>5</w:t>
            </w:r>
          </w:p>
        </w:tc>
        <w:tc>
          <w:tcPr>
            <w:tcW w:w="2335" w:type="dxa"/>
            <w:vMerge/>
            <w:tcBorders>
              <w:top w:val="nil"/>
              <w:left w:val="nil"/>
              <w:bottom w:val="single" w:sz="8" w:space="0" w:color="auto"/>
              <w:right w:val="single" w:sz="8" w:space="0" w:color="auto"/>
            </w:tcBorders>
            <w:vAlign w:val="center"/>
            <w:hideMark/>
          </w:tcPr>
          <w:p w14:paraId="55638AEF" w14:textId="77777777" w:rsidR="00C556D7" w:rsidRPr="00442666" w:rsidRDefault="00C556D7" w:rsidP="00456085">
            <w:pPr>
              <w:rPr>
                <w:lang w:eastAsia="ko-KR" w:bidi="ar-EG"/>
              </w:rPr>
            </w:pPr>
          </w:p>
        </w:tc>
      </w:tr>
      <w:tr w:rsidR="00442666" w:rsidRPr="00442666" w14:paraId="2A72E14C" w14:textId="77777777" w:rsidTr="003C541E">
        <w:trPr>
          <w:cantSplit/>
          <w:trHeight w:val="503"/>
        </w:trPr>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D74A68" w14:textId="77777777" w:rsidR="00C556D7" w:rsidRPr="00442666" w:rsidRDefault="00C556D7" w:rsidP="00456085">
            <w:r>
              <w:t>Patent support</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084E3CDE" w14:textId="77777777" w:rsidR="00C556D7" w:rsidRPr="00442666" w:rsidRDefault="00C556D7" w:rsidP="00456085">
            <w:r>
              <w:t>Other</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3C81D642" w14:textId="77777777" w:rsidR="00C556D7" w:rsidRPr="00442666" w:rsidRDefault="00C556D7" w:rsidP="00456085">
            <w:r>
              <w:t>12</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5C057200" w14:textId="77777777" w:rsidR="00C556D7" w:rsidRPr="00442666" w:rsidRDefault="00C556D7" w:rsidP="00456085">
            <w:r>
              <w:t>15</w:t>
            </w:r>
          </w:p>
        </w:tc>
        <w:tc>
          <w:tcPr>
            <w:tcW w:w="2335" w:type="dxa"/>
            <w:vMerge/>
            <w:tcBorders>
              <w:top w:val="nil"/>
              <w:left w:val="nil"/>
              <w:bottom w:val="single" w:sz="8" w:space="0" w:color="auto"/>
              <w:right w:val="single" w:sz="8" w:space="0" w:color="auto"/>
            </w:tcBorders>
            <w:vAlign w:val="center"/>
            <w:hideMark/>
          </w:tcPr>
          <w:p w14:paraId="57F3438A" w14:textId="77777777" w:rsidR="00C556D7" w:rsidRPr="00442666" w:rsidRDefault="00C556D7" w:rsidP="00456085">
            <w:pPr>
              <w:rPr>
                <w:lang w:eastAsia="ko-KR" w:bidi="ar-EG"/>
              </w:rPr>
            </w:pPr>
          </w:p>
        </w:tc>
      </w:tr>
      <w:tr w:rsidR="00C556D7" w:rsidRPr="00442666" w14:paraId="5115635A" w14:textId="77777777" w:rsidTr="003C541E">
        <w:trPr>
          <w:cantSplit/>
          <w:trHeight w:val="251"/>
        </w:trPr>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9E41F" w14:textId="77777777" w:rsidR="00C556D7" w:rsidRPr="00442666" w:rsidRDefault="00C556D7" w:rsidP="00456085">
            <w:r>
              <w:t>Total</w:t>
            </w:r>
          </w:p>
        </w:tc>
        <w:tc>
          <w:tcPr>
            <w:tcW w:w="2676" w:type="dxa"/>
            <w:tcBorders>
              <w:top w:val="nil"/>
              <w:left w:val="nil"/>
              <w:bottom w:val="single" w:sz="8" w:space="0" w:color="auto"/>
              <w:right w:val="single" w:sz="8" w:space="0" w:color="auto"/>
            </w:tcBorders>
            <w:tcMar>
              <w:top w:w="0" w:type="dxa"/>
              <w:left w:w="108" w:type="dxa"/>
              <w:bottom w:w="0" w:type="dxa"/>
              <w:right w:w="108" w:type="dxa"/>
            </w:tcMar>
          </w:tcPr>
          <w:p w14:paraId="0BF145FE" w14:textId="77777777" w:rsidR="00C556D7" w:rsidRPr="00442666" w:rsidRDefault="00C556D7" w:rsidP="00456085">
            <w:pPr>
              <w:rPr>
                <w:rtl/>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4216D4C0" w14:textId="77777777" w:rsidR="00C556D7" w:rsidRPr="00442666" w:rsidRDefault="00C556D7" w:rsidP="00456085">
            <w:r>
              <w:t>110</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00EC9B6D" w14:textId="77777777" w:rsidR="00C556D7" w:rsidRPr="00442666" w:rsidRDefault="00C556D7" w:rsidP="00456085"/>
        </w:tc>
        <w:tc>
          <w:tcPr>
            <w:tcW w:w="2335" w:type="dxa"/>
            <w:tcBorders>
              <w:top w:val="nil"/>
              <w:left w:val="nil"/>
              <w:bottom w:val="single" w:sz="8" w:space="0" w:color="auto"/>
              <w:right w:val="single" w:sz="8" w:space="0" w:color="auto"/>
            </w:tcBorders>
            <w:tcMar>
              <w:top w:w="0" w:type="dxa"/>
              <w:left w:w="108" w:type="dxa"/>
              <w:bottom w:w="0" w:type="dxa"/>
              <w:right w:w="108" w:type="dxa"/>
            </w:tcMar>
          </w:tcPr>
          <w:p w14:paraId="101357A1" w14:textId="77777777" w:rsidR="00C556D7" w:rsidRPr="00442666" w:rsidRDefault="00C556D7" w:rsidP="00456085"/>
        </w:tc>
      </w:tr>
    </w:tbl>
    <w:p w14:paraId="53E3BD26" w14:textId="77777777" w:rsidR="00C556D7" w:rsidRPr="00442666" w:rsidRDefault="00C556D7" w:rsidP="00C556D7">
      <w:pPr>
        <w:rPr>
          <w:lang w:eastAsia="ko-KR"/>
        </w:rPr>
      </w:pPr>
    </w:p>
    <w:p w14:paraId="62DC2D39" w14:textId="77777777" w:rsidR="00C556D7" w:rsidRPr="00442666" w:rsidRDefault="00C556D7" w:rsidP="00F1070A">
      <w:pPr>
        <w:pStyle w:val="Heading2"/>
        <w:keepNext w:val="0"/>
        <w:pBdr>
          <w:top w:val="single" w:sz="4" w:space="1" w:color="auto"/>
        </w:pBdr>
      </w:pPr>
      <w:r>
        <w:t>2.2 – MINIMUM DOCUMENTATION – MAKING AVAILABLE FOR CONSULTATION</w:t>
      </w:r>
    </w:p>
    <w:p w14:paraId="491A844C" w14:textId="77777777" w:rsidR="00B65BD2" w:rsidRPr="00442666" w:rsidRDefault="00B65BD2" w:rsidP="00F1070A">
      <w:pPr>
        <w:keepLines/>
        <w:spacing w:after="240"/>
        <w:ind w:left="567" w:right="567"/>
        <w:rPr>
          <w:b/>
          <w:i/>
          <w:iCs/>
        </w:rPr>
      </w:pPr>
    </w:p>
    <w:p w14:paraId="33BFDC6B" w14:textId="5B5AE546" w:rsidR="00C556D7" w:rsidRPr="00EC3F8B" w:rsidRDefault="00C556D7" w:rsidP="00F1070A">
      <w:pPr>
        <w:keepLines/>
        <w:spacing w:after="240"/>
        <w:ind w:left="567" w:right="567"/>
        <w:rPr>
          <w:bCs/>
          <w:i/>
          <w:iCs/>
        </w:rPr>
      </w:pPr>
      <w:r w:rsidRPr="00EC3F8B">
        <w:rPr>
          <w:bCs/>
          <w:i/>
        </w:rPr>
        <w:t>Rules 36.1(ii) and 63.1(ii): That Office or organization must make available for consultation as part of the minimum documentation referred to in Rule 34, in accordance with the requirements specified in the Administrative Instructions, any patent issued, and any patent application published, by it, and where applicable by its legal predecessor(s).</w:t>
      </w:r>
    </w:p>
    <w:p w14:paraId="6277C03F" w14:textId="3A123084" w:rsidR="00C556D7" w:rsidRPr="00442666" w:rsidRDefault="00C556D7" w:rsidP="00F1070A">
      <w:pPr>
        <w:keepLines/>
        <w:spacing w:after="240"/>
        <w:ind w:left="567" w:right="567"/>
        <w:rPr>
          <w:b/>
          <w:i/>
          <w:iCs/>
        </w:rPr>
      </w:pPr>
      <w:r w:rsidRPr="00EC3F8B">
        <w:rPr>
          <w:bCs/>
          <w:i/>
        </w:rPr>
        <w:t>The requirements specified in the Administrative Instructions are set out in</w:t>
      </w:r>
      <w:r w:rsidRPr="00EC3F8B">
        <w:rPr>
          <w:bCs/>
        </w:rPr>
        <w:t xml:space="preserve"> </w:t>
      </w:r>
      <w:hyperlink r:id="rId11" w:history="1">
        <w:r w:rsidR="00F1070A" w:rsidRPr="00F1070A">
          <w:rPr>
            <w:rStyle w:val="Hyperlink"/>
            <w:bCs/>
            <w:i/>
          </w:rPr>
          <w:t>Circular</w:t>
        </w:r>
        <w:r w:rsidRPr="00F1070A">
          <w:rPr>
            <w:rStyle w:val="Hyperlink"/>
            <w:bCs/>
            <w:i/>
          </w:rPr>
          <w:t xml:space="preserve"> C</w:t>
        </w:r>
      </w:hyperlink>
      <w:r w:rsidR="00F1070A" w:rsidRPr="00F1070A">
        <w:rPr>
          <w:u w:val="single"/>
        </w:rPr>
        <w:t>.</w:t>
      </w:r>
      <w:r w:rsidR="00F1070A" w:rsidRPr="00F1070A">
        <w:rPr>
          <w:color w:val="0000FF"/>
          <w:u w:val="single"/>
        </w:rPr>
        <w:t xml:space="preserve"> </w:t>
      </w:r>
      <w:hyperlink r:id="rId12" w:history="1">
        <w:r w:rsidRPr="00F1070A">
          <w:rPr>
            <w:rStyle w:val="Hyperlink"/>
            <w:bCs/>
            <w:i/>
            <w:color w:val="0000FF"/>
          </w:rPr>
          <w:t>PCT 1672</w:t>
        </w:r>
      </w:hyperlink>
      <w:r w:rsidRPr="00EC3F8B">
        <w:rPr>
          <w:bCs/>
        </w:rPr>
        <w:t xml:space="preserve"> </w:t>
      </w:r>
      <w:r w:rsidRPr="00EC3F8B">
        <w:rPr>
          <w:bCs/>
          <w:i/>
        </w:rPr>
        <w:t>dated June 19, 2024.</w:t>
      </w:r>
    </w:p>
    <w:p w14:paraId="271726C0" w14:textId="21DB52D0" w:rsidR="00C556D7" w:rsidRPr="00442666" w:rsidRDefault="00C556D7" w:rsidP="00E030B8">
      <w:pPr>
        <w:pStyle w:val="BodyText"/>
      </w:pPr>
      <w:r>
        <w:t>Tests are being performed on a sample of patent documents in coordination with the European Patent Office (EPO).</w:t>
      </w:r>
      <w:r w:rsidR="00E030B8">
        <w:t xml:space="preserve"> </w:t>
      </w:r>
      <w:r>
        <w:t xml:space="preserve"> The testing and necessary validation work with the EPO and other International Searching Authorities (ISAs) should </w:t>
      </w:r>
      <w:r w:rsidR="005C7E72">
        <w:t xml:space="preserve">be </w:t>
      </w:r>
      <w:r>
        <w:t>completed in December 2025.</w:t>
      </w:r>
      <w:r w:rsidR="00E030B8">
        <w:t xml:space="preserve"> </w:t>
      </w:r>
      <w:r>
        <w:t xml:space="preserve"> In other words, there is a commitment to readiness by January 1, 2026.</w:t>
      </w:r>
    </w:p>
    <w:p w14:paraId="3E3662E0" w14:textId="77777777" w:rsidR="00C556D7" w:rsidRPr="00442666" w:rsidRDefault="00C556D7" w:rsidP="00E030B8">
      <w:pPr>
        <w:pStyle w:val="BodyText"/>
      </w:pPr>
      <w:r>
        <w:lastRenderedPageBreak/>
        <w:t>Work on the electronic repository is complete, meaning that search offices can access, search and upload documents.</w:t>
      </w:r>
    </w:p>
    <w:p w14:paraId="477BFE05" w14:textId="5FB49D1F" w:rsidR="00C556D7" w:rsidRPr="00442666" w:rsidRDefault="00C556D7" w:rsidP="00E030B8">
      <w:pPr>
        <w:pStyle w:val="BodyText"/>
      </w:pPr>
      <w:r>
        <w:t xml:space="preserve">SAIP is also committed to bringing its Authority file into line with WIPO Standard ST.37, as updated on the WIPO website on August 28, 2025. </w:t>
      </w:r>
    </w:p>
    <w:p w14:paraId="7ACCED10" w14:textId="1BC13AF1" w:rsidR="00C556D7" w:rsidRPr="00442666" w:rsidRDefault="00C556D7" w:rsidP="00E030B8">
      <w:pPr>
        <w:pStyle w:val="BodyText"/>
      </w:pPr>
      <w:r>
        <w:t xml:space="preserve">See also the </w:t>
      </w:r>
      <w:r w:rsidR="00A5379E">
        <w:t>table below</w:t>
      </w:r>
      <w:r>
        <w:t xml:space="preserve"> for patent documents published by SAIP that are made available to other ISAs in accordance with the requirements set forth in Annex H. </w:t>
      </w:r>
      <w:r w:rsidR="00F1070A">
        <w:t xml:space="preserve"> </w:t>
      </w:r>
      <w:r>
        <w:t>They are available on the WIPO website</w:t>
      </w:r>
      <w:r w:rsidR="00655690">
        <w:t>.</w:t>
      </w:r>
    </w:p>
    <w:tbl>
      <w:tblPr>
        <w:tblStyle w:val="TableGrid"/>
        <w:tblW w:w="9345" w:type="dxa"/>
        <w:tblLook w:val="04A0" w:firstRow="1" w:lastRow="0" w:firstColumn="1" w:lastColumn="0" w:noHBand="0" w:noVBand="1"/>
      </w:tblPr>
      <w:tblGrid>
        <w:gridCol w:w="2254"/>
        <w:gridCol w:w="962"/>
        <w:gridCol w:w="1418"/>
        <w:gridCol w:w="1418"/>
        <w:gridCol w:w="1604"/>
        <w:gridCol w:w="1689"/>
      </w:tblGrid>
      <w:tr w:rsidR="005C7E72" w:rsidRPr="00442666" w14:paraId="47F892AB" w14:textId="77777777" w:rsidTr="005C7E72">
        <w:trPr>
          <w:trHeight w:val="953"/>
        </w:trPr>
        <w:tc>
          <w:tcPr>
            <w:tcW w:w="2335" w:type="dxa"/>
            <w:vMerge w:val="restart"/>
          </w:tcPr>
          <w:p w14:paraId="072D2ADE" w14:textId="067C953A" w:rsidR="005C7E72" w:rsidRPr="0011000B" w:rsidRDefault="005C7E72" w:rsidP="0011000B">
            <w:pPr>
              <w:pStyle w:val="Paragraph"/>
              <w:ind w:firstLine="0"/>
              <w:jc w:val="center"/>
              <w:rPr>
                <w:b/>
                <w:bCs/>
              </w:rPr>
            </w:pPr>
            <w:r w:rsidRPr="0011000B">
              <w:rPr>
                <w:b/>
                <w:bCs/>
              </w:rPr>
              <w:t>Type of document</w:t>
            </w:r>
          </w:p>
        </w:tc>
        <w:tc>
          <w:tcPr>
            <w:tcW w:w="971" w:type="dxa"/>
            <w:vMerge w:val="restart"/>
          </w:tcPr>
          <w:p w14:paraId="42494FC8" w14:textId="37D4E2C6" w:rsidR="005C7E72" w:rsidRPr="0011000B" w:rsidRDefault="005C7E72" w:rsidP="0011000B">
            <w:pPr>
              <w:pStyle w:val="Paragraph"/>
              <w:ind w:firstLine="0"/>
              <w:jc w:val="center"/>
              <w:rPr>
                <w:b/>
                <w:bCs/>
              </w:rPr>
            </w:pPr>
            <w:r>
              <w:rPr>
                <w:b/>
                <w:bCs/>
              </w:rPr>
              <w:t>ST.16 code</w:t>
            </w:r>
          </w:p>
        </w:tc>
        <w:tc>
          <w:tcPr>
            <w:tcW w:w="2719" w:type="dxa"/>
            <w:gridSpan w:val="2"/>
          </w:tcPr>
          <w:p w14:paraId="50BFCE0C" w14:textId="12E51610" w:rsidR="005C7E72" w:rsidRPr="0011000B" w:rsidRDefault="00A5379E" w:rsidP="0011000B">
            <w:pPr>
              <w:pStyle w:val="Paragraph"/>
              <w:ind w:firstLine="0"/>
              <w:jc w:val="center"/>
              <w:rPr>
                <w:rFonts w:cs="Calibri"/>
                <w:b/>
                <w:bCs/>
              </w:rPr>
            </w:pPr>
            <w:r>
              <w:rPr>
                <w:b/>
                <w:bCs/>
              </w:rPr>
              <w:t>Date</w:t>
            </w:r>
            <w:r w:rsidR="003C2864">
              <w:rPr>
                <w:b/>
                <w:bCs/>
              </w:rPr>
              <w:t>s</w:t>
            </w:r>
          </w:p>
        </w:tc>
        <w:tc>
          <w:tcPr>
            <w:tcW w:w="1614" w:type="dxa"/>
            <w:vMerge w:val="restart"/>
          </w:tcPr>
          <w:p w14:paraId="2B2EED99" w14:textId="7904D9FE" w:rsidR="005C7E72" w:rsidRPr="0011000B" w:rsidRDefault="005C7E72" w:rsidP="0011000B">
            <w:pPr>
              <w:pStyle w:val="Paragraph"/>
              <w:ind w:firstLine="0"/>
              <w:jc w:val="center"/>
              <w:rPr>
                <w:b/>
                <w:bCs/>
              </w:rPr>
            </w:pPr>
            <w:r w:rsidRPr="0011000B">
              <w:rPr>
                <w:b/>
                <w:bCs/>
              </w:rPr>
              <w:t>Format of documents</w:t>
            </w:r>
          </w:p>
        </w:tc>
        <w:tc>
          <w:tcPr>
            <w:tcW w:w="1706" w:type="dxa"/>
            <w:vMerge w:val="restart"/>
          </w:tcPr>
          <w:p w14:paraId="16AD3B47" w14:textId="09BA387F" w:rsidR="005C7E72" w:rsidRPr="0011000B" w:rsidRDefault="005C7E72" w:rsidP="0011000B">
            <w:pPr>
              <w:pStyle w:val="Paragraph"/>
              <w:ind w:firstLine="0"/>
              <w:jc w:val="center"/>
              <w:rPr>
                <w:b/>
                <w:bCs/>
              </w:rPr>
            </w:pPr>
            <w:r w:rsidRPr="0011000B">
              <w:rPr>
                <w:b/>
                <w:bCs/>
              </w:rPr>
              <w:t>Source of documents</w:t>
            </w:r>
          </w:p>
        </w:tc>
      </w:tr>
      <w:tr w:rsidR="005C7E72" w:rsidRPr="00442666" w14:paraId="74D09865" w14:textId="77777777" w:rsidTr="005C7E72">
        <w:tc>
          <w:tcPr>
            <w:tcW w:w="2335" w:type="dxa"/>
            <w:vMerge/>
          </w:tcPr>
          <w:p w14:paraId="20965212" w14:textId="18723B71" w:rsidR="005C7E72" w:rsidRPr="00442666" w:rsidRDefault="005C7E72" w:rsidP="0011000B">
            <w:pPr>
              <w:pStyle w:val="Paragraph"/>
              <w:ind w:firstLine="0"/>
              <w:jc w:val="right"/>
              <w:rPr>
                <w:rFonts w:cs="Calibri"/>
              </w:rPr>
            </w:pPr>
          </w:p>
        </w:tc>
        <w:tc>
          <w:tcPr>
            <w:tcW w:w="971" w:type="dxa"/>
            <w:vMerge/>
          </w:tcPr>
          <w:p w14:paraId="6FC4F5EE" w14:textId="77777777" w:rsidR="005C7E72" w:rsidRDefault="005C7E72" w:rsidP="0011000B">
            <w:pPr>
              <w:pStyle w:val="Paragraph"/>
              <w:ind w:firstLine="0"/>
              <w:jc w:val="center"/>
            </w:pPr>
          </w:p>
        </w:tc>
        <w:tc>
          <w:tcPr>
            <w:tcW w:w="1418" w:type="dxa"/>
          </w:tcPr>
          <w:p w14:paraId="68EAEFBA" w14:textId="11867F0E" w:rsidR="005C7E72" w:rsidRPr="00442666" w:rsidRDefault="005C7E72" w:rsidP="0011000B">
            <w:pPr>
              <w:pStyle w:val="Paragraph"/>
              <w:ind w:firstLine="0"/>
              <w:jc w:val="center"/>
              <w:rPr>
                <w:rFonts w:cs="Calibri"/>
              </w:rPr>
            </w:pPr>
            <w:r>
              <w:t>From</w:t>
            </w:r>
          </w:p>
        </w:tc>
        <w:tc>
          <w:tcPr>
            <w:tcW w:w="1301" w:type="dxa"/>
          </w:tcPr>
          <w:p w14:paraId="17FBA0A5" w14:textId="6067AAB1" w:rsidR="005C7E72" w:rsidRPr="00442666" w:rsidRDefault="005C7E72" w:rsidP="0011000B">
            <w:pPr>
              <w:pStyle w:val="Paragraph"/>
              <w:ind w:firstLine="0"/>
              <w:jc w:val="center"/>
              <w:rPr>
                <w:rFonts w:cs="Calibri"/>
              </w:rPr>
            </w:pPr>
            <w:r>
              <w:t>To</w:t>
            </w:r>
          </w:p>
        </w:tc>
        <w:tc>
          <w:tcPr>
            <w:tcW w:w="1614" w:type="dxa"/>
            <w:vMerge/>
          </w:tcPr>
          <w:p w14:paraId="22610FFC" w14:textId="77777777" w:rsidR="005C7E72" w:rsidRPr="00442666" w:rsidRDefault="005C7E72" w:rsidP="0011000B">
            <w:pPr>
              <w:pStyle w:val="Paragraph"/>
              <w:ind w:firstLine="0"/>
              <w:jc w:val="right"/>
              <w:rPr>
                <w:rFonts w:cs="Calibri"/>
              </w:rPr>
            </w:pPr>
          </w:p>
        </w:tc>
        <w:tc>
          <w:tcPr>
            <w:tcW w:w="1706" w:type="dxa"/>
            <w:vMerge/>
          </w:tcPr>
          <w:p w14:paraId="237AFACE" w14:textId="77777777" w:rsidR="005C7E72" w:rsidRPr="00442666" w:rsidRDefault="005C7E72" w:rsidP="0011000B">
            <w:pPr>
              <w:pStyle w:val="Paragraph"/>
              <w:ind w:firstLine="0"/>
              <w:jc w:val="right"/>
              <w:rPr>
                <w:rFonts w:cs="Calibri"/>
              </w:rPr>
            </w:pPr>
          </w:p>
        </w:tc>
      </w:tr>
      <w:tr w:rsidR="005C7E72" w:rsidRPr="00442666" w14:paraId="75C31ECC" w14:textId="77777777" w:rsidTr="005C7E72">
        <w:tc>
          <w:tcPr>
            <w:tcW w:w="2335" w:type="dxa"/>
          </w:tcPr>
          <w:p w14:paraId="7B702C0C" w14:textId="6257FFA0" w:rsidR="005C7E72" w:rsidRDefault="005C7E72" w:rsidP="0011000B">
            <w:pPr>
              <w:pStyle w:val="Paragraph"/>
              <w:ind w:firstLine="0"/>
              <w:jc w:val="center"/>
              <w:rPr>
                <w:rFonts w:eastAsia="SimSun" w:cs="Calibri"/>
              </w:rPr>
            </w:pPr>
            <w:r>
              <w:t>Published national or regional patent</w:t>
            </w:r>
          </w:p>
        </w:tc>
        <w:tc>
          <w:tcPr>
            <w:tcW w:w="971" w:type="dxa"/>
          </w:tcPr>
          <w:p w14:paraId="26231DB8" w14:textId="656BDBFE" w:rsidR="005C7E72" w:rsidRDefault="005C7E72" w:rsidP="0011000B">
            <w:pPr>
              <w:pStyle w:val="Paragraph"/>
              <w:ind w:firstLine="0"/>
              <w:jc w:val="center"/>
            </w:pPr>
            <w:r>
              <w:t>B1</w:t>
            </w:r>
          </w:p>
        </w:tc>
        <w:tc>
          <w:tcPr>
            <w:tcW w:w="1418" w:type="dxa"/>
          </w:tcPr>
          <w:p w14:paraId="30786BDB" w14:textId="721B8DFD" w:rsidR="005C7E72" w:rsidRPr="00442666" w:rsidRDefault="005C7E72" w:rsidP="0011000B">
            <w:pPr>
              <w:pStyle w:val="Paragraph"/>
              <w:ind w:firstLine="0"/>
              <w:jc w:val="center"/>
              <w:rPr>
                <w:rFonts w:cs="Calibri"/>
              </w:rPr>
            </w:pPr>
            <w:r>
              <w:t>23/12/1995</w:t>
            </w:r>
          </w:p>
        </w:tc>
        <w:tc>
          <w:tcPr>
            <w:tcW w:w="1301" w:type="dxa"/>
          </w:tcPr>
          <w:p w14:paraId="16CE9005" w14:textId="7F67331E" w:rsidR="005C7E72" w:rsidRPr="00442666" w:rsidRDefault="005C7E72" w:rsidP="0011000B">
            <w:pPr>
              <w:pStyle w:val="Paragraph"/>
              <w:ind w:firstLine="0"/>
              <w:jc w:val="center"/>
              <w:rPr>
                <w:rFonts w:cs="Calibri"/>
              </w:rPr>
            </w:pPr>
            <w:r>
              <w:t>01/01/2015</w:t>
            </w:r>
          </w:p>
        </w:tc>
        <w:tc>
          <w:tcPr>
            <w:tcW w:w="1614" w:type="dxa"/>
          </w:tcPr>
          <w:p w14:paraId="51D8F3E7" w14:textId="3152EBB6" w:rsidR="005C7E72" w:rsidRDefault="005C7E72" w:rsidP="0011000B">
            <w:pPr>
              <w:pStyle w:val="Paragraph"/>
              <w:ind w:firstLine="0"/>
              <w:jc w:val="center"/>
            </w:pPr>
            <w:r>
              <w:rPr>
                <w:sz w:val="22"/>
              </w:rPr>
              <w:t>Full text (ST.36)</w:t>
            </w:r>
          </w:p>
        </w:tc>
        <w:sdt>
          <w:sdtPr>
            <w:rPr>
              <w:rFonts w:eastAsia="SimSun" w:cs="Calibri"/>
            </w:rPr>
            <w:alias w:val="Source of document"/>
            <w:tag w:val="Source of Document"/>
            <w:id w:val="-1866208688"/>
            <w:placeholder>
              <w:docPart w:val="D1F6C83DD8D9441E89EE899B14603431"/>
            </w:placeholder>
            <w:dropDownList>
              <w:listItem w:value="Choose an item."/>
              <w:listItem w:displayText="Online repository hosted by this Office" w:value="Online repository hosted by this Office"/>
              <w:listItem w:displayText="Online repository hosted by another Office" w:value="Online repository hosted by another Office"/>
              <w:listItem w:displayText="Collections available on request" w:value="Collections available on request"/>
            </w:dropDownList>
          </w:sdtPr>
          <w:sdtEndPr/>
          <w:sdtContent>
            <w:tc>
              <w:tcPr>
                <w:tcW w:w="1706" w:type="dxa"/>
              </w:tcPr>
              <w:p w14:paraId="223CAEBF" w14:textId="35002FB2" w:rsidR="005C7E72" w:rsidRDefault="005C7E72" w:rsidP="0011000B">
                <w:pPr>
                  <w:pStyle w:val="Paragraph"/>
                  <w:ind w:firstLine="0"/>
                  <w:jc w:val="center"/>
                </w:pPr>
                <w:r>
                  <w:t>Online repository hosted by this Office</w:t>
                </w:r>
              </w:p>
            </w:tc>
          </w:sdtContent>
        </w:sdt>
      </w:tr>
      <w:tr w:rsidR="005C7E72" w:rsidRPr="00442666" w14:paraId="5666E3D6" w14:textId="77777777" w:rsidTr="005C7E72">
        <w:tc>
          <w:tcPr>
            <w:tcW w:w="2335" w:type="dxa"/>
          </w:tcPr>
          <w:p w14:paraId="30B25590" w14:textId="509074C2" w:rsidR="005C7E72" w:rsidRDefault="005C7E72" w:rsidP="005C7E72">
            <w:pPr>
              <w:pStyle w:val="Paragraph"/>
              <w:ind w:firstLine="0"/>
              <w:jc w:val="center"/>
              <w:rPr>
                <w:rFonts w:eastAsia="SimSun" w:cs="Calibri"/>
              </w:rPr>
            </w:pPr>
            <w:r>
              <w:t>Published application for national or regional patent</w:t>
            </w:r>
          </w:p>
        </w:tc>
        <w:tc>
          <w:tcPr>
            <w:tcW w:w="971" w:type="dxa"/>
          </w:tcPr>
          <w:p w14:paraId="782F9F62" w14:textId="32D25D66" w:rsidR="005C7E72" w:rsidRPr="00442666" w:rsidRDefault="005C7E72" w:rsidP="005C7E72">
            <w:pPr>
              <w:pStyle w:val="Paragraph"/>
              <w:ind w:firstLine="0"/>
              <w:jc w:val="center"/>
              <w:rPr>
                <w:rFonts w:cs="Calibri"/>
              </w:rPr>
            </w:pPr>
            <w:r>
              <w:rPr>
                <w:rFonts w:cs="Calibri"/>
              </w:rPr>
              <w:t>A1</w:t>
            </w:r>
          </w:p>
        </w:tc>
        <w:tc>
          <w:tcPr>
            <w:tcW w:w="1418" w:type="dxa"/>
          </w:tcPr>
          <w:p w14:paraId="74897787" w14:textId="481325DE" w:rsidR="005C7E72" w:rsidRPr="00442666" w:rsidRDefault="005C7E72" w:rsidP="005C7E72">
            <w:pPr>
              <w:pStyle w:val="Paragraph"/>
              <w:ind w:firstLine="0"/>
              <w:jc w:val="center"/>
              <w:rPr>
                <w:rFonts w:cs="Calibri"/>
              </w:rPr>
            </w:pPr>
            <w:r>
              <w:t>01/01/2015</w:t>
            </w:r>
          </w:p>
        </w:tc>
        <w:tc>
          <w:tcPr>
            <w:tcW w:w="1301" w:type="dxa"/>
          </w:tcPr>
          <w:p w14:paraId="58BB7EC9" w14:textId="5017A00A" w:rsidR="005C7E72" w:rsidRPr="00442666" w:rsidRDefault="005C7E72" w:rsidP="005C7E72">
            <w:pPr>
              <w:pStyle w:val="Paragraph"/>
              <w:ind w:firstLine="0"/>
              <w:jc w:val="center"/>
              <w:rPr>
                <w:rFonts w:cs="Calibri"/>
              </w:rPr>
            </w:pPr>
          </w:p>
        </w:tc>
        <w:tc>
          <w:tcPr>
            <w:tcW w:w="1614" w:type="dxa"/>
          </w:tcPr>
          <w:p w14:paraId="4314F282" w14:textId="55296B2D" w:rsidR="005C7E72" w:rsidRDefault="005C7E72" w:rsidP="005C7E72">
            <w:pPr>
              <w:pStyle w:val="Paragraph"/>
              <w:ind w:firstLine="0"/>
              <w:jc w:val="center"/>
            </w:pPr>
            <w:r>
              <w:rPr>
                <w:sz w:val="22"/>
              </w:rPr>
              <w:t>Full text (ST.36)</w:t>
            </w:r>
          </w:p>
        </w:tc>
        <w:sdt>
          <w:sdtPr>
            <w:rPr>
              <w:rFonts w:eastAsia="SimSun" w:cs="Calibri"/>
            </w:rPr>
            <w:alias w:val="Source of document"/>
            <w:tag w:val="Source of Document"/>
            <w:id w:val="1900399903"/>
            <w:placeholder>
              <w:docPart w:val="4CF5F8E6D9FC4A85B8CF2A99FE0E58BB"/>
            </w:placeholder>
            <w:dropDownList>
              <w:listItem w:value="Choose an item."/>
              <w:listItem w:displayText="Online repository hosted by this Office" w:value="Online repository hosted by this Office"/>
              <w:listItem w:displayText="Online repository hosted by another Office" w:value="Online repository hosted by another Office"/>
              <w:listItem w:displayText="Collections available on request" w:value="Collections available on request"/>
            </w:dropDownList>
          </w:sdtPr>
          <w:sdtEndPr/>
          <w:sdtContent>
            <w:tc>
              <w:tcPr>
                <w:tcW w:w="1706" w:type="dxa"/>
              </w:tcPr>
              <w:p w14:paraId="2017A2AD" w14:textId="4BF586DB" w:rsidR="005C7E72" w:rsidRDefault="005C7E72" w:rsidP="005C7E72">
                <w:pPr>
                  <w:pStyle w:val="Paragraph"/>
                  <w:ind w:firstLine="0"/>
                  <w:jc w:val="center"/>
                </w:pPr>
                <w:r>
                  <w:t>Online repository hosted by this Office</w:t>
                </w:r>
              </w:p>
            </w:tc>
          </w:sdtContent>
        </w:sdt>
      </w:tr>
      <w:tr w:rsidR="005C7E72" w:rsidRPr="00442666" w14:paraId="04FAC703" w14:textId="77777777" w:rsidTr="005C7E72">
        <w:tc>
          <w:tcPr>
            <w:tcW w:w="2335" w:type="dxa"/>
          </w:tcPr>
          <w:p w14:paraId="5F3BE48B" w14:textId="31BBC855" w:rsidR="005C7E72" w:rsidRDefault="005C7E72" w:rsidP="005C7E72">
            <w:pPr>
              <w:pStyle w:val="Paragraph"/>
              <w:ind w:firstLine="0"/>
              <w:jc w:val="center"/>
              <w:rPr>
                <w:rFonts w:eastAsia="SimSun" w:cs="Calibri"/>
              </w:rPr>
            </w:pPr>
            <w:r>
              <w:t>Published national or regional patent</w:t>
            </w:r>
          </w:p>
        </w:tc>
        <w:tc>
          <w:tcPr>
            <w:tcW w:w="971" w:type="dxa"/>
          </w:tcPr>
          <w:p w14:paraId="36546216" w14:textId="3232098B" w:rsidR="005C7E72" w:rsidRPr="00442666" w:rsidRDefault="005C7E72" w:rsidP="005C7E72">
            <w:pPr>
              <w:pStyle w:val="Paragraph"/>
              <w:ind w:firstLine="0"/>
              <w:jc w:val="center"/>
              <w:rPr>
                <w:rFonts w:cs="Calibri"/>
              </w:rPr>
            </w:pPr>
            <w:r>
              <w:rPr>
                <w:rFonts w:cs="Calibri"/>
              </w:rPr>
              <w:t>B1</w:t>
            </w:r>
          </w:p>
        </w:tc>
        <w:tc>
          <w:tcPr>
            <w:tcW w:w="1418" w:type="dxa"/>
          </w:tcPr>
          <w:p w14:paraId="4EDA02CD" w14:textId="487DD4C3" w:rsidR="005C7E72" w:rsidRPr="00442666" w:rsidRDefault="005C7E72" w:rsidP="005C7E72">
            <w:pPr>
              <w:pStyle w:val="Paragraph"/>
              <w:ind w:firstLine="0"/>
              <w:jc w:val="center"/>
              <w:rPr>
                <w:rFonts w:cs="Calibri"/>
              </w:rPr>
            </w:pPr>
            <w:r>
              <w:t>01/01/2015</w:t>
            </w:r>
          </w:p>
        </w:tc>
        <w:tc>
          <w:tcPr>
            <w:tcW w:w="1301" w:type="dxa"/>
          </w:tcPr>
          <w:p w14:paraId="1CAA632B" w14:textId="07E89EE5" w:rsidR="005C7E72" w:rsidRPr="00442666" w:rsidRDefault="005C7E72" w:rsidP="005C7E72">
            <w:pPr>
              <w:pStyle w:val="Paragraph"/>
              <w:ind w:firstLine="0"/>
              <w:jc w:val="center"/>
              <w:rPr>
                <w:rFonts w:cs="Calibri"/>
              </w:rPr>
            </w:pPr>
          </w:p>
        </w:tc>
        <w:tc>
          <w:tcPr>
            <w:tcW w:w="1614" w:type="dxa"/>
          </w:tcPr>
          <w:p w14:paraId="73B05386" w14:textId="310170D2" w:rsidR="005C7E72" w:rsidRDefault="005C7E72" w:rsidP="005C7E72">
            <w:pPr>
              <w:pStyle w:val="Paragraph"/>
              <w:ind w:firstLine="0"/>
              <w:jc w:val="center"/>
            </w:pPr>
            <w:r>
              <w:rPr>
                <w:sz w:val="22"/>
              </w:rPr>
              <w:t>Full text (ST.36)</w:t>
            </w:r>
          </w:p>
        </w:tc>
        <w:sdt>
          <w:sdtPr>
            <w:rPr>
              <w:rFonts w:eastAsia="SimSun" w:cs="Calibri"/>
            </w:rPr>
            <w:alias w:val="Source of document"/>
            <w:tag w:val="Source of Document"/>
            <w:id w:val="-477383303"/>
            <w:placeholder>
              <w:docPart w:val="D41A702BF1E34A7A8616DA19BC4CC9CA"/>
            </w:placeholder>
            <w:dropDownList>
              <w:listItem w:value="Choose an item."/>
              <w:listItem w:displayText="Online repository hosted by this Office" w:value="Online repository hosted by this Office"/>
              <w:listItem w:displayText="Online repository hosted by another Office" w:value="Online repository hosted by another Office"/>
              <w:listItem w:displayText="Collections available on request" w:value="Collections available on request"/>
            </w:dropDownList>
          </w:sdtPr>
          <w:sdtEndPr/>
          <w:sdtContent>
            <w:tc>
              <w:tcPr>
                <w:tcW w:w="1706" w:type="dxa"/>
              </w:tcPr>
              <w:p w14:paraId="3B3CA375" w14:textId="298F12AD" w:rsidR="005C7E72" w:rsidRDefault="005C7E72" w:rsidP="005C7E72">
                <w:pPr>
                  <w:pStyle w:val="Paragraph"/>
                  <w:ind w:firstLine="0"/>
                  <w:jc w:val="center"/>
                </w:pPr>
                <w:r>
                  <w:t>Online repository hosted by this Office</w:t>
                </w:r>
              </w:p>
            </w:tc>
          </w:sdtContent>
        </w:sdt>
      </w:tr>
    </w:tbl>
    <w:p w14:paraId="23B163A2" w14:textId="77777777" w:rsidR="00C556D7" w:rsidRPr="00442666" w:rsidRDefault="00C556D7" w:rsidP="00C556D7"/>
    <w:p w14:paraId="6747F166" w14:textId="77777777" w:rsidR="00C556D7" w:rsidRPr="00442666" w:rsidRDefault="00C556D7" w:rsidP="00B65BD2">
      <w:pPr>
        <w:pStyle w:val="Heading2"/>
        <w:pBdr>
          <w:top w:val="single" w:sz="4" w:space="1" w:color="auto"/>
        </w:pBdr>
      </w:pPr>
      <w:r>
        <w:t>2.3 – Minimum Documentation – Access</w:t>
      </w:r>
    </w:p>
    <w:p w14:paraId="4D7EC854" w14:textId="77777777" w:rsidR="00975602" w:rsidRDefault="00975602" w:rsidP="00C556D7">
      <w:pPr>
        <w:keepLines/>
        <w:spacing w:after="240"/>
        <w:ind w:left="567" w:right="567"/>
        <w:rPr>
          <w:b/>
          <w:i/>
          <w:iCs/>
        </w:rPr>
      </w:pPr>
    </w:p>
    <w:p w14:paraId="4E04D50F" w14:textId="27218F2F" w:rsidR="00C556D7" w:rsidRPr="00655690" w:rsidRDefault="00C556D7" w:rsidP="00C556D7">
      <w:pPr>
        <w:keepLines/>
        <w:spacing w:after="240"/>
        <w:ind w:left="567" w:right="567"/>
        <w:rPr>
          <w:bCs/>
        </w:rPr>
      </w:pPr>
      <w:r w:rsidRPr="00655690">
        <w:rPr>
          <w:bCs/>
          <w:i/>
        </w:rPr>
        <w:t>Rules 36.1(iii) and 63.1(iii): That Office or organization must have in its possession, or maintain access to, at least the minimum documentation referred to in Rule 34, for search purposes in accordance with the Administrative Instructions.</w:t>
      </w:r>
    </w:p>
    <w:p w14:paraId="2A6E75B8" w14:textId="77777777" w:rsidR="00C556D7" w:rsidRPr="00655690" w:rsidRDefault="00C556D7" w:rsidP="00F1070A">
      <w:pPr>
        <w:keepLines/>
        <w:spacing w:after="240" w:line="276" w:lineRule="auto"/>
        <w:ind w:right="-5"/>
        <w:jc w:val="both"/>
        <w:rPr>
          <w:bCs/>
        </w:rPr>
      </w:pPr>
      <w:r w:rsidRPr="00655690">
        <w:rPr>
          <w:bCs/>
        </w:rPr>
        <w:t>SAIP has a full subscription to databases:</w:t>
      </w:r>
    </w:p>
    <w:p w14:paraId="6AA6E271" w14:textId="41192132" w:rsidR="00C556D7" w:rsidRPr="00442666" w:rsidRDefault="00C556D7" w:rsidP="00F1070A">
      <w:pPr>
        <w:pStyle w:val="ListParagraph"/>
        <w:keepLines/>
        <w:numPr>
          <w:ilvl w:val="0"/>
          <w:numId w:val="37"/>
        </w:numPr>
        <w:spacing w:after="240" w:line="276" w:lineRule="auto"/>
        <w:ind w:right="-5"/>
        <w:jc w:val="both"/>
      </w:pPr>
      <w:r>
        <w:t xml:space="preserve">Derwent (SequenceBase, Search with Simplicity, Innovation, </w:t>
      </w:r>
      <w:r w:rsidR="00655690">
        <w:t xml:space="preserve">CAS </w:t>
      </w:r>
      <w:r>
        <w:t>SciFinder</w:t>
      </w:r>
      <w:r w:rsidR="00655690">
        <w:t>)</w:t>
      </w:r>
    </w:p>
    <w:p w14:paraId="1F49F7A6" w14:textId="77777777" w:rsidR="00C556D7" w:rsidRPr="00442666" w:rsidRDefault="00C556D7" w:rsidP="00F1070A">
      <w:pPr>
        <w:pStyle w:val="ListParagraph"/>
        <w:numPr>
          <w:ilvl w:val="0"/>
          <w:numId w:val="37"/>
        </w:numPr>
        <w:spacing w:line="276" w:lineRule="auto"/>
        <w:ind w:right="-5"/>
        <w:jc w:val="both"/>
      </w:pPr>
      <w:r>
        <w:t>CAS BioFinder™  </w:t>
      </w:r>
    </w:p>
    <w:p w14:paraId="73AE52AD" w14:textId="77777777" w:rsidR="00C556D7" w:rsidRPr="00442666" w:rsidRDefault="00C556D7" w:rsidP="00F1070A">
      <w:pPr>
        <w:pStyle w:val="ListParagraph"/>
        <w:keepLines/>
        <w:numPr>
          <w:ilvl w:val="0"/>
          <w:numId w:val="37"/>
        </w:numPr>
        <w:spacing w:after="240" w:line="276" w:lineRule="auto"/>
        <w:ind w:right="-5"/>
        <w:jc w:val="both"/>
      </w:pPr>
      <w:r>
        <w:t>Derwent Innovation</w:t>
      </w:r>
    </w:p>
    <w:p w14:paraId="01A6999B" w14:textId="77777777" w:rsidR="00C556D7" w:rsidRPr="00442666" w:rsidRDefault="00C556D7" w:rsidP="00F1070A">
      <w:pPr>
        <w:keepLines/>
        <w:spacing w:after="240" w:line="276" w:lineRule="auto"/>
        <w:ind w:right="-5"/>
        <w:jc w:val="both"/>
      </w:pPr>
      <w:r>
        <w:t>Furthermore, examiners utilize:</w:t>
      </w:r>
    </w:p>
    <w:p w14:paraId="6F5F925E" w14:textId="77777777" w:rsidR="00C556D7" w:rsidRPr="00442666" w:rsidRDefault="00C556D7" w:rsidP="00F1070A">
      <w:pPr>
        <w:pStyle w:val="ListParagraph"/>
        <w:keepLines/>
        <w:numPr>
          <w:ilvl w:val="0"/>
          <w:numId w:val="38"/>
        </w:numPr>
        <w:spacing w:after="240" w:line="276" w:lineRule="auto"/>
        <w:ind w:right="-5"/>
        <w:jc w:val="both"/>
      </w:pPr>
      <w:r>
        <w:t>PATENTSCOPE</w:t>
      </w:r>
    </w:p>
    <w:p w14:paraId="407F0FCB" w14:textId="77777777" w:rsidR="00C556D7" w:rsidRPr="00442666" w:rsidRDefault="00C556D7" w:rsidP="00F1070A">
      <w:pPr>
        <w:pStyle w:val="ListParagraph"/>
        <w:keepLines/>
        <w:numPr>
          <w:ilvl w:val="0"/>
          <w:numId w:val="38"/>
        </w:numPr>
        <w:spacing w:after="240" w:line="276" w:lineRule="auto"/>
        <w:ind w:right="-5"/>
        <w:jc w:val="both"/>
      </w:pPr>
      <w:r>
        <w:t xml:space="preserve">Google Patents </w:t>
      </w:r>
    </w:p>
    <w:p w14:paraId="658DB67C" w14:textId="77777777" w:rsidR="00C556D7" w:rsidRPr="00442666" w:rsidRDefault="00C556D7" w:rsidP="00F1070A">
      <w:pPr>
        <w:keepLines/>
        <w:spacing w:after="240" w:line="276" w:lineRule="auto"/>
        <w:ind w:right="-5"/>
        <w:jc w:val="both"/>
      </w:pPr>
      <w:r>
        <w:t>and free United States Patent and Trademark Office (USPTO) databases to conduct patent documents searches.</w:t>
      </w:r>
    </w:p>
    <w:p w14:paraId="089EA7CA" w14:textId="77777777" w:rsidR="00C556D7" w:rsidRPr="00442666" w:rsidRDefault="00C556D7" w:rsidP="00F1070A">
      <w:pPr>
        <w:keepLines/>
        <w:spacing w:after="240" w:line="276" w:lineRule="auto"/>
        <w:ind w:right="-5"/>
        <w:jc w:val="both"/>
      </w:pPr>
      <w:r>
        <w:lastRenderedPageBreak/>
        <w:t>For non-patent search and access to documents, SAIP uses:</w:t>
      </w:r>
    </w:p>
    <w:p w14:paraId="4997A3B5" w14:textId="77777777" w:rsidR="00C556D7" w:rsidRPr="00442666" w:rsidRDefault="00C556D7" w:rsidP="00F1070A">
      <w:pPr>
        <w:pStyle w:val="ListParagraph"/>
        <w:keepLines/>
        <w:numPr>
          <w:ilvl w:val="0"/>
          <w:numId w:val="37"/>
        </w:numPr>
        <w:spacing w:after="240" w:line="276" w:lineRule="auto"/>
        <w:ind w:right="-5"/>
        <w:jc w:val="both"/>
      </w:pPr>
      <w:r>
        <w:t>SDL (Saudi Digital Library)</w:t>
      </w:r>
    </w:p>
    <w:p w14:paraId="597040DA" w14:textId="77777777" w:rsidR="00C556D7" w:rsidRPr="00442666" w:rsidRDefault="00C556D7" w:rsidP="00F1070A">
      <w:pPr>
        <w:pStyle w:val="ListParagraph"/>
        <w:keepLines/>
        <w:numPr>
          <w:ilvl w:val="0"/>
          <w:numId w:val="37"/>
        </w:numPr>
        <w:spacing w:after="240" w:line="276" w:lineRule="auto"/>
        <w:ind w:right="-5"/>
        <w:jc w:val="both"/>
      </w:pPr>
      <w:r>
        <w:t>Derwent</w:t>
      </w:r>
    </w:p>
    <w:p w14:paraId="4274CCD4" w14:textId="77777777" w:rsidR="00C556D7" w:rsidRPr="00442666" w:rsidRDefault="00C556D7" w:rsidP="00F1070A">
      <w:pPr>
        <w:keepLines/>
        <w:spacing w:after="240" w:line="276" w:lineRule="auto"/>
        <w:ind w:right="-5"/>
        <w:jc w:val="both"/>
      </w:pPr>
      <w:r>
        <w:t>It also uses open sources.</w:t>
      </w:r>
    </w:p>
    <w:p w14:paraId="05CFB1DE" w14:textId="77777777" w:rsidR="00C556D7" w:rsidRPr="00442666" w:rsidRDefault="00C556D7" w:rsidP="00B65BD2">
      <w:pPr>
        <w:pStyle w:val="Heading2"/>
        <w:pBdr>
          <w:top w:val="single" w:sz="4" w:space="1" w:color="auto"/>
        </w:pBdr>
      </w:pPr>
      <w:r>
        <w:t>2.4 – Quality Management</w:t>
      </w:r>
    </w:p>
    <w:p w14:paraId="022B8FD9" w14:textId="77777777" w:rsidR="00B65BD2" w:rsidRPr="00442666" w:rsidRDefault="00B65BD2" w:rsidP="00C556D7">
      <w:pPr>
        <w:keepLines/>
        <w:spacing w:after="240"/>
        <w:ind w:left="567" w:right="567"/>
        <w:rPr>
          <w:b/>
          <w:i/>
          <w:iCs/>
        </w:rPr>
      </w:pPr>
    </w:p>
    <w:p w14:paraId="0BE7486D" w14:textId="19523798" w:rsidR="00C556D7" w:rsidRPr="00655690" w:rsidRDefault="00C556D7" w:rsidP="00C556D7">
      <w:pPr>
        <w:keepLines/>
        <w:spacing w:after="240"/>
        <w:ind w:left="567" w:right="567"/>
        <w:rPr>
          <w:bCs/>
          <w:i/>
          <w:iCs/>
        </w:rPr>
      </w:pPr>
      <w:r w:rsidRPr="00655690">
        <w:rPr>
          <w:bCs/>
          <w:i/>
        </w:rPr>
        <w:t>Rules 36.1(iv) and 63.1(iv): That Office or organization must have in place a quality management system and internal review arrangements in accordance with the common rules of international search.</w:t>
      </w:r>
    </w:p>
    <w:p w14:paraId="42D2289B" w14:textId="77777777" w:rsidR="00C556D7" w:rsidRPr="00442666" w:rsidRDefault="00C556D7" w:rsidP="00C556D7">
      <w:pPr>
        <w:keepLines/>
        <w:spacing w:after="240"/>
        <w:ind w:right="567"/>
        <w:rPr>
          <w:b/>
        </w:rPr>
      </w:pPr>
      <w:r w:rsidRPr="00655690">
        <w:rPr>
          <w:bCs/>
        </w:rPr>
        <w:t>The QMS Report provides information from the Authority on the quality management system in place under Chapter 21 of the Guidelines and includes a report under paragraph 21.09 of the internal review arrangements that are further described in paragraphs 21.27 to 21.30 of the Guidelines.</w:t>
      </w:r>
    </w:p>
    <w:p w14:paraId="136CA631" w14:textId="77777777" w:rsidR="00C556D7" w:rsidRPr="00442666" w:rsidRDefault="00C556D7" w:rsidP="00C556D7">
      <w:pPr>
        <w:keepLines/>
        <w:spacing w:after="240"/>
        <w:ind w:right="567"/>
        <w:rPr>
          <w:bCs/>
        </w:rPr>
      </w:pPr>
    </w:p>
    <w:p w14:paraId="4A305E26" w14:textId="77777777" w:rsidR="00C556D7" w:rsidRPr="00442666" w:rsidRDefault="00C556D7" w:rsidP="00B65BD2">
      <w:pPr>
        <w:pStyle w:val="Heading2"/>
        <w:pBdr>
          <w:top w:val="single" w:sz="4" w:space="1" w:color="auto"/>
        </w:pBdr>
      </w:pPr>
      <w:r>
        <w:t>3 – Scope of Operation</w:t>
      </w:r>
    </w:p>
    <w:p w14:paraId="3C98A20F" w14:textId="38E7C180" w:rsidR="00C556D7" w:rsidRPr="00442666" w:rsidRDefault="00C556D7" w:rsidP="0073214D">
      <w:pPr>
        <w:keepLines/>
        <w:spacing w:before="240" w:after="480"/>
        <w:rPr>
          <w:b/>
          <w:bCs/>
        </w:rPr>
      </w:pPr>
      <w:r>
        <w:rPr>
          <w:b/>
        </w:rPr>
        <w:t xml:space="preserve">(a) </w:t>
      </w:r>
      <w:r>
        <w:rPr>
          <w:b/>
        </w:rPr>
        <w:tab/>
        <w:t>Current scope of operation</w:t>
      </w:r>
    </w:p>
    <w:p w14:paraId="468DF383" w14:textId="63B1E68A" w:rsidR="00C556D7" w:rsidRPr="00442666" w:rsidRDefault="00C556D7" w:rsidP="00E030B8">
      <w:r>
        <w:t>Agreements have been reached with the following receiving Offices, whereby SAIP is  competent to consider applications submitted to it as an International Searching and Preliminary Examining Authority:</w:t>
      </w:r>
    </w:p>
    <w:p w14:paraId="4EC3CF2B" w14:textId="77777777" w:rsidR="00C556D7" w:rsidRPr="00442666" w:rsidRDefault="00C556D7" w:rsidP="00E030B8">
      <w:pPr>
        <w:rPr>
          <w:rtl/>
          <w:lang w:bidi="ar-EG"/>
        </w:rPr>
      </w:pPr>
    </w:p>
    <w:p w14:paraId="48EF71A6" w14:textId="77777777" w:rsidR="00C556D7" w:rsidRPr="00442666" w:rsidRDefault="00C556D7" w:rsidP="00E030B8">
      <w:pPr>
        <w:pStyle w:val="ListParagraph"/>
        <w:numPr>
          <w:ilvl w:val="0"/>
          <w:numId w:val="36"/>
        </w:numPr>
        <w:spacing w:line="360" w:lineRule="auto"/>
        <w:ind w:left="357" w:hanging="357"/>
      </w:pPr>
      <w:r>
        <w:t>Ministry of Industry and Trade of the Kingdom of Bahrain</w:t>
      </w:r>
    </w:p>
    <w:p w14:paraId="24E7BCA8" w14:textId="77777777" w:rsidR="00C556D7" w:rsidRPr="00442666" w:rsidRDefault="00C556D7" w:rsidP="00E030B8">
      <w:pPr>
        <w:pStyle w:val="ListParagraph"/>
        <w:numPr>
          <w:ilvl w:val="0"/>
          <w:numId w:val="36"/>
        </w:numPr>
        <w:spacing w:line="360" w:lineRule="auto"/>
        <w:ind w:left="357" w:hanging="357"/>
      </w:pPr>
      <w:r>
        <w:t>National Intellectual Property Office of  Oman</w:t>
      </w:r>
    </w:p>
    <w:p w14:paraId="693D3A37" w14:textId="77777777" w:rsidR="00C556D7" w:rsidRPr="00442666" w:rsidRDefault="00C556D7" w:rsidP="00E030B8">
      <w:pPr>
        <w:pStyle w:val="ListParagraph"/>
        <w:numPr>
          <w:ilvl w:val="0"/>
          <w:numId w:val="36"/>
        </w:numPr>
        <w:spacing w:line="360" w:lineRule="auto"/>
        <w:ind w:left="357" w:hanging="357"/>
      </w:pPr>
      <w:r>
        <w:t>Intellectual Property Department of Qatar</w:t>
      </w:r>
    </w:p>
    <w:p w14:paraId="6CEF513B" w14:textId="77777777" w:rsidR="00C556D7" w:rsidRPr="00442666" w:rsidRDefault="00C556D7" w:rsidP="00E030B8">
      <w:pPr>
        <w:rPr>
          <w:rFonts w:eastAsiaTheme="minorEastAsia"/>
          <w:rtl/>
          <w:lang w:eastAsia="ko-KR"/>
        </w:rPr>
      </w:pPr>
    </w:p>
    <w:p w14:paraId="340C2AF0" w14:textId="77777777" w:rsidR="00C556D7" w:rsidRPr="00442666" w:rsidRDefault="00C556D7" w:rsidP="00E030B8">
      <w:r>
        <w:t>Accepted languages are Arabic and English.</w:t>
      </w:r>
    </w:p>
    <w:p w14:paraId="51D7FF3F" w14:textId="77777777" w:rsidR="00C556D7" w:rsidRPr="00442666" w:rsidRDefault="00C556D7" w:rsidP="00C556D7">
      <w:pPr>
        <w:ind w:left="360"/>
        <w:rPr>
          <w:rtl/>
        </w:rPr>
      </w:pPr>
    </w:p>
    <w:p w14:paraId="192B5D89" w14:textId="412C9923" w:rsidR="00762FEB" w:rsidRPr="00442666" w:rsidRDefault="00C556D7" w:rsidP="00762FEB">
      <w:pPr>
        <w:keepLines/>
        <w:spacing w:after="480"/>
      </w:pPr>
      <w:r>
        <w:t xml:space="preserve">The receiving Offices for which the Office or intergovernmental organization is competent as an International Searching Authority and an International Preliminary Examining Authority, language(s) in which services are offered and other details of scope of operation are listed in the </w:t>
      </w:r>
      <w:r>
        <w:rPr>
          <w:i/>
        </w:rPr>
        <w:t>PCT Applicant’s Guide</w:t>
      </w:r>
      <w:r>
        <w:t xml:space="preserve"> at the following links:: </w:t>
      </w:r>
      <w:hyperlink r:id="rId13" w:anchor="ISA" w:history="1">
        <w:r>
          <w:rPr>
            <w:rStyle w:val="Hyperlink"/>
          </w:rPr>
          <w:t>https://pctlegal.wipo.int/eGuide/view-doc.xhtml?doc-code=SA&amp;doc-lang=en#ISA</w:t>
        </w:r>
      </w:hyperlink>
      <w:r>
        <w:t xml:space="preserve"> and</w:t>
      </w:r>
      <w:hyperlink r:id="rId14" w:anchor="IPEA" w:history="1">
        <w:r>
          <w:rPr>
            <w:rStyle w:val="Hyperlink"/>
          </w:rPr>
          <w:t>https://pctlegal.wipo.int/eGuide/view-doc.xhtml?doc-code=SA&amp;doc-lang=en#IPEA</w:t>
        </w:r>
      </w:hyperlink>
      <w:r>
        <w:t>.</w:t>
      </w:r>
    </w:p>
    <w:p w14:paraId="3B23753C" w14:textId="1CECC48A" w:rsidR="00C556D7" w:rsidRPr="00442666" w:rsidRDefault="00C556D7" w:rsidP="00C556D7">
      <w:pPr>
        <w:keepLines/>
        <w:spacing w:after="480"/>
        <w:rPr>
          <w:b/>
          <w:bCs/>
        </w:rPr>
      </w:pPr>
      <w:r>
        <w:rPr>
          <w:b/>
        </w:rPr>
        <w:t xml:space="preserve">(b)    Planned changes to scope of operation as an Authority, such as </w:t>
      </w:r>
      <w:r w:rsidR="009A4E2F">
        <w:rPr>
          <w:b/>
        </w:rPr>
        <w:t xml:space="preserve">the </w:t>
      </w:r>
      <w:r>
        <w:rPr>
          <w:b/>
        </w:rPr>
        <w:t>receiving Offices for which the Authority is competent and languages offered (if any):</w:t>
      </w:r>
    </w:p>
    <w:p w14:paraId="17E58F00" w14:textId="0EE77FFF" w:rsidR="00C556D7" w:rsidRDefault="00C556D7" w:rsidP="00A909CA">
      <w:pPr>
        <w:ind w:right="-360"/>
        <w:contextualSpacing/>
      </w:pPr>
      <w:r>
        <w:t>The negotiation plan for appointing SAIP as an International Searching and Preliminary Examining Authority was prepared with partner Offices in the plan,</w:t>
      </w:r>
      <w:r w:rsidR="00A909CA">
        <w:t xml:space="preserve"> </w:t>
      </w:r>
      <w:r>
        <w:t>under a framework consisting of:</w:t>
      </w:r>
    </w:p>
    <w:p w14:paraId="13F8A1B6" w14:textId="77777777" w:rsidR="00E030B8" w:rsidRPr="00442666" w:rsidRDefault="00E030B8" w:rsidP="00E030B8">
      <w:pPr>
        <w:ind w:left="-1" w:right="-360"/>
        <w:contextualSpacing/>
      </w:pPr>
    </w:p>
    <w:p w14:paraId="5CABB72F" w14:textId="77777777" w:rsidR="00C556D7" w:rsidRPr="00442666" w:rsidRDefault="00C556D7" w:rsidP="00E030B8">
      <w:pPr>
        <w:keepNext/>
        <w:numPr>
          <w:ilvl w:val="0"/>
          <w:numId w:val="34"/>
        </w:numPr>
        <w:ind w:right="-360"/>
        <w:contextualSpacing/>
      </w:pPr>
      <w:r>
        <w:lastRenderedPageBreak/>
        <w:t>Criteria for selecting countries for which SAIP could act as an ISA:</w:t>
      </w:r>
    </w:p>
    <w:p w14:paraId="429F6B27" w14:textId="77777777" w:rsidR="00C556D7" w:rsidRDefault="00C556D7" w:rsidP="00E030B8">
      <w:pPr>
        <w:keepNext/>
        <w:ind w:left="525" w:right="-360"/>
        <w:contextualSpacing/>
      </w:pPr>
      <w:r>
        <w:t>leading Arab receiving Offices that have started processing international applications and the importance of maintaining an ongoing partnership with them.</w:t>
      </w:r>
    </w:p>
    <w:p w14:paraId="77CAA21A" w14:textId="77777777" w:rsidR="00E030B8" w:rsidRPr="00442666" w:rsidRDefault="00E030B8" w:rsidP="00E030B8">
      <w:pPr>
        <w:keepNext/>
        <w:ind w:left="525" w:right="-360"/>
        <w:contextualSpacing/>
      </w:pPr>
    </w:p>
    <w:p w14:paraId="78DE9247" w14:textId="77777777" w:rsidR="00C556D7" w:rsidRPr="00442666" w:rsidRDefault="00C556D7" w:rsidP="00E030B8">
      <w:pPr>
        <w:numPr>
          <w:ilvl w:val="0"/>
          <w:numId w:val="34"/>
        </w:numPr>
        <w:ind w:right="-360"/>
        <w:contextualSpacing/>
      </w:pPr>
      <w:r>
        <w:t>Selection of target countries and the geographical area as follows:</w:t>
      </w:r>
    </w:p>
    <w:p w14:paraId="0D9EA934" w14:textId="77777777" w:rsidR="00C556D7" w:rsidRDefault="00C556D7" w:rsidP="00E030B8">
      <w:pPr>
        <w:ind w:left="525" w:right="-360"/>
        <w:contextualSpacing/>
      </w:pPr>
      <w:r>
        <w:t>starting with Gulf Cooperation Council (GCC) States and the Arab States, and including, in the future, leading filing offices for international applications.</w:t>
      </w:r>
    </w:p>
    <w:p w14:paraId="75E64D0C" w14:textId="77777777" w:rsidR="00E030B8" w:rsidRPr="00442666" w:rsidRDefault="00E030B8" w:rsidP="00E030B8">
      <w:pPr>
        <w:ind w:left="525" w:right="-360"/>
        <w:contextualSpacing/>
      </w:pPr>
    </w:p>
    <w:p w14:paraId="1ACDE9AA" w14:textId="77777777" w:rsidR="00C556D7" w:rsidRPr="00442666" w:rsidRDefault="00C556D7" w:rsidP="00E030B8">
      <w:pPr>
        <w:numPr>
          <w:ilvl w:val="0"/>
          <w:numId w:val="34"/>
        </w:numPr>
        <w:ind w:right="-360"/>
        <w:contextualSpacing/>
      </w:pPr>
      <w:r>
        <w:t>Memorandums of understanding to guide work with the target Offices.</w:t>
      </w:r>
    </w:p>
    <w:p w14:paraId="6889D3F4" w14:textId="77777777" w:rsidR="00C556D7" w:rsidRPr="00442666" w:rsidRDefault="00C556D7" w:rsidP="00C556D7">
      <w:pPr>
        <w:keepLines/>
        <w:spacing w:after="480"/>
        <w:rPr>
          <w:rtl/>
          <w:lang w:bidi="ar-EG"/>
        </w:rPr>
      </w:pPr>
    </w:p>
    <w:p w14:paraId="0A95367F" w14:textId="77777777" w:rsidR="00C556D7" w:rsidRPr="00442666" w:rsidRDefault="00C556D7" w:rsidP="00C556D7">
      <w:pPr>
        <w:keepNext/>
        <w:keepLines/>
        <w:pBdr>
          <w:top w:val="single" w:sz="4" w:space="1" w:color="auto"/>
        </w:pBdr>
        <w:spacing w:before="360" w:after="200" w:line="480" w:lineRule="auto"/>
        <w:outlineLvl w:val="2"/>
        <w:rPr>
          <w:b/>
          <w:bCs/>
          <w:caps/>
        </w:rPr>
      </w:pPr>
      <w:r>
        <w:rPr>
          <w:b/>
          <w:caps/>
        </w:rPr>
        <w:t>4 – Other</w:t>
      </w:r>
    </w:p>
    <w:p w14:paraId="19586D79" w14:textId="77777777" w:rsidR="00C556D7" w:rsidRPr="00442666" w:rsidRDefault="00C556D7" w:rsidP="00C556D7">
      <w:r>
        <w:t xml:space="preserve">Any further information relevant to the extension of appointment as an International Searching and Preliminary Examining Authority:  </w:t>
      </w:r>
    </w:p>
    <w:p w14:paraId="706C6B6F" w14:textId="77777777" w:rsidR="00C556D7" w:rsidRPr="00442666" w:rsidRDefault="00C556D7" w:rsidP="00C556D7">
      <w:pPr>
        <w:rPr>
          <w:rtl/>
        </w:rPr>
      </w:pPr>
    </w:p>
    <w:p w14:paraId="0A626F2C" w14:textId="1FEB6B48" w:rsidR="00C556D7" w:rsidRPr="00442666" w:rsidRDefault="00C556D7" w:rsidP="00C556D7">
      <w:pPr>
        <w:spacing w:after="160" w:line="256" w:lineRule="auto"/>
        <w:rPr>
          <w:b/>
          <w:bCs/>
        </w:rPr>
      </w:pPr>
      <w:r>
        <w:rPr>
          <w:b/>
        </w:rPr>
        <w:t>I</w:t>
      </w:r>
      <w:r w:rsidR="009A4E2F">
        <w:rPr>
          <w:b/>
        </w:rPr>
        <w:t>ntroductory</w:t>
      </w:r>
      <w:r>
        <w:rPr>
          <w:b/>
        </w:rPr>
        <w:t xml:space="preserve"> and instructional guides:</w:t>
      </w:r>
    </w:p>
    <w:p w14:paraId="42625D4C" w14:textId="4A071265" w:rsidR="00C556D7" w:rsidRPr="00442666" w:rsidRDefault="00C556D7" w:rsidP="00E030B8">
      <w:pPr>
        <w:jc w:val="both"/>
      </w:pPr>
      <w:r>
        <w:t>A key initiative by SAIP was the drafting of a guide for Arabic-speaking applicants on its functions as an ISA and IPEA, which covers all processes.</w:t>
      </w:r>
      <w:r w:rsidR="009A4E2F">
        <w:t xml:space="preserve"> </w:t>
      </w:r>
      <w:r w:rsidR="00E030B8">
        <w:t xml:space="preserve"> </w:t>
      </w:r>
      <w:r>
        <w:t xml:space="preserve">The </w:t>
      </w:r>
      <w:r w:rsidRPr="009A4E2F">
        <w:rPr>
          <w:i/>
          <w:iCs/>
        </w:rPr>
        <w:t>Handbook for PCT International Search and Preliminary Examination</w:t>
      </w:r>
      <w:r w:rsidR="009A4E2F">
        <w:t xml:space="preserve"> </w:t>
      </w:r>
      <w:r>
        <w:t xml:space="preserve">was produced in Arabic and English. </w:t>
      </w:r>
    </w:p>
    <w:p w14:paraId="52A208B2" w14:textId="77777777" w:rsidR="00C556D7" w:rsidRPr="00442666" w:rsidRDefault="00C556D7" w:rsidP="009A4E2F">
      <w:pPr>
        <w:pStyle w:val="ListParagraph"/>
        <w:jc w:val="both"/>
        <w:rPr>
          <w:rtl/>
          <w:lang w:bidi="ar-EG"/>
        </w:rPr>
      </w:pPr>
    </w:p>
    <w:p w14:paraId="2D347792" w14:textId="77777777" w:rsidR="00C556D7" w:rsidRPr="00442666" w:rsidRDefault="00C556D7" w:rsidP="00E030B8">
      <w:pPr>
        <w:pStyle w:val="ListParagraph"/>
        <w:ind w:left="0"/>
        <w:jc w:val="both"/>
      </w:pPr>
      <w:r>
        <w:t>WIPO guides and models have been translated into Arabic and sent to WIPO to be posted on its website:</w:t>
      </w:r>
    </w:p>
    <w:p w14:paraId="50DBECE3" w14:textId="77777777" w:rsidR="00C556D7" w:rsidRPr="00442666" w:rsidRDefault="00C556D7" w:rsidP="009A4E2F">
      <w:pPr>
        <w:pStyle w:val="ListParagraph"/>
        <w:jc w:val="both"/>
        <w:rPr>
          <w:rtl/>
          <w:lang w:bidi="ar-EG"/>
        </w:rPr>
      </w:pPr>
    </w:p>
    <w:p w14:paraId="201B99EE" w14:textId="0941B2CA" w:rsidR="00C556D7" w:rsidRPr="00442666" w:rsidRDefault="00C556D7" w:rsidP="00541490">
      <w:pPr>
        <w:pStyle w:val="ListParagraph"/>
        <w:numPr>
          <w:ilvl w:val="0"/>
          <w:numId w:val="35"/>
        </w:numPr>
        <w:spacing w:line="360" w:lineRule="auto"/>
        <w:ind w:left="1134" w:hanging="567"/>
        <w:jc w:val="both"/>
      </w:pPr>
      <w:r>
        <w:t>Receiving Office</w:t>
      </w:r>
      <w:r w:rsidR="00541490">
        <w:t xml:space="preserve"> Guidelines</w:t>
      </w:r>
    </w:p>
    <w:p w14:paraId="5DED14A7" w14:textId="1D905375" w:rsidR="00C556D7" w:rsidRPr="00442666" w:rsidRDefault="00C556D7" w:rsidP="00541490">
      <w:pPr>
        <w:pStyle w:val="ListParagraph"/>
        <w:numPr>
          <w:ilvl w:val="0"/>
          <w:numId w:val="35"/>
        </w:numPr>
        <w:spacing w:line="360" w:lineRule="auto"/>
        <w:ind w:left="1134" w:hanging="567"/>
        <w:jc w:val="both"/>
      </w:pPr>
      <w:r>
        <w:t>International Search and Preliminary Examin</w:t>
      </w:r>
      <w:r w:rsidR="00541490">
        <w:t>ation</w:t>
      </w:r>
      <w:r>
        <w:t xml:space="preserve"> </w:t>
      </w:r>
      <w:r w:rsidR="00541490">
        <w:t>Guidelines</w:t>
      </w:r>
    </w:p>
    <w:p w14:paraId="6B3E38A9" w14:textId="166231C0" w:rsidR="00C556D7" w:rsidRPr="00442666" w:rsidRDefault="00C556D7" w:rsidP="00541490">
      <w:pPr>
        <w:pStyle w:val="ListParagraph"/>
        <w:numPr>
          <w:ilvl w:val="0"/>
          <w:numId w:val="35"/>
        </w:numPr>
        <w:spacing w:line="360" w:lineRule="auto"/>
        <w:ind w:left="1134" w:hanging="567"/>
        <w:jc w:val="both"/>
      </w:pPr>
      <w:r>
        <w:t xml:space="preserve">Administrative Instructions </w:t>
      </w:r>
      <w:r w:rsidR="00541490">
        <w:t xml:space="preserve">under the PCT </w:t>
      </w:r>
      <w:r>
        <w:t xml:space="preserve">for International Searching and Preliminary Examining </w:t>
      </w:r>
      <w:r w:rsidR="00541490">
        <w:t>Authorities</w:t>
      </w:r>
    </w:p>
    <w:p w14:paraId="4D109E1C" w14:textId="77777777" w:rsidR="00C556D7" w:rsidRPr="00442666" w:rsidRDefault="00C556D7" w:rsidP="00541490">
      <w:pPr>
        <w:pStyle w:val="ListParagraph"/>
        <w:numPr>
          <w:ilvl w:val="0"/>
          <w:numId w:val="35"/>
        </w:numPr>
        <w:spacing w:line="360" w:lineRule="auto"/>
        <w:ind w:left="1134" w:hanging="567"/>
        <w:jc w:val="both"/>
      </w:pPr>
      <w:r w:rsidRPr="00E030B8">
        <w:rPr>
          <w:i/>
          <w:iCs/>
        </w:rPr>
        <w:t>PCT Applicant's Guide</w:t>
      </w:r>
      <w:r>
        <w:t xml:space="preserve"> – International Phase</w:t>
      </w:r>
    </w:p>
    <w:p w14:paraId="118E759C" w14:textId="77777777" w:rsidR="00C556D7" w:rsidRPr="00442666" w:rsidRDefault="00C556D7" w:rsidP="00541490">
      <w:pPr>
        <w:pStyle w:val="ListParagraph"/>
        <w:numPr>
          <w:ilvl w:val="0"/>
          <w:numId w:val="35"/>
        </w:numPr>
        <w:spacing w:line="360" w:lineRule="auto"/>
        <w:ind w:left="1134" w:hanging="567"/>
        <w:jc w:val="both"/>
      </w:pPr>
      <w:r w:rsidRPr="00E030B8">
        <w:rPr>
          <w:i/>
          <w:iCs/>
        </w:rPr>
        <w:t>PCT Applicant's Guide</w:t>
      </w:r>
      <w:r>
        <w:t xml:space="preserve"> – National Phase</w:t>
      </w:r>
    </w:p>
    <w:p w14:paraId="154922FC" w14:textId="1C855044" w:rsidR="00C556D7" w:rsidRPr="00442666" w:rsidRDefault="00541490" w:rsidP="00541490">
      <w:pPr>
        <w:pStyle w:val="ListParagraph"/>
        <w:numPr>
          <w:ilvl w:val="0"/>
          <w:numId w:val="35"/>
        </w:numPr>
        <w:spacing w:line="360" w:lineRule="auto"/>
        <w:ind w:left="1134" w:hanging="567"/>
        <w:jc w:val="both"/>
      </w:pPr>
      <w:r>
        <w:t>Forms Relating to</w:t>
      </w:r>
      <w:r w:rsidR="00C556D7">
        <w:t xml:space="preserve"> International Search and Preliminary Examination </w:t>
      </w:r>
      <w:r>
        <w:t>Authorities</w:t>
      </w:r>
    </w:p>
    <w:p w14:paraId="2A4167F9" w14:textId="77777777" w:rsidR="0073214D" w:rsidRPr="00442666" w:rsidRDefault="0073214D" w:rsidP="0073214D">
      <w:pPr>
        <w:pStyle w:val="BodyText"/>
        <w:pBdr>
          <w:top w:val="single" w:sz="4" w:space="1" w:color="auto"/>
        </w:pBdr>
      </w:pPr>
    </w:p>
    <w:p w14:paraId="77866F21" w14:textId="40E76A15" w:rsidR="00C556D7" w:rsidRPr="00442666" w:rsidRDefault="00762FEB" w:rsidP="000A1D9D">
      <w:pPr>
        <w:spacing w:before="480"/>
        <w:ind w:left="5534"/>
      </w:pPr>
      <w:r>
        <w:t>[End of Annex and of document]</w:t>
      </w:r>
    </w:p>
    <w:sectPr w:rsidR="00C556D7" w:rsidRPr="00442666" w:rsidSect="00762FEB">
      <w:headerReference w:type="default" r:id="rId15"/>
      <w:headerReference w:type="first" r:id="rId16"/>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EFFC2" w14:textId="77777777" w:rsidR="00512FB0" w:rsidRDefault="00512FB0">
      <w:r>
        <w:separator/>
      </w:r>
    </w:p>
  </w:endnote>
  <w:endnote w:type="continuationSeparator" w:id="0">
    <w:p w14:paraId="2E684A80" w14:textId="77777777" w:rsidR="00512FB0" w:rsidRDefault="00512FB0" w:rsidP="003B38C1">
      <w:r>
        <w:separator/>
      </w:r>
    </w:p>
    <w:p w14:paraId="71FED98D" w14:textId="77777777" w:rsidR="00512FB0" w:rsidRPr="003B38C1" w:rsidRDefault="00512FB0" w:rsidP="003B38C1">
      <w:pPr>
        <w:spacing w:after="60"/>
        <w:rPr>
          <w:sz w:val="17"/>
        </w:rPr>
      </w:pPr>
      <w:r>
        <w:rPr>
          <w:sz w:val="17"/>
        </w:rPr>
        <w:t>[Endnote continued from previous page]</w:t>
      </w:r>
    </w:p>
  </w:endnote>
  <w:endnote w:type="continuationNotice" w:id="1">
    <w:p w14:paraId="16491ED4" w14:textId="77777777" w:rsidR="00512FB0" w:rsidRPr="003B38C1" w:rsidRDefault="00512FB0"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5A591" w14:textId="77777777" w:rsidR="00512FB0" w:rsidRDefault="00512FB0">
      <w:r>
        <w:separator/>
      </w:r>
    </w:p>
  </w:footnote>
  <w:footnote w:type="continuationSeparator" w:id="0">
    <w:p w14:paraId="4DF1DA04" w14:textId="77777777" w:rsidR="00512FB0" w:rsidRDefault="00512FB0" w:rsidP="008B60B2">
      <w:r>
        <w:separator/>
      </w:r>
    </w:p>
    <w:p w14:paraId="52459C86" w14:textId="77777777" w:rsidR="00512FB0" w:rsidRPr="00ED77FB" w:rsidRDefault="00512FB0" w:rsidP="008B60B2">
      <w:pPr>
        <w:spacing w:after="60"/>
        <w:rPr>
          <w:sz w:val="17"/>
          <w:szCs w:val="17"/>
        </w:rPr>
      </w:pPr>
      <w:r w:rsidRPr="00ED77FB">
        <w:rPr>
          <w:sz w:val="17"/>
          <w:szCs w:val="17"/>
        </w:rPr>
        <w:t>[Footnote continued from previous page]</w:t>
      </w:r>
    </w:p>
  </w:footnote>
  <w:footnote w:type="continuationNotice" w:id="1">
    <w:p w14:paraId="3D524E8E" w14:textId="77777777" w:rsidR="00512FB0" w:rsidRPr="00ED77FB" w:rsidRDefault="00512FB0"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746A" w14:textId="0CAF0BAD" w:rsidR="00D07C78" w:rsidRPr="002326AB" w:rsidRDefault="004E0043" w:rsidP="00B96EB2">
    <w:pPr>
      <w:rPr>
        <w:caps/>
      </w:rPr>
    </w:pPr>
    <w:r>
      <w:rPr>
        <w:caps/>
      </w:rPr>
      <w:t>PCT/CTC/33/xx</w:t>
    </w:r>
  </w:p>
  <w:p w14:paraId="3B93D0EA" w14:textId="77777777" w:rsidR="00D07C78" w:rsidRDefault="00D07C78" w:rsidP="00210D5F">
    <w:r>
      <w:fldChar w:fldCharType="begin"/>
    </w:r>
    <w:r>
      <w:instrText xml:space="preserve"> PAGE  \* MERGEFORMAT </w:instrText>
    </w:r>
    <w:r>
      <w:fldChar w:fldCharType="separate"/>
    </w:r>
    <w:r w:rsidR="001E41FD">
      <w:t>2</w:t>
    </w:r>
    <w:r>
      <w:fldChar w:fldCharType="end"/>
    </w:r>
  </w:p>
  <w:p w14:paraId="30C262A5" w14:textId="77777777" w:rsidR="00D07C78" w:rsidRDefault="00D07C78" w:rsidP="00210D5F"/>
  <w:p w14:paraId="2C4F3247" w14:textId="77777777" w:rsidR="00D07C78" w:rsidRDefault="00D07C78" w:rsidP="00210D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8CB1" w14:textId="7A0C633A" w:rsidR="00085A70" w:rsidRDefault="00085A70" w:rsidP="009664C5">
    <w:pPr>
      <w:jc w:val="right"/>
      <w:rPr>
        <w:caps/>
      </w:rPr>
    </w:pPr>
    <w:r>
      <w:rPr>
        <w:caps/>
      </w:rPr>
      <w:t>PCT/CTC/33/19</w:t>
    </w:r>
  </w:p>
  <w:p w14:paraId="7A9C0F8E" w14:textId="1D53D465" w:rsidR="00085A70" w:rsidRPr="009664C5" w:rsidRDefault="00085A70" w:rsidP="009664C5">
    <w:pPr>
      <w:jc w:val="right"/>
      <w:rPr>
        <w:caps/>
      </w:rPr>
    </w:pPr>
    <w:r>
      <w:t>Annex</w:t>
    </w:r>
    <w:r w:rsidR="009664C5">
      <w:rPr>
        <w:caps/>
      </w:rPr>
      <w:t xml:space="preserve">, </w:t>
    </w:r>
    <w:r w:rsidR="009664C5">
      <w:t>page</w:t>
    </w:r>
    <w:r w:rsidR="009664C5">
      <w:rPr>
        <w:caps/>
      </w:rPr>
      <w:t xml:space="preserve"> </w:t>
    </w:r>
    <w:r>
      <w:fldChar w:fldCharType="begin"/>
    </w:r>
    <w:r>
      <w:instrText xml:space="preserve"> PAGE  \* MERGEFORMAT </w:instrText>
    </w:r>
    <w:r>
      <w:fldChar w:fldCharType="separate"/>
    </w:r>
    <w:r>
      <w:t>2</w:t>
    </w:r>
    <w:r>
      <w:fldChar w:fldCharType="end"/>
    </w:r>
  </w:p>
  <w:p w14:paraId="381A3C45" w14:textId="77777777" w:rsidR="00085A70" w:rsidRDefault="00085A70" w:rsidP="00210D5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C5ED" w14:textId="6A1A4466" w:rsidR="00085A70" w:rsidRDefault="00085A70" w:rsidP="009664C5">
    <w:pPr>
      <w:jc w:val="right"/>
      <w:rPr>
        <w:caps/>
      </w:rPr>
    </w:pPr>
    <w:r>
      <w:rPr>
        <w:caps/>
      </w:rPr>
      <w:t>PCT/CTC/33/19</w:t>
    </w:r>
  </w:p>
  <w:p w14:paraId="11F04DBA" w14:textId="420B0B6A" w:rsidR="00085A70" w:rsidRDefault="00085A70" w:rsidP="009664C5">
    <w:pPr>
      <w:jc w:val="right"/>
      <w:rPr>
        <w:caps/>
      </w:rPr>
    </w:pPr>
    <w:r>
      <w:rPr>
        <w:caps/>
      </w:rPr>
      <w:t>ANNEX</w:t>
    </w:r>
  </w:p>
  <w:p w14:paraId="45F543A0" w14:textId="77777777" w:rsidR="00085A70" w:rsidRDefault="00085A70" w:rsidP="00085A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9956BF8"/>
    <w:multiLevelType w:val="hybridMultilevel"/>
    <w:tmpl w:val="BB84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3FD21A67"/>
    <w:multiLevelType w:val="hybridMultilevel"/>
    <w:tmpl w:val="D9D672F2"/>
    <w:lvl w:ilvl="0" w:tplc="237E0298">
      <w:start w:val="1"/>
      <w:numFmt w:val="arabicAlpha"/>
      <w:lvlText w:val="(%1)"/>
      <w:lvlJc w:val="left"/>
      <w:pPr>
        <w:ind w:left="720" w:hanging="6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4CD25D0"/>
    <w:multiLevelType w:val="hybridMultilevel"/>
    <w:tmpl w:val="B0B20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775FCD"/>
    <w:multiLevelType w:val="hybridMultilevel"/>
    <w:tmpl w:val="333028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2" w15:restartNumberingAfterBreak="0">
    <w:nsid w:val="60D75329"/>
    <w:multiLevelType w:val="hybridMultilevel"/>
    <w:tmpl w:val="F5EA9826"/>
    <w:lvl w:ilvl="0" w:tplc="AE86D472">
      <w:start w:val="1"/>
      <w:numFmt w:val="decimal"/>
      <w:lvlText w:val="(%1)"/>
      <w:lvlJc w:val="left"/>
      <w:pPr>
        <w:ind w:left="525" w:hanging="360"/>
      </w:pPr>
    </w:lvl>
    <w:lvl w:ilvl="1" w:tplc="04090019">
      <w:start w:val="1"/>
      <w:numFmt w:val="lowerLetter"/>
      <w:lvlText w:val="%2."/>
      <w:lvlJc w:val="left"/>
      <w:pPr>
        <w:ind w:left="1245" w:hanging="360"/>
      </w:pPr>
    </w:lvl>
    <w:lvl w:ilvl="2" w:tplc="0409001B">
      <w:start w:val="1"/>
      <w:numFmt w:val="lowerRoman"/>
      <w:lvlText w:val="%3."/>
      <w:lvlJc w:val="right"/>
      <w:pPr>
        <w:ind w:left="1965" w:hanging="180"/>
      </w:pPr>
    </w:lvl>
    <w:lvl w:ilvl="3" w:tplc="0409000F">
      <w:start w:val="1"/>
      <w:numFmt w:val="decimal"/>
      <w:lvlText w:val="%4."/>
      <w:lvlJc w:val="left"/>
      <w:pPr>
        <w:ind w:left="2685" w:hanging="360"/>
      </w:pPr>
    </w:lvl>
    <w:lvl w:ilvl="4" w:tplc="04090019">
      <w:start w:val="1"/>
      <w:numFmt w:val="lowerLetter"/>
      <w:lvlText w:val="%5."/>
      <w:lvlJc w:val="left"/>
      <w:pPr>
        <w:ind w:left="3405" w:hanging="360"/>
      </w:pPr>
    </w:lvl>
    <w:lvl w:ilvl="5" w:tplc="0409001B">
      <w:start w:val="1"/>
      <w:numFmt w:val="lowerRoman"/>
      <w:lvlText w:val="%6."/>
      <w:lvlJc w:val="right"/>
      <w:pPr>
        <w:ind w:left="4125" w:hanging="180"/>
      </w:pPr>
    </w:lvl>
    <w:lvl w:ilvl="6" w:tplc="0409000F">
      <w:start w:val="1"/>
      <w:numFmt w:val="decimal"/>
      <w:lvlText w:val="%7."/>
      <w:lvlJc w:val="left"/>
      <w:pPr>
        <w:ind w:left="4845" w:hanging="360"/>
      </w:pPr>
    </w:lvl>
    <w:lvl w:ilvl="7" w:tplc="04090019">
      <w:start w:val="1"/>
      <w:numFmt w:val="lowerLetter"/>
      <w:lvlText w:val="%8."/>
      <w:lvlJc w:val="left"/>
      <w:pPr>
        <w:ind w:left="5565" w:hanging="360"/>
      </w:pPr>
    </w:lvl>
    <w:lvl w:ilvl="8" w:tplc="0409001B">
      <w:start w:val="1"/>
      <w:numFmt w:val="lowerRoman"/>
      <w:lvlText w:val="%9."/>
      <w:lvlJc w:val="right"/>
      <w:pPr>
        <w:ind w:left="6285" w:hanging="180"/>
      </w:pPr>
    </w:lvl>
  </w:abstractNum>
  <w:abstractNum w:abstractNumId="13" w15:restartNumberingAfterBreak="0">
    <w:nsid w:val="64E503B9"/>
    <w:multiLevelType w:val="hybridMultilevel"/>
    <w:tmpl w:val="0EA2B190"/>
    <w:lvl w:ilvl="0" w:tplc="1DD24C86">
      <w:start w:val="1"/>
      <w:numFmt w:val="arabicAlpha"/>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235B64"/>
    <w:multiLevelType w:val="hybridMultilevel"/>
    <w:tmpl w:val="C04CBA0C"/>
    <w:lvl w:ilvl="0" w:tplc="0409000F">
      <w:start w:val="1"/>
      <w:numFmt w:val="decimal"/>
      <w:lvlText w:val="%1."/>
      <w:lvlJc w:val="left"/>
      <w:pPr>
        <w:ind w:left="1650" w:hanging="57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94C548F"/>
    <w:multiLevelType w:val="hybridMultilevel"/>
    <w:tmpl w:val="EC7ABC10"/>
    <w:lvl w:ilvl="0" w:tplc="C47EAE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318921">
    <w:abstractNumId w:val="2"/>
  </w:num>
  <w:num w:numId="2" w16cid:durableId="1449659008">
    <w:abstractNumId w:val="7"/>
  </w:num>
  <w:num w:numId="3" w16cid:durableId="1554928416">
    <w:abstractNumId w:val="0"/>
  </w:num>
  <w:num w:numId="4" w16cid:durableId="1250307828">
    <w:abstractNumId w:val="9"/>
  </w:num>
  <w:num w:numId="5" w16cid:durableId="310136077">
    <w:abstractNumId w:val="1"/>
  </w:num>
  <w:num w:numId="6" w16cid:durableId="550701">
    <w:abstractNumId w:val="3"/>
  </w:num>
  <w:num w:numId="7" w16cid:durableId="623774633">
    <w:abstractNumId w:val="11"/>
  </w:num>
  <w:num w:numId="8" w16cid:durableId="878468255">
    <w:abstractNumId w:val="5"/>
  </w:num>
  <w:num w:numId="9" w16cid:durableId="1042556044">
    <w:abstractNumId w:val="11"/>
  </w:num>
  <w:num w:numId="10" w16cid:durableId="73743099">
    <w:abstractNumId w:val="11"/>
  </w:num>
  <w:num w:numId="11" w16cid:durableId="1413041658">
    <w:abstractNumId w:val="11"/>
  </w:num>
  <w:num w:numId="12" w16cid:durableId="522745865">
    <w:abstractNumId w:val="11"/>
  </w:num>
  <w:num w:numId="13" w16cid:durableId="594633449">
    <w:abstractNumId w:val="11"/>
  </w:num>
  <w:num w:numId="14" w16cid:durableId="157698280">
    <w:abstractNumId w:val="11"/>
  </w:num>
  <w:num w:numId="15" w16cid:durableId="669791953">
    <w:abstractNumId w:val="11"/>
  </w:num>
  <w:num w:numId="16" w16cid:durableId="2112704310">
    <w:abstractNumId w:val="11"/>
  </w:num>
  <w:num w:numId="17" w16cid:durableId="1065496818">
    <w:abstractNumId w:val="11"/>
  </w:num>
  <w:num w:numId="18" w16cid:durableId="756173138">
    <w:abstractNumId w:val="11"/>
  </w:num>
  <w:num w:numId="19" w16cid:durableId="1796094349">
    <w:abstractNumId w:val="11"/>
  </w:num>
  <w:num w:numId="20" w16cid:durableId="794909897">
    <w:abstractNumId w:val="11"/>
  </w:num>
  <w:num w:numId="21" w16cid:durableId="1481849727">
    <w:abstractNumId w:val="11"/>
  </w:num>
  <w:num w:numId="22" w16cid:durableId="2076009542">
    <w:abstractNumId w:val="11"/>
  </w:num>
  <w:num w:numId="23" w16cid:durableId="1753697539">
    <w:abstractNumId w:val="11"/>
  </w:num>
  <w:num w:numId="24" w16cid:durableId="1599633186">
    <w:abstractNumId w:val="11"/>
  </w:num>
  <w:num w:numId="25" w16cid:durableId="930940975">
    <w:abstractNumId w:val="11"/>
  </w:num>
  <w:num w:numId="26" w16cid:durableId="363141769">
    <w:abstractNumId w:val="11"/>
  </w:num>
  <w:num w:numId="27" w16cid:durableId="1096705814">
    <w:abstractNumId w:val="11"/>
  </w:num>
  <w:num w:numId="28" w16cid:durableId="1963414395">
    <w:abstractNumId w:val="11"/>
  </w:num>
  <w:num w:numId="29" w16cid:durableId="3805986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84313">
    <w:abstractNumId w:val="11"/>
  </w:num>
  <w:num w:numId="31" w16cid:durableId="2060474622">
    <w:abstractNumId w:val="11"/>
  </w:num>
  <w:num w:numId="32" w16cid:durableId="2140679519">
    <w:abstractNumId w:val="13"/>
  </w:num>
  <w:num w:numId="33" w16cid:durableId="13809361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483737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72542753">
    <w:abstractNumId w:val="14"/>
  </w:num>
  <w:num w:numId="36" w16cid:durableId="1269317275">
    <w:abstractNumId w:val="10"/>
  </w:num>
  <w:num w:numId="37" w16cid:durableId="1907841322">
    <w:abstractNumId w:val="4"/>
  </w:num>
  <w:num w:numId="38" w16cid:durableId="1741366248">
    <w:abstractNumId w:val="8"/>
  </w:num>
  <w:num w:numId="39" w16cid:durableId="18832488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886"/>
    <w:rsid w:val="00000897"/>
    <w:rsid w:val="0000093F"/>
    <w:rsid w:val="00040776"/>
    <w:rsid w:val="00043CAA"/>
    <w:rsid w:val="00056816"/>
    <w:rsid w:val="00075432"/>
    <w:rsid w:val="00085A70"/>
    <w:rsid w:val="00093892"/>
    <w:rsid w:val="000968ED"/>
    <w:rsid w:val="000A1D9D"/>
    <w:rsid w:val="000A3D97"/>
    <w:rsid w:val="000F5E56"/>
    <w:rsid w:val="0011000B"/>
    <w:rsid w:val="001362EE"/>
    <w:rsid w:val="001406E1"/>
    <w:rsid w:val="00155D8A"/>
    <w:rsid w:val="001647D5"/>
    <w:rsid w:val="00167832"/>
    <w:rsid w:val="001832A6"/>
    <w:rsid w:val="0019592A"/>
    <w:rsid w:val="001B6737"/>
    <w:rsid w:val="001D4107"/>
    <w:rsid w:val="001E41FD"/>
    <w:rsid w:val="001F4309"/>
    <w:rsid w:val="00200035"/>
    <w:rsid w:val="00203D24"/>
    <w:rsid w:val="00210D5F"/>
    <w:rsid w:val="0021217E"/>
    <w:rsid w:val="002326AB"/>
    <w:rsid w:val="00243430"/>
    <w:rsid w:val="00250149"/>
    <w:rsid w:val="00261787"/>
    <w:rsid w:val="002634C4"/>
    <w:rsid w:val="002722F2"/>
    <w:rsid w:val="002906BF"/>
    <w:rsid w:val="002928D3"/>
    <w:rsid w:val="00293886"/>
    <w:rsid w:val="002C516E"/>
    <w:rsid w:val="002F1FE6"/>
    <w:rsid w:val="002F4E68"/>
    <w:rsid w:val="00312F7F"/>
    <w:rsid w:val="00320C70"/>
    <w:rsid w:val="00361450"/>
    <w:rsid w:val="003673CF"/>
    <w:rsid w:val="003845C1"/>
    <w:rsid w:val="00393B2D"/>
    <w:rsid w:val="003A6F89"/>
    <w:rsid w:val="003B0805"/>
    <w:rsid w:val="003B243D"/>
    <w:rsid w:val="003B355C"/>
    <w:rsid w:val="003B38C1"/>
    <w:rsid w:val="003C2864"/>
    <w:rsid w:val="003C2A9F"/>
    <w:rsid w:val="003C34E9"/>
    <w:rsid w:val="003C48E9"/>
    <w:rsid w:val="003C541E"/>
    <w:rsid w:val="003E01BA"/>
    <w:rsid w:val="00423E3E"/>
    <w:rsid w:val="00427AF4"/>
    <w:rsid w:val="00442666"/>
    <w:rsid w:val="0045246E"/>
    <w:rsid w:val="00456CDC"/>
    <w:rsid w:val="004647DA"/>
    <w:rsid w:val="00474062"/>
    <w:rsid w:val="00477D6B"/>
    <w:rsid w:val="004B2EF8"/>
    <w:rsid w:val="004E0043"/>
    <w:rsid w:val="005019FF"/>
    <w:rsid w:val="00512FB0"/>
    <w:rsid w:val="0053057A"/>
    <w:rsid w:val="00541490"/>
    <w:rsid w:val="00556076"/>
    <w:rsid w:val="00560A29"/>
    <w:rsid w:val="005C6649"/>
    <w:rsid w:val="005C7E72"/>
    <w:rsid w:val="005E7B89"/>
    <w:rsid w:val="005F2132"/>
    <w:rsid w:val="00605827"/>
    <w:rsid w:val="00646050"/>
    <w:rsid w:val="00655690"/>
    <w:rsid w:val="006713CA"/>
    <w:rsid w:val="00676C5C"/>
    <w:rsid w:val="006840CE"/>
    <w:rsid w:val="006938E1"/>
    <w:rsid w:val="006A6BD2"/>
    <w:rsid w:val="006B4E64"/>
    <w:rsid w:val="006B5C12"/>
    <w:rsid w:val="00720EFD"/>
    <w:rsid w:val="007236A1"/>
    <w:rsid w:val="0073214D"/>
    <w:rsid w:val="0074738A"/>
    <w:rsid w:val="00762189"/>
    <w:rsid w:val="00762FEB"/>
    <w:rsid w:val="00781037"/>
    <w:rsid w:val="007854AF"/>
    <w:rsid w:val="00793A7C"/>
    <w:rsid w:val="007A398A"/>
    <w:rsid w:val="007B7665"/>
    <w:rsid w:val="007C4902"/>
    <w:rsid w:val="007D1613"/>
    <w:rsid w:val="007E4C0E"/>
    <w:rsid w:val="007E7D5E"/>
    <w:rsid w:val="007F061E"/>
    <w:rsid w:val="008A134B"/>
    <w:rsid w:val="008B2CC1"/>
    <w:rsid w:val="008B60B2"/>
    <w:rsid w:val="008F26E6"/>
    <w:rsid w:val="0090731E"/>
    <w:rsid w:val="00912D7C"/>
    <w:rsid w:val="00916EE2"/>
    <w:rsid w:val="009664C5"/>
    <w:rsid w:val="00966A22"/>
    <w:rsid w:val="0096722F"/>
    <w:rsid w:val="00975602"/>
    <w:rsid w:val="00980843"/>
    <w:rsid w:val="00986D19"/>
    <w:rsid w:val="009A4E2F"/>
    <w:rsid w:val="009B0855"/>
    <w:rsid w:val="009D161D"/>
    <w:rsid w:val="009E1721"/>
    <w:rsid w:val="009E2791"/>
    <w:rsid w:val="009E3F6F"/>
    <w:rsid w:val="009F499F"/>
    <w:rsid w:val="00A112FF"/>
    <w:rsid w:val="00A37342"/>
    <w:rsid w:val="00A40C85"/>
    <w:rsid w:val="00A42DAF"/>
    <w:rsid w:val="00A45BD8"/>
    <w:rsid w:val="00A5379E"/>
    <w:rsid w:val="00A869B7"/>
    <w:rsid w:val="00A909CA"/>
    <w:rsid w:val="00A90F0A"/>
    <w:rsid w:val="00AC205C"/>
    <w:rsid w:val="00AE3DF9"/>
    <w:rsid w:val="00AF0A6B"/>
    <w:rsid w:val="00AF3DCE"/>
    <w:rsid w:val="00B05A69"/>
    <w:rsid w:val="00B42CA9"/>
    <w:rsid w:val="00B51FF7"/>
    <w:rsid w:val="00B65BD2"/>
    <w:rsid w:val="00B75281"/>
    <w:rsid w:val="00B92F1F"/>
    <w:rsid w:val="00B96EB2"/>
    <w:rsid w:val="00B9734B"/>
    <w:rsid w:val="00BA30E2"/>
    <w:rsid w:val="00BC76C1"/>
    <w:rsid w:val="00C04AE1"/>
    <w:rsid w:val="00C11BFE"/>
    <w:rsid w:val="00C36CDD"/>
    <w:rsid w:val="00C5068F"/>
    <w:rsid w:val="00C556D7"/>
    <w:rsid w:val="00C86D74"/>
    <w:rsid w:val="00CA6A7E"/>
    <w:rsid w:val="00CB3DBA"/>
    <w:rsid w:val="00CC3E2D"/>
    <w:rsid w:val="00CD04F1"/>
    <w:rsid w:val="00CE19F8"/>
    <w:rsid w:val="00CF681A"/>
    <w:rsid w:val="00D07C78"/>
    <w:rsid w:val="00D45252"/>
    <w:rsid w:val="00D46AA3"/>
    <w:rsid w:val="00D60B2C"/>
    <w:rsid w:val="00D67EAE"/>
    <w:rsid w:val="00D71B4D"/>
    <w:rsid w:val="00D7745F"/>
    <w:rsid w:val="00D90B96"/>
    <w:rsid w:val="00D92FE6"/>
    <w:rsid w:val="00D93D55"/>
    <w:rsid w:val="00DD7B7F"/>
    <w:rsid w:val="00E030B8"/>
    <w:rsid w:val="00E15015"/>
    <w:rsid w:val="00E319DF"/>
    <w:rsid w:val="00E335FE"/>
    <w:rsid w:val="00E34EA0"/>
    <w:rsid w:val="00E66CC5"/>
    <w:rsid w:val="00EA7D6E"/>
    <w:rsid w:val="00EB2F76"/>
    <w:rsid w:val="00EC3F8B"/>
    <w:rsid w:val="00EC4E49"/>
    <w:rsid w:val="00ED77FB"/>
    <w:rsid w:val="00EE45FA"/>
    <w:rsid w:val="00F043DE"/>
    <w:rsid w:val="00F1070A"/>
    <w:rsid w:val="00F45E08"/>
    <w:rsid w:val="00F66152"/>
    <w:rsid w:val="00F76CB4"/>
    <w:rsid w:val="00F9165B"/>
    <w:rsid w:val="00F91DEF"/>
    <w:rsid w:val="00FB3FDF"/>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EE54E"/>
  <w15:docId w15:val="{D93AB70B-A8A5-4CFE-BD6F-0B1497C0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rPr>
      <w:rFonts w:ascii="Arial" w:eastAsia="SimSun" w:hAnsi="Arial" w:cs="Calibri"/>
      <w:sz w:val="22"/>
      <w:szCs w:val="22"/>
      <w:lang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B65BD2"/>
    <w:pPr>
      <w:keepNext/>
      <w:spacing w:before="240" w:after="60"/>
      <w:outlineLvl w:val="1"/>
    </w:pPr>
    <w:rPr>
      <w:b/>
      <w:bCs/>
      <w:caps/>
      <w:sz w:val="24"/>
      <w:szCs w:val="24"/>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link w:val="ListParagraphChar"/>
    <w:uiPriority w:val="34"/>
    <w:qFormat/>
    <w:rsid w:val="00C556D7"/>
    <w:pPr>
      <w:ind w:left="720"/>
      <w:contextualSpacing/>
    </w:pPr>
    <w:rPr>
      <w:rFonts w:eastAsia="Times New Roman"/>
      <w:lang w:eastAsia="en-US"/>
    </w:rPr>
  </w:style>
  <w:style w:type="table" w:styleId="TableGrid">
    <w:name w:val="Table Grid"/>
    <w:basedOn w:val="TableNormal"/>
    <w:uiPriority w:val="39"/>
    <w:rsid w:val="00C556D7"/>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C556D7"/>
    <w:rPr>
      <w:rFonts w:ascii="Arial" w:hAnsi="Arial" w:cs="Calibri"/>
      <w:sz w:val="22"/>
      <w:szCs w:val="22"/>
      <w:lang w:val="en-US" w:eastAsia="en-US"/>
    </w:rPr>
  </w:style>
  <w:style w:type="paragraph" w:customStyle="1" w:styleId="Paragraph">
    <w:name w:val="Paragraph"/>
    <w:basedOn w:val="Normal"/>
    <w:qFormat/>
    <w:rsid w:val="00C556D7"/>
    <w:pPr>
      <w:keepLines/>
      <w:spacing w:before="240"/>
      <w:ind w:firstLine="567"/>
      <w:jc w:val="both"/>
    </w:pPr>
    <w:rPr>
      <w:rFonts w:eastAsiaTheme="minorHAnsi" w:cstheme="minorBidi"/>
      <w:sz w:val="24"/>
      <w:szCs w:val="24"/>
      <w:lang w:eastAsia="en-US"/>
    </w:rPr>
  </w:style>
  <w:style w:type="character" w:styleId="Hyperlink">
    <w:name w:val="Hyperlink"/>
    <w:basedOn w:val="DefaultParagraphFont"/>
    <w:unhideWhenUsed/>
    <w:rsid w:val="00762FEB"/>
    <w:rPr>
      <w:color w:val="0000FF" w:themeColor="hyperlink"/>
      <w:u w:val="single"/>
    </w:rPr>
  </w:style>
  <w:style w:type="character" w:styleId="UnresolvedMention">
    <w:name w:val="Unresolved Mention"/>
    <w:basedOn w:val="DefaultParagraphFont"/>
    <w:uiPriority w:val="99"/>
    <w:semiHidden/>
    <w:unhideWhenUsed/>
    <w:rsid w:val="00762FEB"/>
    <w:rPr>
      <w:color w:val="605E5C"/>
      <w:shd w:val="clear" w:color="auto" w:fill="E1DFDD"/>
    </w:rPr>
  </w:style>
  <w:style w:type="character" w:styleId="FollowedHyperlink">
    <w:name w:val="FollowedHyperlink"/>
    <w:basedOn w:val="DefaultParagraphFont"/>
    <w:semiHidden/>
    <w:unhideWhenUsed/>
    <w:rsid w:val="003C541E"/>
    <w:rPr>
      <w:color w:val="800080" w:themeColor="followedHyperlink"/>
      <w:u w:val="single"/>
    </w:rPr>
  </w:style>
  <w:style w:type="character" w:styleId="CommentReference">
    <w:name w:val="annotation reference"/>
    <w:basedOn w:val="DefaultParagraphFont"/>
    <w:semiHidden/>
    <w:unhideWhenUsed/>
    <w:rsid w:val="00EC3F8B"/>
    <w:rPr>
      <w:sz w:val="16"/>
      <w:szCs w:val="16"/>
    </w:rPr>
  </w:style>
  <w:style w:type="paragraph" w:styleId="CommentSubject">
    <w:name w:val="annotation subject"/>
    <w:basedOn w:val="CommentText"/>
    <w:next w:val="CommentText"/>
    <w:link w:val="CommentSubjectChar"/>
    <w:semiHidden/>
    <w:unhideWhenUsed/>
    <w:rsid w:val="00EC3F8B"/>
    <w:rPr>
      <w:b/>
      <w:bCs/>
      <w:sz w:val="20"/>
      <w:szCs w:val="20"/>
    </w:rPr>
  </w:style>
  <w:style w:type="character" w:customStyle="1" w:styleId="CommentTextChar">
    <w:name w:val="Comment Text Char"/>
    <w:basedOn w:val="DefaultParagraphFont"/>
    <w:link w:val="CommentText"/>
    <w:semiHidden/>
    <w:rsid w:val="00EC3F8B"/>
    <w:rPr>
      <w:rFonts w:ascii="Arial" w:eastAsia="SimSun" w:hAnsi="Arial" w:cs="Calibri"/>
      <w:sz w:val="18"/>
      <w:szCs w:val="22"/>
      <w:lang w:eastAsia="zh-CN"/>
    </w:rPr>
  </w:style>
  <w:style w:type="character" w:customStyle="1" w:styleId="CommentSubjectChar">
    <w:name w:val="Comment Subject Char"/>
    <w:basedOn w:val="CommentTextChar"/>
    <w:link w:val="CommentSubject"/>
    <w:semiHidden/>
    <w:rsid w:val="00EC3F8B"/>
    <w:rPr>
      <w:rFonts w:ascii="Arial" w:eastAsia="SimSun" w:hAnsi="Arial" w:cs="Calibri"/>
      <w:b/>
      <w:bCs/>
      <w:sz w:val="18"/>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79443">
      <w:bodyDiv w:val="1"/>
      <w:marLeft w:val="0"/>
      <w:marRight w:val="0"/>
      <w:marTop w:val="0"/>
      <w:marBottom w:val="0"/>
      <w:divBdr>
        <w:top w:val="none" w:sz="0" w:space="0" w:color="auto"/>
        <w:left w:val="none" w:sz="0" w:space="0" w:color="auto"/>
        <w:bottom w:val="none" w:sz="0" w:space="0" w:color="auto"/>
        <w:right w:val="none" w:sz="0" w:space="0" w:color="auto"/>
      </w:divBdr>
    </w:div>
    <w:div w:id="174792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ctlegal.wipo.int/eGuide/view-doc.xhtml?doc-code=SA&amp;doc-lang=en"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xport/sites/www/pct/en/docs/circulars/2024/1672.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pct/en/docs/circulars/2024/1672.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ipo.int/en/web/pct-system/quality/authorit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ctlegal.wipo.int/eGuide/view-doc.xhtml?doc-code=SA&amp;doc-lang=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F6C83DD8D9441E89EE899B14603431"/>
        <w:category>
          <w:name w:val="General"/>
          <w:gallery w:val="placeholder"/>
        </w:category>
        <w:types>
          <w:type w:val="bbPlcHdr"/>
        </w:types>
        <w:behaviors>
          <w:behavior w:val="content"/>
        </w:behaviors>
        <w:guid w:val="{157541B1-0204-4E5F-A0BE-9A5C0924C3EC}"/>
      </w:docPartPr>
      <w:docPartBody>
        <w:p w:rsidR="001E66A4" w:rsidRDefault="001E66A4" w:rsidP="001E66A4">
          <w:pPr>
            <w:pStyle w:val="D1F6C83DD8D9441E89EE899B14603431"/>
          </w:pPr>
          <w:r>
            <w:rPr>
              <w:rStyle w:val="PlaceholderText"/>
              <w:rFonts w:hint="cs"/>
              <w:rtl/>
            </w:rPr>
            <w:t>يُرجى اختيار عنصر</w:t>
          </w:r>
        </w:p>
      </w:docPartBody>
    </w:docPart>
    <w:docPart>
      <w:docPartPr>
        <w:name w:val="4CF5F8E6D9FC4A85B8CF2A99FE0E58BB"/>
        <w:category>
          <w:name w:val="General"/>
          <w:gallery w:val="placeholder"/>
        </w:category>
        <w:types>
          <w:type w:val="bbPlcHdr"/>
        </w:types>
        <w:behaviors>
          <w:behavior w:val="content"/>
        </w:behaviors>
        <w:guid w:val="{05215C91-5DD2-47BE-9D78-C8608AED2E10}"/>
      </w:docPartPr>
      <w:docPartBody>
        <w:p w:rsidR="001E66A4" w:rsidRDefault="001E66A4" w:rsidP="001E66A4">
          <w:pPr>
            <w:pStyle w:val="4CF5F8E6D9FC4A85B8CF2A99FE0E58BB"/>
          </w:pPr>
          <w:r>
            <w:rPr>
              <w:rStyle w:val="PlaceholderText"/>
              <w:rFonts w:hint="cs"/>
              <w:rtl/>
            </w:rPr>
            <w:t>يُرجى اختيار عنصر</w:t>
          </w:r>
        </w:p>
      </w:docPartBody>
    </w:docPart>
    <w:docPart>
      <w:docPartPr>
        <w:name w:val="D41A702BF1E34A7A8616DA19BC4CC9CA"/>
        <w:category>
          <w:name w:val="General"/>
          <w:gallery w:val="placeholder"/>
        </w:category>
        <w:types>
          <w:type w:val="bbPlcHdr"/>
        </w:types>
        <w:behaviors>
          <w:behavior w:val="content"/>
        </w:behaviors>
        <w:guid w:val="{E4AAB8D2-8579-40B3-A46D-8AB7851C477C}"/>
      </w:docPartPr>
      <w:docPartBody>
        <w:p w:rsidR="001E66A4" w:rsidRDefault="001E66A4" w:rsidP="001E66A4">
          <w:pPr>
            <w:pStyle w:val="D41A702BF1E34A7A8616DA19BC4CC9CA"/>
          </w:pPr>
          <w:r>
            <w:rPr>
              <w:rStyle w:val="PlaceholderText"/>
              <w:rFonts w:hint="cs"/>
              <w:rtl/>
            </w:rPr>
            <w:t>يُرجى اختيار عنصر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B6"/>
    <w:rsid w:val="00000897"/>
    <w:rsid w:val="001E66A4"/>
    <w:rsid w:val="00261787"/>
    <w:rsid w:val="00355BB6"/>
    <w:rsid w:val="00456CDC"/>
    <w:rsid w:val="00AE3DF9"/>
    <w:rsid w:val="00E34E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66A4"/>
    <w:rPr>
      <w:color w:val="666666"/>
    </w:rPr>
  </w:style>
  <w:style w:type="paragraph" w:customStyle="1" w:styleId="D1F6C83DD8D9441E89EE899B14603431">
    <w:name w:val="D1F6C83DD8D9441E89EE899B14603431"/>
    <w:rsid w:val="001E66A4"/>
    <w:rPr>
      <w:lang w:eastAsia="zh-CN"/>
    </w:rPr>
  </w:style>
  <w:style w:type="paragraph" w:customStyle="1" w:styleId="4CF5F8E6D9FC4A85B8CF2A99FE0E58BB">
    <w:name w:val="4CF5F8E6D9FC4A85B8CF2A99FE0E58BB"/>
    <w:rsid w:val="001E66A4"/>
    <w:rPr>
      <w:lang w:eastAsia="zh-CN"/>
    </w:rPr>
  </w:style>
  <w:style w:type="paragraph" w:customStyle="1" w:styleId="D41A702BF1E34A7A8616DA19BC4CC9CA">
    <w:name w:val="D41A702BF1E34A7A8616DA19BC4CC9CA"/>
    <w:rsid w:val="001E66A4"/>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4CE32-A4BC-40A3-AB5F-302F79C5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1504</Words>
  <Characters>9441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PCT/CTC/33/19 (Arabic)</vt:lpstr>
    </vt:vector>
  </TitlesOfParts>
  <Company>WIPO</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PCT/CTC/33/19 (Arabic)</dc:title>
  <dc:creator>FM</dc:creator>
  <cp:keywords>PUBLIC</cp:keywords>
  <cp:lastModifiedBy>MARLOW Thomas</cp:lastModifiedBy>
  <cp:revision>4</cp:revision>
  <cp:lastPrinted>2025-12-22T18:39:00Z</cp:lastPrinted>
  <dcterms:created xsi:type="dcterms:W3CDTF">2025-12-22T18:37:00Z</dcterms:created>
  <dcterms:modified xsi:type="dcterms:W3CDTF">2025-12-22T18:41:00Z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2024-12-05T18:00:49Z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4c4396f8-a116-4310-b65a-3ae24077e4a8</vt:lpwstr>
  </property>
  <property fmtid="{D5CDD505-2E9C-101B-9397-08002B2CF9AE}" pid="13" name="MSIP_Label_20773ee6-353b-4fb9-a59d-0b94c8c67bea_ContentBits">
    <vt:lpwstr>0</vt:lpwstr>
  </property>
</Properties>
</file>