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3B9A6BD1"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A31F1">
        <w:rPr>
          <w:rFonts w:ascii="Arial Black" w:hAnsi="Arial Black"/>
          <w:caps/>
          <w:sz w:val="15"/>
          <w:szCs w:val="15"/>
        </w:rPr>
        <w:t>1</w:t>
      </w:r>
      <w:r w:rsidR="00652E43">
        <w:rPr>
          <w:rFonts w:ascii="Arial Black" w:hAnsi="Arial Black"/>
          <w:caps/>
          <w:sz w:val="15"/>
          <w:szCs w:val="15"/>
        </w:rPr>
        <w:t>3</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0AE7CF6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A5208D">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7632CE6F" w:rsidR="008B2CC1" w:rsidRPr="003845C1" w:rsidRDefault="009A31F1" w:rsidP="00DD7B7F">
      <w:pPr>
        <w:spacing w:after="360"/>
        <w:outlineLvl w:val="0"/>
        <w:rPr>
          <w:caps/>
          <w:sz w:val="24"/>
        </w:rPr>
      </w:pPr>
      <w:bookmarkStart w:id="3" w:name="TitleOfDoc"/>
      <w:r>
        <w:rPr>
          <w:caps/>
          <w:sz w:val="24"/>
        </w:rPr>
        <w:t xml:space="preserve">EXTENSION OF APPOINTMENT OF THE </w:t>
      </w:r>
      <w:r w:rsidR="00776619">
        <w:rPr>
          <w:caps/>
          <w:sz w:val="24"/>
        </w:rPr>
        <w:t xml:space="preserve">ISRAEL PATENT 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527AC11B" w:rsidR="009A31F1" w:rsidRDefault="009A31F1" w:rsidP="002326AB">
      <w:pPr>
        <w:spacing w:after="220"/>
      </w:pPr>
      <w:r w:rsidRPr="009A31F1">
        <w:t>2.</w:t>
      </w:r>
      <w:r w:rsidRPr="009A31F1">
        <w:tab/>
        <w:t xml:space="preserve">On October </w:t>
      </w:r>
      <w:r w:rsidR="00776619">
        <w:t>30</w:t>
      </w:r>
      <w:r w:rsidRPr="009A31F1">
        <w:t xml:space="preserve">, 2025, the </w:t>
      </w:r>
      <w:r w:rsidR="00776619">
        <w:t>Israel Patent Office</w:t>
      </w:r>
      <w:r w:rsidRPr="009A31F1">
        <w:t xml:space="preserve"> 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Default="009A31F1" w:rsidP="009A31F1">
      <w:pPr>
        <w:pStyle w:val="SectionHeading"/>
        <w:rPr>
          <w:lang w:val="en-US"/>
        </w:rPr>
      </w:pPr>
      <w:r w:rsidRPr="002B3808">
        <w:rPr>
          <w:lang w:val="en-US"/>
        </w:rPr>
        <w:t>1 – General</w:t>
      </w:r>
    </w:p>
    <w:p w14:paraId="3D4C6112" w14:textId="71DC98D7" w:rsidR="00393C9B" w:rsidRPr="002309D0" w:rsidRDefault="00393C9B" w:rsidP="00393C9B">
      <w:pPr>
        <w:pStyle w:val="Question"/>
        <w:spacing w:after="480"/>
        <w:rPr>
          <w:b w:val="0"/>
        </w:rPr>
      </w:pPr>
      <w:r>
        <w:t>(a)</w:t>
      </w:r>
      <w:r>
        <w:tab/>
        <w:t>Name of Office or intergovernmental organization:</w:t>
      </w:r>
      <w:r w:rsidRPr="00533018">
        <w:rPr>
          <w:color w:val="C00000"/>
        </w:rPr>
        <w:t xml:space="preserve"> </w:t>
      </w:r>
      <w:r w:rsidR="002309D0">
        <w:rPr>
          <w:color w:val="C00000"/>
        </w:rPr>
        <w:t xml:space="preserve"> </w:t>
      </w:r>
      <w:r w:rsidRPr="002309D0">
        <w:rPr>
          <w:b w:val="0"/>
        </w:rPr>
        <w:t>Israel Patent Office (ILPO)</w:t>
      </w:r>
    </w:p>
    <w:p w14:paraId="3634CB1A" w14:textId="77777777" w:rsidR="00393C9B" w:rsidRDefault="00393C9B" w:rsidP="00393C9B">
      <w:pPr>
        <w:pStyle w:val="Question"/>
        <w:spacing w:after="480"/>
      </w:pPr>
      <w:r>
        <w:t>(b)</w:t>
      </w:r>
      <w:r>
        <w:tab/>
        <w:t>Name and contact details of official for any queries about this application:</w:t>
      </w:r>
    </w:p>
    <w:p w14:paraId="22607CF0" w14:textId="77777777" w:rsidR="00393C9B" w:rsidRPr="002309D0" w:rsidRDefault="00393C9B" w:rsidP="00393C9B">
      <w:pPr>
        <w:pStyle w:val="Question"/>
        <w:spacing w:after="480"/>
        <w:rPr>
          <w:b w:val="0"/>
        </w:rPr>
      </w:pPr>
      <w:r w:rsidRPr="002309D0">
        <w:rPr>
          <w:b w:val="0"/>
        </w:rPr>
        <w:t>Baruch (Barry) Newman, Team Leader, PCT Division</w:t>
      </w:r>
    </w:p>
    <w:p w14:paraId="6AA5CA84" w14:textId="12FFE0B9" w:rsidR="00393C9B" w:rsidRPr="00C945D7" w:rsidRDefault="00393C9B" w:rsidP="00393C9B">
      <w:pPr>
        <w:pStyle w:val="Question"/>
        <w:spacing w:after="480"/>
        <w:rPr>
          <w:b w:val="0"/>
        </w:rPr>
      </w:pPr>
      <w:r>
        <w:rPr>
          <w:b w:val="0"/>
        </w:rPr>
        <w:t xml:space="preserve">Email: </w:t>
      </w:r>
      <w:r w:rsidR="002309D0">
        <w:rPr>
          <w:b w:val="0"/>
        </w:rPr>
        <w:t xml:space="preserve"> </w:t>
      </w:r>
      <w:r w:rsidRPr="00D4655F">
        <w:rPr>
          <w:rStyle w:val="Hyperlink"/>
          <w:b w:val="0"/>
          <w:bCs w:val="0"/>
          <w:szCs w:val="20"/>
        </w:rPr>
        <w:t>BaruchN@justice.gov.il</w:t>
      </w:r>
    </w:p>
    <w:p w14:paraId="75572728" w14:textId="77777777" w:rsidR="00393C9B" w:rsidRDefault="00393C9B" w:rsidP="00393C9B">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2F67CDC7" w14:textId="5DFF8C10" w:rsidR="00393C9B" w:rsidRPr="00393C9B" w:rsidRDefault="00393C9B" w:rsidP="00393C9B">
      <w:pPr>
        <w:pStyle w:val="Answer"/>
        <w:rPr>
          <w:iCs/>
        </w:rPr>
      </w:pPr>
      <w:r>
        <w:rPr>
          <w:iCs/>
        </w:rPr>
        <w:t xml:space="preserve">October </w:t>
      </w:r>
      <w:r w:rsidR="004E2D29">
        <w:rPr>
          <w:iCs/>
        </w:rPr>
        <w:t>3</w:t>
      </w:r>
      <w:r>
        <w:rPr>
          <w:iCs/>
        </w:rPr>
        <w:t>0, 2025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251A63DC" w:rsidR="009A31F1" w:rsidRDefault="009A31F1" w:rsidP="009A31F1">
      <w:r>
        <w:t>In addition to the annual report on the quality management system by the Office or organization for 2025 (“the QMS Report”</w:t>
      </w:r>
      <w:r w:rsidR="00BF7918">
        <w:t xml:space="preserve"> </w:t>
      </w:r>
      <w:hyperlink r:id="rId11" w:anchor="IL" w:history="1">
        <w:r w:rsidR="00D53326" w:rsidRPr="00D4655F">
          <w:rPr>
            <w:rStyle w:val="Hyperlink"/>
            <w:bCs/>
          </w:rPr>
          <w:t>https://www.wipo.int/en/web/pct-system/quality/authorities#IL</w:t>
        </w:r>
      </w:hyperlink>
      <w:r w:rsidRPr="00D33D7A">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77777777" w:rsidR="009A31F1" w:rsidRDefault="009A31F1" w:rsidP="00393C9B">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776619"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393C9B">
      <w:pPr>
        <w:pStyle w:val="Question"/>
        <w:spacing w:after="480"/>
      </w:pPr>
      <w:r>
        <w:lastRenderedPageBreak/>
        <w:t>Employees qualified to carry out search and examination: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14"/>
        <w:gridCol w:w="1478"/>
        <w:gridCol w:w="1790"/>
        <w:gridCol w:w="850"/>
        <w:gridCol w:w="1134"/>
        <w:gridCol w:w="1276"/>
      </w:tblGrid>
      <w:tr w:rsidR="002309D0" w:rsidRPr="002309D0" w14:paraId="5CE7881C" w14:textId="77777777" w:rsidTr="007F4BEC">
        <w:trPr>
          <w:cantSplit/>
          <w:tblHeader/>
        </w:trPr>
        <w:tc>
          <w:tcPr>
            <w:tcW w:w="2114" w:type="dxa"/>
            <w:vMerge w:val="restart"/>
            <w:tcBorders>
              <w:top w:val="single" w:sz="4" w:space="0" w:color="auto"/>
              <w:left w:val="single" w:sz="4" w:space="0" w:color="auto"/>
              <w:right w:val="single" w:sz="4" w:space="0" w:color="auto"/>
            </w:tcBorders>
            <w:hideMark/>
          </w:tcPr>
          <w:p w14:paraId="56A14F2F" w14:textId="77777777" w:rsidR="00393C9B" w:rsidRPr="002309D0" w:rsidRDefault="00393C9B" w:rsidP="007F4BEC">
            <w:pPr>
              <w:keepNext/>
              <w:keepLines/>
              <w:suppressAutoHyphens/>
              <w:rPr>
                <w:rFonts w:eastAsia="Times New Roman"/>
                <w:b/>
                <w:bCs/>
                <w:szCs w:val="22"/>
                <w:lang w:eastAsia="en-US" w:bidi="he-IL"/>
              </w:rPr>
            </w:pPr>
            <w:r w:rsidRPr="002309D0">
              <w:rPr>
                <w:b/>
                <w:bCs/>
                <w:szCs w:val="22"/>
                <w:lang w:eastAsia="en-US" w:bidi="he-IL"/>
              </w:rPr>
              <w:t>Technical field</w:t>
            </w:r>
          </w:p>
        </w:tc>
        <w:tc>
          <w:tcPr>
            <w:tcW w:w="1478" w:type="dxa"/>
            <w:vMerge w:val="restart"/>
            <w:tcBorders>
              <w:top w:val="single" w:sz="4" w:space="0" w:color="auto"/>
              <w:left w:val="single" w:sz="4" w:space="0" w:color="auto"/>
              <w:right w:val="single" w:sz="4" w:space="0" w:color="auto"/>
            </w:tcBorders>
            <w:hideMark/>
          </w:tcPr>
          <w:p w14:paraId="056799B7" w14:textId="77777777" w:rsidR="00393C9B" w:rsidRPr="002309D0" w:rsidRDefault="00393C9B" w:rsidP="007F4BEC">
            <w:pPr>
              <w:keepNext/>
              <w:keepLines/>
              <w:suppressAutoHyphens/>
              <w:rPr>
                <w:rFonts w:eastAsia="Times New Roman"/>
                <w:b/>
                <w:bCs/>
                <w:szCs w:val="22"/>
                <w:lang w:eastAsia="en-US" w:bidi="he-IL"/>
              </w:rPr>
            </w:pPr>
            <w:r w:rsidRPr="002309D0">
              <w:rPr>
                <w:b/>
                <w:bCs/>
                <w:szCs w:val="22"/>
                <w:lang w:eastAsia="en-US" w:bidi="he-IL"/>
              </w:rPr>
              <w:t>Number (in full-time equivalent)</w:t>
            </w:r>
          </w:p>
        </w:tc>
        <w:tc>
          <w:tcPr>
            <w:tcW w:w="1790" w:type="dxa"/>
            <w:vMerge w:val="restart"/>
            <w:tcBorders>
              <w:top w:val="single" w:sz="4" w:space="0" w:color="auto"/>
              <w:left w:val="single" w:sz="4" w:space="0" w:color="auto"/>
              <w:right w:val="single" w:sz="4" w:space="0" w:color="auto"/>
            </w:tcBorders>
            <w:hideMark/>
          </w:tcPr>
          <w:p w14:paraId="7280BA93" w14:textId="77777777" w:rsidR="00393C9B" w:rsidRPr="002309D0" w:rsidRDefault="00393C9B" w:rsidP="007F4BEC">
            <w:pPr>
              <w:suppressAutoHyphens/>
              <w:rPr>
                <w:rFonts w:eastAsia="Times New Roman"/>
                <w:b/>
                <w:bCs/>
                <w:szCs w:val="24"/>
                <w:lang w:eastAsia="en-US" w:bidi="he-IL"/>
              </w:rPr>
            </w:pPr>
            <w:r w:rsidRPr="002309D0">
              <w:rPr>
                <w:b/>
                <w:bCs/>
                <w:lang w:eastAsia="en-US" w:bidi="he-IL"/>
              </w:rPr>
              <w:t>Average experience as examiners (years)</w:t>
            </w:r>
          </w:p>
        </w:tc>
        <w:tc>
          <w:tcPr>
            <w:tcW w:w="3260" w:type="dxa"/>
            <w:gridSpan w:val="3"/>
            <w:tcBorders>
              <w:top w:val="single" w:sz="4" w:space="0" w:color="auto"/>
              <w:left w:val="single" w:sz="4" w:space="0" w:color="auto"/>
              <w:bottom w:val="single" w:sz="4" w:space="0" w:color="auto"/>
              <w:right w:val="single" w:sz="4" w:space="0" w:color="auto"/>
            </w:tcBorders>
            <w:hideMark/>
          </w:tcPr>
          <w:p w14:paraId="4F8282FA" w14:textId="77777777" w:rsidR="00393C9B" w:rsidRPr="002309D0" w:rsidRDefault="00393C9B" w:rsidP="007F4BEC">
            <w:pPr>
              <w:suppressAutoHyphens/>
              <w:rPr>
                <w:rFonts w:eastAsia="Times New Roman"/>
                <w:b/>
                <w:bCs/>
                <w:szCs w:val="24"/>
                <w:lang w:eastAsia="en-US" w:bidi="he-IL"/>
              </w:rPr>
            </w:pPr>
            <w:r w:rsidRPr="002309D0">
              <w:rPr>
                <w:b/>
                <w:bCs/>
                <w:lang w:eastAsia="en-US" w:bidi="he-IL"/>
              </w:rPr>
              <w:t>Breakdown of qualifications</w:t>
            </w:r>
          </w:p>
        </w:tc>
      </w:tr>
      <w:tr w:rsidR="002309D0" w:rsidRPr="002309D0" w14:paraId="5A23BCF5" w14:textId="77777777" w:rsidTr="007F4BEC">
        <w:trPr>
          <w:cantSplit/>
          <w:tblHeader/>
        </w:trPr>
        <w:tc>
          <w:tcPr>
            <w:tcW w:w="2114" w:type="dxa"/>
            <w:vMerge/>
            <w:tcBorders>
              <w:left w:val="single" w:sz="4" w:space="0" w:color="auto"/>
              <w:bottom w:val="single" w:sz="4" w:space="0" w:color="auto"/>
              <w:right w:val="single" w:sz="4" w:space="0" w:color="auto"/>
            </w:tcBorders>
          </w:tcPr>
          <w:p w14:paraId="395D8B77" w14:textId="77777777" w:rsidR="00393C9B" w:rsidRPr="002309D0" w:rsidRDefault="00393C9B" w:rsidP="007F4BEC">
            <w:pPr>
              <w:keepNext/>
              <w:keepLines/>
              <w:suppressAutoHyphens/>
              <w:rPr>
                <w:b/>
                <w:bCs/>
                <w:szCs w:val="22"/>
                <w:lang w:eastAsia="en-US" w:bidi="he-IL"/>
              </w:rPr>
            </w:pPr>
          </w:p>
        </w:tc>
        <w:tc>
          <w:tcPr>
            <w:tcW w:w="1478" w:type="dxa"/>
            <w:vMerge/>
            <w:tcBorders>
              <w:left w:val="single" w:sz="4" w:space="0" w:color="auto"/>
              <w:bottom w:val="single" w:sz="4" w:space="0" w:color="auto"/>
              <w:right w:val="single" w:sz="4" w:space="0" w:color="auto"/>
            </w:tcBorders>
          </w:tcPr>
          <w:p w14:paraId="54BC2048" w14:textId="77777777" w:rsidR="00393C9B" w:rsidRPr="002309D0" w:rsidRDefault="00393C9B" w:rsidP="007F4BEC">
            <w:pPr>
              <w:keepNext/>
              <w:keepLines/>
              <w:suppressAutoHyphens/>
              <w:rPr>
                <w:b/>
                <w:bCs/>
                <w:szCs w:val="22"/>
                <w:lang w:eastAsia="en-US" w:bidi="he-IL"/>
              </w:rPr>
            </w:pPr>
          </w:p>
        </w:tc>
        <w:tc>
          <w:tcPr>
            <w:tcW w:w="1790" w:type="dxa"/>
            <w:vMerge/>
            <w:tcBorders>
              <w:left w:val="single" w:sz="4" w:space="0" w:color="auto"/>
              <w:bottom w:val="single" w:sz="4" w:space="0" w:color="auto"/>
              <w:right w:val="single" w:sz="4" w:space="0" w:color="auto"/>
            </w:tcBorders>
          </w:tcPr>
          <w:p w14:paraId="502F5202" w14:textId="77777777" w:rsidR="00393C9B" w:rsidRPr="002309D0" w:rsidRDefault="00393C9B" w:rsidP="007F4BEC">
            <w:pPr>
              <w:suppressAutoHyphens/>
              <w:rPr>
                <w:b/>
                <w:bCs/>
                <w:lang w:eastAsia="en-US" w:bidi="he-IL"/>
              </w:rPr>
            </w:pPr>
          </w:p>
        </w:tc>
        <w:tc>
          <w:tcPr>
            <w:tcW w:w="850" w:type="dxa"/>
            <w:tcBorders>
              <w:top w:val="single" w:sz="4" w:space="0" w:color="auto"/>
              <w:left w:val="single" w:sz="4" w:space="0" w:color="auto"/>
              <w:bottom w:val="single" w:sz="4" w:space="0" w:color="auto"/>
              <w:right w:val="single" w:sz="4" w:space="0" w:color="auto"/>
            </w:tcBorders>
          </w:tcPr>
          <w:p w14:paraId="4269E720" w14:textId="77777777" w:rsidR="00393C9B" w:rsidRPr="002309D0" w:rsidRDefault="00393C9B" w:rsidP="007F4BEC">
            <w:pPr>
              <w:suppressAutoHyphens/>
              <w:rPr>
                <w:lang w:eastAsia="en-US" w:bidi="he-IL"/>
              </w:rPr>
            </w:pPr>
            <w:r w:rsidRPr="002309D0">
              <w:rPr>
                <w:lang w:eastAsia="en-US" w:bidi="he-IL"/>
              </w:rPr>
              <w:t>Ph.D.</w:t>
            </w:r>
          </w:p>
        </w:tc>
        <w:tc>
          <w:tcPr>
            <w:tcW w:w="1134" w:type="dxa"/>
            <w:tcBorders>
              <w:top w:val="single" w:sz="4" w:space="0" w:color="auto"/>
              <w:left w:val="single" w:sz="4" w:space="0" w:color="auto"/>
              <w:bottom w:val="single" w:sz="4" w:space="0" w:color="auto"/>
              <w:right w:val="single" w:sz="4" w:space="0" w:color="auto"/>
            </w:tcBorders>
          </w:tcPr>
          <w:p w14:paraId="73D48CA4" w14:textId="77777777" w:rsidR="00393C9B" w:rsidRPr="002309D0" w:rsidRDefault="00393C9B" w:rsidP="007F4BEC">
            <w:pPr>
              <w:suppressAutoHyphens/>
              <w:rPr>
                <w:lang w:eastAsia="en-US" w:bidi="he-IL"/>
              </w:rPr>
            </w:pPr>
            <w:r w:rsidRPr="002309D0">
              <w:rPr>
                <w:lang w:eastAsia="en-US" w:bidi="he-IL"/>
              </w:rPr>
              <w:t>Master's</w:t>
            </w:r>
          </w:p>
        </w:tc>
        <w:tc>
          <w:tcPr>
            <w:tcW w:w="1276" w:type="dxa"/>
            <w:tcBorders>
              <w:top w:val="single" w:sz="4" w:space="0" w:color="auto"/>
              <w:left w:val="single" w:sz="4" w:space="0" w:color="auto"/>
              <w:bottom w:val="single" w:sz="4" w:space="0" w:color="auto"/>
              <w:right w:val="single" w:sz="4" w:space="0" w:color="auto"/>
            </w:tcBorders>
          </w:tcPr>
          <w:p w14:paraId="3C245D80" w14:textId="77777777" w:rsidR="00393C9B" w:rsidRPr="002309D0" w:rsidRDefault="00393C9B" w:rsidP="007F4BEC">
            <w:pPr>
              <w:suppressAutoHyphens/>
              <w:rPr>
                <w:lang w:eastAsia="en-US" w:bidi="he-IL"/>
              </w:rPr>
            </w:pPr>
            <w:r w:rsidRPr="002309D0">
              <w:rPr>
                <w:lang w:eastAsia="en-US" w:bidi="he-IL"/>
              </w:rPr>
              <w:t>Bachelor's</w:t>
            </w:r>
          </w:p>
        </w:tc>
      </w:tr>
      <w:tr w:rsidR="002309D0" w:rsidRPr="002309D0" w14:paraId="26527776" w14:textId="77777777" w:rsidTr="007F4BEC">
        <w:trPr>
          <w:cantSplit/>
        </w:trPr>
        <w:tc>
          <w:tcPr>
            <w:tcW w:w="2114" w:type="dxa"/>
            <w:tcBorders>
              <w:top w:val="single" w:sz="4" w:space="0" w:color="auto"/>
              <w:left w:val="single" w:sz="4" w:space="0" w:color="auto"/>
              <w:bottom w:val="single" w:sz="4" w:space="0" w:color="auto"/>
              <w:right w:val="single" w:sz="4" w:space="0" w:color="auto"/>
            </w:tcBorders>
            <w:hideMark/>
          </w:tcPr>
          <w:p w14:paraId="2814EB75" w14:textId="77777777" w:rsidR="00393C9B" w:rsidRPr="002309D0" w:rsidRDefault="00393C9B" w:rsidP="007F4BEC">
            <w:pPr>
              <w:keepNext/>
              <w:keepLines/>
              <w:suppressAutoHyphens/>
              <w:rPr>
                <w:rFonts w:eastAsia="Times New Roman"/>
                <w:szCs w:val="22"/>
                <w:lang w:eastAsia="en-US" w:bidi="he-IL"/>
              </w:rPr>
            </w:pPr>
            <w:r w:rsidRPr="002309D0">
              <w:rPr>
                <w:szCs w:val="22"/>
                <w:lang w:eastAsia="en-US" w:bidi="he-IL"/>
              </w:rPr>
              <w:t>Mechanical</w:t>
            </w:r>
          </w:p>
        </w:tc>
        <w:tc>
          <w:tcPr>
            <w:tcW w:w="1478" w:type="dxa"/>
            <w:tcBorders>
              <w:top w:val="single" w:sz="4" w:space="0" w:color="auto"/>
              <w:left w:val="single" w:sz="4" w:space="0" w:color="auto"/>
              <w:bottom w:val="single" w:sz="4" w:space="0" w:color="auto"/>
              <w:right w:val="single" w:sz="4" w:space="0" w:color="auto"/>
            </w:tcBorders>
          </w:tcPr>
          <w:p w14:paraId="4599A2EC"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27</w:t>
            </w:r>
          </w:p>
        </w:tc>
        <w:tc>
          <w:tcPr>
            <w:tcW w:w="1790" w:type="dxa"/>
            <w:tcBorders>
              <w:top w:val="single" w:sz="4" w:space="0" w:color="auto"/>
              <w:left w:val="single" w:sz="4" w:space="0" w:color="auto"/>
              <w:bottom w:val="single" w:sz="4" w:space="0" w:color="auto"/>
              <w:right w:val="single" w:sz="4" w:space="0" w:color="auto"/>
            </w:tcBorders>
          </w:tcPr>
          <w:p w14:paraId="320C1326"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10</w:t>
            </w:r>
          </w:p>
        </w:tc>
        <w:tc>
          <w:tcPr>
            <w:tcW w:w="850" w:type="dxa"/>
            <w:tcBorders>
              <w:top w:val="single" w:sz="4" w:space="0" w:color="auto"/>
              <w:left w:val="single" w:sz="4" w:space="0" w:color="auto"/>
              <w:bottom w:val="single" w:sz="4" w:space="0" w:color="auto"/>
              <w:right w:val="single" w:sz="4" w:space="0" w:color="auto"/>
            </w:tcBorders>
          </w:tcPr>
          <w:p w14:paraId="1447635D"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11%</w:t>
            </w:r>
          </w:p>
        </w:tc>
        <w:tc>
          <w:tcPr>
            <w:tcW w:w="1134" w:type="dxa"/>
            <w:tcBorders>
              <w:top w:val="single" w:sz="4" w:space="0" w:color="auto"/>
              <w:left w:val="single" w:sz="4" w:space="0" w:color="auto"/>
              <w:bottom w:val="single" w:sz="4" w:space="0" w:color="auto"/>
              <w:right w:val="single" w:sz="4" w:space="0" w:color="auto"/>
            </w:tcBorders>
          </w:tcPr>
          <w:p w14:paraId="11BB9000"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63%</w:t>
            </w:r>
          </w:p>
        </w:tc>
        <w:tc>
          <w:tcPr>
            <w:tcW w:w="1276" w:type="dxa"/>
            <w:tcBorders>
              <w:top w:val="single" w:sz="4" w:space="0" w:color="auto"/>
              <w:left w:val="single" w:sz="4" w:space="0" w:color="auto"/>
              <w:bottom w:val="single" w:sz="4" w:space="0" w:color="auto"/>
              <w:right w:val="single" w:sz="4" w:space="0" w:color="auto"/>
            </w:tcBorders>
          </w:tcPr>
          <w:p w14:paraId="638FFFBA"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26%</w:t>
            </w:r>
          </w:p>
        </w:tc>
      </w:tr>
      <w:tr w:rsidR="002309D0" w:rsidRPr="002309D0" w14:paraId="47D3E221" w14:textId="77777777" w:rsidTr="007F4BEC">
        <w:trPr>
          <w:cantSplit/>
        </w:trPr>
        <w:tc>
          <w:tcPr>
            <w:tcW w:w="2114" w:type="dxa"/>
            <w:tcBorders>
              <w:top w:val="single" w:sz="4" w:space="0" w:color="auto"/>
              <w:left w:val="single" w:sz="4" w:space="0" w:color="auto"/>
              <w:bottom w:val="single" w:sz="4" w:space="0" w:color="auto"/>
              <w:right w:val="single" w:sz="4" w:space="0" w:color="auto"/>
            </w:tcBorders>
            <w:hideMark/>
          </w:tcPr>
          <w:p w14:paraId="44BDAB21" w14:textId="77777777" w:rsidR="00393C9B" w:rsidRPr="002309D0" w:rsidRDefault="00393C9B" w:rsidP="007F4BEC">
            <w:pPr>
              <w:keepNext/>
              <w:keepLines/>
              <w:suppressAutoHyphens/>
              <w:rPr>
                <w:rFonts w:eastAsia="Times New Roman"/>
                <w:szCs w:val="22"/>
                <w:lang w:eastAsia="en-US" w:bidi="he-IL"/>
              </w:rPr>
            </w:pPr>
            <w:r w:rsidRPr="002309D0">
              <w:rPr>
                <w:szCs w:val="22"/>
                <w:lang w:eastAsia="en-US" w:bidi="he-IL"/>
              </w:rPr>
              <w:t>Electrical/electronic</w:t>
            </w:r>
          </w:p>
        </w:tc>
        <w:tc>
          <w:tcPr>
            <w:tcW w:w="1478" w:type="dxa"/>
            <w:tcBorders>
              <w:top w:val="single" w:sz="4" w:space="0" w:color="auto"/>
              <w:left w:val="single" w:sz="4" w:space="0" w:color="auto"/>
              <w:bottom w:val="single" w:sz="4" w:space="0" w:color="auto"/>
              <w:right w:val="single" w:sz="4" w:space="0" w:color="auto"/>
            </w:tcBorders>
          </w:tcPr>
          <w:p w14:paraId="3B5AF2D8"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42</w:t>
            </w:r>
          </w:p>
        </w:tc>
        <w:tc>
          <w:tcPr>
            <w:tcW w:w="1790" w:type="dxa"/>
            <w:tcBorders>
              <w:top w:val="single" w:sz="4" w:space="0" w:color="auto"/>
              <w:left w:val="single" w:sz="4" w:space="0" w:color="auto"/>
              <w:bottom w:val="single" w:sz="4" w:space="0" w:color="auto"/>
              <w:right w:val="single" w:sz="4" w:space="0" w:color="auto"/>
            </w:tcBorders>
          </w:tcPr>
          <w:p w14:paraId="2B232ADA"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10</w:t>
            </w:r>
          </w:p>
        </w:tc>
        <w:tc>
          <w:tcPr>
            <w:tcW w:w="850" w:type="dxa"/>
            <w:tcBorders>
              <w:top w:val="single" w:sz="4" w:space="0" w:color="auto"/>
              <w:left w:val="single" w:sz="4" w:space="0" w:color="auto"/>
              <w:bottom w:val="single" w:sz="4" w:space="0" w:color="auto"/>
              <w:right w:val="single" w:sz="4" w:space="0" w:color="auto"/>
            </w:tcBorders>
          </w:tcPr>
          <w:p w14:paraId="7F2FB3A0"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14%</w:t>
            </w:r>
          </w:p>
        </w:tc>
        <w:tc>
          <w:tcPr>
            <w:tcW w:w="1134" w:type="dxa"/>
            <w:tcBorders>
              <w:top w:val="single" w:sz="4" w:space="0" w:color="auto"/>
              <w:left w:val="single" w:sz="4" w:space="0" w:color="auto"/>
              <w:bottom w:val="single" w:sz="4" w:space="0" w:color="auto"/>
              <w:right w:val="single" w:sz="4" w:space="0" w:color="auto"/>
            </w:tcBorders>
          </w:tcPr>
          <w:p w14:paraId="640AF76F"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67%</w:t>
            </w:r>
          </w:p>
        </w:tc>
        <w:tc>
          <w:tcPr>
            <w:tcW w:w="1276" w:type="dxa"/>
            <w:tcBorders>
              <w:top w:val="single" w:sz="4" w:space="0" w:color="auto"/>
              <w:left w:val="single" w:sz="4" w:space="0" w:color="auto"/>
              <w:bottom w:val="single" w:sz="4" w:space="0" w:color="auto"/>
              <w:right w:val="single" w:sz="4" w:space="0" w:color="auto"/>
            </w:tcBorders>
          </w:tcPr>
          <w:p w14:paraId="13C35656"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19%</w:t>
            </w:r>
          </w:p>
        </w:tc>
      </w:tr>
      <w:tr w:rsidR="002309D0" w:rsidRPr="002309D0" w14:paraId="49782584" w14:textId="77777777" w:rsidTr="007F4BEC">
        <w:trPr>
          <w:cantSplit/>
        </w:trPr>
        <w:tc>
          <w:tcPr>
            <w:tcW w:w="2114" w:type="dxa"/>
            <w:tcBorders>
              <w:top w:val="single" w:sz="4" w:space="0" w:color="auto"/>
              <w:left w:val="single" w:sz="4" w:space="0" w:color="auto"/>
              <w:bottom w:val="single" w:sz="4" w:space="0" w:color="auto"/>
              <w:right w:val="single" w:sz="4" w:space="0" w:color="auto"/>
            </w:tcBorders>
            <w:hideMark/>
          </w:tcPr>
          <w:p w14:paraId="2696F15E" w14:textId="77777777" w:rsidR="00393C9B" w:rsidRPr="002309D0" w:rsidRDefault="00393C9B" w:rsidP="007F4BEC">
            <w:pPr>
              <w:keepNext/>
              <w:keepLines/>
              <w:suppressAutoHyphens/>
              <w:rPr>
                <w:rFonts w:eastAsia="Times New Roman"/>
                <w:szCs w:val="22"/>
                <w:lang w:eastAsia="en-US" w:bidi="he-IL"/>
              </w:rPr>
            </w:pPr>
            <w:r w:rsidRPr="002309D0">
              <w:rPr>
                <w:szCs w:val="22"/>
                <w:lang w:eastAsia="en-US" w:bidi="he-IL"/>
              </w:rPr>
              <w:t>Chemistry</w:t>
            </w:r>
          </w:p>
        </w:tc>
        <w:tc>
          <w:tcPr>
            <w:tcW w:w="1478" w:type="dxa"/>
            <w:tcBorders>
              <w:top w:val="single" w:sz="4" w:space="0" w:color="auto"/>
              <w:left w:val="single" w:sz="4" w:space="0" w:color="auto"/>
              <w:bottom w:val="single" w:sz="4" w:space="0" w:color="auto"/>
              <w:right w:val="single" w:sz="4" w:space="0" w:color="auto"/>
            </w:tcBorders>
          </w:tcPr>
          <w:p w14:paraId="07B673C6"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38</w:t>
            </w:r>
          </w:p>
        </w:tc>
        <w:tc>
          <w:tcPr>
            <w:tcW w:w="1790" w:type="dxa"/>
            <w:tcBorders>
              <w:top w:val="single" w:sz="4" w:space="0" w:color="auto"/>
              <w:left w:val="single" w:sz="4" w:space="0" w:color="auto"/>
              <w:bottom w:val="single" w:sz="4" w:space="0" w:color="auto"/>
              <w:right w:val="single" w:sz="4" w:space="0" w:color="auto"/>
            </w:tcBorders>
          </w:tcPr>
          <w:p w14:paraId="7D84377C"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12</w:t>
            </w:r>
          </w:p>
        </w:tc>
        <w:tc>
          <w:tcPr>
            <w:tcW w:w="850" w:type="dxa"/>
            <w:tcBorders>
              <w:top w:val="single" w:sz="4" w:space="0" w:color="auto"/>
              <w:left w:val="single" w:sz="4" w:space="0" w:color="auto"/>
              <w:bottom w:val="single" w:sz="4" w:space="0" w:color="auto"/>
              <w:right w:val="single" w:sz="4" w:space="0" w:color="auto"/>
            </w:tcBorders>
          </w:tcPr>
          <w:p w14:paraId="545197F7"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34%</w:t>
            </w:r>
          </w:p>
        </w:tc>
        <w:tc>
          <w:tcPr>
            <w:tcW w:w="1134" w:type="dxa"/>
            <w:tcBorders>
              <w:top w:val="single" w:sz="4" w:space="0" w:color="auto"/>
              <w:left w:val="single" w:sz="4" w:space="0" w:color="auto"/>
              <w:bottom w:val="single" w:sz="4" w:space="0" w:color="auto"/>
              <w:right w:val="single" w:sz="4" w:space="0" w:color="auto"/>
            </w:tcBorders>
          </w:tcPr>
          <w:p w14:paraId="593FCBC0"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63%</w:t>
            </w:r>
          </w:p>
        </w:tc>
        <w:tc>
          <w:tcPr>
            <w:tcW w:w="1276" w:type="dxa"/>
            <w:tcBorders>
              <w:top w:val="single" w:sz="4" w:space="0" w:color="auto"/>
              <w:left w:val="single" w:sz="4" w:space="0" w:color="auto"/>
              <w:bottom w:val="single" w:sz="4" w:space="0" w:color="auto"/>
              <w:right w:val="single" w:sz="4" w:space="0" w:color="auto"/>
            </w:tcBorders>
          </w:tcPr>
          <w:p w14:paraId="7F78699A"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3%</w:t>
            </w:r>
          </w:p>
        </w:tc>
      </w:tr>
      <w:tr w:rsidR="002309D0" w:rsidRPr="002309D0" w14:paraId="4C7C3DB2" w14:textId="77777777" w:rsidTr="007F4BEC">
        <w:trPr>
          <w:cantSplit/>
        </w:trPr>
        <w:tc>
          <w:tcPr>
            <w:tcW w:w="2114" w:type="dxa"/>
            <w:tcBorders>
              <w:top w:val="single" w:sz="4" w:space="0" w:color="auto"/>
              <w:left w:val="single" w:sz="4" w:space="0" w:color="auto"/>
              <w:bottom w:val="single" w:sz="4" w:space="0" w:color="auto"/>
              <w:right w:val="single" w:sz="4" w:space="0" w:color="auto"/>
            </w:tcBorders>
            <w:hideMark/>
          </w:tcPr>
          <w:p w14:paraId="21441A70" w14:textId="77777777" w:rsidR="00393C9B" w:rsidRPr="002309D0" w:rsidRDefault="00393C9B" w:rsidP="007F4BEC">
            <w:pPr>
              <w:keepNext/>
              <w:keepLines/>
              <w:suppressAutoHyphens/>
              <w:rPr>
                <w:rFonts w:eastAsia="Times New Roman"/>
                <w:szCs w:val="22"/>
                <w:lang w:eastAsia="en-US" w:bidi="he-IL"/>
              </w:rPr>
            </w:pPr>
            <w:r w:rsidRPr="002309D0">
              <w:rPr>
                <w:szCs w:val="22"/>
                <w:lang w:eastAsia="en-US" w:bidi="he-IL"/>
              </w:rPr>
              <w:t>Biotech</w:t>
            </w:r>
          </w:p>
        </w:tc>
        <w:tc>
          <w:tcPr>
            <w:tcW w:w="1478" w:type="dxa"/>
            <w:tcBorders>
              <w:top w:val="single" w:sz="4" w:space="0" w:color="auto"/>
              <w:left w:val="single" w:sz="4" w:space="0" w:color="auto"/>
              <w:bottom w:val="single" w:sz="4" w:space="0" w:color="auto"/>
              <w:right w:val="single" w:sz="4" w:space="0" w:color="auto"/>
            </w:tcBorders>
          </w:tcPr>
          <w:p w14:paraId="4CB6FA3A"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23</w:t>
            </w:r>
          </w:p>
        </w:tc>
        <w:tc>
          <w:tcPr>
            <w:tcW w:w="1790" w:type="dxa"/>
            <w:tcBorders>
              <w:top w:val="single" w:sz="4" w:space="0" w:color="auto"/>
              <w:left w:val="single" w:sz="4" w:space="0" w:color="auto"/>
              <w:bottom w:val="single" w:sz="4" w:space="0" w:color="auto"/>
              <w:right w:val="single" w:sz="4" w:space="0" w:color="auto"/>
            </w:tcBorders>
          </w:tcPr>
          <w:p w14:paraId="22AA5E1C"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15</w:t>
            </w:r>
          </w:p>
        </w:tc>
        <w:tc>
          <w:tcPr>
            <w:tcW w:w="850" w:type="dxa"/>
            <w:tcBorders>
              <w:top w:val="single" w:sz="4" w:space="0" w:color="auto"/>
              <w:left w:val="single" w:sz="4" w:space="0" w:color="auto"/>
              <w:bottom w:val="single" w:sz="4" w:space="0" w:color="auto"/>
              <w:right w:val="single" w:sz="4" w:space="0" w:color="auto"/>
            </w:tcBorders>
          </w:tcPr>
          <w:p w14:paraId="7CE9263E"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57%</w:t>
            </w:r>
          </w:p>
        </w:tc>
        <w:tc>
          <w:tcPr>
            <w:tcW w:w="1134" w:type="dxa"/>
            <w:tcBorders>
              <w:top w:val="single" w:sz="4" w:space="0" w:color="auto"/>
              <w:left w:val="single" w:sz="4" w:space="0" w:color="auto"/>
              <w:bottom w:val="single" w:sz="4" w:space="0" w:color="auto"/>
              <w:right w:val="single" w:sz="4" w:space="0" w:color="auto"/>
            </w:tcBorders>
          </w:tcPr>
          <w:p w14:paraId="176D2312"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30%</w:t>
            </w:r>
          </w:p>
        </w:tc>
        <w:tc>
          <w:tcPr>
            <w:tcW w:w="1276" w:type="dxa"/>
            <w:tcBorders>
              <w:top w:val="single" w:sz="4" w:space="0" w:color="auto"/>
              <w:left w:val="single" w:sz="4" w:space="0" w:color="auto"/>
              <w:bottom w:val="single" w:sz="4" w:space="0" w:color="auto"/>
              <w:right w:val="single" w:sz="4" w:space="0" w:color="auto"/>
            </w:tcBorders>
          </w:tcPr>
          <w:p w14:paraId="50E71778" w14:textId="77777777" w:rsidR="00393C9B" w:rsidRPr="002309D0" w:rsidRDefault="00393C9B" w:rsidP="007F4BEC">
            <w:pPr>
              <w:keepNext/>
              <w:keepLines/>
              <w:suppressAutoHyphens/>
              <w:jc w:val="center"/>
              <w:rPr>
                <w:rFonts w:eastAsia="Times New Roman"/>
                <w:szCs w:val="22"/>
                <w:lang w:eastAsia="en-US" w:bidi="he-IL"/>
              </w:rPr>
            </w:pPr>
            <w:r w:rsidRPr="002309D0">
              <w:rPr>
                <w:rFonts w:eastAsia="Times New Roman"/>
                <w:szCs w:val="22"/>
                <w:lang w:eastAsia="en-US" w:bidi="he-IL"/>
              </w:rPr>
              <w:t>13%</w:t>
            </w:r>
          </w:p>
        </w:tc>
      </w:tr>
      <w:tr w:rsidR="002309D0" w:rsidRPr="002309D0" w14:paraId="5768F6E6" w14:textId="77777777" w:rsidTr="007F4BEC">
        <w:trPr>
          <w:cantSplit/>
        </w:trPr>
        <w:tc>
          <w:tcPr>
            <w:tcW w:w="2114" w:type="dxa"/>
            <w:tcBorders>
              <w:top w:val="single" w:sz="4" w:space="0" w:color="auto"/>
              <w:left w:val="single" w:sz="4" w:space="0" w:color="auto"/>
              <w:bottom w:val="single" w:sz="4" w:space="0" w:color="auto"/>
              <w:right w:val="single" w:sz="4" w:space="0" w:color="auto"/>
            </w:tcBorders>
            <w:hideMark/>
          </w:tcPr>
          <w:p w14:paraId="5557AD1B" w14:textId="77777777" w:rsidR="00393C9B" w:rsidRPr="002309D0" w:rsidRDefault="00393C9B" w:rsidP="007F4BEC">
            <w:pPr>
              <w:suppressAutoHyphens/>
              <w:rPr>
                <w:rFonts w:eastAsia="Times New Roman"/>
                <w:i/>
                <w:iCs/>
                <w:szCs w:val="22"/>
                <w:lang w:eastAsia="en-US" w:bidi="he-IL"/>
              </w:rPr>
            </w:pPr>
            <w:r w:rsidRPr="002309D0">
              <w:rPr>
                <w:i/>
                <w:iCs/>
                <w:szCs w:val="22"/>
                <w:lang w:eastAsia="en-US" w:bidi="he-IL"/>
              </w:rPr>
              <w:t>Total</w:t>
            </w:r>
          </w:p>
        </w:tc>
        <w:tc>
          <w:tcPr>
            <w:tcW w:w="1478" w:type="dxa"/>
            <w:tcBorders>
              <w:top w:val="single" w:sz="4" w:space="0" w:color="auto"/>
              <w:left w:val="single" w:sz="4" w:space="0" w:color="auto"/>
              <w:bottom w:val="single" w:sz="4" w:space="0" w:color="auto"/>
              <w:right w:val="single" w:sz="4" w:space="0" w:color="auto"/>
            </w:tcBorders>
          </w:tcPr>
          <w:p w14:paraId="1F98BDAD" w14:textId="77777777" w:rsidR="00393C9B" w:rsidRPr="002309D0" w:rsidRDefault="00393C9B" w:rsidP="007F4BEC">
            <w:pPr>
              <w:suppressAutoHyphens/>
              <w:jc w:val="center"/>
              <w:rPr>
                <w:rFonts w:eastAsia="Times New Roman"/>
                <w:i/>
                <w:iCs/>
                <w:szCs w:val="22"/>
                <w:lang w:eastAsia="en-US" w:bidi="he-IL"/>
              </w:rPr>
            </w:pPr>
            <w:r w:rsidRPr="002309D0">
              <w:rPr>
                <w:rFonts w:eastAsia="Times New Roman"/>
                <w:i/>
                <w:iCs/>
                <w:szCs w:val="22"/>
                <w:lang w:eastAsia="en-US" w:bidi="he-IL"/>
              </w:rPr>
              <w:t>130</w:t>
            </w:r>
          </w:p>
        </w:tc>
        <w:tc>
          <w:tcPr>
            <w:tcW w:w="1790" w:type="dxa"/>
            <w:tcBorders>
              <w:top w:val="single" w:sz="4" w:space="0" w:color="auto"/>
              <w:left w:val="single" w:sz="4" w:space="0" w:color="auto"/>
              <w:bottom w:val="single" w:sz="4" w:space="0" w:color="auto"/>
              <w:right w:val="single" w:sz="4" w:space="0" w:color="auto"/>
            </w:tcBorders>
          </w:tcPr>
          <w:p w14:paraId="41B159A8" w14:textId="77777777" w:rsidR="00393C9B" w:rsidRPr="002309D0" w:rsidRDefault="00393C9B" w:rsidP="007F4BEC">
            <w:pPr>
              <w:suppressAutoHyphens/>
              <w:jc w:val="center"/>
              <w:rPr>
                <w:rFonts w:eastAsia="Times New Roman"/>
                <w:i/>
                <w:iCs/>
                <w:szCs w:val="22"/>
                <w:lang w:eastAsia="en-US" w:bidi="he-IL"/>
              </w:rPr>
            </w:pPr>
            <w:r w:rsidRPr="002309D0">
              <w:rPr>
                <w:rFonts w:eastAsia="Times New Roman"/>
                <w:i/>
                <w:iCs/>
                <w:szCs w:val="22"/>
                <w:lang w:eastAsia="en-US" w:bidi="he-IL"/>
              </w:rPr>
              <w:t>11.5</w:t>
            </w:r>
          </w:p>
        </w:tc>
        <w:tc>
          <w:tcPr>
            <w:tcW w:w="850" w:type="dxa"/>
            <w:tcBorders>
              <w:top w:val="single" w:sz="4" w:space="0" w:color="auto"/>
              <w:left w:val="single" w:sz="4" w:space="0" w:color="auto"/>
              <w:bottom w:val="single" w:sz="4" w:space="0" w:color="auto"/>
              <w:right w:val="single" w:sz="4" w:space="0" w:color="auto"/>
            </w:tcBorders>
          </w:tcPr>
          <w:p w14:paraId="4BC96AA1" w14:textId="77777777" w:rsidR="00393C9B" w:rsidRPr="002309D0" w:rsidRDefault="00393C9B" w:rsidP="007F4BEC">
            <w:pPr>
              <w:suppressAutoHyphens/>
              <w:jc w:val="center"/>
              <w:rPr>
                <w:rFonts w:eastAsia="Times New Roman"/>
                <w:i/>
                <w:iCs/>
                <w:szCs w:val="22"/>
                <w:lang w:eastAsia="en-US" w:bidi="he-IL"/>
              </w:rPr>
            </w:pPr>
          </w:p>
        </w:tc>
        <w:tc>
          <w:tcPr>
            <w:tcW w:w="1134" w:type="dxa"/>
            <w:tcBorders>
              <w:top w:val="single" w:sz="4" w:space="0" w:color="auto"/>
              <w:left w:val="single" w:sz="4" w:space="0" w:color="auto"/>
              <w:bottom w:val="single" w:sz="4" w:space="0" w:color="auto"/>
              <w:right w:val="single" w:sz="4" w:space="0" w:color="auto"/>
            </w:tcBorders>
          </w:tcPr>
          <w:p w14:paraId="090C9236" w14:textId="77777777" w:rsidR="00393C9B" w:rsidRPr="002309D0" w:rsidRDefault="00393C9B" w:rsidP="007F4BEC">
            <w:pPr>
              <w:suppressAutoHyphens/>
              <w:jc w:val="center"/>
              <w:rPr>
                <w:rFonts w:eastAsia="Times New Roman"/>
                <w:i/>
                <w:iCs/>
                <w:szCs w:val="22"/>
                <w:lang w:eastAsia="en-US" w:bidi="he-IL"/>
              </w:rPr>
            </w:pPr>
          </w:p>
        </w:tc>
        <w:tc>
          <w:tcPr>
            <w:tcW w:w="1276" w:type="dxa"/>
            <w:tcBorders>
              <w:top w:val="single" w:sz="4" w:space="0" w:color="auto"/>
              <w:left w:val="single" w:sz="4" w:space="0" w:color="auto"/>
              <w:bottom w:val="single" w:sz="4" w:space="0" w:color="auto"/>
              <w:right w:val="single" w:sz="4" w:space="0" w:color="auto"/>
            </w:tcBorders>
          </w:tcPr>
          <w:p w14:paraId="4251CE6D" w14:textId="77777777" w:rsidR="00393C9B" w:rsidRPr="002309D0" w:rsidRDefault="00393C9B" w:rsidP="007F4BEC">
            <w:pPr>
              <w:suppressAutoHyphens/>
              <w:jc w:val="center"/>
              <w:rPr>
                <w:rFonts w:eastAsia="Times New Roman"/>
                <w:i/>
                <w:iCs/>
                <w:szCs w:val="22"/>
                <w:lang w:eastAsia="en-US" w:bidi="he-IL"/>
              </w:rPr>
            </w:pPr>
          </w:p>
        </w:tc>
      </w:tr>
    </w:tbl>
    <w:p w14:paraId="30138561" w14:textId="6F2F1FF4" w:rsidR="009A31F1" w:rsidRDefault="009A31F1" w:rsidP="009A31F1"/>
    <w:p w14:paraId="44ED2F5F" w14:textId="77777777" w:rsidR="00C5047D" w:rsidRDefault="00C5047D" w:rsidP="009A31F1"/>
    <w:p w14:paraId="1633CD0D" w14:textId="42278305" w:rsidR="00C5047D" w:rsidRDefault="00C5047D" w:rsidP="00C5047D">
      <w:pPr>
        <w:pStyle w:val="RuleQuote"/>
        <w:ind w:left="0"/>
        <w:rPr>
          <w:i w:val="0"/>
          <w:iCs w:val="0"/>
        </w:rPr>
      </w:pPr>
      <w:r>
        <w:rPr>
          <w:i w:val="0"/>
          <w:iCs w:val="0"/>
        </w:rPr>
        <w:t xml:space="preserve">Other information beyond the QMS Report and the above table (optional):  </w:t>
      </w:r>
    </w:p>
    <w:p w14:paraId="41EDAA34" w14:textId="77777777" w:rsidR="00776619" w:rsidRDefault="00776619" w:rsidP="00C5047D">
      <w:pPr>
        <w:pStyle w:val="RuleQuote"/>
        <w:ind w:left="0"/>
        <w:rPr>
          <w:i w:val="0"/>
          <w:iCs w:val="0"/>
        </w:rPr>
      </w:pPr>
    </w:p>
    <w:p w14:paraId="60AF6307" w14:textId="7317350D" w:rsidR="00C5047D" w:rsidRPr="002B3808" w:rsidRDefault="00C5047D" w:rsidP="00C5047D">
      <w:pPr>
        <w:pStyle w:val="SectionHeading"/>
        <w:rPr>
          <w:lang w:val="en-US"/>
        </w:rPr>
      </w:pPr>
      <w:r w:rsidRPr="002B3808">
        <w:rPr>
          <w:lang w:val="en-US"/>
        </w:rPr>
        <w:t>2.2 –</w:t>
      </w:r>
      <w:r w:rsidR="00A66BEF">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3E5C5846" w:rsidR="00C5047D" w:rsidRDefault="00C5047D" w:rsidP="00C5047D">
      <w:pPr>
        <w:pStyle w:val="RuleQuote"/>
        <w:rPr>
          <w:szCs w:val="24"/>
        </w:rPr>
      </w:pPr>
      <w:r>
        <w:t xml:space="preserve">The requirements specified in the Administrative Instructions are set out in </w:t>
      </w:r>
      <w:hyperlink r:id="rId12" w:history="1">
        <w:r w:rsidRPr="00D33D7A">
          <w:rPr>
            <w:rStyle w:val="Hyperlink"/>
          </w:rPr>
          <w:t>Circular C. PCT 1672</w:t>
        </w:r>
      </w:hyperlink>
      <w:r>
        <w:t>, dated June 19, 2024.</w:t>
      </w:r>
    </w:p>
    <w:p w14:paraId="1F2DB717" w14:textId="37000FAA"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  </w:t>
      </w:r>
      <w:hyperlink r:id="rId13" w:anchor="page=221" w:history="1">
        <w:r w:rsidRPr="00D4655F">
          <w:rPr>
            <w:rStyle w:val="Hyperlink"/>
            <w:b w:val="0"/>
            <w:szCs w:val="20"/>
          </w:rPr>
          <w:t>https://www.wipo.int/documents/d/pct-system/docs-en-official-notices-officialnotices.pdf#page=</w:t>
        </w:r>
        <w:r w:rsidR="00D201CB" w:rsidRPr="00D4655F">
          <w:rPr>
            <w:rStyle w:val="Hyperlink"/>
            <w:b w:val="0"/>
            <w:szCs w:val="20"/>
          </w:rPr>
          <w:t>197</w:t>
        </w:r>
      </w:hyperlink>
      <w:r w:rsidRPr="00D114DC">
        <w:rPr>
          <w:b w:val="0"/>
          <w:bCs w:val="0"/>
        </w:rPr>
        <w:t>.</w:t>
      </w:r>
    </w:p>
    <w:p w14:paraId="37D5BDD4" w14:textId="77777777" w:rsidR="00C5047D" w:rsidRDefault="00C5047D" w:rsidP="00614770">
      <w:pPr>
        <w:pStyle w:val="Answer"/>
        <w:ind w:left="0"/>
      </w:pPr>
    </w:p>
    <w:p w14:paraId="1DE04B01" w14:textId="77777777" w:rsidR="00C5047D" w:rsidRDefault="00C5047D" w:rsidP="00C5047D">
      <w:pPr>
        <w:pStyle w:val="Answer"/>
        <w:ind w:left="0"/>
      </w:pPr>
      <w:r>
        <w:t>Or:</w:t>
      </w:r>
    </w:p>
    <w:p w14:paraId="40AA28CD" w14:textId="39313B38" w:rsidR="00C5047D" w:rsidRDefault="006931C7"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29122C8D" w14:textId="77777777" w:rsidR="006A5C36" w:rsidRDefault="006A5C36" w:rsidP="00C5047D">
      <w:pPr>
        <w:pStyle w:val="Answer"/>
        <w:ind w:left="0"/>
      </w:pPr>
    </w:p>
    <w:p w14:paraId="19A4C13D" w14:textId="77777777" w:rsidR="00C5047D" w:rsidRPr="002B3808" w:rsidRDefault="00C5047D" w:rsidP="00C5047D">
      <w:pPr>
        <w:pStyle w:val="SectionHeading"/>
        <w:rPr>
          <w:lang w:val="en-US"/>
        </w:rPr>
      </w:pPr>
      <w:r w:rsidRPr="002B3808">
        <w:rPr>
          <w:lang w:val="en-US"/>
        </w:rPr>
        <w:lastRenderedPageBreak/>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24AB7E3C" w:rsidR="00C5047D" w:rsidRDefault="00C5047D" w:rsidP="00C5047D">
      <w:pPr>
        <w:pStyle w:val="RuleQuote"/>
        <w:ind w:left="0"/>
        <w:rPr>
          <w:i w:val="0"/>
          <w:iCs w:val="0"/>
        </w:rPr>
      </w:pPr>
      <w:r>
        <w:rPr>
          <w:i w:val="0"/>
          <w:iCs w:val="0"/>
        </w:rPr>
        <w:t xml:space="preserve">Other information beyond the QMS Report (optional):  </w:t>
      </w:r>
    </w:p>
    <w:p w14:paraId="143C4AE9" w14:textId="77777777" w:rsidR="00C90371" w:rsidRDefault="00C90371" w:rsidP="00C5047D">
      <w:pPr>
        <w:pStyle w:val="RuleQuote"/>
        <w:ind w:left="0"/>
        <w:rPr>
          <w:i w:val="0"/>
          <w:iCs w:val="0"/>
        </w:rPr>
      </w:pPr>
    </w:p>
    <w:p w14:paraId="6EF613BF" w14:textId="5C5B313A" w:rsidR="00C5047D" w:rsidRPr="002B3808" w:rsidRDefault="00C5047D" w:rsidP="00C5047D">
      <w:pPr>
        <w:pStyle w:val="SectionHeading"/>
        <w:rPr>
          <w:lang w:val="en-US"/>
        </w:rPr>
      </w:pPr>
      <w:r w:rsidRPr="002B3808">
        <w:rPr>
          <w:lang w:val="en-US"/>
        </w:rPr>
        <w:t>2.4 –</w:t>
      </w:r>
      <w:r w:rsidR="00A66BEF">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28039FDC" w:rsidR="00C5047D" w:rsidRDefault="00C5047D" w:rsidP="00C5047D">
      <w:pPr>
        <w:pStyle w:val="RuleQuote"/>
        <w:ind w:left="0"/>
        <w:rPr>
          <w:i w:val="0"/>
          <w:iCs w:val="0"/>
        </w:rPr>
      </w:pPr>
      <w:r>
        <w:rPr>
          <w:i w:val="0"/>
          <w:iCs w:val="0"/>
        </w:rPr>
        <w:t xml:space="preserve">Other information beyond the QMS Report (optional):  </w:t>
      </w:r>
    </w:p>
    <w:p w14:paraId="7C9D5636" w14:textId="77777777" w:rsidR="00C90371" w:rsidRDefault="00C90371"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34999C84" w:rsidR="00C5047D" w:rsidRPr="003F6F0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5" w:name="_Hlk214637647"/>
      <w:r w:rsidR="00614770">
        <w:rPr>
          <w:b w:val="0"/>
          <w:bCs w:val="0"/>
        </w:rPr>
        <w:t>s</w:t>
      </w:r>
      <w:r>
        <w:rPr>
          <w:b w:val="0"/>
          <w:bCs w:val="0"/>
        </w:rPr>
        <w:t xml:space="preserve">: </w:t>
      </w:r>
      <w:bookmarkEnd w:id="5"/>
      <w:r w:rsidR="00842922">
        <w:rPr>
          <w:b w:val="0"/>
          <w:bCs w:val="0"/>
        </w:rPr>
        <w:t xml:space="preserve"> </w:t>
      </w:r>
      <w:hyperlink r:id="rId14" w:history="1">
        <w:r w:rsidR="00842922" w:rsidRPr="00D4655F">
          <w:rPr>
            <w:rStyle w:val="Hyperlink"/>
            <w:b w:val="0"/>
            <w:szCs w:val="20"/>
          </w:rPr>
          <w:t>https://pctlegal.wipo.int/eGuide/view-doc.xhtml?doc-code=IL&amp;doc-lang=en#ISA</w:t>
        </w:r>
      </w:hyperlink>
      <w:r w:rsidR="00842922">
        <w:rPr>
          <w:b w:val="0"/>
          <w:bCs w:val="0"/>
        </w:rPr>
        <w:t xml:space="preserve"> and </w:t>
      </w:r>
      <w:hyperlink r:id="rId15" w:history="1">
        <w:r w:rsidR="00842922" w:rsidRPr="00D4655F">
          <w:rPr>
            <w:rStyle w:val="Hyperlink"/>
            <w:b w:val="0"/>
            <w:szCs w:val="20"/>
          </w:rPr>
          <w:t>https://pctlegal.wipo.int/eGuide/view-doc.xhtml?doc-code=IL&amp;doc-lang=en#IPEA</w:t>
        </w:r>
      </w:hyperlink>
      <w:r>
        <w:rPr>
          <w:b w:val="0"/>
          <w:bCs w:val="0"/>
          <w:i/>
          <w:iCs/>
        </w:rPr>
        <w:t>.</w:t>
      </w:r>
    </w:p>
    <w:p w14:paraId="28EC7561" w14:textId="058E97A1" w:rsidR="00C5047D" w:rsidRDefault="00A66BEF" w:rsidP="00A66BEF">
      <w:pPr>
        <w:pStyle w:val="Question"/>
        <w:numPr>
          <w:ilvl w:val="0"/>
          <w:numId w:val="8"/>
        </w:numPr>
        <w:spacing w:after="240"/>
      </w:pPr>
      <w:r>
        <w:tab/>
      </w:r>
      <w:r w:rsidR="00C5047D">
        <w:t>Planned changes to scope of operation as an Authority, such</w:t>
      </w:r>
      <w:r w:rsidR="002309D0">
        <w:t xml:space="preserve"> as</w:t>
      </w:r>
      <w:r w:rsidR="00C5047D">
        <w:t xml:space="preserve"> the receiving Offices for which the Authority is competent and languages offered (if any):</w:t>
      </w:r>
      <w:r w:rsidR="00C90371">
        <w:t xml:space="preserve"> </w:t>
      </w:r>
    </w:p>
    <w:p w14:paraId="47EB7F15" w14:textId="77777777" w:rsidR="005B6C67" w:rsidRPr="002309D0" w:rsidRDefault="005B6C67" w:rsidP="005B6C67">
      <w:pPr>
        <w:jc w:val="both"/>
        <w:rPr>
          <w:bCs/>
        </w:rPr>
      </w:pPr>
      <w:r w:rsidRPr="002309D0">
        <w:rPr>
          <w:bCs/>
        </w:rPr>
        <w:t>Since 2012, the Israel Patent Office (ILPO) has been competent to act as an International Authority for international applications filed with the RO/IL, RO/IB, RO/US, and RO/GE, serving Israeli, USA and Georgian applicants.</w:t>
      </w:r>
    </w:p>
    <w:p w14:paraId="695C9176" w14:textId="7D3F80F3" w:rsidR="005B6C67" w:rsidRPr="002309D0" w:rsidRDefault="005B6C67" w:rsidP="005B6C67">
      <w:pPr>
        <w:jc w:val="both"/>
        <w:rPr>
          <w:bCs/>
        </w:rPr>
      </w:pPr>
      <w:r w:rsidRPr="002309D0">
        <w:rPr>
          <w:bCs/>
        </w:rPr>
        <w:t>Since then, the ILPO has provided high-quality search and examination services across all technical fields, including emerging technologies.</w:t>
      </w:r>
    </w:p>
    <w:p w14:paraId="5D6A3B9A" w14:textId="0291AAB5" w:rsidR="005B6C67" w:rsidRPr="002309D0" w:rsidRDefault="005B6C67" w:rsidP="005B6C67">
      <w:pPr>
        <w:jc w:val="both"/>
        <w:rPr>
          <w:bCs/>
        </w:rPr>
      </w:pPr>
      <w:r w:rsidRPr="002309D0">
        <w:rPr>
          <w:bCs/>
        </w:rPr>
        <w:lastRenderedPageBreak/>
        <w:t xml:space="preserve">Currently, the ILPO operates in English for PCT applications. </w:t>
      </w:r>
      <w:r w:rsidR="00770888">
        <w:rPr>
          <w:bCs/>
        </w:rPr>
        <w:t xml:space="preserve"> </w:t>
      </w:r>
      <w:r w:rsidRPr="002309D0">
        <w:rPr>
          <w:bCs/>
        </w:rPr>
        <w:t xml:space="preserve">All examiners are fluent in both English and Hebrew and possess additional language skills in Arabic, Russian, and the main European languages. </w:t>
      </w:r>
      <w:r w:rsidR="00897463">
        <w:rPr>
          <w:bCs/>
        </w:rPr>
        <w:t xml:space="preserve"> </w:t>
      </w:r>
      <w:r w:rsidRPr="002309D0">
        <w:rPr>
          <w:bCs/>
        </w:rPr>
        <w:t xml:space="preserve">Moreover, all examiners have access to advanced automated and AI-powered tools that assist in understanding and drafting non-English texts. </w:t>
      </w:r>
      <w:r w:rsidR="00897463">
        <w:rPr>
          <w:bCs/>
        </w:rPr>
        <w:t xml:space="preserve"> </w:t>
      </w:r>
      <w:r w:rsidRPr="002309D0">
        <w:rPr>
          <w:bCs/>
        </w:rPr>
        <w:t>The successful integration of AI into the examination process enables the ILPO to manage a greater volume of PCT applications without increasing examiner numbers, while ensuring more comprehensive and in-depth analyses, ultimately enhancing both the quality and efficiency of international searches and examinations.</w:t>
      </w:r>
    </w:p>
    <w:p w14:paraId="4F7D797B" w14:textId="77777777" w:rsidR="005B6C67" w:rsidRPr="002309D0" w:rsidRDefault="005B6C67" w:rsidP="005B6C67">
      <w:pPr>
        <w:jc w:val="both"/>
        <w:rPr>
          <w:bCs/>
        </w:rPr>
      </w:pPr>
    </w:p>
    <w:p w14:paraId="1BAA4B29" w14:textId="77777777" w:rsidR="005B6C67" w:rsidRPr="002309D0" w:rsidRDefault="005B6C67" w:rsidP="005B6C67">
      <w:pPr>
        <w:jc w:val="both"/>
        <w:rPr>
          <w:bCs/>
        </w:rPr>
      </w:pPr>
      <w:proofErr w:type="gramStart"/>
      <w:r w:rsidRPr="002309D0">
        <w:rPr>
          <w:bCs/>
        </w:rPr>
        <w:t>In light of</w:t>
      </w:r>
      <w:proofErr w:type="gramEnd"/>
      <w:r w:rsidRPr="002309D0">
        <w:rPr>
          <w:bCs/>
        </w:rPr>
        <w:t xml:space="preserve"> the above, the ILPO plans the following extensions to its scope of operation as an ISA/IPEA:</w:t>
      </w:r>
    </w:p>
    <w:p w14:paraId="6F1237D0" w14:textId="77777777" w:rsidR="005B6C67" w:rsidRPr="002309D0" w:rsidRDefault="005B6C67" w:rsidP="005B6C67">
      <w:pPr>
        <w:jc w:val="both"/>
        <w:rPr>
          <w:bCs/>
        </w:rPr>
      </w:pPr>
    </w:p>
    <w:p w14:paraId="28F41130" w14:textId="77777777" w:rsidR="005B6C67" w:rsidRPr="002309D0" w:rsidRDefault="005B6C67" w:rsidP="005B6C67">
      <w:pPr>
        <w:pStyle w:val="ListParagraph"/>
        <w:numPr>
          <w:ilvl w:val="0"/>
          <w:numId w:val="10"/>
        </w:numPr>
        <w:jc w:val="both"/>
        <w:rPr>
          <w:b/>
        </w:rPr>
      </w:pPr>
      <w:r w:rsidRPr="002309D0">
        <w:rPr>
          <w:b/>
        </w:rPr>
        <w:t>Expansion of Competence to Additional Receiving Offices</w:t>
      </w:r>
    </w:p>
    <w:p w14:paraId="36442432" w14:textId="77777777" w:rsidR="005B6C67" w:rsidRPr="002309D0" w:rsidRDefault="005B6C67" w:rsidP="005B6C67">
      <w:pPr>
        <w:spacing w:after="120"/>
        <w:ind w:left="720"/>
        <w:jc w:val="both"/>
        <w:rPr>
          <w:bCs/>
        </w:rPr>
      </w:pPr>
      <w:r w:rsidRPr="002309D0">
        <w:rPr>
          <w:bCs/>
        </w:rPr>
        <w:t>The ILPO is open to expanding its competence to receive and perform search and examination for PCT applications originating from additional Receiving Offices beyond its current scope of operation.</w:t>
      </w:r>
    </w:p>
    <w:p w14:paraId="6F2D701F" w14:textId="77777777" w:rsidR="005B6C67" w:rsidRPr="002309D0" w:rsidRDefault="005B6C67" w:rsidP="005B6C67">
      <w:pPr>
        <w:pStyle w:val="ListParagraph"/>
        <w:numPr>
          <w:ilvl w:val="0"/>
          <w:numId w:val="10"/>
        </w:numPr>
        <w:jc w:val="both"/>
        <w:rPr>
          <w:b/>
        </w:rPr>
      </w:pPr>
      <w:r w:rsidRPr="002309D0">
        <w:rPr>
          <w:b/>
        </w:rPr>
        <w:t>Expansion of Languages Offered</w:t>
      </w:r>
    </w:p>
    <w:p w14:paraId="3D334CEC" w14:textId="47FBFBE2" w:rsidR="005B6C67" w:rsidRPr="002309D0" w:rsidRDefault="005B6C67" w:rsidP="005B6C67">
      <w:pPr>
        <w:spacing w:after="120"/>
        <w:ind w:left="720"/>
        <w:jc w:val="both"/>
        <w:rPr>
          <w:bCs/>
        </w:rPr>
      </w:pPr>
      <w:bookmarkStart w:id="6" w:name="_Hlk212659811"/>
      <w:r w:rsidRPr="002309D0">
        <w:rPr>
          <w:bCs/>
        </w:rPr>
        <w:t xml:space="preserve">The expansion of the ILPO's operations to additional Receiving Offices will initially involve conducting search and examination in English, as currently practiced. </w:t>
      </w:r>
      <w:r w:rsidR="00770888">
        <w:rPr>
          <w:bCs/>
        </w:rPr>
        <w:t xml:space="preserve"> </w:t>
      </w:r>
      <w:r w:rsidRPr="002309D0">
        <w:rPr>
          <w:bCs/>
        </w:rPr>
        <w:t xml:space="preserve">Subsequently, the ILPO aims to offer its search and examination services in additional languages, prioritizing those in which its examiners possess proficiency, such as Arabic, Russian, French, and Spanish. </w:t>
      </w:r>
      <w:r w:rsidR="00770888">
        <w:rPr>
          <w:bCs/>
        </w:rPr>
        <w:t xml:space="preserve"> </w:t>
      </w:r>
      <w:r w:rsidRPr="002309D0">
        <w:rPr>
          <w:bCs/>
        </w:rPr>
        <w:t>This multilingual capability will be supported by AI-based translation and analysis tools to ensure quality and consistency.</w:t>
      </w:r>
    </w:p>
    <w:bookmarkEnd w:id="6"/>
    <w:p w14:paraId="741AD6B8" w14:textId="77777777" w:rsidR="005B6C67" w:rsidRPr="002309D0" w:rsidRDefault="005B6C67" w:rsidP="005B6C67">
      <w:pPr>
        <w:pStyle w:val="ListParagraph"/>
        <w:numPr>
          <w:ilvl w:val="0"/>
          <w:numId w:val="10"/>
        </w:numPr>
        <w:jc w:val="both"/>
        <w:rPr>
          <w:b/>
        </w:rPr>
      </w:pPr>
      <w:r w:rsidRPr="002309D0">
        <w:rPr>
          <w:b/>
        </w:rPr>
        <w:t>Provision of Comprehensive Prior Art Scoring Lists</w:t>
      </w:r>
    </w:p>
    <w:p w14:paraId="44AC3AA4" w14:textId="28FADE2D" w:rsidR="005B6C67" w:rsidRPr="002309D0" w:rsidRDefault="005B6C67" w:rsidP="005B6C67">
      <w:pPr>
        <w:spacing w:after="120"/>
        <w:ind w:left="720"/>
        <w:jc w:val="both"/>
        <w:rPr>
          <w:bCs/>
        </w:rPr>
      </w:pPr>
      <w:r w:rsidRPr="002309D0">
        <w:rPr>
          <w:bCs/>
        </w:rPr>
        <w:t xml:space="preserve">The ILPO intends to enhance the information included in the search strategy report by providing a comprehensive list of relevant prior art documents, beyond those cited in the International Search Report (ISR), sorted according to their relevance to the claimed invention. </w:t>
      </w:r>
      <w:r w:rsidR="00770888">
        <w:rPr>
          <w:bCs/>
        </w:rPr>
        <w:t xml:space="preserve"> </w:t>
      </w:r>
      <w:r w:rsidRPr="002309D0">
        <w:rPr>
          <w:bCs/>
        </w:rPr>
        <w:t>This list will be generated using AI-based search tools available at the ILPO.</w:t>
      </w:r>
    </w:p>
    <w:p w14:paraId="1E5291B4" w14:textId="77777777" w:rsidR="005B6C67" w:rsidRPr="002309D0" w:rsidRDefault="005B6C67" w:rsidP="005B6C67">
      <w:pPr>
        <w:pStyle w:val="ListParagraph"/>
        <w:numPr>
          <w:ilvl w:val="0"/>
          <w:numId w:val="10"/>
        </w:numPr>
        <w:jc w:val="both"/>
        <w:rPr>
          <w:b/>
        </w:rPr>
      </w:pPr>
      <w:r w:rsidRPr="002309D0">
        <w:rPr>
          <w:b/>
        </w:rPr>
        <w:t>Introduction of Patent Landscape Analysis Reports</w:t>
      </w:r>
    </w:p>
    <w:p w14:paraId="30771BBA" w14:textId="6CC5EBA3" w:rsidR="005B6C67" w:rsidRPr="002309D0" w:rsidRDefault="005B6C67" w:rsidP="005B6C67">
      <w:pPr>
        <w:ind w:left="720"/>
        <w:jc w:val="both"/>
        <w:rPr>
          <w:bCs/>
        </w:rPr>
      </w:pPr>
      <w:r w:rsidRPr="002309D0">
        <w:rPr>
          <w:bCs/>
        </w:rPr>
        <w:t xml:space="preserve">The ILPO plans to introduce landscape-analysis reports, including </w:t>
      </w:r>
      <w:proofErr w:type="gramStart"/>
      <w:r w:rsidRPr="002309D0">
        <w:rPr>
          <w:bCs/>
        </w:rPr>
        <w:t>innovation</w:t>
      </w:r>
      <w:proofErr w:type="gramEnd"/>
      <w:r w:rsidRPr="002309D0">
        <w:rPr>
          <w:bCs/>
        </w:rPr>
        <w:t xml:space="preserve"> indices and visual maps of the patent landscape, to provide applicants with deeper insights into the technological domain of their claimed inventions as additional information annexed to the search reports.</w:t>
      </w:r>
    </w:p>
    <w:p w14:paraId="408FFD2A" w14:textId="77777777" w:rsidR="005B6C67" w:rsidRPr="005B6C67" w:rsidRDefault="005B6C67" w:rsidP="005B6C67">
      <w:pPr>
        <w:pStyle w:val="Answer"/>
        <w:ind w:left="0"/>
      </w:pPr>
    </w:p>
    <w:p w14:paraId="5EB9384A" w14:textId="77777777" w:rsidR="00C90371" w:rsidRPr="00C90371" w:rsidRDefault="00C90371" w:rsidP="00C90371">
      <w:pPr>
        <w:pStyle w:val="Answer"/>
        <w:ind w:left="0"/>
      </w:pP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7C0855F5" w14:textId="77777777" w:rsidR="005B6C67" w:rsidRDefault="005B6C67" w:rsidP="00C5047D"/>
    <w:p w14:paraId="02B91148" w14:textId="3B2A2C5B" w:rsidR="005B6C67" w:rsidRPr="002309D0" w:rsidRDefault="005B6C67" w:rsidP="00E25F96">
      <w:pPr>
        <w:spacing w:after="120"/>
        <w:jc w:val="both"/>
        <w:rPr>
          <w:rFonts w:asciiTheme="minorBidi" w:eastAsia="Calibri" w:hAnsiTheme="minorBidi" w:cstheme="minorBidi"/>
          <w:b/>
          <w:szCs w:val="22"/>
          <w:lang w:bidi="he-IL"/>
        </w:rPr>
      </w:pPr>
      <w:r w:rsidRPr="002309D0">
        <w:rPr>
          <w:rFonts w:eastAsia="Calibri"/>
          <w:bCs/>
          <w:szCs w:val="22"/>
          <w:lang w:bidi="he-IL"/>
        </w:rPr>
        <w:t xml:space="preserve">The Israel Patent Office (ILPO) has been operating as an International Searching and Preliminary Examining Authority (ISA/IPEA) under the Patent Cooperation Treaty (PCT) since June 1, 2012, following its appointment in October 2009. </w:t>
      </w:r>
      <w:r w:rsidR="00770888">
        <w:rPr>
          <w:rFonts w:eastAsia="Calibri"/>
          <w:bCs/>
          <w:szCs w:val="22"/>
          <w:lang w:bidi="he-IL"/>
        </w:rPr>
        <w:t xml:space="preserve"> </w:t>
      </w:r>
      <w:r w:rsidRPr="002309D0">
        <w:rPr>
          <w:rFonts w:eastAsia="Calibri"/>
          <w:bCs/>
          <w:szCs w:val="22"/>
          <w:lang w:bidi="he-IL"/>
        </w:rPr>
        <w:t xml:space="preserve">Building on over a decade of successful service, the ILPO wishes to extend its appointment as an ISA and IPEA. </w:t>
      </w:r>
      <w:r w:rsidR="00897463">
        <w:rPr>
          <w:rFonts w:eastAsia="Calibri"/>
          <w:bCs/>
          <w:szCs w:val="22"/>
          <w:lang w:bidi="he-IL"/>
        </w:rPr>
        <w:t xml:space="preserve"> </w:t>
      </w:r>
      <w:r w:rsidRPr="002309D0">
        <w:rPr>
          <w:rFonts w:eastAsia="Calibri"/>
          <w:bCs/>
          <w:szCs w:val="22"/>
          <w:lang w:bidi="he-IL"/>
        </w:rPr>
        <w:t>This statement highlights ILPO’s proven capabilities, significant achievements, and strategic vision for continued contribution to the PCT system, reaffirming its commitment to supporting global innovation and the development of intellectual property.</w:t>
      </w:r>
      <w:bookmarkStart w:id="7" w:name="_Hlk209637017"/>
    </w:p>
    <w:p w14:paraId="6CC037BF" w14:textId="77777777" w:rsidR="00736CAF" w:rsidRPr="002309D0" w:rsidRDefault="00736CAF" w:rsidP="00E25F96">
      <w:pPr>
        <w:spacing w:after="120"/>
        <w:jc w:val="both"/>
        <w:rPr>
          <w:rFonts w:asciiTheme="minorBidi" w:eastAsia="Calibri" w:hAnsiTheme="minorBidi" w:cstheme="minorBidi"/>
          <w:b/>
          <w:szCs w:val="22"/>
          <w:lang w:bidi="he-IL"/>
        </w:rPr>
      </w:pPr>
    </w:p>
    <w:p w14:paraId="225F158D" w14:textId="36555560" w:rsidR="005B6C67" w:rsidRPr="002309D0" w:rsidRDefault="005B6C67" w:rsidP="005B6C67">
      <w:pPr>
        <w:pStyle w:val="ListParagraph"/>
        <w:numPr>
          <w:ilvl w:val="0"/>
          <w:numId w:val="11"/>
        </w:numPr>
        <w:spacing w:after="120"/>
        <w:ind w:left="357" w:hanging="357"/>
        <w:contextualSpacing w:val="0"/>
        <w:jc w:val="both"/>
        <w:rPr>
          <w:rFonts w:eastAsia="Calibri"/>
          <w:b/>
          <w:szCs w:val="22"/>
          <w:lang w:bidi="he-IL"/>
        </w:rPr>
      </w:pPr>
      <w:r w:rsidRPr="002309D0">
        <w:rPr>
          <w:rFonts w:eastAsia="Calibri"/>
          <w:b/>
          <w:szCs w:val="22"/>
          <w:lang w:bidi="he-IL"/>
        </w:rPr>
        <w:lastRenderedPageBreak/>
        <w:t>Commitment to Quality: Expertise, International Standards, and Advanced Examination Practices</w:t>
      </w:r>
    </w:p>
    <w:p w14:paraId="34CA873C" w14:textId="5BF467E3" w:rsidR="005B6C67" w:rsidRPr="002309D0" w:rsidRDefault="005B6C67" w:rsidP="005B6C67">
      <w:pPr>
        <w:spacing w:after="120"/>
        <w:ind w:left="357"/>
        <w:jc w:val="both"/>
        <w:rPr>
          <w:rFonts w:eastAsia="Calibri"/>
          <w:bCs/>
          <w:szCs w:val="22"/>
          <w:lang w:bidi="he-IL"/>
        </w:rPr>
      </w:pPr>
      <w:r w:rsidRPr="002309D0">
        <w:rPr>
          <w:rFonts w:eastAsia="Calibri"/>
          <w:bCs/>
          <w:szCs w:val="22"/>
          <w:lang w:bidi="he-IL"/>
        </w:rPr>
        <w:t xml:space="preserve">The Israel Patent Office (ILPO) consistently delivers high-quality international search and examination services in full compliance with PCT legal texts and international standards. Its team of highly experienced examiners conducts accurate and comprehensive prior art searches and patentability assessments across all technical fields, including cutting-edge technologies such as artificial intelligence (AI), quantum computing, bioinformatics, biotechnology, </w:t>
      </w:r>
      <w:proofErr w:type="spellStart"/>
      <w:r w:rsidRPr="002309D0">
        <w:rPr>
          <w:rFonts w:eastAsia="Calibri"/>
          <w:bCs/>
          <w:szCs w:val="22"/>
          <w:lang w:bidi="he-IL"/>
        </w:rPr>
        <w:t>foodtech</w:t>
      </w:r>
      <w:proofErr w:type="spellEnd"/>
      <w:r w:rsidRPr="002309D0">
        <w:rPr>
          <w:rFonts w:eastAsia="Calibri"/>
          <w:bCs/>
          <w:szCs w:val="22"/>
          <w:lang w:bidi="he-IL"/>
        </w:rPr>
        <w:t xml:space="preserve">, cybersecurity, healthcare and sustainable technologies. </w:t>
      </w:r>
      <w:r w:rsidR="00770888">
        <w:rPr>
          <w:rFonts w:eastAsia="Calibri"/>
          <w:bCs/>
          <w:szCs w:val="22"/>
          <w:lang w:bidi="he-IL"/>
        </w:rPr>
        <w:t xml:space="preserve"> </w:t>
      </w:r>
      <w:r w:rsidRPr="002309D0">
        <w:rPr>
          <w:rFonts w:eastAsia="Calibri"/>
          <w:bCs/>
          <w:szCs w:val="22"/>
          <w:lang w:bidi="he-IL"/>
        </w:rPr>
        <w:t>Continuous professional development, including professional courses in emerging technologies and AI-assisted training programs, ensures that examiners remain aligned with the latest legal and technical requirements.</w:t>
      </w:r>
      <w:r w:rsidR="00897463">
        <w:rPr>
          <w:rFonts w:eastAsia="Calibri"/>
          <w:bCs/>
          <w:szCs w:val="22"/>
          <w:lang w:bidi="he-IL"/>
        </w:rPr>
        <w:t xml:space="preserve"> </w:t>
      </w:r>
      <w:r w:rsidRPr="002309D0">
        <w:rPr>
          <w:rFonts w:eastAsia="Calibri"/>
          <w:bCs/>
          <w:szCs w:val="22"/>
          <w:lang w:bidi="he-IL"/>
        </w:rPr>
        <w:t xml:space="preserve"> The Examination Guidelines for patent applications cover all technical fields, including special cases such as inventions related to antibodies, sub-populations, polymorphism</w:t>
      </w:r>
      <w:proofErr w:type="gramStart"/>
      <w:r w:rsidRPr="002309D0">
        <w:rPr>
          <w:rFonts w:eastAsia="Calibri"/>
          <w:bCs/>
          <w:szCs w:val="22"/>
          <w:lang w:bidi="he-IL"/>
        </w:rPr>
        <w:t>, percent</w:t>
      </w:r>
      <w:proofErr w:type="gramEnd"/>
      <w:r w:rsidRPr="002309D0">
        <w:rPr>
          <w:rFonts w:eastAsia="Calibri"/>
          <w:bCs/>
          <w:szCs w:val="22"/>
          <w:lang w:bidi="he-IL"/>
        </w:rPr>
        <w:t xml:space="preserve"> homology, which are not covered by the PCT International Search and Preliminary Examination Guidelines.</w:t>
      </w:r>
    </w:p>
    <w:p w14:paraId="58B2C770" w14:textId="77777777" w:rsidR="005B6C67" w:rsidRPr="002309D0" w:rsidRDefault="005B6C67" w:rsidP="005B6C67">
      <w:pPr>
        <w:spacing w:after="240"/>
        <w:ind w:left="357"/>
        <w:jc w:val="both"/>
        <w:rPr>
          <w:rFonts w:eastAsia="Calibri"/>
          <w:bCs/>
          <w:szCs w:val="22"/>
          <w:lang w:bidi="he-IL"/>
        </w:rPr>
      </w:pPr>
      <w:r w:rsidRPr="002309D0">
        <w:rPr>
          <w:rFonts w:eastAsia="Calibri"/>
          <w:bCs/>
          <w:szCs w:val="22"/>
          <w:lang w:bidi="he-IL"/>
        </w:rPr>
        <w:t>This commitment to excellence is reinforced by a robust Quality Management System certified under ISO 9001:2015 since 2016 following certification under ISO 9001:2008 since 2010, covering all service of the ILPO as well as the adoption of advanced risk-based practices in accordance with ISO 31000:2018 and ISO/IEC 23894:2023 for AI risk management.</w:t>
      </w:r>
    </w:p>
    <w:bookmarkEnd w:id="7"/>
    <w:p w14:paraId="5D99E7D5" w14:textId="77777777" w:rsidR="005B6C67" w:rsidRPr="002309D0" w:rsidRDefault="005B6C67" w:rsidP="005B6C67">
      <w:pPr>
        <w:pStyle w:val="ListParagraph"/>
        <w:numPr>
          <w:ilvl w:val="0"/>
          <w:numId w:val="11"/>
        </w:numPr>
        <w:spacing w:after="120"/>
        <w:ind w:left="357" w:hanging="357"/>
        <w:contextualSpacing w:val="0"/>
        <w:jc w:val="both"/>
        <w:rPr>
          <w:rFonts w:eastAsia="Calibri"/>
          <w:b/>
          <w:szCs w:val="22"/>
          <w:lang w:bidi="he-IL"/>
        </w:rPr>
      </w:pPr>
      <w:r w:rsidRPr="002309D0">
        <w:rPr>
          <w:rFonts w:eastAsia="Calibri"/>
          <w:b/>
          <w:szCs w:val="22"/>
          <w:lang w:bidi="he-IL"/>
        </w:rPr>
        <w:t>Harnessing Advanced Technologies for Quality and Efficiency in Patent Examination</w:t>
      </w:r>
    </w:p>
    <w:p w14:paraId="745FAF8A" w14:textId="4C3576D2" w:rsidR="005B6C67" w:rsidRPr="002309D0" w:rsidRDefault="005B6C67" w:rsidP="005B6C67">
      <w:pPr>
        <w:spacing w:after="120"/>
        <w:ind w:left="357"/>
        <w:jc w:val="both"/>
        <w:rPr>
          <w:rFonts w:eastAsia="Calibri"/>
          <w:bCs/>
          <w:szCs w:val="22"/>
          <w:lang w:bidi="he-IL"/>
        </w:rPr>
      </w:pPr>
      <w:r w:rsidRPr="002309D0">
        <w:rPr>
          <w:rFonts w:eastAsia="Calibri"/>
          <w:bCs/>
          <w:szCs w:val="22"/>
          <w:lang w:bidi="he-IL"/>
        </w:rPr>
        <w:t>As a modern patent office, the ILPO places strong emphasis on integrating advanced IT systems to enhance accessibility and improve the user experience for both local and international applicants.</w:t>
      </w:r>
      <w:r w:rsidR="00897463">
        <w:rPr>
          <w:rFonts w:eastAsia="Calibri"/>
          <w:bCs/>
          <w:szCs w:val="22"/>
          <w:lang w:bidi="he-IL"/>
        </w:rPr>
        <w:t xml:space="preserve"> </w:t>
      </w:r>
      <w:r w:rsidRPr="002309D0">
        <w:rPr>
          <w:rFonts w:eastAsia="Calibri"/>
          <w:bCs/>
          <w:szCs w:val="22"/>
          <w:lang w:bidi="he-IL"/>
        </w:rPr>
        <w:t xml:space="preserve"> ILPO’s robust online services, fully available in English, enable seamless filing, real-time tracking of applications, digital correspondence, and secure online payments, thus offering significant benefits to international users.</w:t>
      </w:r>
    </w:p>
    <w:p w14:paraId="15DE472F" w14:textId="4A425E95" w:rsidR="005B6C67" w:rsidRPr="002309D0" w:rsidRDefault="005B6C67" w:rsidP="005B6C67">
      <w:pPr>
        <w:spacing w:after="120"/>
        <w:ind w:left="357"/>
        <w:jc w:val="both"/>
        <w:rPr>
          <w:rFonts w:eastAsia="Calibri"/>
          <w:bCs/>
          <w:szCs w:val="22"/>
          <w:lang w:bidi="he-IL"/>
        </w:rPr>
      </w:pPr>
      <w:r w:rsidRPr="002309D0">
        <w:rPr>
          <w:rFonts w:eastAsia="Calibri"/>
          <w:bCs/>
          <w:szCs w:val="22"/>
          <w:lang w:bidi="he-IL"/>
        </w:rPr>
        <w:t xml:space="preserve">The ILPO is committed to ongoing, substantial investments in leading-edge IT systems and digital tools, in line with its policy to provide stakeholders with modern, high-quality, and efficient search and examination processes. </w:t>
      </w:r>
      <w:r w:rsidR="00897463">
        <w:rPr>
          <w:rFonts w:eastAsia="Calibri"/>
          <w:bCs/>
          <w:szCs w:val="22"/>
          <w:lang w:bidi="he-IL"/>
        </w:rPr>
        <w:t xml:space="preserve"> </w:t>
      </w:r>
      <w:r w:rsidRPr="002309D0">
        <w:rPr>
          <w:rFonts w:eastAsia="Calibri"/>
          <w:bCs/>
          <w:szCs w:val="22"/>
          <w:lang w:bidi="he-IL"/>
        </w:rPr>
        <w:t xml:space="preserve">The advanced automated systems for both national and international applications provide </w:t>
      </w:r>
      <w:proofErr w:type="gramStart"/>
      <w:r w:rsidRPr="002309D0">
        <w:rPr>
          <w:rFonts w:eastAsia="Calibri"/>
          <w:bCs/>
          <w:szCs w:val="22"/>
          <w:lang w:bidi="he-IL"/>
        </w:rPr>
        <w:t>a guided</w:t>
      </w:r>
      <w:proofErr w:type="gramEnd"/>
      <w:r w:rsidRPr="002309D0">
        <w:rPr>
          <w:rFonts w:eastAsia="Calibri"/>
          <w:bCs/>
          <w:szCs w:val="22"/>
          <w:lang w:bidi="he-IL"/>
        </w:rPr>
        <w:t xml:space="preserve"> workflow </w:t>
      </w:r>
      <w:proofErr w:type="gramStart"/>
      <w:r w:rsidRPr="002309D0">
        <w:rPr>
          <w:rFonts w:eastAsia="Calibri"/>
          <w:bCs/>
          <w:szCs w:val="22"/>
          <w:lang w:bidi="he-IL"/>
        </w:rPr>
        <w:t>platforms</w:t>
      </w:r>
      <w:proofErr w:type="gramEnd"/>
      <w:r w:rsidRPr="002309D0">
        <w:rPr>
          <w:rFonts w:eastAsia="Calibri"/>
          <w:bCs/>
          <w:szCs w:val="22"/>
          <w:lang w:bidi="he-IL"/>
        </w:rPr>
        <w:t xml:space="preserve"> with integrated quality control mechanisms. </w:t>
      </w:r>
      <w:r w:rsidR="00897463">
        <w:rPr>
          <w:rFonts w:eastAsia="Calibri"/>
          <w:bCs/>
          <w:szCs w:val="22"/>
          <w:lang w:bidi="he-IL"/>
        </w:rPr>
        <w:t xml:space="preserve"> </w:t>
      </w:r>
      <w:r w:rsidRPr="002309D0">
        <w:rPr>
          <w:rFonts w:eastAsia="Calibri"/>
          <w:bCs/>
          <w:szCs w:val="22"/>
          <w:lang w:bidi="he-IL"/>
        </w:rPr>
        <w:t xml:space="preserve">These platforms support documentation of structured </w:t>
      </w:r>
      <w:proofErr w:type="gramStart"/>
      <w:r w:rsidRPr="002309D0">
        <w:rPr>
          <w:rFonts w:eastAsia="Calibri"/>
          <w:bCs/>
          <w:szCs w:val="22"/>
          <w:lang w:bidi="he-IL"/>
        </w:rPr>
        <w:t>data,</w:t>
      </w:r>
      <w:proofErr w:type="gramEnd"/>
      <w:r w:rsidRPr="002309D0">
        <w:rPr>
          <w:rFonts w:eastAsia="Calibri"/>
          <w:bCs/>
          <w:szCs w:val="22"/>
          <w:lang w:bidi="he-IL"/>
        </w:rPr>
        <w:t xml:space="preserve"> provided by the examiner, and delivery of the automatically generated national and PCT reports in PDF formats. </w:t>
      </w:r>
      <w:r w:rsidR="00770888">
        <w:rPr>
          <w:rFonts w:eastAsia="Calibri"/>
          <w:bCs/>
          <w:szCs w:val="22"/>
          <w:lang w:bidi="he-IL"/>
        </w:rPr>
        <w:t xml:space="preserve"> </w:t>
      </w:r>
      <w:r w:rsidRPr="002309D0">
        <w:rPr>
          <w:rFonts w:eastAsia="Calibri"/>
          <w:bCs/>
          <w:szCs w:val="22"/>
          <w:lang w:bidi="he-IL"/>
        </w:rPr>
        <w:t>The PCT reports are also automatically generated in XML format per WIPO Standard ST. 96.</w:t>
      </w:r>
    </w:p>
    <w:p w14:paraId="0B5D87E8" w14:textId="3BAF717C" w:rsidR="005B6C67" w:rsidRPr="002309D0" w:rsidRDefault="005B6C67" w:rsidP="005B6C67">
      <w:pPr>
        <w:spacing w:after="120"/>
        <w:ind w:left="357"/>
        <w:jc w:val="both"/>
        <w:rPr>
          <w:rFonts w:eastAsia="Calibri"/>
          <w:bCs/>
          <w:szCs w:val="22"/>
          <w:lang w:bidi="he-IL"/>
        </w:rPr>
      </w:pPr>
      <w:r w:rsidRPr="002309D0">
        <w:rPr>
          <w:rFonts w:eastAsia="Calibri"/>
          <w:bCs/>
          <w:szCs w:val="22"/>
          <w:lang w:bidi="he-IL"/>
        </w:rPr>
        <w:t xml:space="preserve">The ILPO employs a sophisticated Business Intelligence (BI) system as a strategic tool for monitoring performance and improving quality metrics. </w:t>
      </w:r>
      <w:r w:rsidR="00897463">
        <w:rPr>
          <w:rFonts w:eastAsia="Calibri"/>
          <w:bCs/>
          <w:szCs w:val="22"/>
          <w:lang w:bidi="he-IL"/>
        </w:rPr>
        <w:t xml:space="preserve"> </w:t>
      </w:r>
      <w:r w:rsidRPr="002309D0">
        <w:rPr>
          <w:rFonts w:eastAsia="Calibri"/>
          <w:bCs/>
          <w:szCs w:val="22"/>
          <w:lang w:bidi="he-IL"/>
        </w:rPr>
        <w:t>Additionally, a bot-based mapping mechanism optimizes the allocation of patent applications by analyzing multiple parameters, ensuring balanced workloads and timely processing.</w:t>
      </w:r>
    </w:p>
    <w:p w14:paraId="6C6FA1D5" w14:textId="501ADC28" w:rsidR="00E25F96" w:rsidRPr="002309D0" w:rsidRDefault="005B6C67" w:rsidP="00E25F96">
      <w:pPr>
        <w:spacing w:after="240"/>
        <w:ind w:left="357"/>
        <w:jc w:val="both"/>
        <w:rPr>
          <w:rFonts w:eastAsia="Calibri"/>
          <w:bCs/>
          <w:szCs w:val="22"/>
          <w:lang w:bidi="he-IL"/>
        </w:rPr>
      </w:pPr>
      <w:r w:rsidRPr="002309D0">
        <w:rPr>
          <w:rFonts w:eastAsia="Calibri"/>
          <w:bCs/>
          <w:szCs w:val="22"/>
          <w:lang w:bidi="he-IL"/>
        </w:rPr>
        <w:t xml:space="preserve">To further enhance accuracy and efficiency, ILPO utilizes advanced AI-based commercial search tools that have proven highly effective in identifying relevant prior art. </w:t>
      </w:r>
      <w:r w:rsidR="00897463">
        <w:rPr>
          <w:rFonts w:eastAsia="Calibri"/>
          <w:bCs/>
          <w:szCs w:val="22"/>
          <w:lang w:bidi="he-IL"/>
        </w:rPr>
        <w:t xml:space="preserve"> </w:t>
      </w:r>
      <w:r w:rsidRPr="002309D0">
        <w:rPr>
          <w:rFonts w:eastAsia="Calibri"/>
          <w:bCs/>
          <w:szCs w:val="22"/>
          <w:lang w:bidi="he-IL"/>
        </w:rPr>
        <w:t>The recent comprehensive integration of AI solutions across the entire examination process, following a successful pilot in 2024, has demonstrated measurable improvements in consistency,</w:t>
      </w:r>
      <w:r w:rsidR="00E25F96" w:rsidRPr="002309D0">
        <w:rPr>
          <w:rFonts w:eastAsia="Calibri"/>
          <w:bCs/>
          <w:szCs w:val="22"/>
          <w:lang w:bidi="he-IL"/>
        </w:rPr>
        <w:t xml:space="preserve"> efficiency, and overall quality of the examination process. </w:t>
      </w:r>
      <w:r w:rsidR="00897463">
        <w:rPr>
          <w:rFonts w:eastAsia="Calibri"/>
          <w:bCs/>
          <w:szCs w:val="22"/>
          <w:lang w:bidi="he-IL"/>
        </w:rPr>
        <w:t xml:space="preserve"> </w:t>
      </w:r>
      <w:r w:rsidR="00E25F96" w:rsidRPr="002309D0">
        <w:rPr>
          <w:rFonts w:eastAsia="Calibri"/>
          <w:bCs/>
          <w:szCs w:val="22"/>
          <w:lang w:bidi="he-IL"/>
        </w:rPr>
        <w:t>This strategic commitment is underscored by the creation of a new managerial position, the AI Strategy and Operations Manager, dedicated to overseeing the responsible and strategic integration of AI within the ILPO.</w:t>
      </w:r>
    </w:p>
    <w:p w14:paraId="11A066DC"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lang w:bidi="he-IL"/>
        </w:rPr>
      </w:pPr>
      <w:r w:rsidRPr="002309D0">
        <w:rPr>
          <w:rFonts w:eastAsia="Calibri"/>
          <w:b/>
          <w:szCs w:val="22"/>
          <w:lang w:bidi="he-IL"/>
        </w:rPr>
        <w:t>Driving Innovation in the PCT System: The Role of the ILPO</w:t>
      </w:r>
    </w:p>
    <w:p w14:paraId="5196D0C6" w14:textId="77777777"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The ILPO has an extensive record of innovative implementations, activities, and initiatives during its operation as an ISA/IPEA, pioneering the adoption of cutting-edge technologies as well as customer-centered and innovation-driven policies.</w:t>
      </w:r>
    </w:p>
    <w:p w14:paraId="21D42761" w14:textId="317CC891"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lastRenderedPageBreak/>
        <w:t xml:space="preserve">Since 2010, the ILPO has been one of the first units within the Ministry of Justice to implement teleworking ensuring the same work environment as that at the Office. </w:t>
      </w:r>
      <w:r w:rsidR="00897463">
        <w:rPr>
          <w:rFonts w:eastAsia="Calibri"/>
          <w:bCs/>
          <w:szCs w:val="22"/>
          <w:lang w:bidi="he-IL"/>
        </w:rPr>
        <w:t xml:space="preserve"> </w:t>
      </w:r>
      <w:r w:rsidRPr="002309D0">
        <w:rPr>
          <w:rFonts w:eastAsia="Calibri"/>
          <w:bCs/>
          <w:szCs w:val="22"/>
          <w:lang w:bidi="he-IL"/>
        </w:rPr>
        <w:t>This initiative was later expanded to include all substantive and formalities examiners, allowing them to work up to 50% of their hours remotely.</w:t>
      </w:r>
    </w:p>
    <w:p w14:paraId="62F779D8" w14:textId="1B273AF2"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In 2012, the ILPO established a fully paperless work environment for the formalities and substantive examination of national and international patent applications.</w:t>
      </w:r>
      <w:r w:rsidR="00897463">
        <w:rPr>
          <w:rFonts w:eastAsia="Calibri"/>
          <w:bCs/>
          <w:szCs w:val="22"/>
          <w:lang w:bidi="he-IL"/>
        </w:rPr>
        <w:t xml:space="preserve"> </w:t>
      </w:r>
      <w:r w:rsidRPr="002309D0">
        <w:rPr>
          <w:rFonts w:eastAsia="Calibri"/>
          <w:bCs/>
          <w:szCs w:val="22"/>
          <w:lang w:bidi="he-IL"/>
        </w:rPr>
        <w:t xml:space="preserve"> That same year, a PCT e-filing system was launched, enabling all PCT applications to be filed with the RO/IL. In 2015, an e-filing system for national patent applications was introduced, resulting in nearly all national applications (&gt;99%) being filed electronically.</w:t>
      </w:r>
    </w:p>
    <w:p w14:paraId="4B0A49DB" w14:textId="77777777"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In 2024, a pilot program was launched to enable the automatic transmission of the monthly patent data to WIPO, replacing the previous transmission manually initiated by staff.</w:t>
      </w:r>
    </w:p>
    <w:p w14:paraId="64C03019" w14:textId="6F336247" w:rsidR="00E25F96" w:rsidRPr="002309D0" w:rsidRDefault="00E25F96" w:rsidP="00E25F96">
      <w:pPr>
        <w:ind w:left="357"/>
        <w:jc w:val="both"/>
        <w:rPr>
          <w:rFonts w:eastAsia="Calibri"/>
          <w:bCs/>
          <w:szCs w:val="22"/>
          <w:lang w:bidi="he-IL"/>
        </w:rPr>
      </w:pPr>
      <w:r w:rsidRPr="002309D0">
        <w:rPr>
          <w:rFonts w:eastAsia="Calibri"/>
          <w:bCs/>
          <w:szCs w:val="22"/>
          <w:lang w:bidi="he-IL"/>
        </w:rPr>
        <w:t xml:space="preserve">As an ISA/IPEA, the ILPO has consistently taken the lead in implementing international projects and initiatives for the benefit of the PCT </w:t>
      </w:r>
      <w:proofErr w:type="gramStart"/>
      <w:r w:rsidRPr="002309D0">
        <w:rPr>
          <w:rFonts w:eastAsia="Calibri"/>
          <w:bCs/>
          <w:szCs w:val="22"/>
          <w:lang w:bidi="he-IL"/>
        </w:rPr>
        <w:t>system as a whole</w:t>
      </w:r>
      <w:proofErr w:type="gramEnd"/>
      <w:r w:rsidRPr="002309D0">
        <w:rPr>
          <w:rFonts w:eastAsia="Calibri"/>
          <w:bCs/>
          <w:szCs w:val="22"/>
          <w:lang w:bidi="he-IL"/>
        </w:rPr>
        <w:t xml:space="preserve">. </w:t>
      </w:r>
      <w:r w:rsidR="00770888">
        <w:rPr>
          <w:rFonts w:eastAsia="Calibri"/>
          <w:bCs/>
          <w:szCs w:val="22"/>
          <w:lang w:bidi="he-IL"/>
        </w:rPr>
        <w:t xml:space="preserve"> </w:t>
      </w:r>
      <w:r w:rsidRPr="002309D0">
        <w:rPr>
          <w:rFonts w:eastAsia="Calibri"/>
          <w:bCs/>
          <w:szCs w:val="22"/>
          <w:lang w:bidi="he-IL"/>
        </w:rPr>
        <w:t xml:space="preserve">For example, the ILPO was among the first offices to: </w:t>
      </w:r>
    </w:p>
    <w:p w14:paraId="3C020B3F" w14:textId="77777777" w:rsidR="00E25F96" w:rsidRPr="002309D0" w:rsidRDefault="00E25F96" w:rsidP="00E25F96">
      <w:pPr>
        <w:ind w:left="357"/>
        <w:jc w:val="both"/>
        <w:rPr>
          <w:rFonts w:eastAsia="Calibri"/>
          <w:bCs/>
          <w:szCs w:val="22"/>
          <w:lang w:bidi="he-IL"/>
        </w:rPr>
      </w:pPr>
      <w:r w:rsidRPr="002309D0">
        <w:rPr>
          <w:rFonts w:eastAsia="Calibri"/>
          <w:bCs/>
          <w:szCs w:val="22"/>
          <w:lang w:bidi="he-IL"/>
        </w:rPr>
        <w:t xml:space="preserve">a. Issue a search strategy report alongside the International Search </w:t>
      </w:r>
      <w:proofErr w:type="gramStart"/>
      <w:r w:rsidRPr="002309D0">
        <w:rPr>
          <w:rFonts w:eastAsia="Calibri"/>
          <w:bCs/>
          <w:szCs w:val="22"/>
          <w:lang w:bidi="he-IL"/>
        </w:rPr>
        <w:t>Report;</w:t>
      </w:r>
      <w:proofErr w:type="gramEnd"/>
      <w:r w:rsidRPr="002309D0">
        <w:rPr>
          <w:rFonts w:eastAsia="Calibri"/>
          <w:bCs/>
          <w:szCs w:val="22"/>
          <w:lang w:bidi="he-IL"/>
        </w:rPr>
        <w:t xml:space="preserve"> </w:t>
      </w:r>
    </w:p>
    <w:p w14:paraId="35763366" w14:textId="77777777" w:rsidR="00E25F96" w:rsidRPr="002309D0" w:rsidRDefault="00E25F96" w:rsidP="00E25F96">
      <w:pPr>
        <w:ind w:left="357"/>
        <w:jc w:val="both"/>
        <w:rPr>
          <w:rFonts w:eastAsia="Calibri"/>
          <w:bCs/>
          <w:szCs w:val="22"/>
          <w:lang w:bidi="he-IL"/>
        </w:rPr>
      </w:pPr>
      <w:r w:rsidRPr="002309D0">
        <w:rPr>
          <w:rFonts w:eastAsia="Calibri"/>
          <w:bCs/>
          <w:szCs w:val="22"/>
          <w:lang w:bidi="he-IL"/>
        </w:rPr>
        <w:t>b. Issue PCT reports in XML format in accordance with WIPO Standard ST.</w:t>
      </w:r>
      <w:proofErr w:type="gramStart"/>
      <w:r w:rsidRPr="002309D0">
        <w:rPr>
          <w:rFonts w:eastAsia="Calibri"/>
          <w:bCs/>
          <w:szCs w:val="22"/>
          <w:lang w:bidi="he-IL"/>
        </w:rPr>
        <w:t>96;</w:t>
      </w:r>
      <w:proofErr w:type="gramEnd"/>
      <w:r w:rsidRPr="002309D0">
        <w:rPr>
          <w:rFonts w:eastAsia="Calibri"/>
          <w:bCs/>
          <w:szCs w:val="22"/>
          <w:lang w:bidi="he-IL"/>
        </w:rPr>
        <w:t xml:space="preserve"> </w:t>
      </w:r>
    </w:p>
    <w:p w14:paraId="129E9CC9" w14:textId="77777777" w:rsidR="00E25F96" w:rsidRPr="002309D0" w:rsidRDefault="00E25F96" w:rsidP="00E25F96">
      <w:pPr>
        <w:ind w:left="357"/>
        <w:jc w:val="both"/>
        <w:rPr>
          <w:rFonts w:eastAsia="Calibri"/>
          <w:bCs/>
          <w:szCs w:val="22"/>
          <w:lang w:bidi="he-IL"/>
        </w:rPr>
      </w:pPr>
      <w:r w:rsidRPr="002309D0">
        <w:rPr>
          <w:rFonts w:eastAsia="Calibri"/>
          <w:bCs/>
          <w:szCs w:val="22"/>
          <w:lang w:bidi="he-IL"/>
        </w:rPr>
        <w:t xml:space="preserve">c. Implement the "PCT Direct" service, following the </w:t>
      </w:r>
      <w:proofErr w:type="gramStart"/>
      <w:r w:rsidRPr="002309D0">
        <w:rPr>
          <w:rFonts w:eastAsia="Calibri"/>
          <w:bCs/>
          <w:szCs w:val="22"/>
          <w:lang w:bidi="he-IL"/>
        </w:rPr>
        <w:t>EPO;</w:t>
      </w:r>
      <w:proofErr w:type="gramEnd"/>
      <w:r w:rsidRPr="002309D0">
        <w:rPr>
          <w:rFonts w:eastAsia="Calibri"/>
          <w:bCs/>
          <w:szCs w:val="22"/>
          <w:lang w:bidi="he-IL"/>
        </w:rPr>
        <w:t xml:space="preserve"> </w:t>
      </w:r>
    </w:p>
    <w:p w14:paraId="69F17E7E" w14:textId="77777777"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d. Participate in the WIPO CASE system as both an Accessing and Providing Office following Commonwealth offices.</w:t>
      </w:r>
    </w:p>
    <w:p w14:paraId="708E9FCE" w14:textId="4B0D0857"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The ILPO continues to lead in innovating and improving its resources and services for the benefit of the stakeholders and the entire PCT system.</w:t>
      </w:r>
      <w:r w:rsidR="00897463">
        <w:rPr>
          <w:rFonts w:eastAsia="Calibri"/>
          <w:bCs/>
          <w:szCs w:val="22"/>
          <w:lang w:bidi="he-IL"/>
        </w:rPr>
        <w:t xml:space="preserve"> </w:t>
      </w:r>
      <w:r w:rsidRPr="002309D0">
        <w:rPr>
          <w:rFonts w:eastAsia="Calibri"/>
          <w:bCs/>
          <w:szCs w:val="22"/>
          <w:lang w:bidi="he-IL"/>
        </w:rPr>
        <w:t xml:space="preserve"> This commitment is evident in the extensive lists of changes and improvements documented in the annual QMS reports, as well as in initiatives proposed by the ILPO in international forums such as the annual Meetings of International Authorities.</w:t>
      </w:r>
    </w:p>
    <w:p w14:paraId="2A95A197" w14:textId="50C1F5EB"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 xml:space="preserve">To further strengthen its innovation-driven approach, the ILPO established an Innovation Hub in 2024 to spearhead the development and implementation of new initiatives. </w:t>
      </w:r>
      <w:r w:rsidR="00897463">
        <w:rPr>
          <w:rFonts w:eastAsia="Calibri"/>
          <w:bCs/>
          <w:szCs w:val="22"/>
          <w:lang w:bidi="he-IL"/>
        </w:rPr>
        <w:t xml:space="preserve"> </w:t>
      </w:r>
      <w:r w:rsidRPr="002309D0">
        <w:rPr>
          <w:rFonts w:eastAsia="Calibri"/>
          <w:bCs/>
          <w:szCs w:val="22"/>
          <w:lang w:bidi="he-IL"/>
        </w:rPr>
        <w:t>Additionally, the ILPO’s pursuit of cutting-edge technologies, particularly AI-based solutions aimed at enhancing the quality and efficiency of search and examination processes, office operations, and training programs, led to the formation of an AI Implementation Team in 2024.</w:t>
      </w:r>
      <w:r w:rsidR="00897463">
        <w:rPr>
          <w:rFonts w:eastAsia="Calibri"/>
          <w:bCs/>
          <w:szCs w:val="22"/>
          <w:lang w:bidi="he-IL"/>
        </w:rPr>
        <w:t xml:space="preserve"> </w:t>
      </w:r>
      <w:r w:rsidRPr="002309D0">
        <w:rPr>
          <w:rFonts w:eastAsia="Calibri"/>
          <w:bCs/>
          <w:szCs w:val="22"/>
          <w:lang w:bidi="he-IL"/>
        </w:rPr>
        <w:t xml:space="preserve"> An AI Strategy and Operations Manager will soon be appointed to oversee these efforts and ensure the effective integration of AI across ILPO’s resources and services.</w:t>
      </w:r>
    </w:p>
    <w:p w14:paraId="4964EC28" w14:textId="3C0427B7" w:rsidR="00E25F96" w:rsidRPr="002309D0" w:rsidRDefault="00E25F96" w:rsidP="00E25F96">
      <w:pPr>
        <w:ind w:left="357"/>
        <w:jc w:val="both"/>
        <w:rPr>
          <w:rFonts w:eastAsia="Calibri"/>
          <w:bCs/>
          <w:szCs w:val="22"/>
          <w:lang w:bidi="he-IL"/>
        </w:rPr>
      </w:pPr>
      <w:r w:rsidRPr="002309D0">
        <w:rPr>
          <w:rFonts w:eastAsia="Calibri"/>
          <w:bCs/>
          <w:szCs w:val="22"/>
          <w:lang w:bidi="he-IL"/>
        </w:rPr>
        <w:t xml:space="preserve">Preparations are currently underway to ensure compliance with ISO 56001:2024, the newly introduced standard for innovation management systems. </w:t>
      </w:r>
      <w:r w:rsidR="00897463">
        <w:rPr>
          <w:rFonts w:eastAsia="Calibri"/>
          <w:bCs/>
          <w:szCs w:val="22"/>
          <w:lang w:bidi="he-IL"/>
        </w:rPr>
        <w:t xml:space="preserve"> </w:t>
      </w:r>
      <w:r w:rsidRPr="002309D0">
        <w:rPr>
          <w:rFonts w:eastAsia="Calibri"/>
          <w:bCs/>
          <w:szCs w:val="22"/>
          <w:lang w:bidi="he-IL"/>
        </w:rPr>
        <w:t>This initiative reflects the ILPO’s ongoing commitment to fostering a culture of continuous improvement and innovation.</w:t>
      </w:r>
    </w:p>
    <w:p w14:paraId="3FC48D41" w14:textId="77777777" w:rsidR="00E25F96" w:rsidRPr="002309D0" w:rsidRDefault="00E25F96" w:rsidP="00E25F96">
      <w:pPr>
        <w:ind w:left="357"/>
        <w:jc w:val="both"/>
        <w:rPr>
          <w:rFonts w:eastAsia="Calibri"/>
          <w:bCs/>
          <w:szCs w:val="22"/>
          <w:lang w:bidi="he-IL"/>
        </w:rPr>
      </w:pPr>
    </w:p>
    <w:p w14:paraId="726BBE77"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lang w:bidi="he-IL"/>
        </w:rPr>
      </w:pPr>
      <w:r w:rsidRPr="002309D0">
        <w:rPr>
          <w:rFonts w:eastAsia="Calibri"/>
          <w:b/>
          <w:szCs w:val="22"/>
          <w:lang w:bidi="he-IL"/>
        </w:rPr>
        <w:t>Commitment to Global Collaboration and Harmonization</w:t>
      </w:r>
    </w:p>
    <w:p w14:paraId="2A76E2DA" w14:textId="07B143B3" w:rsidR="00E25F96" w:rsidRPr="002309D0" w:rsidRDefault="00E25F96" w:rsidP="00E25F96">
      <w:pPr>
        <w:pStyle w:val="ListParagraph"/>
        <w:spacing w:after="160"/>
        <w:ind w:left="360"/>
        <w:jc w:val="both"/>
        <w:rPr>
          <w:rFonts w:eastAsia="Calibri"/>
          <w:b/>
          <w:szCs w:val="22"/>
          <w:lang w:bidi="he-IL"/>
        </w:rPr>
      </w:pPr>
      <w:r w:rsidRPr="002309D0">
        <w:rPr>
          <w:rFonts w:eastAsia="Calibri"/>
          <w:bCs/>
          <w:szCs w:val="22"/>
          <w:lang w:bidi="he-IL"/>
        </w:rPr>
        <w:t xml:space="preserve">ILPO actively participates in international IP forums as well as information exchange and cooperation with other offices, demonstrating its commitment to fostering a harmonized and efficient international IP system. </w:t>
      </w:r>
      <w:r w:rsidR="00770888">
        <w:rPr>
          <w:rFonts w:eastAsia="Calibri"/>
          <w:bCs/>
          <w:szCs w:val="22"/>
          <w:lang w:bidi="he-IL"/>
        </w:rPr>
        <w:t xml:space="preserve"> </w:t>
      </w:r>
      <w:r w:rsidRPr="002309D0">
        <w:rPr>
          <w:rFonts w:eastAsia="Calibri"/>
          <w:bCs/>
          <w:szCs w:val="22"/>
          <w:lang w:bidi="he-IL"/>
        </w:rPr>
        <w:t>Examples for this global collaboration include:</w:t>
      </w:r>
    </w:p>
    <w:p w14:paraId="2DE99658" w14:textId="77777777" w:rsidR="00E25F96" w:rsidRPr="002309D0" w:rsidRDefault="00E25F96" w:rsidP="00E25F96">
      <w:pPr>
        <w:pStyle w:val="ListParagraph"/>
        <w:numPr>
          <w:ilvl w:val="0"/>
          <w:numId w:val="12"/>
        </w:numPr>
        <w:spacing w:after="160"/>
        <w:jc w:val="both"/>
        <w:rPr>
          <w:rFonts w:eastAsia="Calibri"/>
          <w:bCs/>
          <w:szCs w:val="22"/>
          <w:lang w:bidi="he-IL"/>
        </w:rPr>
      </w:pPr>
      <w:r w:rsidRPr="002309D0">
        <w:rPr>
          <w:rFonts w:eastAsia="Calibri"/>
          <w:bCs/>
          <w:szCs w:val="22"/>
          <w:lang w:bidi="he-IL"/>
        </w:rPr>
        <w:t>Participation in WIPO systems such as Centralized Access to Search and Examination (CASE) and Digital Access Service (DAS</w:t>
      </w:r>
      <w:proofErr w:type="gramStart"/>
      <w:r w:rsidRPr="002309D0">
        <w:rPr>
          <w:rFonts w:eastAsia="Calibri"/>
          <w:bCs/>
          <w:szCs w:val="22"/>
          <w:lang w:bidi="he-IL"/>
        </w:rPr>
        <w:t>);</w:t>
      </w:r>
      <w:proofErr w:type="gramEnd"/>
    </w:p>
    <w:p w14:paraId="75397CF1" w14:textId="77777777" w:rsidR="00E25F96" w:rsidRPr="002309D0" w:rsidRDefault="00E25F96" w:rsidP="00E25F96">
      <w:pPr>
        <w:pStyle w:val="ListParagraph"/>
        <w:numPr>
          <w:ilvl w:val="0"/>
          <w:numId w:val="12"/>
        </w:numPr>
        <w:jc w:val="both"/>
        <w:rPr>
          <w:rFonts w:eastAsia="Calibri"/>
          <w:bCs/>
          <w:szCs w:val="22"/>
          <w:lang w:bidi="he-IL"/>
        </w:rPr>
      </w:pPr>
      <w:r w:rsidRPr="002309D0">
        <w:rPr>
          <w:rFonts w:eastAsia="Calibri"/>
          <w:bCs/>
          <w:szCs w:val="22"/>
          <w:lang w:bidi="he-IL"/>
        </w:rPr>
        <w:t xml:space="preserve">Patent Prosecution Highway (PPH) arrangements including PCT-PPH and Global PPH </w:t>
      </w:r>
      <w:proofErr w:type="gramStart"/>
      <w:r w:rsidRPr="002309D0">
        <w:rPr>
          <w:rFonts w:eastAsia="Calibri"/>
          <w:bCs/>
          <w:szCs w:val="22"/>
          <w:lang w:bidi="he-IL"/>
        </w:rPr>
        <w:t>arrangements;</w:t>
      </w:r>
      <w:proofErr w:type="gramEnd"/>
    </w:p>
    <w:p w14:paraId="397B14A0" w14:textId="77777777" w:rsidR="00E25F96" w:rsidRPr="002309D0" w:rsidRDefault="00E25F96" w:rsidP="00E25F96">
      <w:pPr>
        <w:pStyle w:val="ListParagraph"/>
        <w:numPr>
          <w:ilvl w:val="0"/>
          <w:numId w:val="12"/>
        </w:numPr>
        <w:jc w:val="both"/>
        <w:rPr>
          <w:rFonts w:eastAsia="Calibri"/>
          <w:bCs/>
          <w:szCs w:val="22"/>
          <w:lang w:bidi="he-IL"/>
        </w:rPr>
      </w:pPr>
      <w:r w:rsidRPr="002309D0">
        <w:rPr>
          <w:rFonts w:eastAsia="Calibri"/>
          <w:bCs/>
          <w:szCs w:val="22"/>
          <w:lang w:bidi="he-IL"/>
        </w:rPr>
        <w:t>Implementation of Cooperative Patent Classification (CPC) system for national and PCT applications</w:t>
      </w:r>
    </w:p>
    <w:p w14:paraId="41D30755" w14:textId="77777777" w:rsidR="00E25F96" w:rsidRPr="002309D0" w:rsidRDefault="00E25F96" w:rsidP="00E25F96">
      <w:pPr>
        <w:pStyle w:val="ListParagraph"/>
        <w:numPr>
          <w:ilvl w:val="0"/>
          <w:numId w:val="12"/>
        </w:numPr>
        <w:spacing w:after="240"/>
        <w:ind w:left="1077" w:hanging="357"/>
        <w:contextualSpacing w:val="0"/>
        <w:jc w:val="both"/>
        <w:rPr>
          <w:rFonts w:eastAsia="Calibri"/>
          <w:bCs/>
          <w:szCs w:val="22"/>
          <w:lang w:bidi="he-IL"/>
        </w:rPr>
      </w:pPr>
      <w:r w:rsidRPr="002309D0">
        <w:rPr>
          <w:rFonts w:eastAsia="Calibri"/>
          <w:bCs/>
          <w:szCs w:val="22"/>
          <w:lang w:bidi="he-IL"/>
        </w:rPr>
        <w:t>Participation in the International Search Report (ISR) Feedback Pilot under the PCT, a collaborative effort involving the United Kingdom Intellectual Property Office and several International Searching Authorities (ISAs), wherein each participating office provides feedback on the ISRs of applications that had entered the national phase in another office.</w:t>
      </w:r>
    </w:p>
    <w:p w14:paraId="57CD0D1D"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lang w:bidi="he-IL"/>
        </w:rPr>
      </w:pPr>
      <w:r w:rsidRPr="002309D0">
        <w:rPr>
          <w:rFonts w:eastAsia="Calibri"/>
          <w:b/>
          <w:szCs w:val="22"/>
          <w:lang w:bidi="he-IL"/>
        </w:rPr>
        <w:lastRenderedPageBreak/>
        <w:t>Commitment to Continuous Improvement and Responsiveness to Stakeholders</w:t>
      </w:r>
    </w:p>
    <w:p w14:paraId="707CE514" w14:textId="230C59B0" w:rsidR="00E25F96" w:rsidRPr="002309D0" w:rsidRDefault="00E25F96" w:rsidP="00E25F96">
      <w:pPr>
        <w:pStyle w:val="ListParagraph"/>
        <w:spacing w:after="160"/>
        <w:ind w:left="360"/>
        <w:jc w:val="both"/>
        <w:rPr>
          <w:rFonts w:eastAsia="Calibri"/>
          <w:bCs/>
          <w:szCs w:val="22"/>
          <w:lang w:bidi="he-IL"/>
        </w:rPr>
      </w:pPr>
      <w:r w:rsidRPr="002309D0">
        <w:rPr>
          <w:rFonts w:eastAsia="Calibri"/>
          <w:bCs/>
          <w:szCs w:val="22"/>
          <w:lang w:bidi="he-IL"/>
        </w:rPr>
        <w:t>The ILPO remains committed to the continuous improvement of its services to better meet the needs and expectations of its stakeholders.</w:t>
      </w:r>
      <w:r w:rsidR="00897463">
        <w:rPr>
          <w:rFonts w:eastAsia="Calibri"/>
          <w:bCs/>
          <w:szCs w:val="22"/>
          <w:lang w:bidi="he-IL"/>
        </w:rPr>
        <w:t xml:space="preserve"> </w:t>
      </w:r>
      <w:r w:rsidRPr="002309D0">
        <w:rPr>
          <w:rFonts w:eastAsia="Calibri"/>
          <w:bCs/>
          <w:szCs w:val="22"/>
          <w:lang w:bidi="he-IL"/>
        </w:rPr>
        <w:t xml:space="preserve"> The ILPO has been continuously initiating services for the benefit of the stakeholders.</w:t>
      </w:r>
      <w:r w:rsidR="00897463">
        <w:rPr>
          <w:rFonts w:eastAsia="Calibri"/>
          <w:bCs/>
          <w:szCs w:val="22"/>
          <w:lang w:bidi="he-IL"/>
        </w:rPr>
        <w:t xml:space="preserve"> </w:t>
      </w:r>
      <w:r w:rsidRPr="002309D0">
        <w:rPr>
          <w:rFonts w:eastAsia="Calibri"/>
          <w:bCs/>
          <w:szCs w:val="22"/>
          <w:lang w:bidi="he-IL"/>
        </w:rPr>
        <w:t xml:space="preserve"> For example, the ILPO has been one of the first International Authorities to issue a search strategy report, and to introduce the PCT Direct route, following its implementation at the EPO. </w:t>
      </w:r>
      <w:r w:rsidR="00897463">
        <w:rPr>
          <w:rFonts w:eastAsia="Calibri"/>
          <w:bCs/>
          <w:szCs w:val="22"/>
          <w:lang w:bidi="he-IL"/>
        </w:rPr>
        <w:t xml:space="preserve"> </w:t>
      </w:r>
      <w:r w:rsidRPr="002309D0">
        <w:rPr>
          <w:rFonts w:eastAsia="Calibri"/>
          <w:bCs/>
          <w:szCs w:val="22"/>
          <w:lang w:bidi="he-IL"/>
        </w:rPr>
        <w:t xml:space="preserve">Additionally, in cases where results from a previous search are used, the ILPO allows refund of 50% of the search fee. </w:t>
      </w:r>
      <w:r w:rsidR="00897463">
        <w:rPr>
          <w:rFonts w:eastAsia="Calibri"/>
          <w:bCs/>
          <w:szCs w:val="22"/>
          <w:lang w:bidi="he-IL"/>
        </w:rPr>
        <w:t xml:space="preserve"> </w:t>
      </w:r>
      <w:r w:rsidRPr="002309D0">
        <w:rPr>
          <w:rFonts w:eastAsia="Calibri"/>
          <w:bCs/>
          <w:szCs w:val="22"/>
          <w:lang w:bidi="he-IL"/>
        </w:rPr>
        <w:t>The ILPO provides a partial search report, for applications in which a unity of invention objection is raised, to make it easier for applicants to take the appropriate decision.</w:t>
      </w:r>
    </w:p>
    <w:p w14:paraId="026D1E6A" w14:textId="77777777" w:rsidR="00E25F96" w:rsidRPr="002309D0" w:rsidRDefault="00E25F96" w:rsidP="00E25F96">
      <w:pPr>
        <w:pStyle w:val="ListParagraph"/>
        <w:spacing w:after="120"/>
        <w:ind w:left="357"/>
        <w:contextualSpacing w:val="0"/>
        <w:jc w:val="both"/>
        <w:rPr>
          <w:rFonts w:eastAsia="Calibri"/>
          <w:bCs/>
          <w:szCs w:val="22"/>
          <w:lang w:bidi="he-IL"/>
        </w:rPr>
      </w:pPr>
      <w:r w:rsidRPr="002309D0">
        <w:rPr>
          <w:rFonts w:eastAsia="Calibri"/>
          <w:bCs/>
          <w:szCs w:val="22"/>
          <w:lang w:bidi="he-IL"/>
        </w:rPr>
        <w:t>A recent initiative by the ILPO, in collaboration with the Israel Innovation Authority, offers a preliminary search service for entrepreneurs.</w:t>
      </w:r>
    </w:p>
    <w:p w14:paraId="2F347C96" w14:textId="517C08C4" w:rsidR="00E25F96" w:rsidRPr="002309D0" w:rsidRDefault="00E25F96" w:rsidP="00E25F96">
      <w:pPr>
        <w:spacing w:after="120"/>
        <w:ind w:left="357"/>
        <w:jc w:val="both"/>
        <w:rPr>
          <w:rFonts w:eastAsia="Calibri"/>
          <w:bCs/>
          <w:szCs w:val="22"/>
          <w:lang w:bidi="he-IL"/>
        </w:rPr>
      </w:pPr>
      <w:r w:rsidRPr="002309D0">
        <w:rPr>
          <w:rFonts w:eastAsia="Calibri"/>
          <w:bCs/>
          <w:szCs w:val="22"/>
          <w:lang w:bidi="he-IL"/>
        </w:rPr>
        <w:t xml:space="preserve">It is worth noting that, beyond the regular feedback collected from stakeholders, the ILPO has been in continuous contact with its stakeholders, acting cooperatively with them to provide a wide range of mechanisms to meet their needs and expectations. </w:t>
      </w:r>
      <w:r w:rsidR="00897463">
        <w:rPr>
          <w:rFonts w:eastAsia="Calibri"/>
          <w:bCs/>
          <w:szCs w:val="22"/>
          <w:lang w:bidi="he-IL"/>
        </w:rPr>
        <w:t xml:space="preserve"> </w:t>
      </w:r>
      <w:r w:rsidRPr="002309D0">
        <w:rPr>
          <w:rFonts w:eastAsia="Calibri"/>
          <w:bCs/>
          <w:szCs w:val="22"/>
          <w:lang w:bidi="he-IL"/>
        </w:rPr>
        <w:t xml:space="preserve">The roundtables and webinars provide an effective opportunity for them to provide constructive feedback regarding existing and new services of the ILPO. </w:t>
      </w:r>
      <w:r w:rsidR="00897463">
        <w:rPr>
          <w:rFonts w:eastAsia="Calibri"/>
          <w:bCs/>
          <w:szCs w:val="22"/>
          <w:lang w:bidi="he-IL"/>
        </w:rPr>
        <w:t xml:space="preserve"> </w:t>
      </w:r>
      <w:r w:rsidRPr="002309D0">
        <w:rPr>
          <w:rFonts w:eastAsia="Calibri"/>
          <w:bCs/>
          <w:szCs w:val="22"/>
          <w:lang w:bidi="he-IL"/>
        </w:rPr>
        <w:t xml:space="preserve">In addition, their consultation before new procedures (e.g., Examination Guidelines and Commissioner Circulars) take effect provides valuable feedback. </w:t>
      </w:r>
      <w:r w:rsidR="00897463">
        <w:rPr>
          <w:rFonts w:eastAsia="Calibri"/>
          <w:bCs/>
          <w:szCs w:val="22"/>
          <w:lang w:bidi="he-IL"/>
        </w:rPr>
        <w:t xml:space="preserve"> </w:t>
      </w:r>
      <w:r w:rsidRPr="002309D0">
        <w:rPr>
          <w:rFonts w:eastAsia="Calibri"/>
          <w:bCs/>
          <w:szCs w:val="22"/>
          <w:lang w:bidi="he-IL"/>
        </w:rPr>
        <w:t xml:space="preserve">The study visits to </w:t>
      </w:r>
      <w:proofErr w:type="gramStart"/>
      <w:r w:rsidRPr="002309D0">
        <w:rPr>
          <w:rFonts w:eastAsia="Calibri"/>
          <w:bCs/>
          <w:szCs w:val="22"/>
          <w:lang w:bidi="he-IL"/>
        </w:rPr>
        <w:t>the industry</w:t>
      </w:r>
      <w:proofErr w:type="gramEnd"/>
      <w:r w:rsidRPr="002309D0">
        <w:rPr>
          <w:rFonts w:eastAsia="Calibri"/>
          <w:bCs/>
          <w:szCs w:val="22"/>
          <w:lang w:bidi="he-IL"/>
        </w:rPr>
        <w:t xml:space="preserve"> and academic institutions help in collecting feedback on ILPO services.</w:t>
      </w:r>
      <w:r w:rsidR="00897463">
        <w:rPr>
          <w:rFonts w:eastAsia="Calibri"/>
          <w:bCs/>
          <w:szCs w:val="22"/>
          <w:lang w:bidi="he-IL"/>
        </w:rPr>
        <w:t xml:space="preserve"> </w:t>
      </w:r>
      <w:r w:rsidRPr="002309D0">
        <w:rPr>
          <w:rFonts w:eastAsia="Calibri"/>
          <w:bCs/>
          <w:szCs w:val="22"/>
          <w:lang w:bidi="he-IL"/>
        </w:rPr>
        <w:t xml:space="preserve"> The ILPO Innovation Hub team engages in discussions and interviews with leading stakeholders to improve the quality and diversity of the services offered to applicants.</w:t>
      </w:r>
    </w:p>
    <w:p w14:paraId="0B9C4331" w14:textId="4950E241" w:rsidR="00E25F96" w:rsidRPr="002309D0" w:rsidRDefault="00E25F96" w:rsidP="00E25F96">
      <w:pPr>
        <w:spacing w:after="240"/>
        <w:ind w:left="357"/>
        <w:jc w:val="both"/>
        <w:rPr>
          <w:rFonts w:eastAsia="Calibri"/>
          <w:bCs/>
          <w:szCs w:val="22"/>
          <w:lang w:bidi="he-IL"/>
        </w:rPr>
      </w:pPr>
      <w:r w:rsidRPr="002309D0">
        <w:rPr>
          <w:rFonts w:eastAsia="Calibri"/>
          <w:bCs/>
          <w:szCs w:val="22"/>
          <w:lang w:bidi="he-IL"/>
        </w:rPr>
        <w:t xml:space="preserve">As part of the commitment to improving the services to stakeholders, the ILPO has set up a Service Level Agreement (SLA) for all services offered by ILPO departments, </w:t>
      </w:r>
      <w:proofErr w:type="gramStart"/>
      <w:r w:rsidRPr="002309D0">
        <w:rPr>
          <w:rFonts w:eastAsia="Calibri"/>
          <w:bCs/>
          <w:szCs w:val="22"/>
          <w:lang w:bidi="he-IL"/>
        </w:rPr>
        <w:t>including Patents,</w:t>
      </w:r>
      <w:proofErr w:type="gramEnd"/>
      <w:r w:rsidRPr="002309D0">
        <w:rPr>
          <w:rFonts w:eastAsia="Calibri"/>
          <w:bCs/>
          <w:szCs w:val="22"/>
          <w:lang w:bidi="he-IL"/>
        </w:rPr>
        <w:t xml:space="preserve"> Patents Administration, PCT, Industrial Designs, Trademarks, and Legal Departments.</w:t>
      </w:r>
    </w:p>
    <w:p w14:paraId="04CA57DE" w14:textId="78638184" w:rsidR="00E25F96" w:rsidRPr="002309D0" w:rsidRDefault="00E25F96" w:rsidP="00E25F96">
      <w:pPr>
        <w:pStyle w:val="ListParagraph"/>
        <w:numPr>
          <w:ilvl w:val="0"/>
          <w:numId w:val="11"/>
        </w:numPr>
        <w:spacing w:after="120"/>
        <w:ind w:left="357" w:hanging="357"/>
        <w:contextualSpacing w:val="0"/>
        <w:jc w:val="both"/>
        <w:rPr>
          <w:b/>
        </w:rPr>
      </w:pPr>
      <w:r w:rsidRPr="002309D0">
        <w:rPr>
          <w:rFonts w:eastAsia="Calibri"/>
          <w:b/>
          <w:szCs w:val="22"/>
          <w:lang w:bidi="he-IL"/>
        </w:rPr>
        <w:t xml:space="preserve">Diversity </w:t>
      </w:r>
      <w:r w:rsidRPr="002309D0">
        <w:rPr>
          <w:b/>
        </w:rPr>
        <w:br/>
      </w:r>
      <w:r w:rsidRPr="002309D0">
        <w:rPr>
          <w:rFonts w:eastAsia="Calibri"/>
          <w:bCs/>
          <w:szCs w:val="22"/>
          <w:lang w:bidi="he-IL"/>
        </w:rPr>
        <w:t>Embracing diversity in the workplace has proven to be a powerful catalyst for positive change, fostering an environment of innovation and creativity that drives more effective problem-solving and decision-making.</w:t>
      </w:r>
      <w:r w:rsidR="00897463">
        <w:rPr>
          <w:rFonts w:eastAsia="Calibri"/>
          <w:bCs/>
          <w:szCs w:val="22"/>
          <w:lang w:bidi="he-IL"/>
        </w:rPr>
        <w:t xml:space="preserve"> </w:t>
      </w:r>
      <w:r w:rsidRPr="002309D0">
        <w:rPr>
          <w:rFonts w:eastAsia="Calibri"/>
          <w:bCs/>
          <w:szCs w:val="22"/>
          <w:lang w:bidi="he-IL"/>
        </w:rPr>
        <w:t xml:space="preserve"> The ILPO has successfully met the Israeli government's diversity goals, employing over 60% female examiners and individuals from a variety of cultural, ethnic, and socioeconomic backgrounds (people with disabilities, minorities). </w:t>
      </w:r>
      <w:r w:rsidR="00897463">
        <w:rPr>
          <w:rFonts w:eastAsia="Calibri"/>
          <w:bCs/>
          <w:szCs w:val="22"/>
          <w:lang w:bidi="he-IL"/>
        </w:rPr>
        <w:t xml:space="preserve"> </w:t>
      </w:r>
      <w:r w:rsidRPr="002309D0">
        <w:rPr>
          <w:rFonts w:eastAsia="Calibri"/>
          <w:bCs/>
          <w:szCs w:val="22"/>
          <w:lang w:bidi="he-IL"/>
        </w:rPr>
        <w:t xml:space="preserve">This commitment to inclusivity not only enhances the workplace dynamic but also contributes to broader organizational success. </w:t>
      </w:r>
      <w:r w:rsidR="00897463">
        <w:rPr>
          <w:rFonts w:eastAsia="Calibri"/>
          <w:bCs/>
          <w:szCs w:val="22"/>
          <w:lang w:bidi="he-IL"/>
        </w:rPr>
        <w:t xml:space="preserve"> </w:t>
      </w:r>
      <w:r w:rsidRPr="002309D0">
        <w:rPr>
          <w:rFonts w:eastAsia="Calibri"/>
          <w:bCs/>
          <w:szCs w:val="22"/>
          <w:lang w:bidi="he-IL"/>
        </w:rPr>
        <w:t>Furthermore, the ILPO has launched a new initiative by which patent applications listing at least 50% women inventors are eligible for expedited examination.</w:t>
      </w:r>
    </w:p>
    <w:p w14:paraId="1BEC6111" w14:textId="61998170" w:rsidR="00C5047D" w:rsidRPr="005B6C67" w:rsidRDefault="00C5047D" w:rsidP="00E25F96"/>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A28D775" w:rsidR="009A31F1" w:rsidRPr="00346ECC" w:rsidRDefault="009A31F1" w:rsidP="009A31F1">
        <w:pPr>
          <w:jc w:val="right"/>
          <w:rPr>
            <w:caps/>
            <w:lang w:val="fr-CH"/>
          </w:rPr>
        </w:pPr>
        <w:r w:rsidRPr="00346ECC">
          <w:rPr>
            <w:caps/>
            <w:lang w:val="fr-CH"/>
          </w:rPr>
          <w:t>PCT/CTC/33/</w:t>
        </w:r>
        <w:r>
          <w:rPr>
            <w:caps/>
            <w:lang w:val="fr-CH"/>
          </w:rPr>
          <w:t>1</w:t>
        </w:r>
        <w:r w:rsidR="00652E43">
          <w:rPr>
            <w:caps/>
            <w:lang w:val="fr-CH"/>
          </w:rPr>
          <w:t>3</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6931C7"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77B300F" w:rsidR="009A31F1" w:rsidRDefault="009A31F1" w:rsidP="009A31F1">
    <w:pPr>
      <w:pStyle w:val="Header"/>
      <w:jc w:val="right"/>
    </w:pPr>
    <w:r>
      <w:tab/>
      <w:t>PCT/CTC/33/1</w:t>
    </w:r>
    <w:r w:rsidR="00652E43">
      <w:t>3</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6626A7"/>
    <w:multiLevelType w:val="hybridMultilevel"/>
    <w:tmpl w:val="3836C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9F5D6E"/>
    <w:multiLevelType w:val="hybridMultilevel"/>
    <w:tmpl w:val="8674A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0" w15:restartNumberingAfterBreak="0">
    <w:nsid w:val="63836E4B"/>
    <w:multiLevelType w:val="hybridMultilevel"/>
    <w:tmpl w:val="CBF4C83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8"/>
  </w:num>
  <w:num w:numId="5" w16cid:durableId="1511680175">
    <w:abstractNumId w:val="2"/>
  </w:num>
  <w:num w:numId="6" w16cid:durableId="1008404777">
    <w:abstractNumId w:val="4"/>
  </w:num>
  <w:num w:numId="7" w16cid:durableId="1835752940">
    <w:abstractNumId w:val="11"/>
  </w:num>
  <w:num w:numId="8" w16cid:durableId="1686783144">
    <w:abstractNumId w:val="0"/>
  </w:num>
  <w:num w:numId="9" w16cid:durableId="1325159215">
    <w:abstractNumId w:val="9"/>
  </w:num>
  <w:num w:numId="10" w16cid:durableId="913440804">
    <w:abstractNumId w:val="10"/>
  </w:num>
  <w:num w:numId="11" w16cid:durableId="549726978">
    <w:abstractNumId w:val="7"/>
  </w:num>
  <w:num w:numId="12" w16cid:durableId="165722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968ED"/>
    <w:rsid w:val="000A3D97"/>
    <w:rsid w:val="000A6309"/>
    <w:rsid w:val="000D46FE"/>
    <w:rsid w:val="000F5E56"/>
    <w:rsid w:val="00111BB0"/>
    <w:rsid w:val="001362EE"/>
    <w:rsid w:val="001647D5"/>
    <w:rsid w:val="001832A6"/>
    <w:rsid w:val="001D4107"/>
    <w:rsid w:val="00203D24"/>
    <w:rsid w:val="0021217E"/>
    <w:rsid w:val="00217FB1"/>
    <w:rsid w:val="002309D0"/>
    <w:rsid w:val="002326AB"/>
    <w:rsid w:val="00243430"/>
    <w:rsid w:val="002634C4"/>
    <w:rsid w:val="002928D3"/>
    <w:rsid w:val="002E29C7"/>
    <w:rsid w:val="002F1FE6"/>
    <w:rsid w:val="002F4E68"/>
    <w:rsid w:val="00312F7F"/>
    <w:rsid w:val="00361450"/>
    <w:rsid w:val="003673CF"/>
    <w:rsid w:val="003845C1"/>
    <w:rsid w:val="00393C9B"/>
    <w:rsid w:val="003A6F89"/>
    <w:rsid w:val="003B38C1"/>
    <w:rsid w:val="003C34E9"/>
    <w:rsid w:val="003F6F01"/>
    <w:rsid w:val="00423E3E"/>
    <w:rsid w:val="00427AF4"/>
    <w:rsid w:val="00454DD2"/>
    <w:rsid w:val="004647DA"/>
    <w:rsid w:val="00466D9E"/>
    <w:rsid w:val="00474062"/>
    <w:rsid w:val="00477D6B"/>
    <w:rsid w:val="004B446A"/>
    <w:rsid w:val="004B6994"/>
    <w:rsid w:val="004E2D29"/>
    <w:rsid w:val="005019FF"/>
    <w:rsid w:val="0052652C"/>
    <w:rsid w:val="0053057A"/>
    <w:rsid w:val="0053647D"/>
    <w:rsid w:val="00556076"/>
    <w:rsid w:val="00560A29"/>
    <w:rsid w:val="005B6C67"/>
    <w:rsid w:val="005C6649"/>
    <w:rsid w:val="005C79F6"/>
    <w:rsid w:val="00605827"/>
    <w:rsid w:val="00614770"/>
    <w:rsid w:val="00635D99"/>
    <w:rsid w:val="00646050"/>
    <w:rsid w:val="00652B88"/>
    <w:rsid w:val="00652E43"/>
    <w:rsid w:val="006713CA"/>
    <w:rsid w:val="00676C5C"/>
    <w:rsid w:val="006931C7"/>
    <w:rsid w:val="006A5C36"/>
    <w:rsid w:val="006A7CA3"/>
    <w:rsid w:val="006C238E"/>
    <w:rsid w:val="006C712A"/>
    <w:rsid w:val="006E1ECA"/>
    <w:rsid w:val="006E2CF8"/>
    <w:rsid w:val="006F04BC"/>
    <w:rsid w:val="006F7742"/>
    <w:rsid w:val="0070049D"/>
    <w:rsid w:val="00720EFD"/>
    <w:rsid w:val="00736CAF"/>
    <w:rsid w:val="007578A4"/>
    <w:rsid w:val="00761CD8"/>
    <w:rsid w:val="00770888"/>
    <w:rsid w:val="00776619"/>
    <w:rsid w:val="007775A9"/>
    <w:rsid w:val="007854AF"/>
    <w:rsid w:val="00793A7C"/>
    <w:rsid w:val="007A398A"/>
    <w:rsid w:val="007A3EC4"/>
    <w:rsid w:val="007D1613"/>
    <w:rsid w:val="007E4C0E"/>
    <w:rsid w:val="007F7515"/>
    <w:rsid w:val="00842922"/>
    <w:rsid w:val="008543C9"/>
    <w:rsid w:val="00897463"/>
    <w:rsid w:val="008A134B"/>
    <w:rsid w:val="008B0EE6"/>
    <w:rsid w:val="008B2CC1"/>
    <w:rsid w:val="008B60B2"/>
    <w:rsid w:val="008D0487"/>
    <w:rsid w:val="0090731E"/>
    <w:rsid w:val="00916EE2"/>
    <w:rsid w:val="00932C07"/>
    <w:rsid w:val="00966A22"/>
    <w:rsid w:val="0096722F"/>
    <w:rsid w:val="00971B0C"/>
    <w:rsid w:val="00980843"/>
    <w:rsid w:val="00994DAA"/>
    <w:rsid w:val="009A31F1"/>
    <w:rsid w:val="009A53C9"/>
    <w:rsid w:val="009E2791"/>
    <w:rsid w:val="009E3E61"/>
    <w:rsid w:val="009E3F6F"/>
    <w:rsid w:val="009F499F"/>
    <w:rsid w:val="00A0628B"/>
    <w:rsid w:val="00A37342"/>
    <w:rsid w:val="00A42DAF"/>
    <w:rsid w:val="00A45BD8"/>
    <w:rsid w:val="00A5208D"/>
    <w:rsid w:val="00A53F2A"/>
    <w:rsid w:val="00A66BEF"/>
    <w:rsid w:val="00A869B7"/>
    <w:rsid w:val="00A90F0A"/>
    <w:rsid w:val="00AC205C"/>
    <w:rsid w:val="00AF0A6B"/>
    <w:rsid w:val="00B05A69"/>
    <w:rsid w:val="00B1002D"/>
    <w:rsid w:val="00B75281"/>
    <w:rsid w:val="00B92F1F"/>
    <w:rsid w:val="00B9734B"/>
    <w:rsid w:val="00BA30E2"/>
    <w:rsid w:val="00BA58CD"/>
    <w:rsid w:val="00BC039A"/>
    <w:rsid w:val="00BF7918"/>
    <w:rsid w:val="00C11BFE"/>
    <w:rsid w:val="00C5047D"/>
    <w:rsid w:val="00C5068F"/>
    <w:rsid w:val="00C86D74"/>
    <w:rsid w:val="00C90371"/>
    <w:rsid w:val="00CB6305"/>
    <w:rsid w:val="00CD04F1"/>
    <w:rsid w:val="00CF2AC9"/>
    <w:rsid w:val="00CF681A"/>
    <w:rsid w:val="00D07C78"/>
    <w:rsid w:val="00D201CB"/>
    <w:rsid w:val="00D30D3A"/>
    <w:rsid w:val="00D45252"/>
    <w:rsid w:val="00D4655F"/>
    <w:rsid w:val="00D53326"/>
    <w:rsid w:val="00D6229C"/>
    <w:rsid w:val="00D71B4D"/>
    <w:rsid w:val="00D93D55"/>
    <w:rsid w:val="00DD7B7F"/>
    <w:rsid w:val="00E15015"/>
    <w:rsid w:val="00E25F96"/>
    <w:rsid w:val="00E335FE"/>
    <w:rsid w:val="00E33C8D"/>
    <w:rsid w:val="00E82F6F"/>
    <w:rsid w:val="00E955BE"/>
    <w:rsid w:val="00EA7D6E"/>
    <w:rsid w:val="00EB2F76"/>
    <w:rsid w:val="00EC4E49"/>
    <w:rsid w:val="00EC50D5"/>
    <w:rsid w:val="00ED77FB"/>
    <w:rsid w:val="00EE45FA"/>
    <w:rsid w:val="00F043DE"/>
    <w:rsid w:val="00F63809"/>
    <w:rsid w:val="00F66152"/>
    <w:rsid w:val="00F7086A"/>
    <w:rsid w:val="00F9165B"/>
    <w:rsid w:val="00FB31CA"/>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84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pct_ctc_33_12.new%20draft%20IL.doc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pct_ctc_33_12.new%20draft%20IL.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190</TotalTime>
  <Pages>8</Pages>
  <Words>2899</Words>
  <Characters>18053</Characters>
  <Application>Microsoft Office Word</Application>
  <DocSecurity>0</DocSecurity>
  <Lines>501</Lines>
  <Paragraphs>261</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PCT/CTC/33/13</dc:title>
  <dc:creator>NOVRUZOVA Elnara</dc:creator>
  <cp:keywords/>
  <cp:lastModifiedBy>RICHARDSON Michael</cp:lastModifiedBy>
  <cp:revision>22</cp:revision>
  <cp:lastPrinted>2025-11-24T15:38:00Z</cp:lastPrinted>
  <dcterms:created xsi:type="dcterms:W3CDTF">2025-11-24T10:30:00Z</dcterms:created>
  <dcterms:modified xsi:type="dcterms:W3CDTF">2025-12-19T15:58:00Z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2025-11-25T10:00:41Z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1915a90d-6394-4233-8eca-8386f50e035b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