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66947CBF" wp14:editId="698293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1BB34" w14:textId="24D31B38"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EB345C">
        <w:rPr>
          <w:rFonts w:ascii="Arial Black" w:hAnsi="Arial Black"/>
          <w:caps/>
          <w:sz w:val="15"/>
          <w:szCs w:val="15"/>
        </w:rPr>
        <w:t>1</w:t>
      </w:r>
      <w:r w:rsidR="00307BE4">
        <w:rPr>
          <w:rFonts w:ascii="Arial Black" w:hAnsi="Arial Black"/>
          <w:caps/>
          <w:sz w:val="15"/>
          <w:szCs w:val="15"/>
        </w:rPr>
        <w:t>0</w:t>
      </w:r>
    </w:p>
    <w:p w14:paraId="4157C28F" w14:textId="3D55971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9A31F1">
        <w:rPr>
          <w:rFonts w:ascii="Arial Black" w:hAnsi="Arial Black"/>
          <w:caps/>
          <w:sz w:val="15"/>
          <w:szCs w:val="15"/>
        </w:rPr>
        <w:t>ENGLISH</w:t>
      </w:r>
    </w:p>
    <w:bookmarkEnd w:id="1"/>
    <w:p w14:paraId="5ECFCDC6" w14:textId="07497531"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A31F1">
        <w:rPr>
          <w:rFonts w:ascii="Arial Black" w:hAnsi="Arial Black"/>
          <w:caps/>
          <w:sz w:val="15"/>
          <w:szCs w:val="15"/>
        </w:rPr>
        <w:t xml:space="preserve">DECEMBER </w:t>
      </w:r>
      <w:r w:rsidR="00857B70">
        <w:rPr>
          <w:rFonts w:ascii="Arial Black" w:hAnsi="Arial Black"/>
          <w:caps/>
          <w:sz w:val="15"/>
          <w:szCs w:val="15"/>
        </w:rPr>
        <w:t>19</w:t>
      </w:r>
      <w:r w:rsidR="009A31F1">
        <w:rPr>
          <w:rFonts w:ascii="Arial Black" w:hAnsi="Arial Black"/>
          <w:caps/>
          <w:sz w:val="15"/>
          <w:szCs w:val="15"/>
        </w:rPr>
        <w:t>, 2025</w:t>
      </w:r>
    </w:p>
    <w:bookmarkEnd w:id="2"/>
    <w:p w14:paraId="65161F5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1CBE04FC"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40D1F4FD"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51B065A7" w14:textId="694D413D" w:rsidR="008B2CC1" w:rsidRPr="003845C1" w:rsidRDefault="009A31F1" w:rsidP="00DD7B7F">
      <w:pPr>
        <w:spacing w:after="360"/>
        <w:outlineLvl w:val="0"/>
        <w:rPr>
          <w:caps/>
          <w:sz w:val="24"/>
        </w:rPr>
      </w:pPr>
      <w:bookmarkStart w:id="3" w:name="TitleOfDoc"/>
      <w:r>
        <w:rPr>
          <w:caps/>
          <w:sz w:val="24"/>
        </w:rPr>
        <w:t xml:space="preserve">EXTENSION OF APPOINTMENT OF THE </w:t>
      </w:r>
      <w:r w:rsidR="00EA6423">
        <w:rPr>
          <w:caps/>
          <w:sz w:val="24"/>
        </w:rPr>
        <w:t xml:space="preserve">EUROPEAN PATENT </w:t>
      </w:r>
      <w:r w:rsidR="00263E1B">
        <w:rPr>
          <w:caps/>
          <w:sz w:val="24"/>
        </w:rPr>
        <w:t xml:space="preserve">OFFICE </w:t>
      </w:r>
      <w:r>
        <w:rPr>
          <w:caps/>
          <w:sz w:val="24"/>
        </w:rPr>
        <w:t xml:space="preserve">AS AN INTERNATIONAL SEARCHING AND PRELIMINARY EXAMINING AUTHORITY UNDER THE PCT </w:t>
      </w:r>
    </w:p>
    <w:p w14:paraId="7738860A" w14:textId="24FE54E8" w:rsidR="002928D3" w:rsidRPr="00F9165B" w:rsidRDefault="009A31F1" w:rsidP="001D4107">
      <w:pPr>
        <w:spacing w:after="1040"/>
        <w:rPr>
          <w:i/>
        </w:rPr>
      </w:pPr>
      <w:bookmarkStart w:id="4" w:name="Prepared"/>
      <w:bookmarkEnd w:id="3"/>
      <w:bookmarkEnd w:id="4"/>
      <w:r>
        <w:rPr>
          <w:i/>
        </w:rPr>
        <w:t>Document prepared by the International Bureau</w:t>
      </w:r>
    </w:p>
    <w:p w14:paraId="4E7B2DAF" w14:textId="18950409" w:rsidR="002326AB" w:rsidRDefault="009A31F1" w:rsidP="002326AB">
      <w:pPr>
        <w:spacing w:after="220"/>
      </w:pPr>
      <w:r w:rsidRPr="009A31F1">
        <w:t>1.</w:t>
      </w:r>
      <w:r w:rsidRPr="009A31F1">
        <w:tab/>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518176C0" w14:textId="412A7370" w:rsidR="009A31F1" w:rsidRDefault="009A31F1" w:rsidP="002326AB">
      <w:pPr>
        <w:spacing w:after="220"/>
      </w:pPr>
      <w:r w:rsidRPr="009A31F1">
        <w:t>2.</w:t>
      </w:r>
      <w:r w:rsidRPr="009A31F1">
        <w:tab/>
        <w:t xml:space="preserve">On </w:t>
      </w:r>
      <w:r w:rsidR="00EA6423">
        <w:t>November</w:t>
      </w:r>
      <w:r w:rsidRPr="009A31F1">
        <w:t xml:space="preserve"> 2</w:t>
      </w:r>
      <w:r w:rsidR="00EA6423">
        <w:t>4</w:t>
      </w:r>
      <w:r w:rsidRPr="009A31F1">
        <w:t xml:space="preserve">, 2025, the </w:t>
      </w:r>
      <w:r w:rsidR="00EA6423">
        <w:t>European Patent O</w:t>
      </w:r>
      <w:r w:rsidR="00263E1B">
        <w:t xml:space="preserve">ffice </w:t>
      </w:r>
      <w:r w:rsidRPr="009A31F1">
        <w:t xml:space="preserve">submitted its application for extension of </w:t>
      </w:r>
      <w:proofErr w:type="gramStart"/>
      <w:r w:rsidRPr="009A31F1">
        <w:t>appointment</w:t>
      </w:r>
      <w:proofErr w:type="gramEnd"/>
      <w:r w:rsidRPr="009A31F1">
        <w:t>, which is reproduced in the Annex to this document.</w:t>
      </w:r>
    </w:p>
    <w:p w14:paraId="5AECB256" w14:textId="086B29CF" w:rsidR="009A31F1" w:rsidRDefault="009A31F1" w:rsidP="009A31F1">
      <w:pPr>
        <w:spacing w:after="220"/>
        <w:ind w:left="5533"/>
        <w:rPr>
          <w:i/>
        </w:rPr>
      </w:pPr>
      <w:r w:rsidRPr="009A31F1">
        <w:rPr>
          <w:i/>
        </w:rPr>
        <w:t>3.</w:t>
      </w:r>
      <w:r w:rsidRPr="009A31F1">
        <w:rPr>
          <w:i/>
        </w:rPr>
        <w:tab/>
        <w:t>The Committee is invited to give its advice on this matter.</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1C2CA1D0" w14:textId="77777777" w:rsidR="009A31F1" w:rsidRDefault="009A31F1" w:rsidP="009A31F1">
      <w:pPr>
        <w:rPr>
          <w:i/>
        </w:rPr>
      </w:pPr>
    </w:p>
    <w:p w14:paraId="77F0B892" w14:textId="77777777" w:rsidR="009A31F1" w:rsidRDefault="009A31F1" w:rsidP="009A31F1">
      <w:pPr>
        <w:pStyle w:val="Heading2"/>
        <w:jc w:val="center"/>
      </w:pPr>
      <w:r>
        <w:t>Application for Extension of Appointment as an International Searching anD Preliminary Examining Authority under the PCT</w:t>
      </w:r>
    </w:p>
    <w:p w14:paraId="68E5AD2D" w14:textId="77777777" w:rsidR="009A31F1" w:rsidRDefault="009A31F1" w:rsidP="009A31F1">
      <w:pPr>
        <w:pStyle w:val="SectionHeading"/>
        <w:rPr>
          <w:lang w:val="en-US"/>
        </w:rPr>
      </w:pPr>
      <w:r w:rsidRPr="002B3808">
        <w:rPr>
          <w:lang w:val="en-US"/>
        </w:rPr>
        <w:t>1 – General</w:t>
      </w:r>
    </w:p>
    <w:p w14:paraId="78EB8C3C" w14:textId="77777777" w:rsidR="001E0924" w:rsidRDefault="001E0924" w:rsidP="001E0924">
      <w:pPr>
        <w:pStyle w:val="Question"/>
        <w:spacing w:after="480"/>
      </w:pPr>
      <w:r>
        <w:t>(a)</w:t>
      </w:r>
      <w:r>
        <w:tab/>
        <w:t xml:space="preserve">Name of Office or intergovernmental organization: </w:t>
      </w:r>
    </w:p>
    <w:p w14:paraId="7F6FC637" w14:textId="77777777" w:rsidR="001E0924" w:rsidRDefault="001E0924" w:rsidP="001E0924">
      <w:pPr>
        <w:pStyle w:val="Question"/>
        <w:spacing w:after="480"/>
        <w:rPr>
          <w:b w:val="0"/>
          <w:bCs w:val="0"/>
        </w:rPr>
      </w:pPr>
      <w:r>
        <w:rPr>
          <w:b w:val="0"/>
          <w:bCs w:val="0"/>
        </w:rPr>
        <w:t>European Patent Office</w:t>
      </w:r>
    </w:p>
    <w:p w14:paraId="7E1425E3" w14:textId="77777777" w:rsidR="001E0924" w:rsidRDefault="001E0924" w:rsidP="001E0924">
      <w:pPr>
        <w:pStyle w:val="Question"/>
        <w:spacing w:after="480"/>
      </w:pPr>
      <w:r>
        <w:t>(b)</w:t>
      </w:r>
      <w:r>
        <w:tab/>
        <w:t xml:space="preserve">Name and contact details of official for any queries about this application: </w:t>
      </w:r>
    </w:p>
    <w:p w14:paraId="65FE63AF" w14:textId="78F95D2E" w:rsidR="001E0924" w:rsidRDefault="001E0924" w:rsidP="001E0924">
      <w:pPr>
        <w:pStyle w:val="Answer"/>
        <w:spacing w:after="480"/>
        <w:ind w:left="0"/>
        <w:rPr>
          <w:rFonts w:eastAsia="Arial"/>
          <w:color w:val="000000" w:themeColor="text1"/>
          <w:sz w:val="24"/>
          <w:szCs w:val="24"/>
          <w:lang w:val="en-GB"/>
        </w:rPr>
      </w:pPr>
      <w:r>
        <w:t>Laurence Brüning-Petit, Director Patent Law and Processes (</w:t>
      </w:r>
      <w:hyperlink r:id="rId11" w:history="1">
        <w:r w:rsidRPr="00966A36">
          <w:rPr>
            <w:rStyle w:val="Hyperlink"/>
            <w:bCs/>
          </w:rPr>
          <w:t>lbrueningpetit@epo.org</w:t>
        </w:r>
      </w:hyperlink>
      <w:r>
        <w:t xml:space="preserve">); Tobias Irmscher, </w:t>
      </w:r>
      <w:r w:rsidRPr="00EA5012">
        <w:rPr>
          <w:rFonts w:eastAsia="Arial"/>
          <w:color w:val="000000" w:themeColor="text1"/>
          <w:szCs w:val="22"/>
          <w:lang w:val="en-GB"/>
        </w:rPr>
        <w:t xml:space="preserve">Head of Department, Patent Filing Process &amp; PCT Affairs </w:t>
      </w:r>
      <w:r w:rsidRPr="500DE09B">
        <w:rPr>
          <w:rFonts w:eastAsia="Arial"/>
          <w:color w:val="000000" w:themeColor="text1"/>
          <w:sz w:val="24"/>
          <w:szCs w:val="24"/>
          <w:lang w:val="en-GB"/>
        </w:rPr>
        <w:t>(</w:t>
      </w:r>
      <w:r w:rsidRPr="00966A36">
        <w:rPr>
          <w:rStyle w:val="Hyperlink"/>
          <w:bCs/>
        </w:rPr>
        <w:t>tirmscher@epo.org</w:t>
      </w:r>
      <w:r w:rsidRPr="500DE09B">
        <w:rPr>
          <w:lang w:val="en-GB"/>
        </w:rPr>
        <w:t>)</w:t>
      </w:r>
    </w:p>
    <w:p w14:paraId="6B4311E7" w14:textId="77777777" w:rsidR="001E0924" w:rsidRDefault="001E0924" w:rsidP="001E0924">
      <w:pPr>
        <w:pStyle w:val="Question"/>
      </w:pPr>
      <w:r w:rsidRPr="00FD62B1">
        <w:t>(</w:t>
      </w:r>
      <w:r>
        <w:t>c</w:t>
      </w:r>
      <w:r w:rsidRPr="00FD62B1">
        <w:t>)</w:t>
      </w:r>
      <w:r w:rsidRPr="00FD62B1">
        <w:tab/>
        <w:t xml:space="preserve">Date on which application for </w:t>
      </w:r>
      <w:r>
        <w:t xml:space="preserve">extension of </w:t>
      </w:r>
      <w:r w:rsidRPr="00FD62B1">
        <w:t>appointment was received by the Director General:</w:t>
      </w:r>
    </w:p>
    <w:p w14:paraId="137347C1" w14:textId="7F51D9C0" w:rsidR="00EA6423" w:rsidRPr="001E0924" w:rsidRDefault="001E0924" w:rsidP="001E0924">
      <w:pPr>
        <w:pStyle w:val="Answer"/>
        <w:rPr>
          <w:iCs/>
        </w:rPr>
      </w:pPr>
      <w:r>
        <w:rPr>
          <w:iCs/>
        </w:rPr>
        <w:t>November 24, 2025</w:t>
      </w:r>
    </w:p>
    <w:p w14:paraId="671168CF" w14:textId="77777777" w:rsidR="009A31F1" w:rsidRPr="002B3808" w:rsidRDefault="009A31F1" w:rsidP="009A31F1">
      <w:pPr>
        <w:pStyle w:val="SectionHeading"/>
        <w:rPr>
          <w:lang w:val="en-US"/>
        </w:rPr>
      </w:pPr>
      <w:r w:rsidRPr="002B3808">
        <w:rPr>
          <w:lang w:val="en-US"/>
        </w:rPr>
        <w:t>2 – Minimum Requirements for Appointment</w:t>
      </w:r>
    </w:p>
    <w:p w14:paraId="21EECB02" w14:textId="5B643A62" w:rsidR="009A31F1" w:rsidRDefault="009A31F1" w:rsidP="009A31F1">
      <w:r>
        <w:t xml:space="preserve">In addition to the annual report on the quality management system by the Office or organization for 2025 (“the QMS Report” </w:t>
      </w:r>
      <w:hyperlink r:id="rId12" w:anchor="EPH" w:history="1">
        <w:r w:rsidR="00EA6423" w:rsidRPr="00966A36">
          <w:rPr>
            <w:rStyle w:val="Hyperlink"/>
            <w:bCs/>
          </w:rPr>
          <w:t>https://www.wipo.int/en/web/pct-system/quality/authorities#EP</w:t>
        </w:r>
      </w:hyperlink>
      <w:r w:rsidRPr="00020F36">
        <w:t>)</w:t>
      </w:r>
      <w:r w:rsidRPr="00C955C0">
        <w:t xml:space="preserve"> </w:t>
      </w:r>
      <w:r>
        <w:t>produced in accordance with paragraphs 21.31 and 21.32 of the International Search and Preliminary Examination Guidelines (“the Guidelines”), the Authority submits the following information.</w:t>
      </w:r>
    </w:p>
    <w:p w14:paraId="60EEBE3A" w14:textId="77777777" w:rsidR="009A31F1" w:rsidRPr="002B3808" w:rsidRDefault="009A31F1" w:rsidP="009A31F1">
      <w:pPr>
        <w:pStyle w:val="SectionHeading"/>
        <w:rPr>
          <w:lang w:val="en-US"/>
        </w:rPr>
      </w:pPr>
      <w:r w:rsidRPr="002B3808">
        <w:rPr>
          <w:lang w:val="en-US"/>
        </w:rPr>
        <w:t>2.1 – Search and Examination Capacity</w:t>
      </w:r>
    </w:p>
    <w:p w14:paraId="4204A13E" w14:textId="77777777" w:rsidR="009A31F1" w:rsidRDefault="009A31F1" w:rsidP="009A31F1">
      <w:pPr>
        <w:pStyle w:val="RuleQuote"/>
      </w:pPr>
      <w:r>
        <w:t>Rules 36.1(</w:t>
      </w:r>
      <w:proofErr w:type="spellStart"/>
      <w:r>
        <w:t>i</w:t>
      </w:r>
      <w:proofErr w:type="spellEnd"/>
      <w:r>
        <w:t>) and 63.1(</w:t>
      </w:r>
      <w:proofErr w:type="spellStart"/>
      <w:r>
        <w:t>i</w:t>
      </w:r>
      <w:proofErr w:type="spellEnd"/>
      <w:r>
        <w:t>): The national Office or intergovernmental organization must have at least 100 full-time employees with sufficient technical qualifications to carry out searches and examinations.</w:t>
      </w:r>
    </w:p>
    <w:p w14:paraId="5FD51F59" w14:textId="6D101FD9" w:rsidR="009A31F1" w:rsidRPr="001E0924" w:rsidRDefault="009A31F1" w:rsidP="00552124">
      <w:pPr>
        <w:pStyle w:val="RuleQuote"/>
        <w:ind w:left="0" w:right="53"/>
        <w:rPr>
          <w:i w:val="0"/>
          <w:iCs w:val="0"/>
        </w:rPr>
      </w:pPr>
      <w:r>
        <w:rPr>
          <w:i w:val="0"/>
          <w:iCs w:val="0"/>
        </w:rPr>
        <w:t xml:space="preserve">The QMS Report provides information from the Authority on the infrastructure in place to ensure </w:t>
      </w:r>
      <w:proofErr w:type="gramStart"/>
      <w:r>
        <w:rPr>
          <w:i w:val="0"/>
          <w:iCs w:val="0"/>
        </w:rPr>
        <w:t>a sufficient</w:t>
      </w:r>
      <w:r>
        <w:rPr>
          <w:i w:val="0"/>
          <w:iCs w:val="0"/>
          <w:vertAlign w:val="subscript"/>
        </w:rPr>
        <w:t xml:space="preserve"> </w:t>
      </w:r>
      <w:r>
        <w:rPr>
          <w:i w:val="0"/>
          <w:iCs w:val="0"/>
        </w:rPr>
        <w:t>quantity of</w:t>
      </w:r>
      <w:proofErr w:type="gramEnd"/>
      <w:r>
        <w:rPr>
          <w:i w:val="0"/>
          <w:iCs w:val="0"/>
        </w:rPr>
        <w:t xml:space="preserve"> technically qualified staff under paragraph 21.15(</w:t>
      </w:r>
      <w:proofErr w:type="spellStart"/>
      <w:r>
        <w:rPr>
          <w:i w:val="0"/>
          <w:iCs w:val="0"/>
        </w:rPr>
        <w:t>i</w:t>
      </w:r>
      <w:proofErr w:type="spellEnd"/>
      <w:r>
        <w:rPr>
          <w:i w:val="0"/>
          <w:iCs w:val="0"/>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70EE9A7D" w14:textId="77777777" w:rsidR="00C5047D" w:rsidRDefault="00C5047D" w:rsidP="00EA6423">
      <w:pPr>
        <w:jc w:val="both"/>
        <w:rPr>
          <w:rFonts w:ascii="Helvetica" w:hAnsi="Helvetica" w:cs="Helvetica"/>
          <w:color w:val="000000" w:themeColor="text1"/>
          <w:szCs w:val="22"/>
        </w:rPr>
      </w:pPr>
    </w:p>
    <w:p w14:paraId="40DD1E64" w14:textId="77777777" w:rsidR="001E0924" w:rsidRPr="001E0924" w:rsidRDefault="001E0924" w:rsidP="00EA6423">
      <w:pPr>
        <w:jc w:val="both"/>
        <w:rPr>
          <w:rFonts w:ascii="Helvetica" w:hAnsi="Helvetica" w:cs="Helvetica"/>
          <w:color w:val="000000" w:themeColor="text1"/>
          <w:szCs w:val="22"/>
        </w:rPr>
      </w:pPr>
    </w:p>
    <w:p w14:paraId="0066CCED" w14:textId="77777777" w:rsidR="00C5047D" w:rsidRDefault="00C5047D" w:rsidP="000B190C">
      <w:pPr>
        <w:pStyle w:val="Question"/>
        <w:spacing w:after="480"/>
      </w:pPr>
      <w:r>
        <w:lastRenderedPageBreak/>
        <w:t>Employees qualified to carry out search and examination:</w:t>
      </w:r>
    </w:p>
    <w:tbl>
      <w:tblPr>
        <w:tblW w:w="9063" w:type="dxa"/>
        <w:tblInd w:w="-10" w:type="dxa"/>
        <w:tblCellMar>
          <w:left w:w="0" w:type="dxa"/>
          <w:right w:w="0" w:type="dxa"/>
        </w:tblCellMar>
        <w:tblLook w:val="04A0" w:firstRow="1" w:lastRow="0" w:firstColumn="1" w:lastColumn="0" w:noHBand="0" w:noVBand="1"/>
      </w:tblPr>
      <w:tblGrid>
        <w:gridCol w:w="3260"/>
        <w:gridCol w:w="1560"/>
        <w:gridCol w:w="2126"/>
        <w:gridCol w:w="1058"/>
        <w:gridCol w:w="1059"/>
      </w:tblGrid>
      <w:tr w:rsidR="001E0924" w:rsidRPr="00AB5F63" w14:paraId="4A954F14" w14:textId="77777777" w:rsidTr="002F1E5D">
        <w:trPr>
          <w:trHeight w:val="300"/>
        </w:trPr>
        <w:tc>
          <w:tcPr>
            <w:tcW w:w="326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D00905" w14:textId="77777777" w:rsidR="001E0924" w:rsidRPr="00AB5F63" w:rsidRDefault="001E0924" w:rsidP="002F1E5D">
            <w:pPr>
              <w:rPr>
                <w:rFonts w:eastAsia="Calibri"/>
                <w:b/>
                <w:color w:val="000000"/>
                <w:szCs w:val="22"/>
                <w:lang w:val="en-GB" w:eastAsia="en-GB"/>
              </w:rPr>
            </w:pPr>
            <w:r w:rsidRPr="00AB5F63">
              <w:rPr>
                <w:rFonts w:eastAsia="Calibri"/>
                <w:b/>
                <w:color w:val="000000"/>
                <w:szCs w:val="22"/>
                <w:lang w:val="en-GB" w:eastAsia="en-GB"/>
              </w:rPr>
              <w:t>Technical field</w:t>
            </w:r>
          </w:p>
        </w:tc>
        <w:tc>
          <w:tcPr>
            <w:tcW w:w="15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1F6BDB1" w14:textId="77777777" w:rsidR="001E0924" w:rsidRPr="00AB5F63" w:rsidRDefault="001E0924" w:rsidP="002F1E5D">
            <w:pPr>
              <w:rPr>
                <w:rFonts w:eastAsia="Calibri"/>
                <w:b/>
                <w:color w:val="000000"/>
                <w:szCs w:val="22"/>
                <w:lang w:val="en-GB" w:eastAsia="en-GB"/>
              </w:rPr>
            </w:pPr>
            <w:r w:rsidRPr="00AB5F63">
              <w:rPr>
                <w:rFonts w:eastAsia="Calibri"/>
                <w:b/>
                <w:color w:val="000000"/>
                <w:szCs w:val="22"/>
                <w:lang w:val="en-GB" w:eastAsia="en-GB"/>
              </w:rPr>
              <w:t>Number (in full-time equivalent)*</w:t>
            </w:r>
          </w:p>
        </w:tc>
        <w:tc>
          <w:tcPr>
            <w:tcW w:w="212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1D7DD9B" w14:textId="77777777" w:rsidR="001E0924" w:rsidRPr="00AB5F63" w:rsidRDefault="001E0924" w:rsidP="002F1E5D">
            <w:pPr>
              <w:rPr>
                <w:rFonts w:eastAsia="Calibri"/>
                <w:b/>
                <w:color w:val="000000"/>
                <w:szCs w:val="22"/>
                <w:lang w:val="en-GB" w:eastAsia="en-GB"/>
              </w:rPr>
            </w:pPr>
            <w:r w:rsidRPr="00AB5F63">
              <w:rPr>
                <w:rFonts w:eastAsia="Calibri"/>
                <w:b/>
                <w:color w:val="000000"/>
                <w:szCs w:val="22"/>
                <w:lang w:val="en-GB" w:eastAsia="en-GB"/>
              </w:rPr>
              <w:t>Average experience as examiners (years)</w:t>
            </w:r>
          </w:p>
        </w:tc>
        <w:tc>
          <w:tcPr>
            <w:tcW w:w="2117" w:type="dxa"/>
            <w:gridSpan w:val="2"/>
            <w:tcBorders>
              <w:top w:val="single" w:sz="4" w:space="0" w:color="auto"/>
              <w:left w:val="nil"/>
              <w:bottom w:val="single" w:sz="8" w:space="0" w:color="auto"/>
              <w:right w:val="single" w:sz="8" w:space="0" w:color="auto"/>
            </w:tcBorders>
          </w:tcPr>
          <w:p w14:paraId="015D7DE4" w14:textId="77777777" w:rsidR="001E0924" w:rsidRDefault="001E0924" w:rsidP="002F1E5D">
            <w:pPr>
              <w:rPr>
                <w:rFonts w:eastAsia="Calibri"/>
                <w:b/>
                <w:color w:val="000000"/>
                <w:szCs w:val="22"/>
                <w:lang w:val="en-GB" w:eastAsia="en-GB"/>
              </w:rPr>
            </w:pPr>
          </w:p>
          <w:p w14:paraId="7AB3461A" w14:textId="77777777" w:rsidR="001E0924" w:rsidRPr="00AB5F63" w:rsidRDefault="001E0924" w:rsidP="002F1E5D">
            <w:pPr>
              <w:rPr>
                <w:rFonts w:eastAsia="Calibri"/>
                <w:b/>
                <w:color w:val="000000"/>
                <w:szCs w:val="22"/>
                <w:lang w:val="en-GB" w:eastAsia="en-GB"/>
              </w:rPr>
            </w:pPr>
            <w:r w:rsidRPr="00AB5F63">
              <w:rPr>
                <w:rFonts w:eastAsia="Calibri"/>
                <w:b/>
                <w:color w:val="000000"/>
                <w:szCs w:val="22"/>
                <w:lang w:val="en-GB" w:eastAsia="en-GB"/>
              </w:rPr>
              <w:t>Breakdown of qualifications</w:t>
            </w:r>
          </w:p>
        </w:tc>
      </w:tr>
      <w:tr w:rsidR="001E0924" w:rsidRPr="002B7361" w14:paraId="503FEB37" w14:textId="77777777" w:rsidTr="002F1E5D">
        <w:trPr>
          <w:trHeight w:val="285"/>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078C67" w14:textId="77777777" w:rsidR="001E0924" w:rsidRPr="002B7361" w:rsidRDefault="001E0924" w:rsidP="002F1E5D">
            <w:pPr>
              <w:rPr>
                <w:rFonts w:eastAsia="Calibri"/>
                <w:color w:val="000000"/>
                <w:szCs w:val="22"/>
                <w:lang w:val="en-GB" w:eastAsia="en-GB"/>
              </w:rPr>
            </w:pPr>
            <w:r w:rsidRPr="002B7361">
              <w:rPr>
                <w:rFonts w:eastAsia="Calibri"/>
                <w:color w:val="000000"/>
                <w:szCs w:val="22"/>
                <w:lang w:val="en-GB" w:eastAsia="en-GB"/>
              </w:rPr>
              <w:t>Agri-Food</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A238F8" w14:textId="77777777" w:rsidR="001E0924" w:rsidRPr="002B7361" w:rsidRDefault="001E0924" w:rsidP="002F1E5D">
            <w:pPr>
              <w:jc w:val="right"/>
              <w:rPr>
                <w:rFonts w:eastAsia="Calibri"/>
                <w:color w:val="000000"/>
                <w:szCs w:val="22"/>
                <w:lang w:val="en-GB" w:eastAsia="en-GB"/>
              </w:rPr>
            </w:pPr>
            <w:r w:rsidRPr="002B7361">
              <w:rPr>
                <w:rFonts w:eastAsia="Calibri"/>
                <w:color w:val="000000"/>
                <w:szCs w:val="22"/>
                <w:lang w:val="en-GB" w:eastAsia="en-GB"/>
              </w:rPr>
              <w:t>85</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7024A3" w14:textId="77777777" w:rsidR="001E0924" w:rsidRPr="00AB5F63" w:rsidRDefault="001E0924" w:rsidP="002F1E5D">
            <w:pPr>
              <w:jc w:val="right"/>
              <w:rPr>
                <w:rFonts w:eastAsia="Calibri"/>
                <w:b/>
                <w:color w:val="000000"/>
                <w:szCs w:val="22"/>
                <w:lang w:val="en-GB" w:eastAsia="en-GB"/>
              </w:rPr>
            </w:pPr>
            <w:r w:rsidRPr="004E1ECF">
              <w:rPr>
                <w:rFonts w:eastAsia="Calibri"/>
                <w:color w:val="000000"/>
                <w:szCs w:val="22"/>
                <w:lang w:val="en-GB" w:eastAsia="en-GB"/>
              </w:rPr>
              <w:t>17,21</w:t>
            </w:r>
          </w:p>
        </w:tc>
        <w:tc>
          <w:tcPr>
            <w:tcW w:w="2117" w:type="dxa"/>
            <w:gridSpan w:val="2"/>
            <w:vMerge w:val="restart"/>
            <w:tcBorders>
              <w:top w:val="nil"/>
              <w:left w:val="nil"/>
              <w:right w:val="single" w:sz="8" w:space="0" w:color="auto"/>
            </w:tcBorders>
          </w:tcPr>
          <w:p w14:paraId="583A50F0" w14:textId="77777777" w:rsidR="001E0924" w:rsidRPr="002B7361" w:rsidRDefault="001E0924" w:rsidP="002F1E5D">
            <w:pPr>
              <w:jc w:val="right"/>
              <w:rPr>
                <w:rFonts w:eastAsia="Calibri"/>
                <w:color w:val="000000"/>
                <w:szCs w:val="22"/>
                <w:lang w:val="en-GB" w:eastAsia="en-GB"/>
              </w:rPr>
            </w:pPr>
          </w:p>
        </w:tc>
      </w:tr>
      <w:tr w:rsidR="001E0924" w:rsidRPr="002B7361" w14:paraId="41D5F7C3" w14:textId="77777777" w:rsidTr="002F1E5D">
        <w:trPr>
          <w:trHeight w:val="285"/>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2F89A0" w14:textId="77777777" w:rsidR="001E0924" w:rsidRPr="002B7361" w:rsidRDefault="001E0924" w:rsidP="002F1E5D">
            <w:pPr>
              <w:rPr>
                <w:rFonts w:eastAsia="Calibri"/>
                <w:color w:val="000000"/>
                <w:szCs w:val="22"/>
                <w:lang w:val="en-GB" w:eastAsia="en-GB"/>
              </w:rPr>
            </w:pPr>
            <w:r w:rsidRPr="002B7361">
              <w:rPr>
                <w:rFonts w:eastAsia="Calibri"/>
                <w:color w:val="000000"/>
                <w:szCs w:val="22"/>
                <w:lang w:val="en-GB" w:eastAsia="en-GB"/>
              </w:rPr>
              <w:t>Digital</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BFA781" w14:textId="77777777" w:rsidR="001E0924" w:rsidRPr="002B7361" w:rsidRDefault="001E0924" w:rsidP="002F1E5D">
            <w:pPr>
              <w:jc w:val="right"/>
              <w:rPr>
                <w:rFonts w:eastAsia="Calibri"/>
                <w:color w:val="000000"/>
                <w:szCs w:val="22"/>
                <w:lang w:val="en-GB" w:eastAsia="en-GB"/>
              </w:rPr>
            </w:pPr>
            <w:r w:rsidRPr="002B7361">
              <w:rPr>
                <w:rFonts w:eastAsia="Calibri"/>
                <w:color w:val="000000"/>
                <w:szCs w:val="22"/>
                <w:lang w:val="en-GB" w:eastAsia="en-GB"/>
              </w:rPr>
              <w:t>786</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89B450" w14:textId="77777777" w:rsidR="001E0924" w:rsidRPr="002B7361" w:rsidRDefault="001E0924" w:rsidP="002F1E5D">
            <w:pPr>
              <w:jc w:val="right"/>
              <w:rPr>
                <w:rFonts w:eastAsia="Calibri"/>
                <w:color w:val="000000"/>
                <w:szCs w:val="22"/>
                <w:lang w:val="en-GB" w:eastAsia="en-GB"/>
              </w:rPr>
            </w:pPr>
            <w:r w:rsidRPr="002B7361">
              <w:rPr>
                <w:rFonts w:eastAsia="Calibri"/>
                <w:color w:val="000000"/>
                <w:szCs w:val="22"/>
                <w:lang w:val="en-GB" w:eastAsia="en-GB"/>
              </w:rPr>
              <w:t>17,50</w:t>
            </w:r>
          </w:p>
        </w:tc>
        <w:tc>
          <w:tcPr>
            <w:tcW w:w="2117" w:type="dxa"/>
            <w:gridSpan w:val="2"/>
            <w:vMerge/>
            <w:tcBorders>
              <w:left w:val="nil"/>
              <w:right w:val="single" w:sz="8" w:space="0" w:color="auto"/>
            </w:tcBorders>
          </w:tcPr>
          <w:p w14:paraId="29D74099" w14:textId="77777777" w:rsidR="001E0924" w:rsidRPr="002B7361" w:rsidRDefault="001E0924" w:rsidP="002F1E5D">
            <w:pPr>
              <w:jc w:val="right"/>
              <w:rPr>
                <w:rFonts w:eastAsia="Calibri"/>
                <w:color w:val="000000"/>
                <w:szCs w:val="22"/>
                <w:lang w:val="en-GB" w:eastAsia="en-GB"/>
              </w:rPr>
            </w:pPr>
          </w:p>
        </w:tc>
      </w:tr>
      <w:tr w:rsidR="001E0924" w:rsidRPr="002B7361" w14:paraId="59DF848B" w14:textId="77777777" w:rsidTr="002F1E5D">
        <w:trPr>
          <w:trHeight w:val="285"/>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8EC6EF" w14:textId="77777777" w:rsidR="001E0924" w:rsidRPr="002B7361" w:rsidRDefault="001E0924" w:rsidP="002F1E5D">
            <w:pPr>
              <w:rPr>
                <w:rFonts w:eastAsia="Calibri"/>
                <w:color w:val="000000"/>
                <w:szCs w:val="22"/>
                <w:lang w:val="en-GB" w:eastAsia="en-GB"/>
              </w:rPr>
            </w:pPr>
            <w:r w:rsidRPr="002B7361">
              <w:rPr>
                <w:rFonts w:eastAsia="Calibri"/>
                <w:color w:val="000000"/>
                <w:szCs w:val="22"/>
                <w:lang w:val="en-GB" w:eastAsia="en-GB"/>
              </w:rPr>
              <w:t>Electronics &amp; Physics</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72A986" w14:textId="77777777" w:rsidR="001E0924" w:rsidRPr="002B7361" w:rsidRDefault="001E0924" w:rsidP="002F1E5D">
            <w:pPr>
              <w:jc w:val="right"/>
              <w:rPr>
                <w:rFonts w:eastAsia="Calibri"/>
                <w:color w:val="000000"/>
                <w:szCs w:val="22"/>
                <w:lang w:val="en-GB" w:eastAsia="en-GB"/>
              </w:rPr>
            </w:pPr>
            <w:r w:rsidRPr="002B7361">
              <w:rPr>
                <w:rFonts w:eastAsia="Calibri"/>
                <w:color w:val="000000"/>
                <w:szCs w:val="22"/>
                <w:lang w:val="en-GB" w:eastAsia="en-GB"/>
              </w:rPr>
              <w:t>479</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DE4655" w14:textId="77777777" w:rsidR="001E0924" w:rsidRPr="002B7361" w:rsidRDefault="001E0924" w:rsidP="002F1E5D">
            <w:pPr>
              <w:jc w:val="right"/>
              <w:rPr>
                <w:rFonts w:eastAsia="Calibri"/>
                <w:color w:val="000000"/>
                <w:szCs w:val="22"/>
                <w:lang w:val="en-GB" w:eastAsia="en-GB"/>
              </w:rPr>
            </w:pPr>
            <w:r w:rsidRPr="002B7361">
              <w:rPr>
                <w:rFonts w:eastAsia="Calibri"/>
                <w:color w:val="000000"/>
                <w:szCs w:val="22"/>
                <w:lang w:val="en-GB" w:eastAsia="en-GB"/>
              </w:rPr>
              <w:t>17,66</w:t>
            </w:r>
          </w:p>
        </w:tc>
        <w:tc>
          <w:tcPr>
            <w:tcW w:w="2117" w:type="dxa"/>
            <w:gridSpan w:val="2"/>
            <w:vMerge/>
            <w:tcBorders>
              <w:left w:val="nil"/>
              <w:right w:val="single" w:sz="8" w:space="0" w:color="auto"/>
            </w:tcBorders>
          </w:tcPr>
          <w:p w14:paraId="573CFDC0" w14:textId="77777777" w:rsidR="001E0924" w:rsidRPr="002B7361" w:rsidRDefault="001E0924" w:rsidP="002F1E5D">
            <w:pPr>
              <w:jc w:val="right"/>
              <w:rPr>
                <w:rFonts w:eastAsia="Calibri"/>
                <w:color w:val="000000"/>
                <w:szCs w:val="22"/>
                <w:lang w:val="en-GB" w:eastAsia="en-GB"/>
              </w:rPr>
            </w:pPr>
          </w:p>
        </w:tc>
      </w:tr>
      <w:tr w:rsidR="001E0924" w:rsidRPr="002B7361" w14:paraId="0FF299BE" w14:textId="77777777" w:rsidTr="002F1E5D">
        <w:trPr>
          <w:trHeight w:val="285"/>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ECA182" w14:textId="77777777" w:rsidR="001E0924" w:rsidRPr="002B7361" w:rsidRDefault="001E0924" w:rsidP="002F1E5D">
            <w:pPr>
              <w:rPr>
                <w:rFonts w:eastAsia="Calibri"/>
                <w:color w:val="000000"/>
                <w:szCs w:val="22"/>
                <w:lang w:val="en-GB" w:eastAsia="en-GB"/>
              </w:rPr>
            </w:pPr>
            <w:r w:rsidRPr="002B7361">
              <w:rPr>
                <w:rFonts w:eastAsia="Calibri"/>
                <w:color w:val="000000"/>
                <w:szCs w:val="22"/>
                <w:lang w:val="en-GB" w:eastAsia="en-GB"/>
              </w:rPr>
              <w:t>Energy</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FCF057" w14:textId="77777777" w:rsidR="001E0924" w:rsidRPr="002B7361" w:rsidRDefault="001E0924" w:rsidP="002F1E5D">
            <w:pPr>
              <w:jc w:val="right"/>
              <w:rPr>
                <w:rFonts w:eastAsia="Calibri"/>
                <w:color w:val="000000"/>
                <w:szCs w:val="22"/>
                <w:lang w:val="en-GB" w:eastAsia="en-GB"/>
              </w:rPr>
            </w:pPr>
            <w:r w:rsidRPr="002B7361">
              <w:rPr>
                <w:rFonts w:eastAsia="Calibri"/>
                <w:color w:val="000000"/>
                <w:szCs w:val="22"/>
                <w:lang w:val="en-GB" w:eastAsia="en-GB"/>
              </w:rPr>
              <w:t>154</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9CF3AD" w14:textId="77777777" w:rsidR="001E0924" w:rsidRPr="002B7361" w:rsidRDefault="001E0924" w:rsidP="002F1E5D">
            <w:pPr>
              <w:jc w:val="right"/>
              <w:rPr>
                <w:rFonts w:eastAsia="Calibri"/>
                <w:color w:val="000000"/>
                <w:szCs w:val="22"/>
                <w:lang w:val="en-GB" w:eastAsia="en-GB"/>
              </w:rPr>
            </w:pPr>
            <w:r w:rsidRPr="002B7361">
              <w:rPr>
                <w:rFonts w:eastAsia="Calibri"/>
                <w:color w:val="000000"/>
                <w:szCs w:val="22"/>
                <w:lang w:val="en-GB" w:eastAsia="en-GB"/>
              </w:rPr>
              <w:t>17,25</w:t>
            </w:r>
          </w:p>
        </w:tc>
        <w:tc>
          <w:tcPr>
            <w:tcW w:w="2117" w:type="dxa"/>
            <w:gridSpan w:val="2"/>
            <w:vMerge/>
            <w:tcBorders>
              <w:left w:val="nil"/>
              <w:right w:val="single" w:sz="8" w:space="0" w:color="auto"/>
            </w:tcBorders>
          </w:tcPr>
          <w:p w14:paraId="103D04EC" w14:textId="77777777" w:rsidR="001E0924" w:rsidRPr="002B7361" w:rsidRDefault="001E0924" w:rsidP="002F1E5D">
            <w:pPr>
              <w:jc w:val="right"/>
              <w:rPr>
                <w:rFonts w:eastAsia="Calibri"/>
                <w:color w:val="000000"/>
                <w:szCs w:val="22"/>
                <w:lang w:val="en-GB" w:eastAsia="en-GB"/>
              </w:rPr>
            </w:pPr>
          </w:p>
        </w:tc>
      </w:tr>
      <w:tr w:rsidR="001E0924" w:rsidRPr="002B7361" w14:paraId="78DC8C6F" w14:textId="77777777" w:rsidTr="002F1E5D">
        <w:trPr>
          <w:trHeight w:val="285"/>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00D6DA" w14:textId="77777777" w:rsidR="001E0924" w:rsidRPr="002B7361" w:rsidRDefault="001E0924" w:rsidP="002F1E5D">
            <w:pPr>
              <w:rPr>
                <w:rFonts w:eastAsia="Calibri"/>
                <w:color w:val="000000"/>
                <w:szCs w:val="22"/>
                <w:lang w:val="en-GB" w:eastAsia="en-GB"/>
              </w:rPr>
            </w:pPr>
            <w:r w:rsidRPr="002B7361">
              <w:rPr>
                <w:rFonts w:eastAsia="Calibri"/>
                <w:color w:val="000000"/>
                <w:szCs w:val="22"/>
                <w:lang w:val="en-GB" w:eastAsia="en-GB"/>
              </w:rPr>
              <w:t>Health</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3F5850" w14:textId="77777777" w:rsidR="001E0924" w:rsidRPr="002B7361" w:rsidRDefault="001E0924" w:rsidP="002F1E5D">
            <w:pPr>
              <w:jc w:val="right"/>
              <w:rPr>
                <w:rFonts w:eastAsia="Calibri"/>
                <w:color w:val="000000"/>
                <w:szCs w:val="22"/>
                <w:lang w:val="en-GB" w:eastAsia="en-GB"/>
              </w:rPr>
            </w:pPr>
            <w:r w:rsidRPr="002B7361">
              <w:rPr>
                <w:rFonts w:eastAsia="Calibri"/>
                <w:color w:val="000000"/>
                <w:szCs w:val="22"/>
                <w:lang w:val="en-GB" w:eastAsia="en-GB"/>
              </w:rPr>
              <w:t>559</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2BDD36" w14:textId="77777777" w:rsidR="001E0924" w:rsidRPr="002B7361" w:rsidRDefault="001E0924" w:rsidP="002F1E5D">
            <w:pPr>
              <w:jc w:val="right"/>
              <w:rPr>
                <w:rFonts w:eastAsia="Calibri"/>
                <w:color w:val="000000"/>
                <w:szCs w:val="22"/>
                <w:lang w:val="en-GB" w:eastAsia="en-GB"/>
              </w:rPr>
            </w:pPr>
            <w:r w:rsidRPr="002B7361">
              <w:rPr>
                <w:rFonts w:eastAsia="Calibri"/>
                <w:color w:val="000000"/>
                <w:szCs w:val="22"/>
                <w:lang w:val="en-GB" w:eastAsia="en-GB"/>
              </w:rPr>
              <w:t>18,60</w:t>
            </w:r>
          </w:p>
        </w:tc>
        <w:tc>
          <w:tcPr>
            <w:tcW w:w="2117" w:type="dxa"/>
            <w:gridSpan w:val="2"/>
            <w:vMerge/>
            <w:tcBorders>
              <w:left w:val="nil"/>
              <w:right w:val="single" w:sz="8" w:space="0" w:color="auto"/>
            </w:tcBorders>
          </w:tcPr>
          <w:p w14:paraId="22D24CE4" w14:textId="77777777" w:rsidR="001E0924" w:rsidRPr="002B7361" w:rsidRDefault="001E0924" w:rsidP="002F1E5D">
            <w:pPr>
              <w:jc w:val="right"/>
              <w:rPr>
                <w:rFonts w:eastAsia="Calibri"/>
                <w:color w:val="000000"/>
                <w:szCs w:val="22"/>
                <w:lang w:val="en-GB" w:eastAsia="en-GB"/>
              </w:rPr>
            </w:pPr>
          </w:p>
        </w:tc>
      </w:tr>
      <w:tr w:rsidR="001E0924" w:rsidRPr="002B7361" w14:paraId="0AF9B694" w14:textId="77777777" w:rsidTr="002F1E5D">
        <w:trPr>
          <w:trHeight w:val="285"/>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0474B6" w14:textId="77777777" w:rsidR="001E0924" w:rsidRPr="002B7361" w:rsidRDefault="001E0924" w:rsidP="002F1E5D">
            <w:pPr>
              <w:rPr>
                <w:rFonts w:eastAsia="Calibri"/>
                <w:color w:val="000000"/>
                <w:szCs w:val="22"/>
                <w:lang w:val="en-GB" w:eastAsia="en-GB"/>
              </w:rPr>
            </w:pPr>
            <w:r w:rsidRPr="002B7361">
              <w:rPr>
                <w:rFonts w:eastAsia="Calibri"/>
                <w:color w:val="000000"/>
                <w:szCs w:val="22"/>
                <w:lang w:val="en-GB" w:eastAsia="en-GB"/>
              </w:rPr>
              <w:t>Infrastructure &amp; Mechanics</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FE43A9" w14:textId="77777777" w:rsidR="001E0924" w:rsidRPr="002B7361" w:rsidRDefault="001E0924" w:rsidP="002F1E5D">
            <w:pPr>
              <w:jc w:val="right"/>
              <w:rPr>
                <w:rFonts w:eastAsia="Calibri"/>
                <w:color w:val="000000"/>
                <w:szCs w:val="22"/>
                <w:lang w:val="en-GB" w:eastAsia="en-GB"/>
              </w:rPr>
            </w:pPr>
            <w:r w:rsidRPr="002B7361">
              <w:rPr>
                <w:rFonts w:eastAsia="Calibri"/>
                <w:color w:val="000000"/>
                <w:szCs w:val="22"/>
                <w:lang w:val="en-GB" w:eastAsia="en-GB"/>
              </w:rPr>
              <w:t>245</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766032" w14:textId="77777777" w:rsidR="001E0924" w:rsidRPr="002B7361" w:rsidRDefault="001E0924" w:rsidP="002F1E5D">
            <w:pPr>
              <w:jc w:val="right"/>
              <w:rPr>
                <w:rFonts w:eastAsia="Calibri"/>
                <w:color w:val="000000"/>
                <w:szCs w:val="22"/>
                <w:lang w:val="en-GB" w:eastAsia="en-GB"/>
              </w:rPr>
            </w:pPr>
            <w:r w:rsidRPr="002B7361">
              <w:rPr>
                <w:rFonts w:eastAsia="Calibri"/>
                <w:color w:val="000000"/>
                <w:szCs w:val="22"/>
                <w:lang w:val="en-GB" w:eastAsia="en-GB"/>
              </w:rPr>
              <w:t>17,50</w:t>
            </w:r>
          </w:p>
        </w:tc>
        <w:tc>
          <w:tcPr>
            <w:tcW w:w="2117" w:type="dxa"/>
            <w:gridSpan w:val="2"/>
            <w:vMerge/>
            <w:tcBorders>
              <w:left w:val="nil"/>
              <w:right w:val="single" w:sz="8" w:space="0" w:color="auto"/>
            </w:tcBorders>
          </w:tcPr>
          <w:p w14:paraId="065521AE" w14:textId="77777777" w:rsidR="001E0924" w:rsidRPr="002B7361" w:rsidRDefault="001E0924" w:rsidP="002F1E5D">
            <w:pPr>
              <w:jc w:val="right"/>
              <w:rPr>
                <w:rFonts w:eastAsia="Calibri"/>
                <w:color w:val="000000"/>
                <w:szCs w:val="22"/>
                <w:lang w:val="en-GB" w:eastAsia="en-GB"/>
              </w:rPr>
            </w:pPr>
          </w:p>
        </w:tc>
      </w:tr>
      <w:tr w:rsidR="001E0924" w:rsidRPr="002B7361" w14:paraId="2603A251" w14:textId="77777777" w:rsidTr="002F1E5D">
        <w:trPr>
          <w:trHeight w:val="285"/>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DDFF3E" w14:textId="77777777" w:rsidR="001E0924" w:rsidRPr="002B7361" w:rsidRDefault="001E0924" w:rsidP="002F1E5D">
            <w:pPr>
              <w:rPr>
                <w:rFonts w:eastAsia="Calibri"/>
                <w:color w:val="000000"/>
                <w:szCs w:val="22"/>
                <w:lang w:val="en-GB" w:eastAsia="en-GB"/>
              </w:rPr>
            </w:pPr>
            <w:r w:rsidRPr="002B7361">
              <w:rPr>
                <w:rFonts w:eastAsia="Calibri"/>
                <w:color w:val="000000"/>
                <w:szCs w:val="22"/>
                <w:lang w:val="en-GB" w:eastAsia="en-GB"/>
              </w:rPr>
              <w:t>Materials &amp; Production</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95BF31" w14:textId="77777777" w:rsidR="001E0924" w:rsidRPr="002B7361" w:rsidRDefault="001E0924" w:rsidP="002F1E5D">
            <w:pPr>
              <w:jc w:val="right"/>
              <w:rPr>
                <w:rFonts w:eastAsia="Calibri"/>
                <w:color w:val="000000"/>
                <w:szCs w:val="22"/>
                <w:lang w:val="en-GB" w:eastAsia="en-GB"/>
              </w:rPr>
            </w:pPr>
            <w:r w:rsidRPr="002B7361">
              <w:rPr>
                <w:rFonts w:eastAsia="Calibri"/>
                <w:color w:val="000000"/>
                <w:szCs w:val="22"/>
                <w:lang w:val="en-GB" w:eastAsia="en-GB"/>
              </w:rPr>
              <w:t>531</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D4BA8D" w14:textId="77777777" w:rsidR="001E0924" w:rsidRPr="002B7361" w:rsidRDefault="001E0924" w:rsidP="002F1E5D">
            <w:pPr>
              <w:jc w:val="right"/>
              <w:rPr>
                <w:rFonts w:eastAsia="Calibri"/>
                <w:color w:val="000000"/>
                <w:szCs w:val="22"/>
                <w:lang w:val="en-GB" w:eastAsia="en-GB"/>
              </w:rPr>
            </w:pPr>
            <w:r w:rsidRPr="002B7361">
              <w:rPr>
                <w:rFonts w:eastAsia="Calibri"/>
                <w:color w:val="000000"/>
                <w:szCs w:val="22"/>
                <w:lang w:val="en-GB" w:eastAsia="en-GB"/>
              </w:rPr>
              <w:t>17,26</w:t>
            </w:r>
          </w:p>
        </w:tc>
        <w:tc>
          <w:tcPr>
            <w:tcW w:w="2117" w:type="dxa"/>
            <w:gridSpan w:val="2"/>
            <w:vMerge/>
            <w:tcBorders>
              <w:left w:val="nil"/>
              <w:right w:val="single" w:sz="8" w:space="0" w:color="auto"/>
            </w:tcBorders>
          </w:tcPr>
          <w:p w14:paraId="5A05A7CF" w14:textId="77777777" w:rsidR="001E0924" w:rsidRPr="002B7361" w:rsidRDefault="001E0924" w:rsidP="002F1E5D">
            <w:pPr>
              <w:jc w:val="right"/>
              <w:rPr>
                <w:rFonts w:eastAsia="Calibri"/>
                <w:color w:val="000000"/>
                <w:szCs w:val="22"/>
                <w:lang w:val="en-GB" w:eastAsia="en-GB"/>
              </w:rPr>
            </w:pPr>
          </w:p>
        </w:tc>
      </w:tr>
      <w:tr w:rsidR="001E0924" w:rsidRPr="002B7361" w14:paraId="14812FD8" w14:textId="77777777" w:rsidTr="002F1E5D">
        <w:trPr>
          <w:trHeight w:val="300"/>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76C966" w14:textId="77777777" w:rsidR="001E0924" w:rsidRPr="002B7361" w:rsidRDefault="001E0924" w:rsidP="002F1E5D">
            <w:pPr>
              <w:rPr>
                <w:rFonts w:eastAsia="Calibri"/>
                <w:color w:val="000000"/>
                <w:szCs w:val="22"/>
                <w:lang w:val="en-GB" w:eastAsia="en-GB"/>
              </w:rPr>
            </w:pPr>
            <w:r w:rsidRPr="002B7361">
              <w:rPr>
                <w:rFonts w:eastAsia="Calibri"/>
                <w:color w:val="000000"/>
                <w:szCs w:val="22"/>
                <w:lang w:val="en-GB" w:eastAsia="en-GB"/>
              </w:rPr>
              <w:t>Mobility &amp; Space Technologies</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19554E" w14:textId="77777777" w:rsidR="001E0924" w:rsidRPr="002B7361" w:rsidRDefault="001E0924" w:rsidP="002F1E5D">
            <w:pPr>
              <w:jc w:val="right"/>
              <w:rPr>
                <w:rFonts w:eastAsia="Calibri"/>
                <w:color w:val="000000"/>
                <w:szCs w:val="22"/>
                <w:lang w:val="en-GB" w:eastAsia="en-GB"/>
              </w:rPr>
            </w:pPr>
            <w:r w:rsidRPr="002B7361">
              <w:rPr>
                <w:rFonts w:eastAsia="Calibri"/>
                <w:color w:val="000000"/>
                <w:szCs w:val="22"/>
                <w:lang w:val="en-GB" w:eastAsia="en-GB"/>
              </w:rPr>
              <w:t>261</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EA3F91" w14:textId="77777777" w:rsidR="001E0924" w:rsidRPr="002B7361" w:rsidRDefault="001E0924" w:rsidP="002F1E5D">
            <w:pPr>
              <w:jc w:val="right"/>
              <w:rPr>
                <w:rFonts w:eastAsia="Calibri"/>
                <w:color w:val="000000"/>
                <w:szCs w:val="22"/>
                <w:lang w:val="en-GB" w:eastAsia="en-GB"/>
              </w:rPr>
            </w:pPr>
            <w:r w:rsidRPr="002B7361">
              <w:rPr>
                <w:rFonts w:eastAsia="Calibri"/>
                <w:color w:val="000000"/>
                <w:szCs w:val="22"/>
                <w:lang w:val="en-GB" w:eastAsia="en-GB"/>
              </w:rPr>
              <w:t>18,10</w:t>
            </w:r>
          </w:p>
        </w:tc>
        <w:tc>
          <w:tcPr>
            <w:tcW w:w="2117" w:type="dxa"/>
            <w:gridSpan w:val="2"/>
            <w:vMerge/>
            <w:tcBorders>
              <w:left w:val="nil"/>
              <w:bottom w:val="single" w:sz="8" w:space="0" w:color="auto"/>
              <w:right w:val="single" w:sz="8" w:space="0" w:color="auto"/>
            </w:tcBorders>
          </w:tcPr>
          <w:p w14:paraId="2F957A4A" w14:textId="77777777" w:rsidR="001E0924" w:rsidRPr="002B7361" w:rsidRDefault="001E0924" w:rsidP="002F1E5D">
            <w:pPr>
              <w:jc w:val="right"/>
              <w:rPr>
                <w:rFonts w:eastAsia="Calibri"/>
                <w:color w:val="000000"/>
                <w:szCs w:val="22"/>
                <w:lang w:val="en-GB" w:eastAsia="en-GB"/>
              </w:rPr>
            </w:pPr>
          </w:p>
        </w:tc>
      </w:tr>
      <w:tr w:rsidR="001E0924" w:rsidRPr="002B7361" w14:paraId="3E49A62B" w14:textId="77777777" w:rsidTr="002F1E5D">
        <w:trPr>
          <w:trHeight w:val="300"/>
        </w:trPr>
        <w:tc>
          <w:tcPr>
            <w:tcW w:w="3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152578" w14:textId="77777777" w:rsidR="001E0924" w:rsidRPr="002B7361" w:rsidRDefault="001E0924" w:rsidP="002F1E5D">
            <w:pPr>
              <w:rPr>
                <w:rFonts w:eastAsia="Calibri"/>
                <w:b/>
                <w:bCs/>
                <w:color w:val="000000"/>
                <w:szCs w:val="22"/>
                <w:lang w:val="en-GB" w:eastAsia="en-GB"/>
              </w:rPr>
            </w:pPr>
            <w:r w:rsidRPr="002B7361">
              <w:rPr>
                <w:rFonts w:eastAsia="Calibri"/>
                <w:b/>
                <w:bCs/>
                <w:color w:val="000000"/>
                <w:szCs w:val="22"/>
                <w:lang w:val="en-GB" w:eastAsia="en-GB"/>
              </w:rPr>
              <w:t> Total</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4B48AE" w14:textId="77777777" w:rsidR="001E0924" w:rsidRPr="002B7361" w:rsidRDefault="001E0924" w:rsidP="002F1E5D">
            <w:pPr>
              <w:jc w:val="right"/>
              <w:rPr>
                <w:rFonts w:eastAsia="Calibri"/>
                <w:b/>
                <w:bCs/>
                <w:color w:val="000000"/>
                <w:szCs w:val="22"/>
                <w:lang w:val="en-GB" w:eastAsia="en-GB"/>
              </w:rPr>
            </w:pPr>
            <w:r w:rsidRPr="002B7361">
              <w:rPr>
                <w:rFonts w:eastAsia="Calibri"/>
                <w:b/>
                <w:bCs/>
                <w:color w:val="000000"/>
                <w:szCs w:val="22"/>
                <w:lang w:val="en-GB" w:eastAsia="en-GB"/>
              </w:rPr>
              <w:t>3099</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301E1E" w14:textId="77777777" w:rsidR="001E0924" w:rsidRPr="002B7361" w:rsidRDefault="001E0924" w:rsidP="002F1E5D">
            <w:pPr>
              <w:jc w:val="right"/>
              <w:rPr>
                <w:rFonts w:eastAsia="Calibri"/>
                <w:b/>
                <w:bCs/>
                <w:color w:val="000000"/>
                <w:szCs w:val="22"/>
                <w:lang w:val="en-GB" w:eastAsia="en-GB"/>
              </w:rPr>
            </w:pPr>
            <w:r w:rsidRPr="002B7361">
              <w:rPr>
                <w:rFonts w:eastAsia="Calibri"/>
                <w:b/>
                <w:bCs/>
                <w:color w:val="000000"/>
                <w:szCs w:val="22"/>
                <w:lang w:val="en-GB" w:eastAsia="en-GB"/>
              </w:rPr>
              <w:t>17,71</w:t>
            </w:r>
          </w:p>
        </w:tc>
        <w:tc>
          <w:tcPr>
            <w:tcW w:w="1058" w:type="dxa"/>
            <w:tcBorders>
              <w:top w:val="nil"/>
              <w:left w:val="nil"/>
              <w:bottom w:val="single" w:sz="8" w:space="0" w:color="auto"/>
              <w:right w:val="single" w:sz="8" w:space="0" w:color="auto"/>
            </w:tcBorders>
          </w:tcPr>
          <w:p w14:paraId="650035BE" w14:textId="1433210E" w:rsidR="001E0924" w:rsidRDefault="001E0924" w:rsidP="002F1E5D">
            <w:pPr>
              <w:jc w:val="right"/>
              <w:rPr>
                <w:rFonts w:eastAsia="Calibri"/>
                <w:color w:val="000000"/>
                <w:szCs w:val="22"/>
                <w:lang w:val="en-GB" w:eastAsia="en-GB"/>
              </w:rPr>
            </w:pPr>
            <w:r w:rsidRPr="007B6F71">
              <w:rPr>
                <w:rFonts w:eastAsia="Calibri"/>
                <w:color w:val="000000"/>
                <w:szCs w:val="22"/>
                <w:lang w:val="en-GB" w:eastAsia="en-GB"/>
              </w:rPr>
              <w:t>Master</w:t>
            </w:r>
            <w:r w:rsidR="00D353E3">
              <w:rPr>
                <w:rFonts w:eastAsia="Calibri"/>
                <w:color w:val="000000"/>
                <w:szCs w:val="22"/>
                <w:lang w:val="en-GB" w:eastAsia="en-GB"/>
              </w:rPr>
              <w:t>’</w:t>
            </w:r>
            <w:r w:rsidRPr="007B6F71">
              <w:rPr>
                <w:rFonts w:eastAsia="Calibri"/>
                <w:color w:val="000000"/>
                <w:szCs w:val="22"/>
                <w:lang w:val="en-GB" w:eastAsia="en-GB"/>
              </w:rPr>
              <w:t>s (or equiv.)</w:t>
            </w:r>
          </w:p>
          <w:p w14:paraId="541AB9DA" w14:textId="77777777" w:rsidR="001E0924" w:rsidRPr="007B6F71" w:rsidRDefault="001E0924" w:rsidP="002F1E5D">
            <w:pPr>
              <w:rPr>
                <w:rFonts w:eastAsia="Calibri"/>
                <w:color w:val="000000"/>
                <w:szCs w:val="22"/>
                <w:lang w:val="en-GB" w:eastAsia="en-GB"/>
              </w:rPr>
            </w:pPr>
          </w:p>
          <w:p w14:paraId="2058B564" w14:textId="77777777" w:rsidR="001E0924" w:rsidRPr="00A317F3" w:rsidRDefault="001E0924" w:rsidP="002F1E5D">
            <w:pPr>
              <w:jc w:val="right"/>
              <w:rPr>
                <w:rFonts w:eastAsia="Calibri"/>
                <w:b/>
                <w:bCs/>
                <w:color w:val="000000"/>
                <w:szCs w:val="22"/>
                <w:lang w:val="en-GB" w:eastAsia="en-GB"/>
              </w:rPr>
            </w:pPr>
            <w:r w:rsidRPr="00A317F3">
              <w:rPr>
                <w:rFonts w:eastAsia="Calibri"/>
                <w:b/>
                <w:bCs/>
                <w:color w:val="000000"/>
                <w:szCs w:val="22"/>
                <w:lang w:val="en-GB" w:eastAsia="en-GB"/>
              </w:rPr>
              <w:t>34 %</w:t>
            </w:r>
          </w:p>
        </w:tc>
        <w:tc>
          <w:tcPr>
            <w:tcW w:w="1059" w:type="dxa"/>
            <w:tcBorders>
              <w:top w:val="nil"/>
              <w:left w:val="nil"/>
              <w:bottom w:val="single" w:sz="8" w:space="0" w:color="auto"/>
              <w:right w:val="single" w:sz="8" w:space="0" w:color="auto"/>
            </w:tcBorders>
          </w:tcPr>
          <w:p w14:paraId="063384F7" w14:textId="77777777" w:rsidR="001E0924" w:rsidRPr="007B6F71" w:rsidRDefault="001E0924" w:rsidP="002F1E5D">
            <w:pPr>
              <w:jc w:val="right"/>
              <w:rPr>
                <w:rFonts w:eastAsia="Calibri"/>
                <w:color w:val="000000"/>
                <w:szCs w:val="22"/>
                <w:lang w:val="en-GB" w:eastAsia="en-GB"/>
              </w:rPr>
            </w:pPr>
            <w:r w:rsidRPr="007B6F71">
              <w:rPr>
                <w:rFonts w:eastAsia="Calibri"/>
                <w:color w:val="000000"/>
                <w:szCs w:val="22"/>
                <w:lang w:val="en-GB" w:eastAsia="en-GB"/>
              </w:rPr>
              <w:t xml:space="preserve">PhD (incl. ongoing) </w:t>
            </w:r>
          </w:p>
          <w:p w14:paraId="01809DB9" w14:textId="77777777" w:rsidR="001E0924" w:rsidRDefault="001E0924" w:rsidP="002F1E5D">
            <w:pPr>
              <w:rPr>
                <w:rFonts w:eastAsia="Calibri"/>
                <w:b/>
                <w:bCs/>
                <w:color w:val="000000"/>
                <w:szCs w:val="22"/>
                <w:lang w:val="en-GB" w:eastAsia="en-GB"/>
              </w:rPr>
            </w:pPr>
          </w:p>
          <w:p w14:paraId="3E2F7934" w14:textId="77777777" w:rsidR="001E0924" w:rsidRPr="002B7361" w:rsidRDefault="001E0924" w:rsidP="002F1E5D">
            <w:pPr>
              <w:jc w:val="right"/>
              <w:rPr>
                <w:rFonts w:eastAsia="Calibri"/>
                <w:b/>
                <w:bCs/>
                <w:color w:val="000000"/>
                <w:szCs w:val="22"/>
                <w:lang w:val="en-GB" w:eastAsia="en-GB"/>
              </w:rPr>
            </w:pPr>
            <w:r w:rsidRPr="00A317F3">
              <w:rPr>
                <w:rFonts w:eastAsia="Calibri"/>
                <w:b/>
                <w:bCs/>
                <w:color w:val="000000"/>
                <w:szCs w:val="22"/>
                <w:lang w:val="en-GB" w:eastAsia="en-GB"/>
              </w:rPr>
              <w:t>66 %</w:t>
            </w:r>
          </w:p>
        </w:tc>
      </w:tr>
    </w:tbl>
    <w:p w14:paraId="44ED2F5F" w14:textId="1EA2B8D4" w:rsidR="00C5047D" w:rsidRDefault="001E0924" w:rsidP="001E0924">
      <w:pPr>
        <w:pStyle w:val="Answer"/>
        <w:ind w:left="0"/>
      </w:pPr>
      <w:r>
        <w:t>*FTE = 200 days of search / examination / opposition time</w:t>
      </w:r>
    </w:p>
    <w:p w14:paraId="0B4B6E3B" w14:textId="77777777" w:rsidR="001E0924" w:rsidRDefault="001E0924" w:rsidP="009A31F1"/>
    <w:p w14:paraId="1633CD0D" w14:textId="77777777" w:rsidR="00C5047D" w:rsidRDefault="00C5047D" w:rsidP="00C5047D">
      <w:pPr>
        <w:pStyle w:val="RuleQuote"/>
        <w:ind w:left="0"/>
        <w:rPr>
          <w:i w:val="0"/>
          <w:iCs w:val="0"/>
        </w:rPr>
      </w:pPr>
      <w:r>
        <w:rPr>
          <w:i w:val="0"/>
          <w:iCs w:val="0"/>
        </w:rPr>
        <w:t xml:space="preserve">Other information beyond the QMS Report and the above table (optional):   </w:t>
      </w:r>
    </w:p>
    <w:p w14:paraId="5D25FD83" w14:textId="4EE21C66" w:rsidR="00C5047D" w:rsidRDefault="00C5047D" w:rsidP="00C5047D">
      <w:pPr>
        <w:rPr>
          <w:rFonts w:ascii="Helvetica" w:hAnsi="Helvetica"/>
          <w:szCs w:val="22"/>
        </w:rPr>
      </w:pPr>
    </w:p>
    <w:p w14:paraId="60AF6307" w14:textId="7436790F" w:rsidR="00C5047D" w:rsidRPr="002B3808" w:rsidRDefault="00C5047D" w:rsidP="00C5047D">
      <w:pPr>
        <w:pStyle w:val="SectionHeading"/>
        <w:rPr>
          <w:lang w:val="en-US"/>
        </w:rPr>
      </w:pPr>
      <w:r w:rsidRPr="002B3808">
        <w:rPr>
          <w:lang w:val="en-US"/>
        </w:rPr>
        <w:t>2.2 –</w:t>
      </w:r>
      <w:r w:rsidR="000B190C">
        <w:rPr>
          <w:lang w:val="en-US"/>
        </w:rPr>
        <w:t xml:space="preserve"> </w:t>
      </w:r>
      <w:r w:rsidRPr="002B3808">
        <w:rPr>
          <w:lang w:val="en-US"/>
        </w:rPr>
        <w:t>Minimum Documentation – Making Available for Consultation</w:t>
      </w:r>
    </w:p>
    <w:p w14:paraId="44503BDA" w14:textId="77777777" w:rsidR="00C5047D" w:rsidRDefault="00C5047D" w:rsidP="00C5047D">
      <w:pPr>
        <w:pStyle w:val="RuleQuote"/>
      </w:pPr>
      <w:r>
        <w:t>Rules 36.1(ii) and 63.1(ii):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5514EF50" w14:textId="125F5F8F" w:rsidR="00C5047D" w:rsidRDefault="00C5047D" w:rsidP="00C5047D">
      <w:pPr>
        <w:pStyle w:val="RuleQuote"/>
        <w:rPr>
          <w:szCs w:val="24"/>
        </w:rPr>
      </w:pPr>
      <w:r>
        <w:t xml:space="preserve">The requirements specified in the Administrative Instructions are set out in </w:t>
      </w:r>
      <w:hyperlink r:id="rId13" w:history="1">
        <w:r w:rsidRPr="00D33D7A">
          <w:rPr>
            <w:rStyle w:val="Hyperlink"/>
          </w:rPr>
          <w:t>Circular C. PCT 1672</w:t>
        </w:r>
      </w:hyperlink>
      <w:r>
        <w:t>, dated June 19, 2024.</w:t>
      </w:r>
    </w:p>
    <w:p w14:paraId="1F2DB717" w14:textId="41A6B627" w:rsidR="00C5047D" w:rsidRDefault="00C5047D" w:rsidP="00C5047D">
      <w:pPr>
        <w:pStyle w:val="Question"/>
        <w:spacing w:after="0"/>
        <w:rPr>
          <w:b w:val="0"/>
          <w:bCs w:val="0"/>
        </w:rPr>
      </w:pPr>
      <w:r>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b w:val="0"/>
          <w:bCs w:val="0"/>
        </w:rPr>
        <w:br/>
      </w:r>
      <w:r>
        <w:rPr>
          <w:b w:val="0"/>
          <w:bCs w:val="0"/>
        </w:rPr>
        <w:br/>
        <w:t>Either:</w:t>
      </w:r>
      <w:r>
        <w:rPr>
          <w:b w:val="0"/>
          <w:bCs w:val="0"/>
        </w:rPr>
        <w:br/>
      </w:r>
      <w:r>
        <w:rPr>
          <w:b w:val="0"/>
          <w:bCs w:val="0"/>
        </w:rPr>
        <w:br/>
      </w:r>
      <w:sdt>
        <w:sdtPr>
          <w:rPr>
            <w:b w:val="0"/>
            <w:bCs w:val="0"/>
          </w:rPr>
          <w:id w:val="-178122316"/>
          <w14:checkbox>
            <w14:checked w14:val="1"/>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bCs w:val="0"/>
        </w:rPr>
        <w:t xml:space="preserve"> The PCT Minimum Documentation Task Force has tested the availability of the patent documentation collections before November 1, 2025, and certifies that the requirements have been met.  The extent and format of the documents that the Authority has made available for consultation has been published in the PCT Gazette on October 23, 2025</w:t>
      </w:r>
      <w:r w:rsidR="007578A4">
        <w:rPr>
          <w:b w:val="0"/>
          <w:bCs w:val="0"/>
        </w:rPr>
        <w:t>,</w:t>
      </w:r>
      <w:r>
        <w:rPr>
          <w:b w:val="0"/>
          <w:bCs w:val="0"/>
        </w:rPr>
        <w:t xml:space="preserve"> at:</w:t>
      </w:r>
      <w:r w:rsidR="00221BAD">
        <w:rPr>
          <w:b w:val="0"/>
          <w:bCs w:val="0"/>
        </w:rPr>
        <w:t xml:space="preserve">  </w:t>
      </w:r>
      <w:hyperlink r:id="rId14" w:anchor="page=221" w:history="1">
        <w:r w:rsidR="00221BAD" w:rsidRPr="00966A36">
          <w:rPr>
            <w:rStyle w:val="Hyperlink"/>
            <w:b w:val="0"/>
            <w:szCs w:val="20"/>
          </w:rPr>
          <w:t>https://www.wipo.int/documents/d/pct-system/docs-en-official-notices-officialnotices.pdf#page=</w:t>
        </w:r>
        <w:r w:rsidR="0030438F" w:rsidRPr="00966A36">
          <w:rPr>
            <w:rStyle w:val="Hyperlink"/>
            <w:b w:val="0"/>
            <w:szCs w:val="20"/>
          </w:rPr>
          <w:t>19</w:t>
        </w:r>
        <w:r w:rsidR="00221BAD" w:rsidRPr="00966A36">
          <w:rPr>
            <w:rStyle w:val="Hyperlink"/>
            <w:b w:val="0"/>
            <w:szCs w:val="20"/>
          </w:rPr>
          <w:t>1</w:t>
        </w:r>
      </w:hyperlink>
      <w:r w:rsidRPr="00D114DC">
        <w:rPr>
          <w:b w:val="0"/>
          <w:bCs w:val="0"/>
        </w:rPr>
        <w:t>.</w:t>
      </w:r>
    </w:p>
    <w:p w14:paraId="37D5BDD4" w14:textId="77777777" w:rsidR="00C5047D" w:rsidRDefault="00C5047D" w:rsidP="00C5047D">
      <w:pPr>
        <w:pStyle w:val="Answer"/>
      </w:pPr>
    </w:p>
    <w:p w14:paraId="1DE04B01" w14:textId="77777777" w:rsidR="00C5047D" w:rsidRDefault="00C5047D" w:rsidP="00C5047D">
      <w:pPr>
        <w:pStyle w:val="Answer"/>
        <w:ind w:left="0"/>
      </w:pPr>
      <w:r>
        <w:lastRenderedPageBreak/>
        <w:t>Or:</w:t>
      </w:r>
    </w:p>
    <w:p w14:paraId="29122C8D" w14:textId="7F1A4759" w:rsidR="006A5C36" w:rsidRDefault="00404A4B" w:rsidP="00C5047D">
      <w:pPr>
        <w:pStyle w:val="Answer"/>
        <w:ind w:left="0"/>
      </w:pPr>
      <w:sdt>
        <w:sdtPr>
          <w:id w:val="229279132"/>
          <w14:checkbox>
            <w14:checked w14:val="0"/>
            <w14:checkedState w14:val="2612" w14:font="MS Gothic"/>
            <w14:uncheckedState w14:val="2610" w14:font="MS Gothic"/>
          </w14:checkbox>
        </w:sdtPr>
        <w:sdtEndPr/>
        <w:sdtContent>
          <w:r w:rsidR="006A5C36">
            <w:rPr>
              <w:rFonts w:ascii="MS Gothic" w:eastAsia="MS Gothic" w:hAnsi="MS Gothic" w:hint="eastAsia"/>
            </w:rPr>
            <w:t>☐</w:t>
          </w:r>
        </w:sdtContent>
      </w:sdt>
      <w:r w:rsidR="00C5047D">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19A4C13D" w14:textId="77777777" w:rsidR="00C5047D" w:rsidRPr="002B3808" w:rsidRDefault="00C5047D" w:rsidP="00C5047D">
      <w:pPr>
        <w:pStyle w:val="SectionHeading"/>
        <w:rPr>
          <w:lang w:val="en-US"/>
        </w:rPr>
      </w:pPr>
      <w:r w:rsidRPr="002B3808">
        <w:rPr>
          <w:lang w:val="en-US"/>
        </w:rPr>
        <w:t>2.3 – Minimum Documentation – Access</w:t>
      </w:r>
    </w:p>
    <w:p w14:paraId="6096117B" w14:textId="77777777" w:rsidR="00C5047D" w:rsidRDefault="00C5047D" w:rsidP="00C5047D">
      <w:pPr>
        <w:pStyle w:val="RuleQuote"/>
        <w:rPr>
          <w:i w:val="0"/>
          <w:iCs w:val="0"/>
        </w:rPr>
      </w:pPr>
      <w:r>
        <w:t xml:space="preserve">Rules 36.1(iii) and 63.1(iii): That Office or organization must have in its </w:t>
      </w:r>
      <w:proofErr w:type="gramStart"/>
      <w:r>
        <w:t>possession, or</w:t>
      </w:r>
      <w:proofErr w:type="gramEnd"/>
      <w:r>
        <w:t xml:space="preserve"> maintain access to at least the minimum documentation referred to in Rule 34, for search purposes in accordance with the Administrative Instructions.</w:t>
      </w:r>
    </w:p>
    <w:p w14:paraId="78299118" w14:textId="77777777" w:rsidR="00C5047D" w:rsidRDefault="00C5047D" w:rsidP="00C5047D">
      <w:pPr>
        <w:pStyle w:val="RuleQuote"/>
        <w:ind w:left="0"/>
        <w:rPr>
          <w:i w:val="0"/>
          <w:iCs w:val="0"/>
        </w:rPr>
      </w:pPr>
      <w:r>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6DB037C2" w14:textId="77777777" w:rsidR="00C5047D" w:rsidRDefault="00C5047D" w:rsidP="00C5047D">
      <w:pPr>
        <w:pStyle w:val="RuleQuote"/>
        <w:ind w:left="0"/>
        <w:rPr>
          <w:i w:val="0"/>
          <w:iCs w:val="0"/>
        </w:rPr>
      </w:pPr>
      <w:r>
        <w:rPr>
          <w:i w:val="0"/>
          <w:iCs w:val="0"/>
        </w:rPr>
        <w:t xml:space="preserve">Other information beyond the QMS Report (optional):   </w:t>
      </w:r>
    </w:p>
    <w:p w14:paraId="7CFF6212" w14:textId="77777777" w:rsidR="00C5047D" w:rsidRPr="008163F4" w:rsidRDefault="00C5047D" w:rsidP="00C5047D">
      <w:pPr>
        <w:jc w:val="both"/>
        <w:rPr>
          <w:rFonts w:ascii="Helvetica" w:hAnsi="Helvetica" w:cs="Helvetica"/>
          <w:color w:val="000000" w:themeColor="text1"/>
          <w:szCs w:val="22"/>
        </w:rPr>
      </w:pPr>
    </w:p>
    <w:p w14:paraId="6EF613BF" w14:textId="68CF201E" w:rsidR="00C5047D" w:rsidRPr="002B3808" w:rsidRDefault="00C5047D" w:rsidP="00C5047D">
      <w:pPr>
        <w:pStyle w:val="SectionHeading"/>
        <w:rPr>
          <w:lang w:val="en-US"/>
        </w:rPr>
      </w:pPr>
      <w:r w:rsidRPr="002B3808">
        <w:rPr>
          <w:lang w:val="en-US"/>
        </w:rPr>
        <w:t>2.4 –</w:t>
      </w:r>
      <w:r w:rsidR="000B190C">
        <w:rPr>
          <w:lang w:val="en-US"/>
        </w:rPr>
        <w:t xml:space="preserve"> </w:t>
      </w:r>
      <w:r w:rsidRPr="002B3808">
        <w:rPr>
          <w:lang w:val="en-US"/>
        </w:rPr>
        <w:t>Quality Management</w:t>
      </w:r>
    </w:p>
    <w:p w14:paraId="71608889" w14:textId="77777777" w:rsidR="00C5047D" w:rsidRDefault="00C5047D" w:rsidP="00C5047D">
      <w:pPr>
        <w:pStyle w:val="RuleQuote"/>
      </w:pPr>
      <w:r>
        <w:t>Rules 36.1(iv) and 63.1(iv): That Office or organization must have in place a quality management system and internal review arrangements in accordance with the common rules of international search,</w:t>
      </w:r>
    </w:p>
    <w:p w14:paraId="1F62DD3E" w14:textId="77777777" w:rsidR="00C5047D" w:rsidRDefault="00C5047D" w:rsidP="00C5047D">
      <w:pPr>
        <w:pStyle w:val="RuleQuote"/>
        <w:ind w:left="0"/>
        <w:rPr>
          <w:i w:val="0"/>
          <w:iCs w:val="0"/>
        </w:rPr>
      </w:pPr>
      <w:r>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3CB44395" w14:textId="77777777" w:rsidR="00C5047D" w:rsidRDefault="00C5047D" w:rsidP="00C5047D">
      <w:pPr>
        <w:pStyle w:val="RuleQuote"/>
        <w:ind w:left="0"/>
        <w:rPr>
          <w:i w:val="0"/>
          <w:iCs w:val="0"/>
        </w:rPr>
      </w:pPr>
      <w:r>
        <w:rPr>
          <w:i w:val="0"/>
          <w:iCs w:val="0"/>
        </w:rPr>
        <w:t xml:space="preserve">Other information beyond the QMS Report (optional):   </w:t>
      </w:r>
    </w:p>
    <w:p w14:paraId="0B334924" w14:textId="77777777" w:rsidR="000B190C" w:rsidRDefault="000B190C" w:rsidP="00C5047D">
      <w:pPr>
        <w:pStyle w:val="RuleQuote"/>
        <w:ind w:left="0"/>
        <w:rPr>
          <w:i w:val="0"/>
          <w:iCs w:val="0"/>
        </w:rPr>
      </w:pPr>
    </w:p>
    <w:p w14:paraId="3B307B49" w14:textId="77777777" w:rsidR="00C5047D" w:rsidRDefault="00C5047D" w:rsidP="00C5047D">
      <w:pPr>
        <w:pStyle w:val="SectionHeading"/>
      </w:pPr>
      <w:r>
        <w:t>3 – Scope of Operation</w:t>
      </w:r>
    </w:p>
    <w:p w14:paraId="4DF663EE" w14:textId="77777777" w:rsidR="00C5047D" w:rsidRDefault="00C5047D" w:rsidP="00C5047D">
      <w:pPr>
        <w:pStyle w:val="Question"/>
        <w:numPr>
          <w:ilvl w:val="0"/>
          <w:numId w:val="8"/>
        </w:numPr>
        <w:spacing w:after="240"/>
        <w:rPr>
          <w:i/>
          <w:iCs/>
        </w:rPr>
      </w:pPr>
      <w:r>
        <w:tab/>
      </w:r>
      <w:r w:rsidRPr="00D33D7A">
        <w:t>Current scope of operation</w:t>
      </w:r>
    </w:p>
    <w:p w14:paraId="00647516" w14:textId="521094B6" w:rsidR="00C5047D" w:rsidRPr="00595224" w:rsidRDefault="00C5047D" w:rsidP="00C5047D">
      <w:pPr>
        <w:pStyle w:val="Question"/>
        <w:keepNext w:val="0"/>
        <w:spacing w:after="480"/>
      </w:pPr>
      <w:r>
        <w:rPr>
          <w:b w:val="0"/>
          <w:bCs w:val="0"/>
        </w:rPr>
        <w:t>The r</w:t>
      </w:r>
      <w:r w:rsidRPr="006175E3">
        <w:rPr>
          <w:b w:val="0"/>
          <w:bCs w:val="0"/>
        </w:rPr>
        <w:t xml:space="preserve">eceiving Offices for which the Office or intergovernmental organization is competent as an International Searching Authority and </w:t>
      </w:r>
      <w:r>
        <w:rPr>
          <w:b w:val="0"/>
          <w:bCs w:val="0"/>
        </w:rPr>
        <w:t xml:space="preserve">an </w:t>
      </w:r>
      <w:r w:rsidRPr="006175E3">
        <w:rPr>
          <w:b w:val="0"/>
          <w:bCs w:val="0"/>
        </w:rPr>
        <w:t>International Preliminary Examining Authority</w:t>
      </w:r>
      <w:r>
        <w:rPr>
          <w:b w:val="0"/>
          <w:bCs w:val="0"/>
        </w:rPr>
        <w:t>, l</w:t>
      </w:r>
      <w:r w:rsidRPr="006175E3">
        <w:rPr>
          <w:b w:val="0"/>
          <w:bCs w:val="0"/>
        </w:rPr>
        <w:t>anguage(s) in which services are offered</w:t>
      </w:r>
      <w:r>
        <w:rPr>
          <w:b w:val="0"/>
          <w:bCs w:val="0"/>
        </w:rPr>
        <w:t xml:space="preserve"> and other details of scope of operation are listed in the </w:t>
      </w:r>
      <w:r w:rsidRPr="006175E3">
        <w:rPr>
          <w:b w:val="0"/>
          <w:bCs w:val="0"/>
          <w:i/>
          <w:iCs/>
        </w:rPr>
        <w:t>PCT Applicant’s Guide</w:t>
      </w:r>
      <w:r>
        <w:rPr>
          <w:b w:val="0"/>
          <w:bCs w:val="0"/>
        </w:rPr>
        <w:t xml:space="preserve"> at the following links</w:t>
      </w:r>
      <w:bookmarkStart w:id="5" w:name="_Hlk214637647"/>
      <w:r>
        <w:rPr>
          <w:b w:val="0"/>
          <w:bCs w:val="0"/>
        </w:rPr>
        <w:t xml:space="preserve">: </w:t>
      </w:r>
      <w:r w:rsidR="0013682C">
        <w:rPr>
          <w:b w:val="0"/>
          <w:bCs w:val="0"/>
        </w:rPr>
        <w:t xml:space="preserve"> </w:t>
      </w:r>
      <w:hyperlink r:id="rId15" w:history="1">
        <w:r w:rsidR="0013682C" w:rsidRPr="00966A36">
          <w:rPr>
            <w:rStyle w:val="Hyperlink"/>
            <w:b w:val="0"/>
            <w:szCs w:val="20"/>
          </w:rPr>
          <w:t>https://pctlegal.wipo.int/eGuide/view-doc.xhtml?doc-code=EP&amp;doc-lang=en#ISA</w:t>
        </w:r>
      </w:hyperlink>
      <w:r>
        <w:rPr>
          <w:b w:val="0"/>
          <w:bCs w:val="0"/>
        </w:rPr>
        <w:t xml:space="preserve"> </w:t>
      </w:r>
      <w:r w:rsidRPr="008673EF">
        <w:rPr>
          <w:b w:val="0"/>
          <w:bCs w:val="0"/>
        </w:rPr>
        <w:t>and</w:t>
      </w:r>
      <w:bookmarkEnd w:id="5"/>
      <w:r w:rsidR="0013682C">
        <w:rPr>
          <w:b w:val="0"/>
          <w:bCs w:val="0"/>
        </w:rPr>
        <w:t xml:space="preserve"> </w:t>
      </w:r>
      <w:hyperlink r:id="rId16" w:history="1">
        <w:r w:rsidR="0013682C" w:rsidRPr="00966A36">
          <w:rPr>
            <w:rStyle w:val="Hyperlink"/>
            <w:b w:val="0"/>
            <w:szCs w:val="20"/>
          </w:rPr>
          <w:t>https://pctlegal.wipo.int/eGuide/view-doc.xhtml?doc-code=EP&amp;doc-lang=en#IPEA</w:t>
        </w:r>
      </w:hyperlink>
      <w:r>
        <w:rPr>
          <w:b w:val="0"/>
          <w:bCs w:val="0"/>
          <w:i/>
          <w:iCs/>
        </w:rPr>
        <w:t>.</w:t>
      </w:r>
    </w:p>
    <w:p w14:paraId="125FE069" w14:textId="797D128B" w:rsidR="00C5047D" w:rsidRPr="00221BAD" w:rsidRDefault="00C5047D" w:rsidP="00221BAD">
      <w:pPr>
        <w:pStyle w:val="Question"/>
        <w:numPr>
          <w:ilvl w:val="0"/>
          <w:numId w:val="8"/>
        </w:numPr>
        <w:spacing w:after="240"/>
      </w:pPr>
      <w:r>
        <w:lastRenderedPageBreak/>
        <w:t xml:space="preserve">   Planned changes to scope of operation as an Authority, such</w:t>
      </w:r>
      <w:r w:rsidR="00D353E3">
        <w:t xml:space="preserve"> as</w:t>
      </w:r>
      <w:r>
        <w:t xml:space="preserve"> the receiving Offices for which the Authority is competent and languages offered (if any):</w:t>
      </w:r>
    </w:p>
    <w:p w14:paraId="343E08D3" w14:textId="77777777" w:rsidR="00221BAD" w:rsidRPr="0013682C" w:rsidRDefault="00221BAD" w:rsidP="000B190C">
      <w:pPr>
        <w:pStyle w:val="Answer"/>
        <w:ind w:left="0"/>
        <w:jc w:val="both"/>
        <w:rPr>
          <w:rFonts w:ascii="Helvetica" w:hAnsi="Helvetica"/>
        </w:rPr>
      </w:pPr>
    </w:p>
    <w:p w14:paraId="0330D9AA" w14:textId="77777777" w:rsidR="00C5047D" w:rsidRPr="002B3808" w:rsidRDefault="00C5047D" w:rsidP="00C5047D">
      <w:pPr>
        <w:pStyle w:val="SectionHeading"/>
        <w:rPr>
          <w:lang w:val="en-US"/>
        </w:rPr>
      </w:pPr>
      <w:r w:rsidRPr="002B3808">
        <w:rPr>
          <w:lang w:val="en-US"/>
        </w:rPr>
        <w:t>4 – Other</w:t>
      </w:r>
    </w:p>
    <w:p w14:paraId="041B071C" w14:textId="77777777" w:rsidR="00C5047D" w:rsidRDefault="00C5047D" w:rsidP="00C5047D">
      <w:r>
        <w:t xml:space="preserve">Any further information relevant to the extension of </w:t>
      </w:r>
      <w:proofErr w:type="gramStart"/>
      <w:r>
        <w:t>appointment</w:t>
      </w:r>
      <w:proofErr w:type="gramEnd"/>
      <w:r>
        <w:t xml:space="preserve"> as an International Searching and Preliminary Examining Authority:  </w:t>
      </w:r>
    </w:p>
    <w:p w14:paraId="1BEC6111" w14:textId="77777777" w:rsidR="00C5047D" w:rsidRDefault="00C5047D" w:rsidP="00C5047D"/>
    <w:p w14:paraId="1136A407" w14:textId="77777777" w:rsidR="00221BAD" w:rsidRDefault="00221BAD" w:rsidP="00C5047D"/>
    <w:p w14:paraId="565493DE" w14:textId="77777777" w:rsidR="00C5047D" w:rsidRPr="002B3808" w:rsidRDefault="00C5047D" w:rsidP="00C5047D">
      <w:pPr>
        <w:pStyle w:val="SectionHeading"/>
        <w:rPr>
          <w:lang w:val="en-US"/>
        </w:rPr>
      </w:pPr>
    </w:p>
    <w:p w14:paraId="05B9A047" w14:textId="77777777" w:rsidR="00C5047D" w:rsidRPr="00E64639" w:rsidRDefault="00C5047D" w:rsidP="00C5047D">
      <w:pPr>
        <w:pStyle w:val="Endofdocument-Annex"/>
        <w:rPr>
          <w:b/>
          <w:bCs/>
          <w:iCs/>
          <w:caps/>
          <w:szCs w:val="28"/>
        </w:rPr>
      </w:pPr>
      <w:r>
        <w:t>[End of Annex and of document]</w:t>
      </w:r>
    </w:p>
    <w:p w14:paraId="3B3E50D2" w14:textId="77777777" w:rsidR="00C5047D" w:rsidRPr="009A31F1" w:rsidRDefault="00C5047D" w:rsidP="00C5047D"/>
    <w:sectPr w:rsidR="00C5047D" w:rsidRPr="009A31F1" w:rsidSect="009A31F1">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68DF85F5" w:rsidR="009A31F1" w:rsidRPr="00346ECC" w:rsidRDefault="009A31F1" w:rsidP="009A31F1">
        <w:pPr>
          <w:jc w:val="right"/>
          <w:rPr>
            <w:caps/>
            <w:lang w:val="fr-CH"/>
          </w:rPr>
        </w:pPr>
        <w:r w:rsidRPr="00346ECC">
          <w:rPr>
            <w:caps/>
            <w:lang w:val="fr-CH"/>
          </w:rPr>
          <w:t>PCT/CTC/33/</w:t>
        </w:r>
        <w:r w:rsidR="00EB345C">
          <w:rPr>
            <w:caps/>
            <w:lang w:val="fr-CH"/>
          </w:rPr>
          <w:t>1</w:t>
        </w:r>
        <w:r w:rsidR="00307BE4">
          <w:rPr>
            <w:caps/>
            <w:lang w:val="fr-CH"/>
          </w:rPr>
          <w:t>0</w:t>
        </w:r>
      </w:p>
      <w:p w14:paraId="28DB5474" w14:textId="6EE3F470" w:rsidR="009A31F1" w:rsidRDefault="009A31F1" w:rsidP="009A31F1">
        <w:pPr>
          <w:pStyle w:val="Header"/>
          <w:jc w:val="right"/>
          <w:rPr>
            <w:noProof/>
          </w:rPr>
        </w:pPr>
        <w:r w:rsidRPr="00346ECC">
          <w:rPr>
            <w:lang w:val="fr-CH"/>
          </w:rPr>
          <w:t>Annex, page</w:t>
        </w:r>
        <w:r>
          <w:t xml:space="preserve"> </w:t>
        </w:r>
        <w:r>
          <w:fldChar w:fldCharType="begin"/>
        </w:r>
        <w:r>
          <w:instrText xml:space="preserve"> PAGE   \* MERGEFORMAT </w:instrText>
        </w:r>
        <w:r>
          <w:fldChar w:fldCharType="separate"/>
        </w:r>
        <w:r>
          <w:rPr>
            <w:noProof/>
          </w:rPr>
          <w:t>2</w:t>
        </w:r>
        <w:r>
          <w:rPr>
            <w:noProof/>
          </w:rPr>
          <w:fldChar w:fldCharType="end"/>
        </w:r>
      </w:p>
      <w:p w14:paraId="236FE3E6" w14:textId="66536876" w:rsidR="009A31F1" w:rsidRDefault="00404A4B"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28D172DC" w:rsidR="009A31F1" w:rsidRDefault="009A31F1" w:rsidP="009A31F1">
    <w:pPr>
      <w:pStyle w:val="Header"/>
      <w:jc w:val="right"/>
    </w:pPr>
    <w:r>
      <w:tab/>
      <w:t>PCT/CTC/33/</w:t>
    </w:r>
    <w:r w:rsidR="00EB345C">
      <w:t>1</w:t>
    </w:r>
    <w:r w:rsidR="00307BE4">
      <w:t>0</w:t>
    </w:r>
  </w:p>
  <w:p w14:paraId="0AD3DC1D" w14:textId="77777777" w:rsidR="009A31F1" w:rsidRDefault="009A31F1" w:rsidP="009A31F1">
    <w:pPr>
      <w:pStyle w:val="Header"/>
      <w:jc w:val="right"/>
    </w:pPr>
    <w:r>
      <w:t>ANNEX</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0F36"/>
    <w:rsid w:val="00027CD7"/>
    <w:rsid w:val="00043CAA"/>
    <w:rsid w:val="00056816"/>
    <w:rsid w:val="00075432"/>
    <w:rsid w:val="000756C6"/>
    <w:rsid w:val="000968ED"/>
    <w:rsid w:val="000A3D97"/>
    <w:rsid w:val="000A6309"/>
    <w:rsid w:val="000B190C"/>
    <w:rsid w:val="000D46FE"/>
    <w:rsid w:val="000F5E56"/>
    <w:rsid w:val="00111BB0"/>
    <w:rsid w:val="001362EE"/>
    <w:rsid w:val="0013682C"/>
    <w:rsid w:val="001647D5"/>
    <w:rsid w:val="001832A6"/>
    <w:rsid w:val="001D4107"/>
    <w:rsid w:val="001E0924"/>
    <w:rsid w:val="001F1115"/>
    <w:rsid w:val="00203D24"/>
    <w:rsid w:val="0021217E"/>
    <w:rsid w:val="00217FB1"/>
    <w:rsid w:val="00221BAD"/>
    <w:rsid w:val="002326AB"/>
    <w:rsid w:val="00243430"/>
    <w:rsid w:val="002634C4"/>
    <w:rsid w:val="00263E1B"/>
    <w:rsid w:val="002928D3"/>
    <w:rsid w:val="002A57A4"/>
    <w:rsid w:val="002E29C7"/>
    <w:rsid w:val="002F1FE6"/>
    <w:rsid w:val="002F4E68"/>
    <w:rsid w:val="0030438F"/>
    <w:rsid w:val="00307BE4"/>
    <w:rsid w:val="00312F7F"/>
    <w:rsid w:val="00361450"/>
    <w:rsid w:val="003673CF"/>
    <w:rsid w:val="003845C1"/>
    <w:rsid w:val="003A6F89"/>
    <w:rsid w:val="003B38C1"/>
    <w:rsid w:val="003C34E9"/>
    <w:rsid w:val="003F6F01"/>
    <w:rsid w:val="00404A4B"/>
    <w:rsid w:val="00423915"/>
    <w:rsid w:val="00423E3E"/>
    <w:rsid w:val="00427AF4"/>
    <w:rsid w:val="004647DA"/>
    <w:rsid w:val="00466D9E"/>
    <w:rsid w:val="00474062"/>
    <w:rsid w:val="00474A06"/>
    <w:rsid w:val="00477D6B"/>
    <w:rsid w:val="004B446A"/>
    <w:rsid w:val="004B6994"/>
    <w:rsid w:val="005019FF"/>
    <w:rsid w:val="0052652C"/>
    <w:rsid w:val="0053057A"/>
    <w:rsid w:val="00552124"/>
    <w:rsid w:val="00556076"/>
    <w:rsid w:val="00560A29"/>
    <w:rsid w:val="00595224"/>
    <w:rsid w:val="005C6649"/>
    <w:rsid w:val="005C79F6"/>
    <w:rsid w:val="00605827"/>
    <w:rsid w:val="00646050"/>
    <w:rsid w:val="006713CA"/>
    <w:rsid w:val="00676C5C"/>
    <w:rsid w:val="00680C4D"/>
    <w:rsid w:val="006A5C36"/>
    <w:rsid w:val="006C238E"/>
    <w:rsid w:val="006C712A"/>
    <w:rsid w:val="006F04BC"/>
    <w:rsid w:val="0070049D"/>
    <w:rsid w:val="00720EFD"/>
    <w:rsid w:val="007578A4"/>
    <w:rsid w:val="00761CD8"/>
    <w:rsid w:val="007854AF"/>
    <w:rsid w:val="00793A7C"/>
    <w:rsid w:val="007A398A"/>
    <w:rsid w:val="007A3EC4"/>
    <w:rsid w:val="007D1613"/>
    <w:rsid w:val="007E4C0E"/>
    <w:rsid w:val="008543C9"/>
    <w:rsid w:val="00857B70"/>
    <w:rsid w:val="00887F2B"/>
    <w:rsid w:val="008A134B"/>
    <w:rsid w:val="008B2CC1"/>
    <w:rsid w:val="008B60B2"/>
    <w:rsid w:val="008E187B"/>
    <w:rsid w:val="0090731E"/>
    <w:rsid w:val="00916EE2"/>
    <w:rsid w:val="00946087"/>
    <w:rsid w:val="00966A22"/>
    <w:rsid w:val="00966A36"/>
    <w:rsid w:val="0096722F"/>
    <w:rsid w:val="00980843"/>
    <w:rsid w:val="009A31F1"/>
    <w:rsid w:val="009A53C9"/>
    <w:rsid w:val="009E2791"/>
    <w:rsid w:val="009E3F6F"/>
    <w:rsid w:val="009F499F"/>
    <w:rsid w:val="00A0628B"/>
    <w:rsid w:val="00A37342"/>
    <w:rsid w:val="00A42DAF"/>
    <w:rsid w:val="00A45BD8"/>
    <w:rsid w:val="00A53F2A"/>
    <w:rsid w:val="00A869B7"/>
    <w:rsid w:val="00A90F0A"/>
    <w:rsid w:val="00AC205C"/>
    <w:rsid w:val="00AF0A6B"/>
    <w:rsid w:val="00B05A69"/>
    <w:rsid w:val="00B709E2"/>
    <w:rsid w:val="00B75281"/>
    <w:rsid w:val="00B92F1F"/>
    <w:rsid w:val="00B9734B"/>
    <w:rsid w:val="00BA30E2"/>
    <w:rsid w:val="00BC039A"/>
    <w:rsid w:val="00BE2FF7"/>
    <w:rsid w:val="00C11BFE"/>
    <w:rsid w:val="00C5047D"/>
    <w:rsid w:val="00C5068F"/>
    <w:rsid w:val="00C86D74"/>
    <w:rsid w:val="00CA0859"/>
    <w:rsid w:val="00CD04F1"/>
    <w:rsid w:val="00CF681A"/>
    <w:rsid w:val="00D07C78"/>
    <w:rsid w:val="00D33451"/>
    <w:rsid w:val="00D353E3"/>
    <w:rsid w:val="00D45252"/>
    <w:rsid w:val="00D71B4D"/>
    <w:rsid w:val="00D93D55"/>
    <w:rsid w:val="00DD7B7F"/>
    <w:rsid w:val="00E15015"/>
    <w:rsid w:val="00E335FE"/>
    <w:rsid w:val="00E43565"/>
    <w:rsid w:val="00E82F6F"/>
    <w:rsid w:val="00E955BE"/>
    <w:rsid w:val="00EA6423"/>
    <w:rsid w:val="00EA7D6E"/>
    <w:rsid w:val="00EB2F76"/>
    <w:rsid w:val="00EB345C"/>
    <w:rsid w:val="00EC4E49"/>
    <w:rsid w:val="00ED77FB"/>
    <w:rsid w:val="00EE45FA"/>
    <w:rsid w:val="00F043DE"/>
    <w:rsid w:val="00F60E38"/>
    <w:rsid w:val="00F63809"/>
    <w:rsid w:val="00F64F57"/>
    <w:rsid w:val="00F66152"/>
    <w:rsid w:val="00F9165B"/>
    <w:rsid w:val="00F92B15"/>
    <w:rsid w:val="00FA10D5"/>
    <w:rsid w:val="00FC482F"/>
    <w:rsid w:val="00FD16B7"/>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EA6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pct/en/docs/circulars/2024/1672.pdf"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n/web/pct-system/quality/authoriti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pct_ctc_33_9.draft%20EP.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rueningpetit@epo.org" TargetMode="External"/><Relationship Id="rId5" Type="http://schemas.openxmlformats.org/officeDocument/2006/relationships/webSettings" Target="webSettings.xml"/><Relationship Id="rId15" Type="http://schemas.openxmlformats.org/officeDocument/2006/relationships/hyperlink" Target="pct_ctc_33_9.draft%20EP.docx"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documents/d/pct-system/docs-en-official-notices-officialnotic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(E).dotm</Template>
  <TotalTime>124</TotalTime>
  <Pages>5</Pages>
  <Words>1011</Words>
  <Characters>6105</Characters>
  <Application>Microsoft Office Word</Application>
  <DocSecurity>0</DocSecurity>
  <Lines>178</Lines>
  <Paragraphs>84</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PCT/CTC/33/10</dc:title>
  <dc:creator>NOVRUZOVA Elnara</dc:creator>
  <cp:keywords/>
  <cp:lastModifiedBy>RICHARDSON Michael</cp:lastModifiedBy>
  <cp:revision>18</cp:revision>
  <cp:lastPrinted>2011-02-15T11:56:00Z</cp:lastPrinted>
  <dcterms:created xsi:type="dcterms:W3CDTF">2025-11-25T10:13:00Z</dcterms:created>
  <dcterms:modified xsi:type="dcterms:W3CDTF">2025-12-19T15:29:00Z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2025-11-25T09:58:36Z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1bd5de37-4f58-439a-bfdc-48ae9b29824e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