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BD078D" w:rsidP="00916EE2">
            <w:r>
              <w:rPr>
                <w:noProof/>
                <w:lang w:val="en-GB" w:eastAsia="en-GB"/>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D078D" w:rsidP="00BD078D">
            <w:pPr>
              <w:jc w:val="right"/>
              <w:rPr>
                <w:rFonts w:ascii="Arial Black" w:hAnsi="Arial Black"/>
                <w:caps/>
                <w:sz w:val="15"/>
              </w:rPr>
            </w:pPr>
            <w:r>
              <w:rPr>
                <w:rFonts w:ascii="Arial Black" w:hAnsi="Arial Black"/>
                <w:caps/>
                <w:sz w:val="15"/>
              </w:rPr>
              <w:t>PCT/CTC/30</w:t>
            </w:r>
            <w:r w:rsidR="0050667A">
              <w:rPr>
                <w:rFonts w:ascii="Arial Black" w:hAnsi="Arial Black"/>
                <w:caps/>
                <w:sz w:val="15"/>
              </w:rPr>
              <w:t>/6</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C650A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C0F8E">
            <w:pPr>
              <w:jc w:val="right"/>
              <w:rPr>
                <w:rFonts w:ascii="Arial Black" w:hAnsi="Arial Black"/>
                <w:caps/>
                <w:sz w:val="15"/>
              </w:rPr>
            </w:pPr>
            <w:r w:rsidRPr="0090731E">
              <w:rPr>
                <w:rFonts w:ascii="Arial Black" w:hAnsi="Arial Black"/>
                <w:caps/>
                <w:sz w:val="15"/>
              </w:rPr>
              <w:t xml:space="preserve">DATE: </w:t>
            </w:r>
            <w:bookmarkStart w:id="2" w:name="Date"/>
            <w:bookmarkEnd w:id="2"/>
            <w:r w:rsidR="00C650A4">
              <w:rPr>
                <w:rFonts w:ascii="Arial Black" w:hAnsi="Arial Black"/>
                <w:caps/>
                <w:sz w:val="15"/>
              </w:rPr>
              <w:t xml:space="preserve">March </w:t>
            </w:r>
            <w:r w:rsidR="0075470A">
              <w:rPr>
                <w:rFonts w:ascii="Arial Black" w:hAnsi="Arial Black"/>
                <w:caps/>
                <w:sz w:val="15"/>
              </w:rPr>
              <w:t>1</w:t>
            </w:r>
            <w:r w:rsidR="007C0F8E">
              <w:rPr>
                <w:rFonts w:ascii="Arial Black" w:hAnsi="Arial Black"/>
                <w:caps/>
                <w:sz w:val="15"/>
              </w:rPr>
              <w:t>6</w:t>
            </w:r>
            <w:r w:rsidR="00C650A4">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BD078D" w:rsidP="008B2CC1">
      <w:pPr>
        <w:rPr>
          <w:b/>
          <w:sz w:val="28"/>
          <w:szCs w:val="28"/>
        </w:rPr>
      </w:pPr>
      <w:r>
        <w:rPr>
          <w:b/>
          <w:sz w:val="28"/>
          <w:szCs w:val="28"/>
        </w:rPr>
        <w:t>Patent Cooperation Treaty (PCT)</w:t>
      </w:r>
    </w:p>
    <w:p w:rsidR="00BD078D" w:rsidRPr="003845C1" w:rsidRDefault="00BD078D" w:rsidP="008B2CC1">
      <w:pPr>
        <w:rPr>
          <w:b/>
          <w:sz w:val="28"/>
          <w:szCs w:val="28"/>
        </w:rPr>
      </w:pPr>
      <w:r>
        <w:rPr>
          <w:b/>
          <w:sz w:val="28"/>
          <w:szCs w:val="28"/>
        </w:rPr>
        <w:t>Committee for Technical Cooperation</w:t>
      </w:r>
    </w:p>
    <w:p w:rsidR="003845C1" w:rsidRDefault="003845C1" w:rsidP="003845C1"/>
    <w:p w:rsidR="003845C1" w:rsidRDefault="003845C1" w:rsidP="003845C1"/>
    <w:p w:rsidR="008B2CC1" w:rsidRPr="003845C1" w:rsidRDefault="00BD078D" w:rsidP="008B2CC1">
      <w:pPr>
        <w:rPr>
          <w:b/>
          <w:sz w:val="24"/>
          <w:szCs w:val="24"/>
        </w:rPr>
      </w:pPr>
      <w:r>
        <w:rPr>
          <w:b/>
          <w:sz w:val="24"/>
          <w:szCs w:val="24"/>
        </w:rPr>
        <w:t xml:space="preserve">Thirtieth </w:t>
      </w:r>
      <w:r w:rsidR="003845C1" w:rsidRPr="003845C1">
        <w:rPr>
          <w:b/>
          <w:sz w:val="24"/>
          <w:szCs w:val="24"/>
        </w:rPr>
        <w:t>Session</w:t>
      </w:r>
    </w:p>
    <w:p w:rsidR="008B2CC1" w:rsidRPr="003845C1" w:rsidRDefault="00BD078D" w:rsidP="008B2CC1">
      <w:pPr>
        <w:rPr>
          <w:b/>
          <w:sz w:val="24"/>
          <w:szCs w:val="24"/>
        </w:rPr>
      </w:pPr>
      <w:r>
        <w:rPr>
          <w:b/>
          <w:sz w:val="24"/>
          <w:szCs w:val="24"/>
        </w:rPr>
        <w:t>Geneva, May 8 to 12,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C650A4" w:rsidP="008B2CC1">
      <w:pPr>
        <w:rPr>
          <w:caps/>
          <w:sz w:val="24"/>
        </w:rPr>
      </w:pPr>
      <w:bookmarkStart w:id="3" w:name="TitleOfDoc"/>
      <w:bookmarkEnd w:id="3"/>
      <w:r>
        <w:rPr>
          <w:caps/>
          <w:sz w:val="24"/>
        </w:rPr>
        <w:t xml:space="preserve">Extension of Appointment of </w:t>
      </w:r>
      <w:r w:rsidR="0050667A" w:rsidRPr="0050667A">
        <w:rPr>
          <w:caps/>
          <w:sz w:val="24"/>
        </w:rPr>
        <w:t>the Canadian Intellectual Property Office</w:t>
      </w:r>
      <w:r w:rsidR="00C37C03">
        <w:rPr>
          <w:caps/>
          <w:sz w:val="24"/>
        </w:rPr>
        <w:t xml:space="preserve"> as an International Searching and Preliminary Examining Authority Under the </w:t>
      </w:r>
      <w:r>
        <w:rPr>
          <w:caps/>
          <w:sz w:val="24"/>
        </w:rPr>
        <w:t>PCT</w:t>
      </w:r>
    </w:p>
    <w:p w:rsidR="008B2CC1" w:rsidRPr="008B2CC1" w:rsidRDefault="008B2CC1" w:rsidP="008B2CC1"/>
    <w:p w:rsidR="008B2CC1" w:rsidRPr="008B2CC1" w:rsidRDefault="00C650A4"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5C40A3" w:rsidRDefault="00A93FC2" w:rsidP="005C40A3">
      <w:pPr>
        <w:pStyle w:val="ONUME"/>
      </w:pPr>
      <w:bookmarkStart w:id="5" w:name="_Ref447032909"/>
      <w:r>
        <w:t>All</w:t>
      </w:r>
      <w:r w:rsidR="005C40A3">
        <w:t xml:space="preserve"> of the existing International Authorities w</w:t>
      </w:r>
      <w:r>
        <w:t>ere</w:t>
      </w:r>
      <w:r w:rsidR="005C40A3">
        <w:t xml:space="preserve"> appointed by the </w:t>
      </w:r>
      <w:r w:rsidR="008B50A2">
        <w:t xml:space="preserve">PCT </w:t>
      </w:r>
      <w:r w:rsidR="005C40A3">
        <w:t>Assembly for a period ending on December 31, 2017.  In 2017, the Assembly will therefore need to make a decision on the extension of the appointment of each existing International Authority that wishes to seek an extension of its appointment, having first sought the advice of th</w:t>
      </w:r>
      <w:r w:rsidR="00FD06A7">
        <w:t xml:space="preserve">is Committee </w:t>
      </w:r>
      <w:r w:rsidR="005C40A3">
        <w:t>(see PCT Articles 16(3</w:t>
      </w:r>
      <w:proofErr w:type="gramStart"/>
      <w:r w:rsidR="005C40A3">
        <w:t>)(</w:t>
      </w:r>
      <w:proofErr w:type="gramEnd"/>
      <w:r w:rsidR="005C40A3">
        <w:t>e) and 32(3)).</w:t>
      </w:r>
      <w:bookmarkEnd w:id="5"/>
      <w:r w:rsidR="0035027E">
        <w:t xml:space="preserve">  </w:t>
      </w:r>
      <w:r w:rsidR="004F74E6">
        <w:t>I</w:t>
      </w:r>
      <w:r w:rsidR="0035027E">
        <w:t>nformation concerning this process and the role of the Committee is set out in document PCT/CTC/30/INF/1.</w:t>
      </w:r>
    </w:p>
    <w:p w:rsidR="005C40A3" w:rsidRDefault="00AA5F79" w:rsidP="005C40A3">
      <w:pPr>
        <w:pStyle w:val="ONUME"/>
      </w:pPr>
      <w:r>
        <w:t>On March </w:t>
      </w:r>
      <w:r w:rsidR="0050667A">
        <w:t>8</w:t>
      </w:r>
      <w:r>
        <w:t>, 2017, t</w:t>
      </w:r>
      <w:r w:rsidR="005C40A3">
        <w:t xml:space="preserve">he </w:t>
      </w:r>
      <w:r w:rsidR="0050667A">
        <w:t xml:space="preserve">Canadian Intellectual Property Office </w:t>
      </w:r>
      <w:r w:rsidR="005C40A3">
        <w:t xml:space="preserve">submitted its application </w:t>
      </w:r>
      <w:r>
        <w:t>to extend its appointment as an International Searching Authority and International Preliminary Examining Authority under the PCT.  This application is reproduced in the Annex to this document.</w:t>
      </w:r>
    </w:p>
    <w:p w:rsidR="005C40A3" w:rsidRPr="00AA5F79" w:rsidRDefault="00AA5F79" w:rsidP="0035027E">
      <w:pPr>
        <w:pStyle w:val="ONUME"/>
        <w:tabs>
          <w:tab w:val="left" w:pos="6096"/>
        </w:tabs>
        <w:ind w:left="5533"/>
        <w:rPr>
          <w:i/>
        </w:rPr>
      </w:pPr>
      <w:r w:rsidRPr="00AA5F79">
        <w:rPr>
          <w:i/>
        </w:rPr>
        <w:t>The Committee is invited to give its advice on this matter.</w:t>
      </w:r>
    </w:p>
    <w:p w:rsidR="00AA5F79" w:rsidRDefault="00AA5F79" w:rsidP="00AA5F79">
      <w:pPr>
        <w:pStyle w:val="ONUME"/>
        <w:numPr>
          <w:ilvl w:val="0"/>
          <w:numId w:val="0"/>
        </w:numPr>
      </w:pPr>
    </w:p>
    <w:p w:rsidR="00AA5F79" w:rsidRDefault="00AA5F79" w:rsidP="00AA5F79">
      <w:pPr>
        <w:pStyle w:val="ONUME"/>
        <w:numPr>
          <w:ilvl w:val="0"/>
          <w:numId w:val="0"/>
        </w:numPr>
        <w:ind w:left="5533"/>
        <w:sectPr w:rsidR="00AA5F79" w:rsidSect="00C650A4">
          <w:headerReference w:type="default" r:id="rId10"/>
          <w:endnotePr>
            <w:numFmt w:val="decimal"/>
          </w:endnotePr>
          <w:pgSz w:w="11907" w:h="16840" w:code="9"/>
          <w:pgMar w:top="567" w:right="1134" w:bottom="1418" w:left="1418" w:header="510" w:footer="1021" w:gutter="0"/>
          <w:cols w:space="720"/>
          <w:titlePg/>
          <w:docGrid w:linePitch="299"/>
        </w:sectPr>
      </w:pPr>
      <w:r w:rsidRPr="00AA5F79">
        <w:t>[Annex follows]</w:t>
      </w:r>
    </w:p>
    <w:p w:rsidR="00AA5F79" w:rsidRPr="00AA5F79" w:rsidRDefault="00AA5F79" w:rsidP="00AA5F79">
      <w:pPr>
        <w:pStyle w:val="ONUME"/>
        <w:numPr>
          <w:ilvl w:val="0"/>
          <w:numId w:val="0"/>
        </w:numPr>
        <w:jc w:val="center"/>
        <w:rPr>
          <w:caps/>
        </w:rPr>
      </w:pPr>
      <w:r w:rsidRPr="00AA5F79">
        <w:rPr>
          <w:caps/>
        </w:rPr>
        <w:lastRenderedPageBreak/>
        <w:t xml:space="preserve">Application of </w:t>
      </w:r>
      <w:r w:rsidR="0050667A" w:rsidRPr="0050667A">
        <w:rPr>
          <w:caps/>
        </w:rPr>
        <w:t>the Canadian Intellectual Property Office</w:t>
      </w:r>
      <w:r w:rsidRPr="00AA5F79">
        <w:rPr>
          <w:caps/>
        </w:rPr>
        <w:t xml:space="preserve"> for</w:t>
      </w:r>
      <w:r w:rsidR="00011582">
        <w:rPr>
          <w:caps/>
        </w:rPr>
        <w:t> Extension of </w:t>
      </w:r>
      <w:r w:rsidRPr="00AA5F79">
        <w:rPr>
          <w:caps/>
        </w:rPr>
        <w:t>Appointment</w:t>
      </w:r>
      <w:r>
        <w:rPr>
          <w:caps/>
        </w:rPr>
        <w:t xml:space="preserve"> </w:t>
      </w:r>
      <w:r>
        <w:rPr>
          <w:caps/>
        </w:rPr>
        <w:br/>
      </w:r>
      <w:r w:rsidR="00011582">
        <w:rPr>
          <w:caps/>
        </w:rPr>
        <w:t>as an International Searching </w:t>
      </w:r>
      <w:r>
        <w:rPr>
          <w:caps/>
        </w:rPr>
        <w:t xml:space="preserve">and </w:t>
      </w:r>
      <w:r w:rsidR="00011582">
        <w:rPr>
          <w:caps/>
        </w:rPr>
        <w:t>Preliminary Examining </w:t>
      </w:r>
      <w:r w:rsidRPr="00AA5F79">
        <w:rPr>
          <w:caps/>
        </w:rPr>
        <w:t>Authority</w:t>
      </w:r>
      <w:r w:rsidR="00011582">
        <w:rPr>
          <w:caps/>
        </w:rPr>
        <w:t> Under the </w:t>
      </w:r>
      <w:r w:rsidRPr="00AA5F79">
        <w:rPr>
          <w:caps/>
        </w:rPr>
        <w:t>PCT</w:t>
      </w:r>
    </w:p>
    <w:p w:rsidR="00AA5F79" w:rsidRDefault="00AA5F79" w:rsidP="00AA5F79">
      <w:pPr>
        <w:pStyle w:val="ONUME"/>
        <w:numPr>
          <w:ilvl w:val="0"/>
          <w:numId w:val="0"/>
        </w:numPr>
      </w:pPr>
    </w:p>
    <w:p w:rsidR="0050667A" w:rsidRPr="0050667A" w:rsidRDefault="0050667A" w:rsidP="0050667A">
      <w:pPr>
        <w:pStyle w:val="SectionHeading"/>
      </w:pPr>
      <w:r w:rsidRPr="00E52ED5">
        <w:t>1 – General</w:t>
      </w:r>
    </w:p>
    <w:p w:rsidR="0050667A" w:rsidRPr="0050667A" w:rsidRDefault="0050667A" w:rsidP="00354444">
      <w:pPr>
        <w:pStyle w:val="Subsection"/>
      </w:pPr>
      <w:r w:rsidRPr="0050667A">
        <w:t>a.</w:t>
      </w:r>
      <w:r w:rsidRPr="0050667A">
        <w:tab/>
        <w:t xml:space="preserve">Name of national Office and Officers:  </w:t>
      </w:r>
    </w:p>
    <w:p w:rsidR="0050667A" w:rsidRPr="0050667A" w:rsidRDefault="0050667A" w:rsidP="00354444">
      <w:pPr>
        <w:pStyle w:val="Subsection"/>
      </w:pPr>
      <w:proofErr w:type="spellStart"/>
      <w:proofErr w:type="gramStart"/>
      <w:r w:rsidRPr="0050667A">
        <w:t>i</w:t>
      </w:r>
      <w:proofErr w:type="spellEnd"/>
      <w:r w:rsidR="008B1AE0">
        <w:t xml:space="preserve">.  </w:t>
      </w:r>
      <w:r w:rsidRPr="0050667A">
        <w:t>Name</w:t>
      </w:r>
      <w:proofErr w:type="gramEnd"/>
      <w:r w:rsidRPr="0050667A">
        <w:t>:</w:t>
      </w:r>
    </w:p>
    <w:p w:rsidR="0050667A" w:rsidRPr="0050667A" w:rsidRDefault="0050667A" w:rsidP="0050667A">
      <w:pPr>
        <w:ind w:left="567"/>
      </w:pPr>
      <w:r w:rsidRPr="0050667A">
        <w:t>The Canadian Intellectual Property Office (CIPO),</w:t>
      </w:r>
    </w:p>
    <w:p w:rsidR="0050667A" w:rsidRPr="0050667A" w:rsidRDefault="0050667A" w:rsidP="0050667A">
      <w:pPr>
        <w:ind w:left="567"/>
      </w:pPr>
      <w:r w:rsidRPr="0050667A">
        <w:t>A Special Operating Agency of</w:t>
      </w:r>
    </w:p>
    <w:p w:rsidR="0050667A" w:rsidRPr="0050667A" w:rsidRDefault="0050667A" w:rsidP="0050667A">
      <w:pPr>
        <w:ind w:left="567"/>
      </w:pPr>
      <w:r w:rsidRPr="0050667A">
        <w:t>Innovation, Science and Economic Development Canada</w:t>
      </w:r>
    </w:p>
    <w:p w:rsidR="0050667A" w:rsidRPr="0050667A" w:rsidRDefault="0050667A" w:rsidP="0050667A">
      <w:pPr>
        <w:ind w:left="567"/>
      </w:pPr>
      <w:r w:rsidRPr="0050667A">
        <w:t>Government of Canada</w:t>
      </w:r>
    </w:p>
    <w:p w:rsidR="0050667A" w:rsidRPr="0050667A" w:rsidRDefault="0050667A" w:rsidP="0050667A"/>
    <w:p w:rsidR="0050667A" w:rsidRPr="0050667A" w:rsidRDefault="0050667A" w:rsidP="00354444">
      <w:pPr>
        <w:pStyle w:val="Subsection"/>
      </w:pPr>
      <w:r w:rsidRPr="0050667A">
        <w:t>ii</w:t>
      </w:r>
      <w:proofErr w:type="gramStart"/>
      <w:r w:rsidR="008B1AE0">
        <w:t xml:space="preserve">.  </w:t>
      </w:r>
      <w:r w:rsidRPr="0050667A">
        <w:t>Contact</w:t>
      </w:r>
      <w:proofErr w:type="gramEnd"/>
      <w:r w:rsidRPr="0050667A">
        <w:t xml:space="preserve"> related to the contents of this report:</w:t>
      </w:r>
    </w:p>
    <w:p w:rsidR="0050667A" w:rsidRPr="0050667A" w:rsidRDefault="0050667A" w:rsidP="0050667A">
      <w:pPr>
        <w:ind w:left="567"/>
      </w:pPr>
      <w:r w:rsidRPr="0050667A">
        <w:t xml:space="preserve">Elaine A. </w:t>
      </w:r>
      <w:proofErr w:type="spellStart"/>
      <w:r w:rsidRPr="0050667A">
        <w:t>Hellyer</w:t>
      </w:r>
      <w:proofErr w:type="spellEnd"/>
      <w:r w:rsidRPr="0050667A">
        <w:t xml:space="preserve">, </w:t>
      </w:r>
      <w:proofErr w:type="spellStart"/>
      <w:r w:rsidRPr="0050667A">
        <w:t>P.Eng</w:t>
      </w:r>
      <w:proofErr w:type="spellEnd"/>
      <w:r w:rsidRPr="0050667A">
        <w:t>.</w:t>
      </w:r>
      <w:r w:rsidRPr="0050667A">
        <w:tab/>
      </w:r>
    </w:p>
    <w:p w:rsidR="0050667A" w:rsidRPr="0050667A" w:rsidRDefault="0050667A" w:rsidP="0050667A">
      <w:pPr>
        <w:ind w:left="567"/>
      </w:pPr>
      <w:r w:rsidRPr="0050667A">
        <w:t>Program Manager – International (PCT-PPH)</w:t>
      </w:r>
    </w:p>
    <w:p w:rsidR="0050667A" w:rsidRPr="0050667A" w:rsidRDefault="00F454D3" w:rsidP="0050667A">
      <w:pPr>
        <w:ind w:left="567"/>
      </w:pPr>
      <w:hyperlink r:id="rId11" w:history="1">
        <w:r w:rsidR="0050667A" w:rsidRPr="0050667A">
          <w:t>elaine.hellyer@canada.ca</w:t>
        </w:r>
      </w:hyperlink>
      <w:r w:rsidR="0050667A" w:rsidRPr="0050667A">
        <w:t xml:space="preserve"> / Tel: 819-635-7725 / TTY: 1-866-694-8389</w:t>
      </w:r>
    </w:p>
    <w:p w:rsidR="0050667A" w:rsidRPr="0050667A" w:rsidRDefault="0050667A" w:rsidP="0050667A"/>
    <w:p w:rsidR="0050667A" w:rsidRDefault="0050667A" w:rsidP="00354444">
      <w:pPr>
        <w:pStyle w:val="Subsection"/>
      </w:pPr>
      <w:r>
        <w:t>b.</w:t>
      </w:r>
      <w:r>
        <w:tab/>
      </w:r>
      <w:r w:rsidRPr="0050667A">
        <w:t>Date on which application for appointment was received by the Director General:</w:t>
      </w:r>
    </w:p>
    <w:p w:rsidR="0050667A" w:rsidRPr="0050667A" w:rsidRDefault="0050667A" w:rsidP="00354444">
      <w:pPr>
        <w:pStyle w:val="Subsection"/>
      </w:pPr>
      <w:r>
        <w:t>March 8, 2017</w:t>
      </w:r>
    </w:p>
    <w:p w:rsidR="0050667A" w:rsidRPr="0050667A" w:rsidRDefault="0050667A" w:rsidP="0050667A"/>
    <w:p w:rsidR="0050667A" w:rsidRPr="0050667A" w:rsidRDefault="0050667A" w:rsidP="00354444">
      <w:pPr>
        <w:pStyle w:val="Subsection"/>
      </w:pPr>
      <w:r>
        <w:t>c.</w:t>
      </w:r>
      <w:r>
        <w:tab/>
      </w:r>
      <w:r w:rsidRPr="0050667A">
        <w:t xml:space="preserve">Session of the Assembly at which appointment is to be sought:  </w:t>
      </w:r>
    </w:p>
    <w:p w:rsidR="0050667A" w:rsidRPr="0050667A" w:rsidRDefault="0050667A" w:rsidP="0050667A">
      <w:pPr>
        <w:ind w:left="567"/>
      </w:pPr>
      <w:r w:rsidRPr="0050667A">
        <w:t xml:space="preserve">CIPO’s re-appointment as an International Authority will be sought at the Forty-Ninth </w:t>
      </w:r>
      <w:proofErr w:type="gramStart"/>
      <w:r w:rsidRPr="0050667A">
        <w:t>( Twenty</w:t>
      </w:r>
      <w:proofErr w:type="gramEnd"/>
      <w:r w:rsidRPr="0050667A">
        <w:t>-first Ordinary) Session of the PCT Union Assembly in 2017.</w:t>
      </w:r>
    </w:p>
    <w:p w:rsidR="0050667A" w:rsidRPr="0050667A" w:rsidRDefault="0050667A" w:rsidP="0050667A"/>
    <w:p w:rsidR="0050667A" w:rsidRPr="0050667A" w:rsidRDefault="0050667A" w:rsidP="00354444">
      <w:pPr>
        <w:pStyle w:val="Subsection"/>
      </w:pPr>
      <w:r>
        <w:t>d.</w:t>
      </w:r>
      <w:r>
        <w:tab/>
      </w:r>
      <w:r w:rsidRPr="0050667A">
        <w:t xml:space="preserve">Expected date at which operation as ISA/IPEA could commence:  </w:t>
      </w:r>
    </w:p>
    <w:p w:rsidR="0050667A" w:rsidRPr="0050667A" w:rsidRDefault="0050667A" w:rsidP="0050667A">
      <w:pPr>
        <w:ind w:left="567"/>
      </w:pPr>
      <w:r w:rsidRPr="0050667A">
        <w:t xml:space="preserve">CIPO will be able to operate as an ISA/IPEA on January 1, 2018, on the commencement date of our potential new agreement with the International Bureau. </w:t>
      </w:r>
    </w:p>
    <w:p w:rsidR="0050667A" w:rsidRPr="0050667A" w:rsidRDefault="0050667A" w:rsidP="0050667A"/>
    <w:p w:rsidR="0050667A" w:rsidRPr="0050667A" w:rsidRDefault="0050667A" w:rsidP="00354444">
      <w:pPr>
        <w:pStyle w:val="Subsection"/>
      </w:pPr>
      <w:bookmarkStart w:id="7" w:name="OtherIAHelpAndAssessment"/>
      <w:bookmarkEnd w:id="7"/>
      <w:r>
        <w:t>e.</w:t>
      </w:r>
      <w:r>
        <w:tab/>
      </w:r>
      <w:r w:rsidRPr="0050667A">
        <w:t xml:space="preserve">Existing ISA/IPEA(s) assisting in assessment of extent to which criteria met: </w:t>
      </w:r>
    </w:p>
    <w:p w:rsidR="0050667A" w:rsidRPr="0050667A" w:rsidRDefault="0050667A" w:rsidP="0050667A">
      <w:pPr>
        <w:ind w:left="567"/>
      </w:pPr>
      <w:r w:rsidRPr="0050667A">
        <w:t>In line with the Procedures for Appointment of International Authorities as agreed at the Forty-Sixth session of the PCT Union, CIPO has obtained the assistance of the Australian Patent Office (IP Australia), the Israel Patent Office (ILPO) and the Intellectual Property Office of the United Kingdom (UKIPO) in reviewing CIPO’s  submission</w:t>
      </w:r>
      <w:r w:rsidR="008B1AE0">
        <w:t xml:space="preserve">.  </w:t>
      </w:r>
      <w:r w:rsidRPr="0050667A">
        <w:t xml:space="preserve">As well, CIPO provided a draft of its submission to the IB for assessment.  All comments received were taken into consideration when formalizing CIPO’s submission.  </w:t>
      </w:r>
    </w:p>
    <w:p w:rsidR="0050667A" w:rsidRPr="0050667A" w:rsidRDefault="0050667A" w:rsidP="0050667A">
      <w:pPr>
        <w:ind w:left="567"/>
      </w:pPr>
    </w:p>
    <w:p w:rsidR="0050667A" w:rsidRPr="0050667A" w:rsidRDefault="0050667A" w:rsidP="0050667A">
      <w:pPr>
        <w:ind w:left="567"/>
      </w:pPr>
      <w:r w:rsidRPr="0050667A">
        <w:t>IP Australia, as a prequel to a pilot exercise carried out at the 2017 session of the meeting of the Quality Subgroup (QSG) reviewed CIPO’s 2015 Quality Management System (QMS) report and provided feedback.  The pilot at the QSG consisted of reviewing the QMS report of one other volunteer pilot Office and having our own 2016 QMS report reviewed in turn</w:t>
      </w:r>
      <w:r w:rsidR="008B1AE0">
        <w:t xml:space="preserve">.  </w:t>
      </w:r>
      <w:r w:rsidRPr="0050667A">
        <w:t xml:space="preserve">A combined summary of the reviews from IP Australia and the Austrian Patent Office (APO) can be found in </w:t>
      </w:r>
      <w:hyperlink w:anchor="ArticleXI" w:history="1">
        <w:r w:rsidRPr="0050667A">
          <w:t>Article IX</w:t>
        </w:r>
      </w:hyperlink>
      <w:r w:rsidRPr="0050667A">
        <w:t xml:space="preserve"> below.</w:t>
      </w:r>
    </w:p>
    <w:p w:rsidR="0050667A" w:rsidRPr="0050667A" w:rsidRDefault="0050667A" w:rsidP="0050667A">
      <w:pPr>
        <w:ind w:left="567"/>
      </w:pPr>
    </w:p>
    <w:p w:rsidR="0050667A" w:rsidRPr="0050667A" w:rsidRDefault="0050667A" w:rsidP="0050667A">
      <w:pPr>
        <w:ind w:left="567"/>
      </w:pPr>
      <w:r w:rsidRPr="0050667A">
        <w:t>CIPO continually seeks to improve itself with the aim of enabling our Examiners to exceed the minimum criteria.  In part, this is accomplished via exchanges of information and suggestions concerning best practices with various other International Authorities.  CIPO can bench-mark and self-assess, after these exchanges, the extent to which the criteria are being met or surpassed.  As well, CIPO participates in collaborative efforts with International Authorities to support the continuous improvement of the PCT system as a whole for all Contracting States</w:t>
      </w:r>
      <w:r w:rsidR="008B1AE0">
        <w:t xml:space="preserve">.  </w:t>
      </w:r>
      <w:r w:rsidRPr="0050667A">
        <w:t>The following are examples of CIPO’s involvement in this regard:</w:t>
      </w:r>
    </w:p>
    <w:p w:rsidR="0050667A" w:rsidRPr="0050667A" w:rsidRDefault="0050667A" w:rsidP="0050667A">
      <w:pPr>
        <w:ind w:left="1134" w:hanging="567"/>
      </w:pPr>
      <w:r>
        <w:lastRenderedPageBreak/>
        <w:t>–</w:t>
      </w:r>
      <w:r>
        <w:tab/>
      </w:r>
      <w:r w:rsidRPr="0050667A">
        <w:t xml:space="preserve">Conduct Quality Audits of national examination </w:t>
      </w:r>
      <w:proofErr w:type="gramStart"/>
      <w:r w:rsidRPr="0050667A">
        <w:t>work  with</w:t>
      </w:r>
      <w:proofErr w:type="gramEnd"/>
      <w:r w:rsidRPr="0050667A">
        <w:t xml:space="preserve"> the Vancouver Group IPOs (UKIPO and IP Australia);</w:t>
      </w:r>
    </w:p>
    <w:p w:rsidR="0050667A" w:rsidRPr="0050667A" w:rsidRDefault="0050667A" w:rsidP="0050667A">
      <w:pPr>
        <w:ind w:left="1134" w:hanging="567"/>
      </w:pPr>
      <w:r>
        <w:t>–</w:t>
      </w:r>
      <w:r>
        <w:tab/>
      </w:r>
      <w:r w:rsidRPr="0050667A">
        <w:t>Initiated the publication of Search Strategies;</w:t>
      </w:r>
    </w:p>
    <w:p w:rsidR="0050667A" w:rsidRPr="0050667A" w:rsidRDefault="0050667A" w:rsidP="0050667A">
      <w:pPr>
        <w:ind w:left="1134" w:hanging="567"/>
      </w:pPr>
      <w:r>
        <w:t>–</w:t>
      </w:r>
      <w:r>
        <w:tab/>
      </w:r>
      <w:r w:rsidRPr="0050667A">
        <w:t>Agreement with the other Vancouver Group Offices (UK IPO and IP Australia) on the contents of our Search Strategies and promoting such;</w:t>
      </w:r>
    </w:p>
    <w:p w:rsidR="0050667A" w:rsidRPr="0050667A" w:rsidRDefault="0050667A" w:rsidP="0050667A">
      <w:pPr>
        <w:ind w:left="1134" w:hanging="567"/>
      </w:pPr>
      <w:r>
        <w:t>–</w:t>
      </w:r>
      <w:r>
        <w:tab/>
      </w:r>
      <w:r w:rsidRPr="0050667A">
        <w:t>Initiated a proposal to implement standardized clauses into international work products;</w:t>
      </w:r>
    </w:p>
    <w:p w:rsidR="0050667A" w:rsidRPr="0050667A" w:rsidRDefault="0050667A" w:rsidP="0050667A">
      <w:pPr>
        <w:ind w:left="1134" w:hanging="567"/>
      </w:pPr>
      <w:r>
        <w:t>–</w:t>
      </w:r>
      <w:r>
        <w:tab/>
      </w:r>
      <w:r w:rsidRPr="0050667A">
        <w:t>Manager of the QSG wiki “Standard Clauses” page;</w:t>
      </w:r>
    </w:p>
    <w:p w:rsidR="0050667A" w:rsidRPr="0050667A" w:rsidRDefault="0050667A" w:rsidP="0050667A">
      <w:pPr>
        <w:ind w:left="1134" w:hanging="567"/>
      </w:pPr>
      <w:r>
        <w:t>–</w:t>
      </w:r>
      <w:r>
        <w:tab/>
      </w:r>
      <w:r w:rsidRPr="0050667A">
        <w:t>PCT-PPH proponent at the QSG with the ILPO;</w:t>
      </w:r>
    </w:p>
    <w:p w:rsidR="0050667A" w:rsidRPr="0050667A" w:rsidRDefault="0050667A" w:rsidP="0050667A">
      <w:pPr>
        <w:ind w:left="1134" w:hanging="567"/>
      </w:pPr>
      <w:r>
        <w:t>–</w:t>
      </w:r>
      <w:r>
        <w:tab/>
      </w:r>
      <w:r w:rsidRPr="0050667A">
        <w:t>Participant in the Global Patent Prosecution Highway;</w:t>
      </w:r>
    </w:p>
    <w:p w:rsidR="0050667A" w:rsidRPr="0050667A" w:rsidRDefault="0050667A" w:rsidP="0050667A">
      <w:pPr>
        <w:ind w:left="1134" w:hanging="567"/>
      </w:pPr>
      <w:r>
        <w:t>–</w:t>
      </w:r>
      <w:r>
        <w:tab/>
      </w:r>
      <w:r w:rsidRPr="0050667A">
        <w:t>Bilateral Patent Prosecution Highway Pilot Programs with Mexico, the EPO and Chile;</w:t>
      </w:r>
    </w:p>
    <w:p w:rsidR="0050667A" w:rsidRPr="0050667A" w:rsidRDefault="0050667A" w:rsidP="0050667A">
      <w:pPr>
        <w:ind w:left="1134" w:hanging="567"/>
      </w:pPr>
      <w:r>
        <w:t>–</w:t>
      </w:r>
      <w:r>
        <w:tab/>
      </w:r>
      <w:r w:rsidRPr="0050667A">
        <w:t>Hosted Patent Examiners on sabbatical from the Japan Patent Office who researched CIPO’s PPH practices, Canada’s utility and jurisprudence-driven sound prediction standards and CIPO’s Quality Control system;</w:t>
      </w:r>
    </w:p>
    <w:p w:rsidR="0050667A" w:rsidRPr="0050667A" w:rsidRDefault="0050667A" w:rsidP="0050667A">
      <w:pPr>
        <w:ind w:left="1134" w:hanging="567"/>
      </w:pPr>
      <w:r>
        <w:t>–</w:t>
      </w:r>
      <w:r>
        <w:tab/>
      </w:r>
      <w:r w:rsidRPr="0050667A">
        <w:t>Host biannual PCT Roundtables at which a representative from each of WIPO, the EPO and the United States Patent and Trademark Office participate;</w:t>
      </w:r>
    </w:p>
    <w:p w:rsidR="0050667A" w:rsidRPr="0050667A" w:rsidRDefault="0050667A" w:rsidP="0050667A">
      <w:pPr>
        <w:ind w:left="1134" w:hanging="567"/>
      </w:pPr>
      <w:r>
        <w:t>–</w:t>
      </w:r>
      <w:r>
        <w:tab/>
      </w:r>
      <w:r w:rsidRPr="0050667A">
        <w:t>Discussions, via teleconferences, on quality with the European Patent Office (EPO);</w:t>
      </w:r>
    </w:p>
    <w:p w:rsidR="0050667A" w:rsidRPr="0050667A" w:rsidRDefault="0050667A" w:rsidP="0050667A">
      <w:pPr>
        <w:ind w:left="1134" w:hanging="567"/>
      </w:pPr>
      <w:r>
        <w:t>–</w:t>
      </w:r>
      <w:r>
        <w:tab/>
      </w:r>
      <w:r w:rsidRPr="0050667A">
        <w:t>Shared best practices amongst patent examiners from other countries/regions at CIPO’s Canadian Patent Law and Examination Workshops; and</w:t>
      </w:r>
    </w:p>
    <w:p w:rsidR="0050667A" w:rsidRPr="0050667A" w:rsidRDefault="0050667A" w:rsidP="0050667A">
      <w:pPr>
        <w:ind w:left="1134" w:hanging="567"/>
      </w:pPr>
      <w:r>
        <w:t>–</w:t>
      </w:r>
      <w:r>
        <w:tab/>
      </w:r>
      <w:r w:rsidRPr="0050667A">
        <w:t>Regularly contributes on the QSG wiki page and responds to all PCT Circulars.</w:t>
      </w:r>
    </w:p>
    <w:p w:rsidR="0050667A" w:rsidRPr="0050667A" w:rsidRDefault="0050667A" w:rsidP="0050667A"/>
    <w:p w:rsidR="0050667A" w:rsidRDefault="0050667A" w:rsidP="0050667A">
      <w:pPr>
        <w:pStyle w:val="SectionHeading"/>
        <w:rPr>
          <w:rStyle w:val="InsertedText"/>
          <w:color w:val="auto"/>
          <w:u w:val="none"/>
        </w:rPr>
      </w:pPr>
      <w:r w:rsidRPr="0050667A">
        <w:rPr>
          <w:rStyle w:val="InsertedText"/>
          <w:color w:val="auto"/>
          <w:u w:val="none"/>
        </w:rPr>
        <w:t>2 –Substantive Criteria:  Minimum Requirements for Appointment</w:t>
      </w:r>
    </w:p>
    <w:p w:rsidR="0050667A" w:rsidRPr="0050667A" w:rsidRDefault="0050667A" w:rsidP="0050667A">
      <w:pPr>
        <w:rPr>
          <w:sz w:val="16"/>
          <w:szCs w:val="16"/>
        </w:rPr>
      </w:pPr>
    </w:p>
    <w:p w:rsidR="0050667A" w:rsidRPr="0050667A" w:rsidRDefault="0050667A" w:rsidP="0050667A">
      <w:pPr>
        <w:pStyle w:val="SectionHeading"/>
        <w:spacing w:before="0"/>
      </w:pPr>
      <w:r w:rsidRPr="0050667A">
        <w:t>2.1 – Search and Examination Capacity</w:t>
      </w:r>
    </w:p>
    <w:p w:rsidR="0050667A" w:rsidRPr="00837E2A" w:rsidRDefault="0050667A" w:rsidP="0050667A">
      <w:pPr>
        <w:rPr>
          <w:b/>
          <w:i/>
        </w:rPr>
      </w:pPr>
      <w:r w:rsidRPr="00837E2A">
        <w:rPr>
          <w:b/>
          <w:i/>
        </w:rPr>
        <w:t>Rules 36.1(</w:t>
      </w:r>
      <w:proofErr w:type="spellStart"/>
      <w:r w:rsidRPr="00837E2A">
        <w:rPr>
          <w:b/>
          <w:i/>
        </w:rPr>
        <w:t>i</w:t>
      </w:r>
      <w:proofErr w:type="spellEnd"/>
      <w:r w:rsidRPr="00837E2A">
        <w:rPr>
          <w:b/>
          <w:i/>
        </w:rPr>
        <w:t>) and 63.1(</w:t>
      </w:r>
      <w:proofErr w:type="spellStart"/>
      <w:r w:rsidRPr="00837E2A">
        <w:rPr>
          <w:b/>
          <w:i/>
        </w:rPr>
        <w:t>i</w:t>
      </w:r>
      <w:proofErr w:type="spellEnd"/>
      <w:r w:rsidRPr="00837E2A">
        <w:rPr>
          <w:b/>
          <w:i/>
        </w:rPr>
        <w:t>):  The national Office or intergovernmental organization must have at least 100 full-time employees with sufficient technical qualifications to carry out searches and examinations.</w:t>
      </w:r>
    </w:p>
    <w:p w:rsidR="0050667A" w:rsidRDefault="0050667A" w:rsidP="0050667A">
      <w:pPr>
        <w:keepNext/>
        <w:keepLines/>
        <w:rPr>
          <w:b/>
          <w:bCs/>
          <w:szCs w:val="22"/>
        </w:rPr>
      </w:pPr>
    </w:p>
    <w:p w:rsidR="0050667A" w:rsidRDefault="0050667A" w:rsidP="00354444">
      <w:pPr>
        <w:pStyle w:val="Subsection"/>
      </w:pPr>
      <w:bookmarkStart w:id="8" w:name="PatentExaminerQualifications"/>
      <w:bookmarkEnd w:id="8"/>
      <w:r w:rsidRPr="00954569">
        <w:t xml:space="preserve">Employees qualified to carry out search and examination:  </w:t>
      </w:r>
    </w:p>
    <w:p w:rsidR="0050667A" w:rsidRPr="0050667A" w:rsidRDefault="0050667A" w:rsidP="0050667A">
      <w:r w:rsidRPr="0050667A">
        <w:t>CIPO has an established, strong examination corps composed of four technology-specific divisions.  CIPO’s Examiners are comprised of both Patent Examination and Patent Classification Examiners, who all work on both national and international applications.  CIPO is moving away from differentiating between the two jobs and some Examiners from each group have started examining in the other area.  Any newly hired Examiners will work as both an Examination and Classification Examiner.</w:t>
      </w:r>
    </w:p>
    <w:p w:rsidR="0050667A" w:rsidRPr="0050667A" w:rsidRDefault="0050667A" w:rsidP="0050667A"/>
    <w:p w:rsidR="0050667A" w:rsidRPr="0050667A" w:rsidRDefault="0050667A" w:rsidP="0050667A">
      <w:r w:rsidRPr="0050667A">
        <w:t>CIPO was established as a Special Operating Agency (SOA) and is completely funded by the fees it charges for the delivery of products and services</w:t>
      </w:r>
      <w:r w:rsidR="008B1AE0">
        <w:t xml:space="preserve">.  </w:t>
      </w:r>
      <w:r w:rsidRPr="0050667A">
        <w:t>This flexibility has permitted CIPO to focus on service delivery and quality, taking into consideration evolving client needs (both domestically and abroad).  CIPO uses a sophisticated forecasting model to aid in Management’s decision making process regarding the use and need of human resources.</w:t>
      </w:r>
    </w:p>
    <w:p w:rsidR="0050667A" w:rsidRPr="0050667A" w:rsidRDefault="0050667A" w:rsidP="0050667A"/>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440"/>
        <w:gridCol w:w="1080"/>
        <w:gridCol w:w="1170"/>
        <w:gridCol w:w="990"/>
        <w:gridCol w:w="1063"/>
        <w:gridCol w:w="1650"/>
      </w:tblGrid>
      <w:tr w:rsidR="0050667A" w:rsidRPr="00954569" w:rsidTr="0050667A">
        <w:trPr>
          <w:cantSplit/>
        </w:trPr>
        <w:tc>
          <w:tcPr>
            <w:tcW w:w="2178" w:type="dxa"/>
            <w:vMerge w:val="restart"/>
            <w:shd w:val="clear" w:color="auto" w:fill="auto"/>
          </w:tcPr>
          <w:p w:rsidR="0050667A" w:rsidRPr="0050667A" w:rsidRDefault="0050667A" w:rsidP="0050667A">
            <w:r w:rsidRPr="0050667A">
              <w:t>Technical field</w:t>
            </w:r>
          </w:p>
        </w:tc>
        <w:tc>
          <w:tcPr>
            <w:tcW w:w="1440" w:type="dxa"/>
            <w:vMerge w:val="restart"/>
            <w:shd w:val="clear" w:color="auto" w:fill="auto"/>
          </w:tcPr>
          <w:p w:rsidR="0050667A" w:rsidRPr="0050667A" w:rsidRDefault="0050667A" w:rsidP="0050667A">
            <w:r w:rsidRPr="0050667A">
              <w:t>Number</w:t>
            </w:r>
          </w:p>
          <w:p w:rsidR="0050667A" w:rsidRPr="0050667A" w:rsidRDefault="0050667A" w:rsidP="0050667A">
            <w:r w:rsidRPr="0050667A">
              <w:t>(full-time employee)</w:t>
            </w:r>
          </w:p>
        </w:tc>
        <w:tc>
          <w:tcPr>
            <w:tcW w:w="4303" w:type="dxa"/>
            <w:gridSpan w:val="4"/>
          </w:tcPr>
          <w:p w:rsidR="0050667A" w:rsidRPr="0050667A" w:rsidRDefault="0050667A" w:rsidP="0050667A">
            <w:r w:rsidRPr="0050667A">
              <w:t>Average experience as examiners (years)</w:t>
            </w:r>
          </w:p>
        </w:tc>
        <w:tc>
          <w:tcPr>
            <w:tcW w:w="1650" w:type="dxa"/>
            <w:vMerge w:val="restart"/>
          </w:tcPr>
          <w:p w:rsidR="0050667A" w:rsidRPr="0050667A" w:rsidRDefault="0050667A" w:rsidP="0050667A">
            <w:r w:rsidRPr="0050667A">
              <w:t>Breakdown of qualifications</w:t>
            </w:r>
          </w:p>
        </w:tc>
      </w:tr>
      <w:tr w:rsidR="0050667A" w:rsidRPr="00954569" w:rsidTr="0050667A">
        <w:trPr>
          <w:cantSplit/>
        </w:trPr>
        <w:tc>
          <w:tcPr>
            <w:tcW w:w="2178" w:type="dxa"/>
            <w:vMerge/>
            <w:shd w:val="clear" w:color="auto" w:fill="auto"/>
          </w:tcPr>
          <w:p w:rsidR="0050667A" w:rsidRPr="0050667A" w:rsidRDefault="0050667A" w:rsidP="0050667A"/>
        </w:tc>
        <w:tc>
          <w:tcPr>
            <w:tcW w:w="1440" w:type="dxa"/>
            <w:vMerge/>
            <w:shd w:val="clear" w:color="auto" w:fill="auto"/>
          </w:tcPr>
          <w:p w:rsidR="0050667A" w:rsidRPr="0050667A" w:rsidRDefault="0050667A" w:rsidP="0050667A"/>
        </w:tc>
        <w:tc>
          <w:tcPr>
            <w:tcW w:w="1080" w:type="dxa"/>
          </w:tcPr>
          <w:p w:rsidR="0050667A" w:rsidRPr="0050667A" w:rsidRDefault="0050667A" w:rsidP="0050667A">
            <w:r w:rsidRPr="0050667A">
              <w:t>SG-04</w:t>
            </w:r>
          </w:p>
          <w:p w:rsidR="0050667A" w:rsidRPr="0050667A" w:rsidRDefault="0050667A" w:rsidP="0050667A">
            <w:r w:rsidRPr="0050667A">
              <w:t>Working Level</w:t>
            </w:r>
          </w:p>
        </w:tc>
        <w:tc>
          <w:tcPr>
            <w:tcW w:w="1170" w:type="dxa"/>
          </w:tcPr>
          <w:p w:rsidR="0050667A" w:rsidRPr="0050667A" w:rsidRDefault="0050667A" w:rsidP="0050667A">
            <w:r w:rsidRPr="0050667A">
              <w:t>SG-05</w:t>
            </w:r>
          </w:p>
          <w:p w:rsidR="0050667A" w:rsidRPr="0050667A" w:rsidRDefault="0050667A" w:rsidP="0050667A">
            <w:r w:rsidRPr="0050667A">
              <w:t>Senior</w:t>
            </w:r>
          </w:p>
          <w:p w:rsidR="0050667A" w:rsidRPr="0050667A" w:rsidRDefault="0050667A" w:rsidP="0050667A">
            <w:r w:rsidRPr="0050667A">
              <w:t>Examiner</w:t>
            </w:r>
          </w:p>
        </w:tc>
        <w:tc>
          <w:tcPr>
            <w:tcW w:w="990" w:type="dxa"/>
          </w:tcPr>
          <w:p w:rsidR="0050667A" w:rsidRPr="0050667A" w:rsidRDefault="0050667A" w:rsidP="0050667A">
            <w:r w:rsidRPr="0050667A">
              <w:t>SG-06</w:t>
            </w:r>
          </w:p>
          <w:p w:rsidR="0050667A" w:rsidRPr="0050667A" w:rsidRDefault="0050667A" w:rsidP="0050667A">
            <w:r w:rsidRPr="0050667A">
              <w:t>Section</w:t>
            </w:r>
          </w:p>
          <w:p w:rsidR="0050667A" w:rsidRPr="0050667A" w:rsidRDefault="0050667A" w:rsidP="0050667A">
            <w:r w:rsidRPr="0050667A">
              <w:t>Head</w:t>
            </w:r>
          </w:p>
        </w:tc>
        <w:tc>
          <w:tcPr>
            <w:tcW w:w="1063" w:type="dxa"/>
          </w:tcPr>
          <w:p w:rsidR="0050667A" w:rsidRPr="0050667A" w:rsidRDefault="0050667A" w:rsidP="0050667A">
            <w:r w:rsidRPr="0050667A">
              <w:t>Total across all levels</w:t>
            </w:r>
          </w:p>
        </w:tc>
        <w:tc>
          <w:tcPr>
            <w:tcW w:w="1650" w:type="dxa"/>
            <w:vMerge/>
          </w:tcPr>
          <w:p w:rsidR="0050667A" w:rsidRPr="0050667A" w:rsidRDefault="0050667A" w:rsidP="0050667A"/>
        </w:tc>
      </w:tr>
      <w:tr w:rsidR="0050667A" w:rsidRPr="004A22DD" w:rsidTr="0050667A">
        <w:trPr>
          <w:cantSplit/>
        </w:trPr>
        <w:tc>
          <w:tcPr>
            <w:tcW w:w="2178" w:type="dxa"/>
            <w:shd w:val="clear" w:color="auto" w:fill="auto"/>
          </w:tcPr>
          <w:p w:rsidR="0050667A" w:rsidRPr="0050667A" w:rsidRDefault="0050667A" w:rsidP="0050667A">
            <w:r w:rsidRPr="0050667A">
              <w:t>Mechanical</w:t>
            </w:r>
          </w:p>
        </w:tc>
        <w:tc>
          <w:tcPr>
            <w:tcW w:w="1440" w:type="dxa"/>
            <w:shd w:val="clear" w:color="auto" w:fill="auto"/>
          </w:tcPr>
          <w:p w:rsidR="0050667A" w:rsidRPr="0050667A" w:rsidRDefault="0050667A" w:rsidP="0050667A">
            <w:r w:rsidRPr="0050667A">
              <w:t>100</w:t>
            </w:r>
          </w:p>
        </w:tc>
        <w:tc>
          <w:tcPr>
            <w:tcW w:w="1080" w:type="dxa"/>
          </w:tcPr>
          <w:p w:rsidR="0050667A" w:rsidRPr="0050667A" w:rsidRDefault="0050667A" w:rsidP="0050667A">
            <w:r w:rsidRPr="0050667A">
              <w:t>9.1</w:t>
            </w:r>
          </w:p>
        </w:tc>
        <w:tc>
          <w:tcPr>
            <w:tcW w:w="1170" w:type="dxa"/>
          </w:tcPr>
          <w:p w:rsidR="0050667A" w:rsidRPr="0050667A" w:rsidRDefault="0050667A" w:rsidP="0050667A">
            <w:r w:rsidRPr="0050667A">
              <w:t>9.8</w:t>
            </w:r>
          </w:p>
        </w:tc>
        <w:tc>
          <w:tcPr>
            <w:tcW w:w="990" w:type="dxa"/>
          </w:tcPr>
          <w:p w:rsidR="0050667A" w:rsidRPr="0050667A" w:rsidRDefault="0050667A" w:rsidP="0050667A">
            <w:r w:rsidRPr="0050667A">
              <w:t>10.2</w:t>
            </w:r>
          </w:p>
        </w:tc>
        <w:tc>
          <w:tcPr>
            <w:tcW w:w="1063" w:type="dxa"/>
          </w:tcPr>
          <w:p w:rsidR="0050667A" w:rsidRPr="0050667A" w:rsidRDefault="0050667A" w:rsidP="0050667A">
            <w:r w:rsidRPr="0050667A">
              <w:t>9.3</w:t>
            </w:r>
          </w:p>
        </w:tc>
        <w:tc>
          <w:tcPr>
            <w:tcW w:w="1650" w:type="dxa"/>
          </w:tcPr>
          <w:p w:rsidR="0050667A" w:rsidRPr="0050667A" w:rsidRDefault="0050667A" w:rsidP="0050667A">
            <w:r w:rsidRPr="0050667A">
              <w:t>*</w:t>
            </w:r>
          </w:p>
        </w:tc>
      </w:tr>
      <w:tr w:rsidR="0050667A" w:rsidRPr="004A22DD" w:rsidTr="0050667A">
        <w:trPr>
          <w:cantSplit/>
        </w:trPr>
        <w:tc>
          <w:tcPr>
            <w:tcW w:w="2178" w:type="dxa"/>
            <w:shd w:val="clear" w:color="auto" w:fill="auto"/>
          </w:tcPr>
          <w:p w:rsidR="0050667A" w:rsidRPr="0050667A" w:rsidRDefault="0050667A" w:rsidP="0050667A">
            <w:r w:rsidRPr="0050667A">
              <w:t>Electrical/Electronic</w:t>
            </w:r>
          </w:p>
        </w:tc>
        <w:tc>
          <w:tcPr>
            <w:tcW w:w="1440" w:type="dxa"/>
            <w:shd w:val="clear" w:color="auto" w:fill="auto"/>
          </w:tcPr>
          <w:p w:rsidR="0050667A" w:rsidRPr="0050667A" w:rsidRDefault="0050667A" w:rsidP="0050667A">
            <w:r w:rsidRPr="0050667A">
              <w:t>112</w:t>
            </w:r>
          </w:p>
        </w:tc>
        <w:tc>
          <w:tcPr>
            <w:tcW w:w="1080" w:type="dxa"/>
          </w:tcPr>
          <w:p w:rsidR="0050667A" w:rsidRPr="0050667A" w:rsidRDefault="0050667A" w:rsidP="0050667A">
            <w:r w:rsidRPr="0050667A">
              <w:t>7.3</w:t>
            </w:r>
          </w:p>
        </w:tc>
        <w:tc>
          <w:tcPr>
            <w:tcW w:w="1170" w:type="dxa"/>
          </w:tcPr>
          <w:p w:rsidR="0050667A" w:rsidRPr="0050667A" w:rsidRDefault="0050667A" w:rsidP="0050667A">
            <w:r w:rsidRPr="0050667A">
              <w:t>8.6</w:t>
            </w:r>
          </w:p>
        </w:tc>
        <w:tc>
          <w:tcPr>
            <w:tcW w:w="990" w:type="dxa"/>
          </w:tcPr>
          <w:p w:rsidR="0050667A" w:rsidRPr="0050667A" w:rsidRDefault="0050667A" w:rsidP="0050667A">
            <w:r w:rsidRPr="0050667A">
              <w:t>8.9</w:t>
            </w:r>
          </w:p>
        </w:tc>
        <w:tc>
          <w:tcPr>
            <w:tcW w:w="1063" w:type="dxa"/>
          </w:tcPr>
          <w:p w:rsidR="0050667A" w:rsidRPr="0050667A" w:rsidRDefault="0050667A" w:rsidP="0050667A">
            <w:r w:rsidRPr="0050667A">
              <w:t>7.6</w:t>
            </w:r>
          </w:p>
        </w:tc>
        <w:tc>
          <w:tcPr>
            <w:tcW w:w="1650" w:type="dxa"/>
          </w:tcPr>
          <w:p w:rsidR="0050667A" w:rsidRPr="0050667A" w:rsidRDefault="0050667A" w:rsidP="0050667A">
            <w:r w:rsidRPr="0050667A">
              <w:t>*</w:t>
            </w:r>
          </w:p>
        </w:tc>
      </w:tr>
      <w:tr w:rsidR="0050667A" w:rsidRPr="004A22DD" w:rsidTr="0050667A">
        <w:trPr>
          <w:cantSplit/>
        </w:trPr>
        <w:tc>
          <w:tcPr>
            <w:tcW w:w="2178" w:type="dxa"/>
            <w:shd w:val="clear" w:color="auto" w:fill="auto"/>
          </w:tcPr>
          <w:p w:rsidR="0050667A" w:rsidRPr="0050667A" w:rsidRDefault="0050667A" w:rsidP="0050667A">
            <w:r w:rsidRPr="0050667A">
              <w:t>Chemistry</w:t>
            </w:r>
          </w:p>
        </w:tc>
        <w:tc>
          <w:tcPr>
            <w:tcW w:w="1440" w:type="dxa"/>
            <w:shd w:val="clear" w:color="auto" w:fill="auto"/>
          </w:tcPr>
          <w:p w:rsidR="0050667A" w:rsidRPr="0050667A" w:rsidRDefault="0050667A" w:rsidP="0050667A">
            <w:r w:rsidRPr="0050667A">
              <w:t>118</w:t>
            </w:r>
          </w:p>
        </w:tc>
        <w:tc>
          <w:tcPr>
            <w:tcW w:w="1080" w:type="dxa"/>
          </w:tcPr>
          <w:p w:rsidR="0050667A" w:rsidRPr="0050667A" w:rsidRDefault="0050667A" w:rsidP="0050667A">
            <w:r w:rsidRPr="0050667A">
              <w:t>9.2</w:t>
            </w:r>
          </w:p>
        </w:tc>
        <w:tc>
          <w:tcPr>
            <w:tcW w:w="1170" w:type="dxa"/>
          </w:tcPr>
          <w:p w:rsidR="0050667A" w:rsidRPr="0050667A" w:rsidRDefault="0050667A" w:rsidP="0050667A">
            <w:r w:rsidRPr="0050667A">
              <w:t>10.9</w:t>
            </w:r>
          </w:p>
        </w:tc>
        <w:tc>
          <w:tcPr>
            <w:tcW w:w="990" w:type="dxa"/>
          </w:tcPr>
          <w:p w:rsidR="0050667A" w:rsidRPr="0050667A" w:rsidRDefault="0050667A" w:rsidP="0050667A">
            <w:r w:rsidRPr="0050667A">
              <w:t>12.8</w:t>
            </w:r>
          </w:p>
        </w:tc>
        <w:tc>
          <w:tcPr>
            <w:tcW w:w="1063" w:type="dxa"/>
          </w:tcPr>
          <w:p w:rsidR="0050667A" w:rsidRPr="0050667A" w:rsidRDefault="0050667A" w:rsidP="0050667A">
            <w:r w:rsidRPr="0050667A">
              <w:t>9.7</w:t>
            </w:r>
          </w:p>
        </w:tc>
        <w:tc>
          <w:tcPr>
            <w:tcW w:w="1650" w:type="dxa"/>
          </w:tcPr>
          <w:p w:rsidR="0050667A" w:rsidRPr="0050667A" w:rsidRDefault="0050667A" w:rsidP="0050667A">
            <w:r w:rsidRPr="0050667A">
              <w:t>*</w:t>
            </w:r>
          </w:p>
        </w:tc>
      </w:tr>
      <w:tr w:rsidR="0050667A" w:rsidRPr="004A22DD" w:rsidTr="0050667A">
        <w:trPr>
          <w:cantSplit/>
        </w:trPr>
        <w:tc>
          <w:tcPr>
            <w:tcW w:w="2178" w:type="dxa"/>
            <w:shd w:val="clear" w:color="auto" w:fill="auto"/>
          </w:tcPr>
          <w:p w:rsidR="0050667A" w:rsidRPr="0050667A" w:rsidRDefault="0050667A" w:rsidP="0050667A">
            <w:r w:rsidRPr="0050667A">
              <w:t>Biotech</w:t>
            </w:r>
          </w:p>
        </w:tc>
        <w:tc>
          <w:tcPr>
            <w:tcW w:w="1440" w:type="dxa"/>
            <w:shd w:val="clear" w:color="auto" w:fill="auto"/>
          </w:tcPr>
          <w:p w:rsidR="0050667A" w:rsidRPr="0050667A" w:rsidRDefault="0050667A" w:rsidP="0050667A">
            <w:r w:rsidRPr="0050667A">
              <w:t>68</w:t>
            </w:r>
          </w:p>
        </w:tc>
        <w:tc>
          <w:tcPr>
            <w:tcW w:w="1080" w:type="dxa"/>
          </w:tcPr>
          <w:p w:rsidR="0050667A" w:rsidRPr="0050667A" w:rsidRDefault="0050667A" w:rsidP="0050667A">
            <w:r w:rsidRPr="0050667A">
              <w:t>8.9</w:t>
            </w:r>
          </w:p>
        </w:tc>
        <w:tc>
          <w:tcPr>
            <w:tcW w:w="1170" w:type="dxa"/>
          </w:tcPr>
          <w:p w:rsidR="0050667A" w:rsidRPr="0050667A" w:rsidRDefault="0050667A" w:rsidP="0050667A">
            <w:r w:rsidRPr="0050667A">
              <w:t>9.3</w:t>
            </w:r>
          </w:p>
        </w:tc>
        <w:tc>
          <w:tcPr>
            <w:tcW w:w="990" w:type="dxa"/>
          </w:tcPr>
          <w:p w:rsidR="0050667A" w:rsidRPr="0050667A" w:rsidRDefault="0050667A" w:rsidP="0050667A">
            <w:r w:rsidRPr="0050667A">
              <w:t>11.2</w:t>
            </w:r>
          </w:p>
        </w:tc>
        <w:tc>
          <w:tcPr>
            <w:tcW w:w="1063" w:type="dxa"/>
          </w:tcPr>
          <w:p w:rsidR="0050667A" w:rsidRPr="0050667A" w:rsidRDefault="0050667A" w:rsidP="0050667A">
            <w:r w:rsidRPr="0050667A">
              <w:t>9.1</w:t>
            </w:r>
          </w:p>
        </w:tc>
        <w:tc>
          <w:tcPr>
            <w:tcW w:w="1650" w:type="dxa"/>
          </w:tcPr>
          <w:p w:rsidR="0050667A" w:rsidRPr="0050667A" w:rsidRDefault="0050667A" w:rsidP="0050667A">
            <w:r w:rsidRPr="0050667A">
              <w:t>*</w:t>
            </w:r>
          </w:p>
        </w:tc>
      </w:tr>
      <w:tr w:rsidR="0050667A" w:rsidRPr="004A22DD" w:rsidTr="0050667A">
        <w:trPr>
          <w:cantSplit/>
        </w:trPr>
        <w:tc>
          <w:tcPr>
            <w:tcW w:w="2178" w:type="dxa"/>
            <w:shd w:val="clear" w:color="auto" w:fill="auto"/>
          </w:tcPr>
          <w:p w:rsidR="0050667A" w:rsidRPr="0050667A" w:rsidRDefault="0050667A" w:rsidP="0050667A">
            <w:r w:rsidRPr="0050667A">
              <w:t>Total</w:t>
            </w:r>
          </w:p>
        </w:tc>
        <w:tc>
          <w:tcPr>
            <w:tcW w:w="1440" w:type="dxa"/>
            <w:shd w:val="clear" w:color="auto" w:fill="auto"/>
          </w:tcPr>
          <w:p w:rsidR="0050667A" w:rsidRPr="0050667A" w:rsidRDefault="0050667A" w:rsidP="0050667A">
            <w:r w:rsidRPr="0050667A">
              <w:t>398</w:t>
            </w:r>
          </w:p>
        </w:tc>
        <w:tc>
          <w:tcPr>
            <w:tcW w:w="1080" w:type="dxa"/>
          </w:tcPr>
          <w:p w:rsidR="0050667A" w:rsidRPr="0050667A" w:rsidRDefault="0050667A" w:rsidP="0050667A">
            <w:r w:rsidRPr="0050667A">
              <w:t>8.6</w:t>
            </w:r>
          </w:p>
        </w:tc>
        <w:tc>
          <w:tcPr>
            <w:tcW w:w="1170" w:type="dxa"/>
          </w:tcPr>
          <w:p w:rsidR="0050667A" w:rsidRPr="0050667A" w:rsidRDefault="0050667A" w:rsidP="0050667A">
            <w:r w:rsidRPr="0050667A">
              <w:t>9.8</w:t>
            </w:r>
          </w:p>
        </w:tc>
        <w:tc>
          <w:tcPr>
            <w:tcW w:w="990" w:type="dxa"/>
          </w:tcPr>
          <w:p w:rsidR="0050667A" w:rsidRPr="0050667A" w:rsidRDefault="0050667A" w:rsidP="0050667A">
            <w:r w:rsidRPr="0050667A">
              <w:t>10.7</w:t>
            </w:r>
          </w:p>
        </w:tc>
        <w:tc>
          <w:tcPr>
            <w:tcW w:w="1063" w:type="dxa"/>
          </w:tcPr>
          <w:p w:rsidR="0050667A" w:rsidRPr="0050667A" w:rsidRDefault="0050667A" w:rsidP="0050667A"/>
        </w:tc>
        <w:tc>
          <w:tcPr>
            <w:tcW w:w="1650" w:type="dxa"/>
          </w:tcPr>
          <w:p w:rsidR="0050667A" w:rsidRPr="0050667A" w:rsidRDefault="0050667A" w:rsidP="0050667A"/>
        </w:tc>
      </w:tr>
    </w:tbl>
    <w:p w:rsidR="0050667A" w:rsidRPr="004A22DD" w:rsidRDefault="0050667A" w:rsidP="0050667A">
      <w:pPr>
        <w:rPr>
          <w:rFonts w:ascii="Century Gothic" w:hAnsi="Century Gothic"/>
          <w:color w:val="0000FF"/>
          <w:sz w:val="20"/>
        </w:rPr>
      </w:pPr>
    </w:p>
    <w:p w:rsidR="0050667A" w:rsidRPr="0050667A" w:rsidRDefault="0050667A" w:rsidP="0050667A">
      <w:r w:rsidRPr="0050667A">
        <w:t>*</w:t>
      </w:r>
      <w:r>
        <w:tab/>
      </w:r>
      <w:r w:rsidRPr="0050667A">
        <w:t>CIPO does not maintain a list of which degrees each of our examiners possess.  Regardless, when recruiting there are minimum qualifications that candidates must meet</w:t>
      </w:r>
      <w:r w:rsidR="008B1AE0">
        <w:t xml:space="preserve">.  </w:t>
      </w:r>
      <w:r w:rsidRPr="0050667A">
        <w:t xml:space="preserve"> These minimum qualifications vary by discipline and are as follows:</w:t>
      </w:r>
    </w:p>
    <w:p w:rsidR="0050667A" w:rsidRPr="0050667A" w:rsidRDefault="0050667A" w:rsidP="0050667A">
      <w:pPr>
        <w:ind w:left="1134" w:hanging="567"/>
      </w:pPr>
      <w:r>
        <w:t>–</w:t>
      </w:r>
      <w:r>
        <w:tab/>
      </w:r>
      <w:r w:rsidRPr="0050667A">
        <w:t xml:space="preserve">Mechanical: </w:t>
      </w:r>
      <w:r w:rsidR="008B1AE0">
        <w:t xml:space="preserve"> </w:t>
      </w:r>
      <w:r w:rsidRPr="0050667A">
        <w:t>Bachelor's degree from a recognized post-secondary institution in mechanical engineering or some other acceptable degree in a related discipline with a strong foundation in mechanical engineering principles</w:t>
      </w:r>
      <w:r w:rsidR="008B1AE0">
        <w:t xml:space="preserve">.  </w:t>
      </w:r>
      <w:r w:rsidRPr="0050667A">
        <w:t>For example, degrees in civil, aerospace, biomedical and mining engineering;</w:t>
      </w:r>
    </w:p>
    <w:p w:rsidR="0050667A" w:rsidRPr="0050667A" w:rsidRDefault="0050667A" w:rsidP="0050667A">
      <w:pPr>
        <w:ind w:left="1134" w:hanging="567"/>
      </w:pPr>
      <w:r>
        <w:t>–</w:t>
      </w:r>
      <w:r>
        <w:tab/>
      </w:r>
      <w:r w:rsidRPr="0050667A">
        <w:t>Electrical/Electronic:  Graduation from a recognized university with a Bachelor’s degree in Electrical Engineering, Computer Engineering or Software Engineering (Computer Science degrees will not be accepted);</w:t>
      </w:r>
    </w:p>
    <w:p w:rsidR="0050667A" w:rsidRPr="0050667A" w:rsidRDefault="0050667A" w:rsidP="0050667A">
      <w:pPr>
        <w:ind w:left="1134" w:hanging="567"/>
      </w:pPr>
      <w:r>
        <w:t>–</w:t>
      </w:r>
      <w:r>
        <w:tab/>
      </w:r>
      <w:r w:rsidRPr="0050667A">
        <w:t xml:space="preserve">Chemistry: </w:t>
      </w:r>
    </w:p>
    <w:p w:rsidR="0050667A" w:rsidRPr="0050667A" w:rsidRDefault="0050667A" w:rsidP="0050667A">
      <w:pPr>
        <w:ind w:left="1701" w:hanging="567"/>
      </w:pPr>
      <w:r>
        <w:t>–</w:t>
      </w:r>
      <w:r>
        <w:tab/>
      </w:r>
      <w:r w:rsidRPr="0050667A">
        <w:t>For Organic Chemistry</w:t>
      </w:r>
      <w:r w:rsidR="008B1AE0">
        <w:t xml:space="preserve">:  </w:t>
      </w:r>
      <w:r w:rsidRPr="0050667A">
        <w:t xml:space="preserve">Graduation from a recognized post-secondary institution with an </w:t>
      </w:r>
      <w:proofErr w:type="spellStart"/>
      <w:r w:rsidRPr="0050667A">
        <w:t>honours</w:t>
      </w:r>
      <w:proofErr w:type="spellEnd"/>
      <w:r w:rsidRPr="0050667A">
        <w:t xml:space="preserve"> degree in Chemistry or other acceptable degree in a discipline related to the position;</w:t>
      </w:r>
    </w:p>
    <w:p w:rsidR="0050667A" w:rsidRPr="0050667A" w:rsidRDefault="0050667A" w:rsidP="0050667A">
      <w:pPr>
        <w:ind w:left="1701" w:hanging="567"/>
      </w:pPr>
      <w:r>
        <w:t>–</w:t>
      </w:r>
      <w:r>
        <w:tab/>
      </w:r>
      <w:r w:rsidRPr="0050667A">
        <w:t>For General Chemistry</w:t>
      </w:r>
      <w:r w:rsidR="008B1AE0">
        <w:t xml:space="preserve">:  </w:t>
      </w:r>
      <w:r w:rsidRPr="0050667A">
        <w:t xml:space="preserve">Graduation with an </w:t>
      </w:r>
      <w:proofErr w:type="spellStart"/>
      <w:r w:rsidRPr="0050667A">
        <w:t>honours</w:t>
      </w:r>
      <w:proofErr w:type="spellEnd"/>
      <w:r w:rsidRPr="0050667A">
        <w:t xml:space="preserve"> degree from a recognized university in Chemical Engineering or in Chemistry or some other acceptable degree in a discipline related to the position; and</w:t>
      </w:r>
    </w:p>
    <w:p w:rsidR="0050667A" w:rsidRPr="0050667A" w:rsidRDefault="0050667A" w:rsidP="0050667A">
      <w:pPr>
        <w:ind w:left="1701" w:hanging="567"/>
      </w:pPr>
      <w:r>
        <w:t>–</w:t>
      </w:r>
      <w:r>
        <w:tab/>
      </w:r>
      <w:r w:rsidRPr="0050667A">
        <w:t>Biotechnology</w:t>
      </w:r>
      <w:r w:rsidR="008B1AE0">
        <w:t xml:space="preserve">:  </w:t>
      </w:r>
      <w:r w:rsidRPr="0050667A">
        <w:t>Graduation from a recognized university with a Master’s degree or Ph.D. in biochemistry or molecular biology or other related discipline.</w:t>
      </w:r>
    </w:p>
    <w:p w:rsidR="0050667A" w:rsidRPr="0050667A" w:rsidRDefault="0050667A" w:rsidP="0050667A">
      <w:r w:rsidRPr="0050667A">
        <w:t>When the degree is from an institution outside of Canada CIPO uses the services of two entities that certify degree equivalencies.  These are the University of Toronto’s Comparative Education Service (CES) Academic Credential Assessment Service and World Education Services (WES) Educational Credential Assessment (ECA) Service.</w:t>
      </w:r>
    </w:p>
    <w:p w:rsidR="0050667A" w:rsidRPr="0050667A" w:rsidRDefault="0050667A" w:rsidP="0050667A"/>
    <w:p w:rsidR="0050667A" w:rsidRPr="0050667A" w:rsidRDefault="0050667A" w:rsidP="0050667A">
      <w:r w:rsidRPr="0050667A">
        <w:t>CIPO has two dedicated Examination Support Staff areas</w:t>
      </w:r>
      <w:r w:rsidR="008B1AE0">
        <w:t xml:space="preserve">:  </w:t>
      </w:r>
      <w:r w:rsidRPr="0050667A">
        <w:t>one for national work and our receiving Office staff also act as support to Examiners for their international work.  The latter group help ensure CIPO’s international work products are transmitted on time.  For more detailed information regarding our timeliness please refer to the most recent presentation</w:t>
      </w:r>
      <w:r w:rsidR="00354444">
        <w:t xml:space="preserve"> (</w:t>
      </w:r>
      <w:hyperlink r:id="rId12" w:history="1">
        <w:r w:rsidR="00354444">
          <w:rPr>
            <w:rStyle w:val="Hyperlink"/>
          </w:rPr>
          <w:t>PCT Statistics</w:t>
        </w:r>
      </w:hyperlink>
      <w:r w:rsidR="00354444">
        <w:t xml:space="preserve">) </w:t>
      </w:r>
      <w:r w:rsidRPr="0050667A">
        <w:t>given by the International Bureau at the PCT Meeting of International Authorities in February 2017.</w:t>
      </w:r>
    </w:p>
    <w:p w:rsidR="0050667A" w:rsidRPr="0050667A" w:rsidRDefault="0050667A" w:rsidP="0050667A"/>
    <w:p w:rsidR="0050667A" w:rsidRPr="0050667A" w:rsidRDefault="0050667A" w:rsidP="00354444">
      <w:pPr>
        <w:pStyle w:val="Subsection"/>
      </w:pPr>
      <w:r w:rsidRPr="0050667A">
        <w:t>Training Programs</w:t>
      </w:r>
    </w:p>
    <w:p w:rsidR="0050667A" w:rsidRPr="0050667A" w:rsidRDefault="0050667A" w:rsidP="00354444">
      <w:r w:rsidRPr="0050667A">
        <w:t>A dedicated Program Manager - Training is responsible for all training programs for Patent Examiners.  CIPO's current training regime for patent examiners consists of a two-year apprenticeship program where a newly hired examiner has a one-on-one relationship with a Senior Patent Examiner for on-the-job training.  This is augmented by formal training in a variety of patent law and examination subjects, such as, amongst others</w:t>
      </w:r>
      <w:r w:rsidR="008B1AE0">
        <w:t xml:space="preserve">:  </w:t>
      </w:r>
      <w:r w:rsidRPr="0050667A">
        <w:t>the Canadian Patent Act and Rules, jurisprudence, formal examination, substantive examination, novelty, inventive step, industrial applicability, patentable subject matter, unity, clarity, databases (</w:t>
      </w:r>
      <w:proofErr w:type="spellStart"/>
      <w:r w:rsidRPr="0050667A">
        <w:t>Questel</w:t>
      </w:r>
      <w:proofErr w:type="spellEnd"/>
      <w:r w:rsidRPr="0050667A">
        <w:t xml:space="preserve"> Orbit, etc.) and search techniques, classification systems (IPC, CPC), advanced patent prosecution, our workflow instructions and process mappings, and all in-house tools.   Included in the training is one week of intensive International Search and Examination Authority (ISA/IPEA) related training which in part explains the differences between Canadian practice and what is necessitated by the Patent Cooperation Treaty.  Examiners are assessed on their examination skills and their ability to work independently throughout the two-year period.  While apprenticing the Examiner is on probation.  At the end of the period a final assessment is made</w:t>
      </w:r>
      <w:r w:rsidR="008B1AE0">
        <w:t xml:space="preserve">.  </w:t>
      </w:r>
      <w:r w:rsidRPr="0050667A">
        <w:t>As well, CIPO Examiners have access to language courses and can undertake WIPO and EPO distance learning courses.</w:t>
      </w:r>
    </w:p>
    <w:p w:rsidR="0050667A" w:rsidRPr="0050667A" w:rsidRDefault="0050667A" w:rsidP="0050667A"/>
    <w:p w:rsidR="0050667A" w:rsidRPr="0050667A" w:rsidRDefault="0050667A" w:rsidP="0050667A">
      <w:r w:rsidRPr="0050667A">
        <w:t>Training efforts are not restricted to the education of new examiners</w:t>
      </w:r>
      <w:r w:rsidR="008B1AE0">
        <w:t xml:space="preserve">.  </w:t>
      </w:r>
      <w:r w:rsidRPr="0050667A">
        <w:t xml:space="preserve">Experienced examiners are encouraged to keep abreast of technology developments in their field of specialty, by reviewing technical periodicals, attending conferences and taking part in industrial tours of </w:t>
      </w:r>
      <w:r w:rsidRPr="0050667A">
        <w:lastRenderedPageBreak/>
        <w:t>Canadian companies.  There are also mandatory workshops, courses and presentations in examination, patents and IP related subjects, run several times a year, which they must attend.</w:t>
      </w:r>
    </w:p>
    <w:p w:rsidR="0050667A" w:rsidRPr="0050667A" w:rsidRDefault="0050667A" w:rsidP="0050667A"/>
    <w:p w:rsidR="0050667A" w:rsidRPr="0050667A" w:rsidRDefault="0050667A" w:rsidP="0050667A">
      <w:r w:rsidRPr="0050667A">
        <w:t>More information can be found in the following two papers:</w:t>
      </w:r>
    </w:p>
    <w:p w:rsidR="0050667A" w:rsidRPr="0050667A" w:rsidRDefault="0050667A" w:rsidP="00354444">
      <w:pPr>
        <w:ind w:left="567"/>
      </w:pPr>
      <w:r w:rsidRPr="00354444">
        <w:rPr>
          <w:i/>
        </w:rPr>
        <w:t>The Canadian Patent Examiner Continuous Training Program</w:t>
      </w:r>
      <w:proofErr w:type="gramStart"/>
      <w:r w:rsidRPr="0050667A">
        <w:t xml:space="preserve">; </w:t>
      </w:r>
      <w:r w:rsidR="00354444">
        <w:t xml:space="preserve"> </w:t>
      </w:r>
      <w:r w:rsidRPr="0050667A">
        <w:t>De</w:t>
      </w:r>
      <w:proofErr w:type="gramEnd"/>
      <w:r w:rsidRPr="0050667A">
        <w:t xml:space="preserve"> </w:t>
      </w:r>
      <w:proofErr w:type="spellStart"/>
      <w:r w:rsidRPr="0050667A">
        <w:t>Vleeschauwer</w:t>
      </w:r>
      <w:proofErr w:type="spellEnd"/>
      <w:r w:rsidRPr="0050667A">
        <w:t>, M. World Patent Information, 39 (December) 2014, 73-78; and</w:t>
      </w:r>
    </w:p>
    <w:p w:rsidR="0050667A" w:rsidRPr="0050667A" w:rsidRDefault="0050667A" w:rsidP="00354444">
      <w:pPr>
        <w:ind w:left="567"/>
      </w:pPr>
      <w:r w:rsidRPr="00354444">
        <w:rPr>
          <w:i/>
        </w:rPr>
        <w:t>The Canadian Patent Examiner Qualification Program</w:t>
      </w:r>
      <w:proofErr w:type="gramStart"/>
      <w:r w:rsidRPr="0050667A">
        <w:t xml:space="preserve">; </w:t>
      </w:r>
      <w:r w:rsidR="00354444">
        <w:t xml:space="preserve"> </w:t>
      </w:r>
      <w:r w:rsidRPr="0050667A">
        <w:t>De</w:t>
      </w:r>
      <w:proofErr w:type="gramEnd"/>
      <w:r w:rsidRPr="0050667A">
        <w:t xml:space="preserve"> </w:t>
      </w:r>
      <w:proofErr w:type="spellStart"/>
      <w:r w:rsidRPr="0050667A">
        <w:t>Vleeschauwer</w:t>
      </w:r>
      <w:proofErr w:type="spellEnd"/>
      <w:r w:rsidRPr="0050667A">
        <w:t>, M. World Patent Information, 35(3), 2013, 224-229.</w:t>
      </w:r>
    </w:p>
    <w:p w:rsidR="0050667A" w:rsidRDefault="0050667A" w:rsidP="0050667A"/>
    <w:p w:rsidR="00354444" w:rsidRPr="0050667A" w:rsidRDefault="00354444" w:rsidP="0050667A"/>
    <w:p w:rsidR="0050667A" w:rsidRPr="00837E2A" w:rsidRDefault="0050667A" w:rsidP="0050667A">
      <w:pPr>
        <w:rPr>
          <w:b/>
          <w:i/>
        </w:rPr>
      </w:pPr>
      <w:r w:rsidRPr="00837E2A">
        <w:rPr>
          <w:b/>
          <w:i/>
        </w:rPr>
        <w:t>Rules 36.1(ii) and 63.1(ii):  That Office or organization must have in its possession, or have access to, at least the minimum documentation referred to in Rule 34, properly arranged for search purposes, on paper, in microform or stored on electronic media.</w:t>
      </w:r>
    </w:p>
    <w:p w:rsidR="0050667A" w:rsidRPr="0050667A" w:rsidRDefault="0050667A" w:rsidP="0050667A"/>
    <w:p w:rsidR="0050667A" w:rsidRPr="00954569" w:rsidRDefault="0050667A" w:rsidP="00354444">
      <w:pPr>
        <w:pStyle w:val="Subsection"/>
      </w:pPr>
      <w:r w:rsidRPr="00954569">
        <w:t xml:space="preserve">Access to the minimum documentation for search purposes:  </w:t>
      </w:r>
    </w:p>
    <w:p w:rsidR="0050667A" w:rsidRPr="00354444" w:rsidRDefault="0050667A" w:rsidP="00354444">
      <w:r w:rsidRPr="00354444">
        <w:t>(X)</w:t>
      </w:r>
      <w:r w:rsidRPr="00354444">
        <w:tab/>
        <w:t>Full access</w:t>
      </w:r>
    </w:p>
    <w:p w:rsidR="0050667A" w:rsidRPr="00354444" w:rsidRDefault="0050667A" w:rsidP="00354444"/>
    <w:p w:rsidR="0050667A" w:rsidRPr="00954569" w:rsidRDefault="0050667A" w:rsidP="00354444">
      <w:pPr>
        <w:pStyle w:val="Subsection"/>
      </w:pPr>
      <w:r w:rsidRPr="00954569">
        <w:t xml:space="preserve">Search systems:  </w:t>
      </w:r>
    </w:p>
    <w:p w:rsidR="0050667A" w:rsidRPr="000A22C9" w:rsidRDefault="0050667A" w:rsidP="00354444">
      <w:r w:rsidRPr="000A22C9">
        <w:t>CIPO patent examiners are equipped with modern up-to-date workstations, including two 21” monitors and internet access</w:t>
      </w:r>
      <w:r w:rsidR="008B1AE0">
        <w:t xml:space="preserve">.  </w:t>
      </w:r>
      <w:r w:rsidRPr="000A22C9">
        <w:t xml:space="preserve">This permits access to our internal </w:t>
      </w:r>
      <w:proofErr w:type="spellStart"/>
      <w:r w:rsidRPr="000A22C9">
        <w:t>TechSource</w:t>
      </w:r>
      <w:proofErr w:type="spellEnd"/>
      <w:r w:rsidRPr="000A22C9">
        <w:t xml:space="preserve"> and </w:t>
      </w:r>
      <w:proofErr w:type="spellStart"/>
      <w:r w:rsidRPr="000A22C9">
        <w:t>InterApp</w:t>
      </w:r>
      <w:proofErr w:type="spellEnd"/>
      <w:r w:rsidRPr="000A22C9">
        <w:t xml:space="preserve"> systems (mainframe applications to handle National and Internati</w:t>
      </w:r>
      <w:r w:rsidR="00354444">
        <w:t>onal applications, respectively </w:t>
      </w:r>
      <w:r w:rsidRPr="000A22C9">
        <w:t>– both support workflow and storing of patent data), and provides patent examiners with the necessary facilities to conduct their search and examination functions and access all relevant documentation to perform their national and international work</w:t>
      </w:r>
      <w:r w:rsidR="008B1AE0">
        <w:t xml:space="preserve">. </w:t>
      </w:r>
      <w:r w:rsidRPr="000A22C9">
        <w:t xml:space="preserve"> Examiners who telework additionally receive a laptop and a docking station which enables them to remotely connect to the Office’s network via the Government of Canada’s Secure Remote Access (GC-SRA) (a virtual private network).</w:t>
      </w:r>
    </w:p>
    <w:p w:rsidR="0050667A" w:rsidRPr="00354444" w:rsidRDefault="0050667A" w:rsidP="00354444"/>
    <w:p w:rsidR="0050667A" w:rsidRPr="00354444" w:rsidRDefault="0050667A" w:rsidP="00354444">
      <w:r w:rsidRPr="00354444">
        <w:t xml:space="preserve">CIPO's internal </w:t>
      </w:r>
      <w:proofErr w:type="spellStart"/>
      <w:r w:rsidRPr="00354444">
        <w:t>TechSource</w:t>
      </w:r>
      <w:proofErr w:type="spellEnd"/>
      <w:r w:rsidRPr="00354444">
        <w:t xml:space="preserve"> system includes Canadian bibliographic </w:t>
      </w:r>
      <w:r w:rsidR="007C0F8E">
        <w:t xml:space="preserve">data (from 1869 to </w:t>
      </w:r>
      <w:r w:rsidRPr="00354444">
        <w:t>present), text (abstract, claim and description of laid open Canadian patent documents from 1978</w:t>
      </w:r>
      <w:r w:rsidR="007C0F8E">
        <w:t xml:space="preserve"> to </w:t>
      </w:r>
      <w:r w:rsidRPr="00354444">
        <w:t>present) and images of Canadian patent documents (from 1869</w:t>
      </w:r>
      <w:r w:rsidR="007C0F8E">
        <w:t xml:space="preserve"> to </w:t>
      </w:r>
      <w:r w:rsidRPr="00354444">
        <w:t xml:space="preserve">present).  </w:t>
      </w:r>
    </w:p>
    <w:p w:rsidR="0050667A" w:rsidRPr="00354444" w:rsidRDefault="0050667A" w:rsidP="00354444"/>
    <w:p w:rsidR="0050667A" w:rsidRPr="00354444" w:rsidRDefault="0050667A" w:rsidP="00354444">
      <w:r w:rsidRPr="00354444">
        <w:t>Externally, examiners have access to many publicly available and subscription based databases and facilities.  A non-exhaustive list follows:</w:t>
      </w:r>
    </w:p>
    <w:p w:rsidR="0050667A" w:rsidRPr="00354444" w:rsidRDefault="0050667A" w:rsidP="00354444">
      <w:pPr>
        <w:rPr>
          <w:noProof/>
        </w:rPr>
      </w:pPr>
    </w:p>
    <w:tbl>
      <w:tblPr>
        <w:tblStyle w:val="TableGrid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4"/>
      </w:tblGrid>
      <w:tr w:rsidR="0050667A" w:rsidRPr="00354444" w:rsidTr="00354444">
        <w:tc>
          <w:tcPr>
            <w:tcW w:w="9571" w:type="dxa"/>
          </w:tcPr>
          <w:p w:rsidR="0050667A" w:rsidRPr="00354444" w:rsidRDefault="0050667A" w:rsidP="00354444">
            <w:pPr>
              <w:rPr>
                <w:noProof/>
                <w:lang w:val="en-US"/>
              </w:rPr>
            </w:pPr>
            <w:r w:rsidRPr="00354444">
              <w:rPr>
                <w:noProof/>
                <w:lang w:val="en-US"/>
              </w:rPr>
              <w:t>AGRICOLA</w:t>
            </w:r>
          </w:p>
        </w:tc>
      </w:tr>
      <w:tr w:rsidR="0050667A" w:rsidRPr="00354444" w:rsidTr="00354444">
        <w:tc>
          <w:tcPr>
            <w:tcW w:w="9571" w:type="dxa"/>
          </w:tcPr>
          <w:p w:rsidR="0050667A" w:rsidRPr="00354444" w:rsidRDefault="0050667A" w:rsidP="00354444">
            <w:pPr>
              <w:rPr>
                <w:noProof/>
                <w:lang w:val="en-US"/>
              </w:rPr>
            </w:pPr>
            <w:r w:rsidRPr="00354444">
              <w:rPr>
                <w:noProof/>
                <w:lang w:val="en-US"/>
              </w:rPr>
              <w:t>American Chemical Society (ACS)</w:t>
            </w:r>
          </w:p>
        </w:tc>
      </w:tr>
      <w:tr w:rsidR="0050667A" w:rsidRPr="00354444" w:rsidTr="00354444">
        <w:tc>
          <w:tcPr>
            <w:tcW w:w="9571" w:type="dxa"/>
          </w:tcPr>
          <w:p w:rsidR="0050667A" w:rsidRPr="00354444" w:rsidRDefault="0050667A" w:rsidP="00354444">
            <w:pPr>
              <w:rPr>
                <w:noProof/>
                <w:lang w:val="en-US"/>
              </w:rPr>
            </w:pPr>
            <w:r w:rsidRPr="00354444">
              <w:rPr>
                <w:noProof/>
                <w:lang w:val="en-US"/>
              </w:rPr>
              <w:t>BioOne Online Journals</w:t>
            </w:r>
          </w:p>
        </w:tc>
      </w:tr>
      <w:tr w:rsidR="0050667A" w:rsidRPr="00354444" w:rsidTr="00354444">
        <w:tc>
          <w:tcPr>
            <w:tcW w:w="9571" w:type="dxa"/>
          </w:tcPr>
          <w:p w:rsidR="0050667A" w:rsidRPr="00354444" w:rsidRDefault="0050667A" w:rsidP="00354444">
            <w:pPr>
              <w:rPr>
                <w:noProof/>
                <w:lang w:val="en-US"/>
              </w:rPr>
            </w:pPr>
            <w:r w:rsidRPr="00354444">
              <w:rPr>
                <w:noProof/>
                <w:lang w:val="en-US"/>
              </w:rPr>
              <w:t>BIOSIS</w:t>
            </w:r>
          </w:p>
        </w:tc>
      </w:tr>
      <w:tr w:rsidR="0050667A" w:rsidRPr="00354444" w:rsidTr="00354444">
        <w:tc>
          <w:tcPr>
            <w:tcW w:w="9571" w:type="dxa"/>
          </w:tcPr>
          <w:p w:rsidR="0050667A" w:rsidRPr="00354444" w:rsidRDefault="0050667A" w:rsidP="00354444">
            <w:pPr>
              <w:rPr>
                <w:noProof/>
                <w:lang w:val="en-US"/>
              </w:rPr>
            </w:pPr>
            <w:r w:rsidRPr="00354444">
              <w:rPr>
                <w:noProof/>
                <w:lang w:val="en-US"/>
              </w:rPr>
              <w:t xml:space="preserve">ChEMBL interface </w:t>
            </w:r>
          </w:p>
        </w:tc>
      </w:tr>
      <w:tr w:rsidR="0050667A" w:rsidRPr="00354444" w:rsidTr="00354444">
        <w:tc>
          <w:tcPr>
            <w:tcW w:w="9571" w:type="dxa"/>
          </w:tcPr>
          <w:p w:rsidR="0050667A" w:rsidRPr="00354444" w:rsidRDefault="0050667A" w:rsidP="00354444">
            <w:pPr>
              <w:rPr>
                <w:noProof/>
                <w:lang w:val="en-US"/>
              </w:rPr>
            </w:pPr>
            <w:r w:rsidRPr="00354444">
              <w:rPr>
                <w:noProof/>
                <w:lang w:val="en-US"/>
              </w:rPr>
              <w:t>ChemSpider</w:t>
            </w:r>
          </w:p>
        </w:tc>
      </w:tr>
      <w:tr w:rsidR="0050667A" w:rsidRPr="00354444" w:rsidTr="00354444">
        <w:tc>
          <w:tcPr>
            <w:tcW w:w="9571" w:type="dxa"/>
          </w:tcPr>
          <w:p w:rsidR="0050667A" w:rsidRPr="00354444" w:rsidRDefault="0050667A" w:rsidP="00354444">
            <w:pPr>
              <w:rPr>
                <w:noProof/>
                <w:lang w:val="en-US"/>
              </w:rPr>
            </w:pPr>
            <w:r w:rsidRPr="00354444">
              <w:rPr>
                <w:noProof/>
                <w:lang w:val="en-US"/>
              </w:rPr>
              <w:t>Chinese Traditional Medicine Database</w:t>
            </w:r>
          </w:p>
        </w:tc>
      </w:tr>
      <w:tr w:rsidR="0050667A" w:rsidRPr="00354444" w:rsidTr="00354444">
        <w:tc>
          <w:tcPr>
            <w:tcW w:w="9571" w:type="dxa"/>
          </w:tcPr>
          <w:p w:rsidR="0050667A" w:rsidRPr="00354444" w:rsidRDefault="0050667A" w:rsidP="00354444">
            <w:pPr>
              <w:rPr>
                <w:noProof/>
                <w:lang w:val="en-US"/>
              </w:rPr>
            </w:pPr>
            <w:r w:rsidRPr="00354444">
              <w:rPr>
                <w:noProof/>
                <w:lang w:val="en-US"/>
              </w:rPr>
              <w:t>Derwent World Patent Index (DWPI)</w:t>
            </w:r>
          </w:p>
        </w:tc>
      </w:tr>
      <w:tr w:rsidR="0050667A" w:rsidRPr="00354444" w:rsidTr="00354444">
        <w:tc>
          <w:tcPr>
            <w:tcW w:w="9571" w:type="dxa"/>
          </w:tcPr>
          <w:p w:rsidR="0050667A" w:rsidRPr="00354444" w:rsidRDefault="0050667A" w:rsidP="00354444">
            <w:pPr>
              <w:rPr>
                <w:noProof/>
                <w:lang w:val="en-US"/>
              </w:rPr>
            </w:pPr>
            <w:r w:rsidRPr="00354444">
              <w:rPr>
                <w:noProof/>
                <w:lang w:val="en-US"/>
              </w:rPr>
              <w:t>EBSCOhost</w:t>
            </w:r>
          </w:p>
        </w:tc>
      </w:tr>
      <w:tr w:rsidR="0050667A" w:rsidRPr="00354444" w:rsidTr="00354444">
        <w:tc>
          <w:tcPr>
            <w:tcW w:w="9571" w:type="dxa"/>
          </w:tcPr>
          <w:p w:rsidR="0050667A" w:rsidRPr="00354444" w:rsidRDefault="0050667A" w:rsidP="00354444">
            <w:pPr>
              <w:rPr>
                <w:noProof/>
                <w:lang w:val="en-US"/>
              </w:rPr>
            </w:pPr>
            <w:r w:rsidRPr="00354444">
              <w:rPr>
                <w:noProof/>
                <w:lang w:val="en-US"/>
              </w:rPr>
              <w:t>Elsevier</w:t>
            </w:r>
          </w:p>
        </w:tc>
      </w:tr>
      <w:tr w:rsidR="0050667A" w:rsidRPr="00354444" w:rsidTr="00354444">
        <w:tc>
          <w:tcPr>
            <w:tcW w:w="9571" w:type="dxa"/>
          </w:tcPr>
          <w:p w:rsidR="0050667A" w:rsidRPr="00354444" w:rsidRDefault="0050667A" w:rsidP="00354444">
            <w:pPr>
              <w:rPr>
                <w:noProof/>
                <w:lang w:val="en-US"/>
              </w:rPr>
            </w:pPr>
            <w:r w:rsidRPr="00354444">
              <w:rPr>
                <w:noProof/>
                <w:lang w:val="en-US"/>
              </w:rPr>
              <w:t>European Molecular Biology Laboratory - European Bioinformatics Institute (EMBL-EBI)</w:t>
            </w:r>
          </w:p>
        </w:tc>
      </w:tr>
      <w:tr w:rsidR="0050667A" w:rsidRPr="00354444" w:rsidTr="00354444">
        <w:tc>
          <w:tcPr>
            <w:tcW w:w="9571" w:type="dxa"/>
          </w:tcPr>
          <w:p w:rsidR="0050667A" w:rsidRPr="00354444" w:rsidRDefault="0050667A" w:rsidP="00354444">
            <w:pPr>
              <w:rPr>
                <w:noProof/>
                <w:lang w:val="en-US"/>
              </w:rPr>
            </w:pPr>
            <w:r w:rsidRPr="00354444">
              <w:rPr>
                <w:noProof/>
                <w:lang w:val="en-US"/>
              </w:rPr>
              <w:t>Genomequest</w:t>
            </w:r>
          </w:p>
        </w:tc>
      </w:tr>
      <w:tr w:rsidR="0050667A" w:rsidRPr="00354444" w:rsidTr="00354444">
        <w:tc>
          <w:tcPr>
            <w:tcW w:w="9571" w:type="dxa"/>
          </w:tcPr>
          <w:p w:rsidR="0050667A" w:rsidRPr="00354444" w:rsidRDefault="0050667A" w:rsidP="00354444">
            <w:pPr>
              <w:rPr>
                <w:noProof/>
                <w:lang w:val="en-US"/>
              </w:rPr>
            </w:pPr>
            <w:r w:rsidRPr="00354444">
              <w:rPr>
                <w:noProof/>
                <w:lang w:val="en-US"/>
              </w:rPr>
              <w:t>IEEE Xplore</w:t>
            </w:r>
          </w:p>
        </w:tc>
      </w:tr>
      <w:tr w:rsidR="0050667A" w:rsidRPr="00354444" w:rsidTr="00354444">
        <w:tc>
          <w:tcPr>
            <w:tcW w:w="9571" w:type="dxa"/>
          </w:tcPr>
          <w:p w:rsidR="0050667A" w:rsidRPr="00354444" w:rsidRDefault="0050667A" w:rsidP="00354444">
            <w:pPr>
              <w:rPr>
                <w:noProof/>
                <w:lang w:val="en-US"/>
              </w:rPr>
            </w:pPr>
            <w:r w:rsidRPr="00354444">
              <w:rPr>
                <w:noProof/>
                <w:lang w:val="en-US"/>
              </w:rPr>
              <w:t>India’s Traditional Knowledge Database</w:t>
            </w:r>
          </w:p>
        </w:tc>
      </w:tr>
      <w:tr w:rsidR="0050667A" w:rsidRPr="00354444" w:rsidTr="00354444">
        <w:tc>
          <w:tcPr>
            <w:tcW w:w="9571" w:type="dxa"/>
          </w:tcPr>
          <w:p w:rsidR="0050667A" w:rsidRPr="00354444" w:rsidRDefault="0050667A" w:rsidP="00354444">
            <w:pPr>
              <w:rPr>
                <w:noProof/>
                <w:lang w:val="en-US"/>
              </w:rPr>
            </w:pPr>
            <w:r w:rsidRPr="00354444">
              <w:rPr>
                <w:noProof/>
                <w:lang w:val="en-US"/>
              </w:rPr>
              <w:t xml:space="preserve">JSTOR </w:t>
            </w:r>
          </w:p>
        </w:tc>
      </w:tr>
      <w:tr w:rsidR="0050667A" w:rsidRPr="00354444" w:rsidTr="00354444">
        <w:tc>
          <w:tcPr>
            <w:tcW w:w="9571" w:type="dxa"/>
          </w:tcPr>
          <w:p w:rsidR="0050667A" w:rsidRPr="00354444" w:rsidRDefault="0050667A" w:rsidP="00354444">
            <w:pPr>
              <w:rPr>
                <w:noProof/>
                <w:lang w:val="en-US"/>
              </w:rPr>
            </w:pPr>
            <w:r w:rsidRPr="00354444">
              <w:rPr>
                <w:noProof/>
                <w:lang w:val="en-US"/>
              </w:rPr>
              <w:t>MEDLINE</w:t>
            </w:r>
          </w:p>
        </w:tc>
      </w:tr>
      <w:tr w:rsidR="0050667A" w:rsidRPr="00354444" w:rsidTr="00354444">
        <w:tc>
          <w:tcPr>
            <w:tcW w:w="9571" w:type="dxa"/>
          </w:tcPr>
          <w:p w:rsidR="0050667A" w:rsidRPr="00354444" w:rsidRDefault="0050667A" w:rsidP="00354444">
            <w:pPr>
              <w:rPr>
                <w:noProof/>
                <w:lang w:val="en-US"/>
              </w:rPr>
            </w:pPr>
            <w:r w:rsidRPr="00354444">
              <w:rPr>
                <w:noProof/>
                <w:lang w:val="en-US"/>
              </w:rPr>
              <w:t>Nature and Nature Biotechnology</w:t>
            </w:r>
          </w:p>
        </w:tc>
      </w:tr>
      <w:tr w:rsidR="0050667A" w:rsidRPr="00354444" w:rsidTr="00354444">
        <w:tc>
          <w:tcPr>
            <w:tcW w:w="9571" w:type="dxa"/>
          </w:tcPr>
          <w:p w:rsidR="0050667A" w:rsidRPr="00354444" w:rsidRDefault="0050667A" w:rsidP="00354444">
            <w:pPr>
              <w:rPr>
                <w:noProof/>
                <w:lang w:val="en-US"/>
              </w:rPr>
            </w:pPr>
            <w:r w:rsidRPr="00354444">
              <w:rPr>
                <w:noProof/>
                <w:lang w:val="en-US"/>
              </w:rPr>
              <w:t>PATENTSCOPE</w:t>
            </w:r>
          </w:p>
        </w:tc>
      </w:tr>
      <w:tr w:rsidR="0050667A" w:rsidRPr="00354444" w:rsidTr="00354444">
        <w:tc>
          <w:tcPr>
            <w:tcW w:w="9571" w:type="dxa"/>
          </w:tcPr>
          <w:p w:rsidR="0050667A" w:rsidRPr="00354444" w:rsidRDefault="0050667A" w:rsidP="00354444">
            <w:pPr>
              <w:rPr>
                <w:noProof/>
                <w:lang w:val="en-US"/>
              </w:rPr>
            </w:pPr>
            <w:r w:rsidRPr="00354444">
              <w:rPr>
                <w:noProof/>
                <w:lang w:val="en-US"/>
              </w:rPr>
              <w:t>PubAg</w:t>
            </w:r>
          </w:p>
        </w:tc>
      </w:tr>
      <w:tr w:rsidR="0050667A" w:rsidRPr="00354444" w:rsidTr="00354444">
        <w:tc>
          <w:tcPr>
            <w:tcW w:w="9571" w:type="dxa"/>
          </w:tcPr>
          <w:p w:rsidR="0050667A" w:rsidRPr="00354444" w:rsidRDefault="0050667A" w:rsidP="00354444">
            <w:pPr>
              <w:rPr>
                <w:noProof/>
                <w:lang w:val="en-US"/>
              </w:rPr>
            </w:pPr>
            <w:r w:rsidRPr="00354444">
              <w:rPr>
                <w:noProof/>
                <w:lang w:val="en-US"/>
              </w:rPr>
              <w:t>PubMed and PubMed Central Canada</w:t>
            </w:r>
          </w:p>
        </w:tc>
      </w:tr>
      <w:tr w:rsidR="0050667A" w:rsidRPr="00354444" w:rsidTr="00354444">
        <w:tc>
          <w:tcPr>
            <w:tcW w:w="9571" w:type="dxa"/>
          </w:tcPr>
          <w:p w:rsidR="0050667A" w:rsidRPr="00354444" w:rsidRDefault="0050667A" w:rsidP="00354444">
            <w:pPr>
              <w:rPr>
                <w:noProof/>
                <w:lang w:val="en-US"/>
              </w:rPr>
            </w:pPr>
            <w:r w:rsidRPr="00354444">
              <w:rPr>
                <w:noProof/>
                <w:lang w:val="en-US"/>
              </w:rPr>
              <w:lastRenderedPageBreak/>
              <w:t>Questel Orbit</w:t>
            </w:r>
          </w:p>
        </w:tc>
      </w:tr>
      <w:tr w:rsidR="0050667A" w:rsidRPr="00354444" w:rsidTr="00354444">
        <w:tc>
          <w:tcPr>
            <w:tcW w:w="9571" w:type="dxa"/>
          </w:tcPr>
          <w:p w:rsidR="0050667A" w:rsidRPr="00354444" w:rsidRDefault="0050667A" w:rsidP="00354444">
            <w:pPr>
              <w:rPr>
                <w:noProof/>
                <w:lang w:val="en-US"/>
              </w:rPr>
            </w:pPr>
            <w:r w:rsidRPr="00354444">
              <w:rPr>
                <w:noProof/>
                <w:lang w:val="en-US"/>
              </w:rPr>
              <w:t>Science and Technical Information Network (STN)</w:t>
            </w:r>
          </w:p>
        </w:tc>
      </w:tr>
      <w:tr w:rsidR="0050667A" w:rsidRPr="00354444" w:rsidTr="00354444">
        <w:tc>
          <w:tcPr>
            <w:tcW w:w="9571" w:type="dxa"/>
          </w:tcPr>
          <w:p w:rsidR="0050667A" w:rsidRPr="00354444" w:rsidRDefault="0050667A" w:rsidP="00354444">
            <w:pPr>
              <w:rPr>
                <w:noProof/>
                <w:lang w:val="en-US"/>
              </w:rPr>
            </w:pPr>
            <w:r w:rsidRPr="00354444">
              <w:rPr>
                <w:noProof/>
                <w:lang w:val="en-US"/>
              </w:rPr>
              <w:t>ScienceDirect</w:t>
            </w:r>
          </w:p>
        </w:tc>
      </w:tr>
      <w:tr w:rsidR="0050667A" w:rsidRPr="00354444" w:rsidTr="00354444">
        <w:tc>
          <w:tcPr>
            <w:tcW w:w="9571" w:type="dxa"/>
          </w:tcPr>
          <w:p w:rsidR="0050667A" w:rsidRPr="00354444" w:rsidRDefault="0050667A" w:rsidP="00354444">
            <w:pPr>
              <w:rPr>
                <w:noProof/>
                <w:lang w:val="en-US"/>
              </w:rPr>
            </w:pPr>
            <w:r w:rsidRPr="00354444">
              <w:rPr>
                <w:noProof/>
                <w:lang w:val="en-US"/>
              </w:rPr>
              <w:t>Scientific American</w:t>
            </w:r>
          </w:p>
        </w:tc>
      </w:tr>
      <w:tr w:rsidR="0050667A" w:rsidRPr="00354444" w:rsidTr="00354444">
        <w:tc>
          <w:tcPr>
            <w:tcW w:w="9571" w:type="dxa"/>
          </w:tcPr>
          <w:p w:rsidR="0050667A" w:rsidRPr="00354444" w:rsidRDefault="0050667A" w:rsidP="00354444">
            <w:pPr>
              <w:rPr>
                <w:noProof/>
                <w:lang w:val="en-US"/>
              </w:rPr>
            </w:pPr>
            <w:r w:rsidRPr="00354444">
              <w:rPr>
                <w:noProof/>
                <w:lang w:val="en-US"/>
              </w:rPr>
              <w:t>Springer</w:t>
            </w:r>
          </w:p>
        </w:tc>
      </w:tr>
      <w:tr w:rsidR="0050667A" w:rsidRPr="00354444" w:rsidTr="00354444">
        <w:tc>
          <w:tcPr>
            <w:tcW w:w="9571" w:type="dxa"/>
          </w:tcPr>
          <w:p w:rsidR="0050667A" w:rsidRPr="00354444" w:rsidRDefault="0050667A" w:rsidP="00354444">
            <w:pPr>
              <w:rPr>
                <w:noProof/>
                <w:lang w:val="en-US"/>
              </w:rPr>
            </w:pPr>
            <w:r w:rsidRPr="00354444">
              <w:rPr>
                <w:noProof/>
                <w:lang w:val="en-US"/>
              </w:rPr>
              <w:t>Wiley Online Library</w:t>
            </w:r>
          </w:p>
        </w:tc>
      </w:tr>
      <w:tr w:rsidR="0050667A" w:rsidRPr="00354444" w:rsidTr="00354444">
        <w:tc>
          <w:tcPr>
            <w:tcW w:w="9571" w:type="dxa"/>
          </w:tcPr>
          <w:p w:rsidR="0050667A" w:rsidRPr="00354444" w:rsidRDefault="0050667A" w:rsidP="00354444">
            <w:pPr>
              <w:rPr>
                <w:noProof/>
                <w:lang w:val="en-US"/>
              </w:rPr>
            </w:pPr>
            <w:r w:rsidRPr="00354444">
              <w:rPr>
                <w:noProof/>
                <w:lang w:val="en-US"/>
              </w:rPr>
              <w:t>WIPO CASE</w:t>
            </w:r>
          </w:p>
        </w:tc>
      </w:tr>
      <w:tr w:rsidR="0050667A" w:rsidRPr="00354444" w:rsidTr="00354444">
        <w:tc>
          <w:tcPr>
            <w:tcW w:w="9571" w:type="dxa"/>
          </w:tcPr>
          <w:p w:rsidR="0050667A" w:rsidRPr="00354444" w:rsidRDefault="0050667A" w:rsidP="00354444">
            <w:pPr>
              <w:rPr>
                <w:noProof/>
                <w:lang w:val="en-US"/>
              </w:rPr>
            </w:pPr>
            <w:r w:rsidRPr="00354444">
              <w:rPr>
                <w:noProof/>
                <w:lang w:val="en-US"/>
              </w:rPr>
              <w:t>World Patent Information</w:t>
            </w:r>
          </w:p>
        </w:tc>
      </w:tr>
      <w:tr w:rsidR="0050667A" w:rsidRPr="00354444" w:rsidTr="00354444">
        <w:tc>
          <w:tcPr>
            <w:tcW w:w="9571" w:type="dxa"/>
          </w:tcPr>
          <w:p w:rsidR="0050667A" w:rsidRPr="00354444" w:rsidRDefault="0050667A" w:rsidP="00354444">
            <w:pPr>
              <w:rPr>
                <w:noProof/>
                <w:lang w:val="en-US"/>
              </w:rPr>
            </w:pPr>
            <w:r w:rsidRPr="00354444">
              <w:rPr>
                <w:noProof/>
                <w:lang w:val="en-US"/>
              </w:rPr>
              <w:t>Various individual Office’s databases of national applications (for example</w:t>
            </w:r>
            <w:r w:rsidR="008B1AE0">
              <w:rPr>
                <w:noProof/>
                <w:lang w:val="en-US"/>
              </w:rPr>
              <w:t xml:space="preserve">:  </w:t>
            </w:r>
            <w:r w:rsidRPr="00354444">
              <w:rPr>
                <w:noProof/>
                <w:lang w:val="en-US"/>
              </w:rPr>
              <w:t>Australia; Japan; United States; France; Korea; Turkey; EPO and Denmark to name a few)</w:t>
            </w:r>
          </w:p>
        </w:tc>
      </w:tr>
      <w:tr w:rsidR="0050667A" w:rsidRPr="00354444" w:rsidTr="00354444">
        <w:tc>
          <w:tcPr>
            <w:tcW w:w="9571" w:type="dxa"/>
          </w:tcPr>
          <w:p w:rsidR="0050667A" w:rsidRPr="00354444" w:rsidRDefault="0050667A" w:rsidP="00354444">
            <w:pPr>
              <w:rPr>
                <w:noProof/>
                <w:lang w:val="en-US"/>
              </w:rPr>
            </w:pPr>
            <w:r w:rsidRPr="00354444">
              <w:rPr>
                <w:noProof/>
                <w:lang w:val="en-US"/>
              </w:rPr>
              <w:t>Various direct-access NPL databases as per WIPO’s “Handbook on Industrial Property Information and Documentation” Part 4.2 (for example</w:t>
            </w:r>
            <w:r w:rsidR="008B1AE0">
              <w:rPr>
                <w:noProof/>
                <w:lang w:val="en-US"/>
              </w:rPr>
              <w:t xml:space="preserve">:  </w:t>
            </w:r>
            <w:r w:rsidRPr="00354444">
              <w:rPr>
                <w:noProof/>
                <w:lang w:val="en-US"/>
              </w:rPr>
              <w:t>“</w:t>
            </w:r>
            <w:hyperlink r:id="rId13" w:history="1">
              <w:r w:rsidRPr="007C0F8E">
                <w:rPr>
                  <w:rStyle w:val="Hyperlink"/>
                </w:rPr>
                <w:t>Science</w:t>
              </w:r>
            </w:hyperlink>
            <w:r w:rsidRPr="00354444">
              <w:rPr>
                <w:noProof/>
                <w:lang w:val="en-US"/>
              </w:rPr>
              <w:t>”,  Playthings, “</w:t>
            </w:r>
            <w:hyperlink r:id="rId14" w:history="1">
              <w:r w:rsidRPr="00354444">
                <w:rPr>
                  <w:rStyle w:val="Hyperlink"/>
                  <w:lang w:val="en-US"/>
                </w:rPr>
                <w:t>Bioscience, Biotechnology and Biochemistry</w:t>
              </w:r>
            </w:hyperlink>
            <w:r w:rsidRPr="00354444">
              <w:rPr>
                <w:noProof/>
                <w:lang w:val="en-US"/>
              </w:rPr>
              <w:t>”)</w:t>
            </w:r>
          </w:p>
        </w:tc>
      </w:tr>
    </w:tbl>
    <w:p w:rsidR="0050667A" w:rsidRPr="00354444" w:rsidRDefault="0050667A" w:rsidP="00354444"/>
    <w:p w:rsidR="0050667A" w:rsidRPr="00354444" w:rsidRDefault="0050667A" w:rsidP="00354444">
      <w:r w:rsidRPr="00354444">
        <w:t>CIPO has an internal “The Library Discovery Tool” that gives Examiners access to full-text articles from multiple resources or to quickly order articles.</w:t>
      </w:r>
    </w:p>
    <w:p w:rsidR="0050667A" w:rsidRPr="00354444" w:rsidRDefault="0050667A" w:rsidP="00354444"/>
    <w:p w:rsidR="0050667A" w:rsidRPr="00354444" w:rsidRDefault="0050667A" w:rsidP="00354444">
      <w:r w:rsidRPr="00354444">
        <w:t xml:space="preserve">CIPO maintains internal webpages and a wiki where examiners can post sites of interest for searching.  As well, CIPO has an established “Search Collaboration Workshop”, in each Division, which gathers and disseminates searching best practices.  </w:t>
      </w:r>
    </w:p>
    <w:p w:rsidR="0050667A" w:rsidRDefault="0050667A" w:rsidP="00354444"/>
    <w:p w:rsidR="00354444" w:rsidRPr="00354444" w:rsidRDefault="00354444" w:rsidP="00354444"/>
    <w:p w:rsidR="0050667A" w:rsidRPr="00837E2A" w:rsidRDefault="0050667A" w:rsidP="00354444">
      <w:pPr>
        <w:rPr>
          <w:b/>
          <w:i/>
        </w:rPr>
      </w:pPr>
      <w:r w:rsidRPr="00837E2A">
        <w:rPr>
          <w:b/>
          <w:i/>
        </w:rPr>
        <w:t>Rules 36.1(iii) and 63.1(iii):  That Office or organization must have a staff which is capable of searching and examining the required technical fields and which has the language facilities to understand at least those languages in which the minimum documentation referred to in Rule 34 is written or is translated.</w:t>
      </w:r>
    </w:p>
    <w:p w:rsidR="0050667A" w:rsidRPr="00354444" w:rsidRDefault="0050667A" w:rsidP="00354444"/>
    <w:p w:rsidR="0050667A" w:rsidRDefault="0050667A" w:rsidP="00354444">
      <w:pPr>
        <w:pStyle w:val="Subsection"/>
      </w:pPr>
      <w:r w:rsidRPr="00773686">
        <w:t xml:space="preserve">Language(s) in which national applications may be filed and processed:  </w:t>
      </w:r>
    </w:p>
    <w:p w:rsidR="0050667A" w:rsidRPr="000A22C9" w:rsidRDefault="0050667A" w:rsidP="00354444">
      <w:r w:rsidRPr="000A22C9">
        <w:t>International applications to CIPO as an International Authority may be filed in either English or French.</w:t>
      </w:r>
    </w:p>
    <w:p w:rsidR="0050667A" w:rsidRPr="00354444" w:rsidRDefault="0050667A" w:rsidP="00354444"/>
    <w:p w:rsidR="0050667A" w:rsidRPr="00773686" w:rsidRDefault="0050667A" w:rsidP="00354444">
      <w:pPr>
        <w:pStyle w:val="Subsection"/>
      </w:pPr>
      <w:r w:rsidRPr="002C57E7">
        <w:t>Other languages in which large numbers of examiners are proficient:</w:t>
      </w:r>
      <w:r w:rsidRPr="00773686">
        <w:t xml:space="preserve">  </w:t>
      </w:r>
    </w:p>
    <w:p w:rsidR="0050667A" w:rsidRPr="00354444" w:rsidRDefault="0050667A" w:rsidP="00354444">
      <w:r w:rsidRPr="00354444">
        <w:t>CIPO has Patent Examiners proficient in the following languages:</w:t>
      </w:r>
    </w:p>
    <w:p w:rsidR="0050667A" w:rsidRPr="00354444" w:rsidRDefault="00354444" w:rsidP="00354444">
      <w:r>
        <w:t>–</w:t>
      </w:r>
      <w:r>
        <w:tab/>
      </w:r>
      <w:r w:rsidR="0050667A" w:rsidRPr="00354444">
        <w:t>Arabic (3)</w:t>
      </w:r>
    </w:p>
    <w:p w:rsidR="0050667A" w:rsidRPr="00354444" w:rsidRDefault="00354444" w:rsidP="00354444">
      <w:r>
        <w:t>–</w:t>
      </w:r>
      <w:r>
        <w:tab/>
      </w:r>
      <w:r w:rsidR="0050667A" w:rsidRPr="00354444">
        <w:t>Bosnian (4)</w:t>
      </w:r>
    </w:p>
    <w:p w:rsidR="0050667A" w:rsidRPr="00354444" w:rsidRDefault="00354444" w:rsidP="00354444">
      <w:r>
        <w:t>–</w:t>
      </w:r>
      <w:r>
        <w:tab/>
      </w:r>
      <w:r w:rsidR="0050667A" w:rsidRPr="00354444">
        <w:t>Chinese (11)</w:t>
      </w:r>
    </w:p>
    <w:p w:rsidR="0050667A" w:rsidRPr="00354444" w:rsidRDefault="00354444" w:rsidP="00354444">
      <w:r>
        <w:t>–</w:t>
      </w:r>
      <w:r>
        <w:tab/>
      </w:r>
      <w:r w:rsidR="0050667A" w:rsidRPr="00354444">
        <w:t>Croatian (4)</w:t>
      </w:r>
    </w:p>
    <w:p w:rsidR="0050667A" w:rsidRPr="00354444" w:rsidRDefault="00354444" w:rsidP="00354444">
      <w:r>
        <w:t>–</w:t>
      </w:r>
      <w:r>
        <w:tab/>
      </w:r>
      <w:r w:rsidR="0050667A" w:rsidRPr="00354444">
        <w:t>Dutch/Flemish (1)</w:t>
      </w:r>
    </w:p>
    <w:p w:rsidR="0050667A" w:rsidRPr="00354444" w:rsidRDefault="00354444" w:rsidP="00354444">
      <w:r>
        <w:t>–</w:t>
      </w:r>
      <w:r>
        <w:tab/>
      </w:r>
      <w:r w:rsidR="0050667A" w:rsidRPr="00354444">
        <w:t>German (4)</w:t>
      </w:r>
    </w:p>
    <w:p w:rsidR="0050667A" w:rsidRPr="00354444" w:rsidRDefault="00354444" w:rsidP="00354444">
      <w:r>
        <w:t>–</w:t>
      </w:r>
      <w:r>
        <w:tab/>
      </w:r>
      <w:r w:rsidR="0050667A" w:rsidRPr="00354444">
        <w:t>Greek (1)</w:t>
      </w:r>
    </w:p>
    <w:p w:rsidR="0050667A" w:rsidRPr="00354444" w:rsidRDefault="00354444" w:rsidP="00354444">
      <w:r>
        <w:t>–</w:t>
      </w:r>
      <w:r>
        <w:tab/>
      </w:r>
      <w:r w:rsidR="0050667A" w:rsidRPr="00354444">
        <w:t>Hindi (3)</w:t>
      </w:r>
    </w:p>
    <w:p w:rsidR="0050667A" w:rsidRPr="00354444" w:rsidRDefault="00354444" w:rsidP="00354444">
      <w:r>
        <w:t>–</w:t>
      </w:r>
      <w:r>
        <w:tab/>
      </w:r>
      <w:r w:rsidR="0050667A" w:rsidRPr="00354444">
        <w:t>Italian (4)</w:t>
      </w:r>
    </w:p>
    <w:p w:rsidR="0050667A" w:rsidRPr="00354444" w:rsidRDefault="00354444" w:rsidP="00354444">
      <w:r>
        <w:t>–</w:t>
      </w:r>
      <w:r>
        <w:tab/>
      </w:r>
      <w:r w:rsidR="0050667A" w:rsidRPr="00354444">
        <w:t>Japanese (1)</w:t>
      </w:r>
    </w:p>
    <w:p w:rsidR="0050667A" w:rsidRPr="00354444" w:rsidRDefault="00354444" w:rsidP="00354444">
      <w:r>
        <w:t>–</w:t>
      </w:r>
      <w:r>
        <w:tab/>
      </w:r>
      <w:r w:rsidR="0050667A" w:rsidRPr="00354444">
        <w:t>Montenegrin (2)</w:t>
      </w:r>
    </w:p>
    <w:p w:rsidR="0050667A" w:rsidRPr="00354444" w:rsidRDefault="00354444" w:rsidP="00354444">
      <w:r>
        <w:t>–</w:t>
      </w:r>
      <w:r>
        <w:tab/>
      </w:r>
      <w:r w:rsidR="0050667A" w:rsidRPr="00354444">
        <w:t>Polish (6)</w:t>
      </w:r>
    </w:p>
    <w:p w:rsidR="0050667A" w:rsidRPr="00354444" w:rsidRDefault="00354444" w:rsidP="00354444">
      <w:r>
        <w:t>–</w:t>
      </w:r>
      <w:r>
        <w:tab/>
      </w:r>
      <w:r w:rsidR="0050667A" w:rsidRPr="00354444">
        <w:t>Romanian (3)</w:t>
      </w:r>
    </w:p>
    <w:p w:rsidR="0050667A" w:rsidRPr="00354444" w:rsidRDefault="00354444" w:rsidP="00354444">
      <w:r>
        <w:t>–</w:t>
      </w:r>
      <w:r>
        <w:tab/>
      </w:r>
      <w:r w:rsidR="0050667A" w:rsidRPr="00354444">
        <w:t>Russian (6)</w:t>
      </w:r>
    </w:p>
    <w:p w:rsidR="0050667A" w:rsidRPr="00354444" w:rsidRDefault="00354444" w:rsidP="00354444">
      <w:r>
        <w:t>–</w:t>
      </w:r>
      <w:r>
        <w:tab/>
      </w:r>
      <w:r w:rsidR="0050667A" w:rsidRPr="00354444">
        <w:t>Sanskrit (1)</w:t>
      </w:r>
    </w:p>
    <w:p w:rsidR="0050667A" w:rsidRPr="00354444" w:rsidRDefault="00354444" w:rsidP="00354444">
      <w:r>
        <w:t>–</w:t>
      </w:r>
      <w:r>
        <w:tab/>
      </w:r>
      <w:r w:rsidR="0050667A" w:rsidRPr="00354444">
        <w:t>Serbian (4)</w:t>
      </w:r>
    </w:p>
    <w:p w:rsidR="0050667A" w:rsidRPr="00354444" w:rsidRDefault="00354444" w:rsidP="00354444">
      <w:r>
        <w:t>–</w:t>
      </w:r>
      <w:r>
        <w:tab/>
      </w:r>
      <w:proofErr w:type="spellStart"/>
      <w:r w:rsidR="0050667A" w:rsidRPr="00354444">
        <w:t>Serbo</w:t>
      </w:r>
      <w:proofErr w:type="spellEnd"/>
      <w:r w:rsidR="0050667A" w:rsidRPr="00354444">
        <w:t>-Croat (3)</w:t>
      </w:r>
    </w:p>
    <w:p w:rsidR="0050667A" w:rsidRPr="00354444" w:rsidRDefault="00354444" w:rsidP="00354444">
      <w:r>
        <w:t>–</w:t>
      </w:r>
      <w:r>
        <w:tab/>
      </w:r>
      <w:r w:rsidR="0050667A" w:rsidRPr="00354444">
        <w:t>Spanish (6) and</w:t>
      </w:r>
    </w:p>
    <w:p w:rsidR="0050667A" w:rsidRPr="00354444" w:rsidRDefault="00354444" w:rsidP="00354444">
      <w:r>
        <w:t>–</w:t>
      </w:r>
      <w:r>
        <w:tab/>
      </w:r>
      <w:r w:rsidR="0050667A" w:rsidRPr="00354444">
        <w:t>Urdu (1).</w:t>
      </w:r>
    </w:p>
    <w:p w:rsidR="0050667A" w:rsidRPr="00354444" w:rsidRDefault="0050667A" w:rsidP="00354444">
      <w:pPr>
        <w:rPr>
          <w:highlight w:val="green"/>
        </w:rPr>
      </w:pPr>
    </w:p>
    <w:p w:rsidR="0050667A" w:rsidRPr="00354444" w:rsidRDefault="0050667A" w:rsidP="00354444">
      <w:pPr>
        <w:pStyle w:val="Subsection"/>
      </w:pPr>
      <w:r w:rsidRPr="00354444">
        <w:lastRenderedPageBreak/>
        <w:t xml:space="preserve">Services available to assist search or understanding of prior art in other languages: </w:t>
      </w:r>
    </w:p>
    <w:p w:rsidR="0050667A" w:rsidRPr="00354444" w:rsidRDefault="0050667A" w:rsidP="00354444">
      <w:r w:rsidRPr="00354444">
        <w:t xml:space="preserve">CIPO examiners have the following resources to assist in searching and understanding prior art in other languages: </w:t>
      </w:r>
    </w:p>
    <w:p w:rsidR="0050667A" w:rsidRPr="00354444" w:rsidRDefault="00354444" w:rsidP="00354444">
      <w:pPr>
        <w:ind w:left="567" w:hanging="567"/>
      </w:pPr>
      <w:r>
        <w:t>–</w:t>
      </w:r>
      <w:r>
        <w:tab/>
      </w:r>
      <w:r w:rsidR="0050667A" w:rsidRPr="00354444">
        <w:t>The Public Works and Government Services Canada-Translation Bureau, which provides translation services in over 100 languages and dialects</w:t>
      </w:r>
    </w:p>
    <w:p w:rsidR="0050667A" w:rsidRPr="00354444" w:rsidRDefault="00354444" w:rsidP="00354444">
      <w:pPr>
        <w:ind w:left="567" w:hanging="567"/>
      </w:pPr>
      <w:r>
        <w:t>–</w:t>
      </w:r>
      <w:r>
        <w:tab/>
      </w:r>
      <w:r w:rsidR="0050667A" w:rsidRPr="00354444">
        <w:t>WIPO Translate</w:t>
      </w:r>
    </w:p>
    <w:p w:rsidR="0050667A" w:rsidRPr="00354444" w:rsidRDefault="00354444" w:rsidP="00354444">
      <w:pPr>
        <w:ind w:left="567" w:hanging="567"/>
      </w:pPr>
      <w:r>
        <w:t>–</w:t>
      </w:r>
      <w:r>
        <w:tab/>
      </w:r>
      <w:r w:rsidR="0050667A" w:rsidRPr="00354444">
        <w:t>WIPO Pearl</w:t>
      </w:r>
    </w:p>
    <w:p w:rsidR="0050667A" w:rsidRPr="00354444" w:rsidRDefault="00354444" w:rsidP="00354444">
      <w:pPr>
        <w:ind w:left="567" w:hanging="567"/>
      </w:pPr>
      <w:r>
        <w:t>–</w:t>
      </w:r>
      <w:r>
        <w:tab/>
      </w:r>
      <w:r w:rsidR="0050667A" w:rsidRPr="00354444">
        <w:t>Google Translate</w:t>
      </w:r>
    </w:p>
    <w:p w:rsidR="0050667A" w:rsidRPr="00354444" w:rsidRDefault="00354444" w:rsidP="00354444">
      <w:pPr>
        <w:ind w:left="567" w:hanging="567"/>
      </w:pPr>
      <w:r>
        <w:t>–</w:t>
      </w:r>
      <w:r>
        <w:tab/>
      </w:r>
      <w:proofErr w:type="spellStart"/>
      <w:r w:rsidR="0050667A" w:rsidRPr="00354444">
        <w:t>Esp@cenet</w:t>
      </w:r>
      <w:proofErr w:type="spellEnd"/>
      <w:r w:rsidR="0050667A" w:rsidRPr="00354444">
        <w:t xml:space="preserve"> – Patent Translate (uses Google Translate)</w:t>
      </w:r>
    </w:p>
    <w:p w:rsidR="0050667A" w:rsidRPr="00354444" w:rsidRDefault="00354444" w:rsidP="00354444">
      <w:pPr>
        <w:ind w:left="567" w:hanging="567"/>
      </w:pPr>
      <w:r>
        <w:t>–</w:t>
      </w:r>
      <w:r>
        <w:tab/>
      </w:r>
      <w:proofErr w:type="spellStart"/>
      <w:r w:rsidR="0050667A" w:rsidRPr="00354444">
        <w:t>Questel</w:t>
      </w:r>
      <w:proofErr w:type="spellEnd"/>
      <w:r w:rsidR="0050667A" w:rsidRPr="00354444">
        <w:t xml:space="preserve"> Orbit – Translate feature (uses Google Translate)</w:t>
      </w:r>
    </w:p>
    <w:p w:rsidR="0050667A" w:rsidRPr="00837E2A" w:rsidRDefault="0050667A" w:rsidP="00837E2A">
      <w:pPr>
        <w:pStyle w:val="SectionHeading"/>
      </w:pPr>
      <w:r w:rsidRPr="00837E2A">
        <w:t>2.2 – Quality Management</w:t>
      </w:r>
    </w:p>
    <w:p w:rsidR="0050667A" w:rsidRPr="00837E2A" w:rsidRDefault="0050667A" w:rsidP="00354444">
      <w:pPr>
        <w:rPr>
          <w:b/>
          <w:i/>
        </w:rPr>
      </w:pPr>
      <w:r w:rsidRPr="00837E2A">
        <w:rPr>
          <w:b/>
          <w:i/>
        </w:rPr>
        <w:t>Rules 36.1(iv) and 63.1(iv):  That Office or organization must have in place a quality management system and internal review arrangements in accordance with the commo</w:t>
      </w:r>
      <w:r w:rsidR="00354444" w:rsidRPr="00837E2A">
        <w:rPr>
          <w:b/>
          <w:i/>
        </w:rPr>
        <w:t>n rules of international search</w:t>
      </w:r>
    </w:p>
    <w:p w:rsidR="0050667A" w:rsidRDefault="0050667A" w:rsidP="0050667A">
      <w:pPr>
        <w:rPr>
          <w:b/>
          <w:bCs/>
          <w:szCs w:val="22"/>
        </w:rPr>
      </w:pPr>
    </w:p>
    <w:p w:rsidR="0050667A" w:rsidRPr="00C27D96" w:rsidRDefault="0050667A" w:rsidP="00354444">
      <w:pPr>
        <w:pStyle w:val="Subsection"/>
      </w:pPr>
      <w:r w:rsidRPr="00C27D96">
        <w:t xml:space="preserve">National </w:t>
      </w:r>
      <w:r>
        <w:t>and International Q</w:t>
      </w:r>
      <w:r w:rsidRPr="00C27D96">
        <w:t xml:space="preserve">uality </w:t>
      </w:r>
      <w:r>
        <w:t>M</w:t>
      </w:r>
      <w:r w:rsidRPr="00C27D96">
        <w:t xml:space="preserve">anagement </w:t>
      </w:r>
      <w:r>
        <w:t>S</w:t>
      </w:r>
      <w:r w:rsidRPr="00C27D96">
        <w:t xml:space="preserve">ystem:  </w:t>
      </w:r>
    </w:p>
    <w:p w:rsidR="0050667A" w:rsidRPr="00354444" w:rsidRDefault="0050667A" w:rsidP="00354444">
      <w:r w:rsidRPr="00354444">
        <w:t xml:space="preserve">CIPO has had a formal international Quality Management System in place since 2007 and a formal National system since 2012.  Before 2007 and 2012, respectively, quality control was undertaken by Examination Section Heads who were all former examiners with decades of experience.  </w:t>
      </w:r>
    </w:p>
    <w:p w:rsidR="0050667A" w:rsidRPr="00354444" w:rsidRDefault="0050667A" w:rsidP="00354444"/>
    <w:p w:rsidR="0050667A" w:rsidRPr="00354444" w:rsidRDefault="0050667A" w:rsidP="00354444">
      <w:r w:rsidRPr="00354444">
        <w:t xml:space="preserve">CIPO’s QMS reports under Chapter 21 of the PCT International Search and Preliminary Examination Guidelines (found at </w:t>
      </w:r>
      <w:hyperlink r:id="rId15" w:history="1">
        <w:r w:rsidRPr="00354444">
          <w:rPr>
            <w:rStyle w:val="Hyperlink"/>
          </w:rPr>
          <w:t>PCT International Authority Quality Reports</w:t>
        </w:r>
      </w:hyperlink>
      <w:r w:rsidR="00354444">
        <w:rPr>
          <w:rStyle w:val="FootnoteReference"/>
        </w:rPr>
        <w:footnoteReference w:id="2"/>
      </w:r>
      <w:r w:rsidRPr="00354444">
        <w:t>) detail CIPO’s international QMS and demonstrate CIPO’s adherence to excellent quality standards.</w:t>
      </w:r>
    </w:p>
    <w:p w:rsidR="0050667A" w:rsidRPr="00354444" w:rsidRDefault="0050667A" w:rsidP="00354444"/>
    <w:p w:rsidR="0050667A" w:rsidRPr="00354444" w:rsidRDefault="0050667A" w:rsidP="00354444">
      <w:r w:rsidRPr="00354444">
        <w:t>CIPO’s Patent Branch is in the process of certifying its end to end ‘patent application to grant/international work product’ processes for national and international patent examination under ISO 9001:2015.  The stage 1 external audit was completed on December 9, 2016 and the stage 2 external audit is schedule</w:t>
      </w:r>
      <w:r w:rsidR="00354444">
        <w:t>d</w:t>
      </w:r>
      <w:r w:rsidRPr="00354444">
        <w:t xml:space="preserve"> for March 6</w:t>
      </w:r>
      <w:r w:rsidR="00354444">
        <w:t xml:space="preserve"> to </w:t>
      </w:r>
      <w:r w:rsidRPr="00354444">
        <w:t>8, 2017.   This is Patent Branch’s first time seeking formal certification</w:t>
      </w:r>
      <w:r w:rsidR="008B1AE0">
        <w:t xml:space="preserve">.  </w:t>
      </w:r>
      <w:r w:rsidRPr="00354444">
        <w:t>CIPO management is committed to continuous process and product improvement.</w:t>
      </w:r>
    </w:p>
    <w:p w:rsidR="0050667A" w:rsidRPr="00C6547C" w:rsidRDefault="0050667A" w:rsidP="006A6C1D">
      <w:pPr>
        <w:pStyle w:val="SectionHeading"/>
      </w:pPr>
      <w:r w:rsidRPr="00C6547C">
        <w:t>3 – Intended Scope of Operation</w:t>
      </w:r>
    </w:p>
    <w:p w:rsidR="0050667A" w:rsidRDefault="0050667A" w:rsidP="006A6C1D">
      <w:pPr>
        <w:pStyle w:val="Subsection"/>
      </w:pPr>
      <w:r w:rsidRPr="00C6547C">
        <w:t xml:space="preserve">Language(s) in which services would be offered:  </w:t>
      </w:r>
    </w:p>
    <w:p w:rsidR="0050667A" w:rsidRPr="006A6C1D" w:rsidRDefault="0050667A" w:rsidP="006A6C1D">
      <w:r w:rsidRPr="006A6C1D">
        <w:t>CIPO offers its clients services in English and French.</w:t>
      </w:r>
    </w:p>
    <w:p w:rsidR="0050667A" w:rsidRPr="006A6C1D" w:rsidRDefault="0050667A" w:rsidP="006A6C1D"/>
    <w:p w:rsidR="0050667A" w:rsidRDefault="0050667A" w:rsidP="006A6C1D">
      <w:pPr>
        <w:pStyle w:val="Subsection"/>
      </w:pPr>
      <w:r w:rsidRPr="00C6547C">
        <w:t xml:space="preserve">State(s) or receiving Office(s) for which Authority would offer to be competent:  </w:t>
      </w:r>
    </w:p>
    <w:p w:rsidR="0050667A" w:rsidRPr="006A6C1D" w:rsidRDefault="0050667A" w:rsidP="006A6C1D">
      <w:r w:rsidRPr="006A6C1D">
        <w:t xml:space="preserve">CIPO is presently the competent Authority for: </w:t>
      </w:r>
    </w:p>
    <w:p w:rsidR="0050667A" w:rsidRPr="006A6C1D" w:rsidRDefault="006A6C1D" w:rsidP="006A6C1D">
      <w:r>
        <w:t>–</w:t>
      </w:r>
      <w:r>
        <w:tab/>
      </w:r>
      <w:r w:rsidR="0050667A" w:rsidRPr="006A6C1D">
        <w:t xml:space="preserve">Antigua and Barbuda; </w:t>
      </w:r>
    </w:p>
    <w:p w:rsidR="0050667A" w:rsidRPr="006A6C1D" w:rsidRDefault="006A6C1D" w:rsidP="006A6C1D">
      <w:r>
        <w:t>–</w:t>
      </w:r>
      <w:r>
        <w:tab/>
      </w:r>
      <w:r w:rsidR="0050667A" w:rsidRPr="006A6C1D">
        <w:t>Belize;</w:t>
      </w:r>
    </w:p>
    <w:p w:rsidR="0050667A" w:rsidRPr="006A6C1D" w:rsidRDefault="006A6C1D" w:rsidP="006A6C1D">
      <w:r>
        <w:t>–</w:t>
      </w:r>
      <w:r>
        <w:tab/>
      </w:r>
      <w:r w:rsidR="0050667A" w:rsidRPr="006A6C1D">
        <w:t xml:space="preserve">Canada; </w:t>
      </w:r>
    </w:p>
    <w:p w:rsidR="0050667A" w:rsidRPr="006A6C1D" w:rsidRDefault="006A6C1D" w:rsidP="006A6C1D">
      <w:r>
        <w:t>–</w:t>
      </w:r>
      <w:r>
        <w:tab/>
      </w:r>
      <w:r w:rsidR="0050667A" w:rsidRPr="006A6C1D">
        <w:t xml:space="preserve">Nigeria; </w:t>
      </w:r>
    </w:p>
    <w:p w:rsidR="0050667A" w:rsidRPr="006A6C1D" w:rsidRDefault="006A6C1D" w:rsidP="006A6C1D">
      <w:r>
        <w:t>–</w:t>
      </w:r>
      <w:r>
        <w:tab/>
      </w:r>
      <w:r w:rsidR="0050667A" w:rsidRPr="006A6C1D">
        <w:t>Saint Vincent and the Grenadines</w:t>
      </w:r>
      <w:proofErr w:type="gramStart"/>
      <w:r w:rsidR="0050667A" w:rsidRPr="006A6C1D">
        <w:t xml:space="preserve">; </w:t>
      </w:r>
      <w:r>
        <w:t xml:space="preserve"> </w:t>
      </w:r>
      <w:r w:rsidR="0050667A" w:rsidRPr="006A6C1D">
        <w:t>and</w:t>
      </w:r>
      <w:proofErr w:type="gramEnd"/>
      <w:r w:rsidR="0050667A" w:rsidRPr="006A6C1D">
        <w:t xml:space="preserve"> </w:t>
      </w:r>
    </w:p>
    <w:p w:rsidR="0050667A" w:rsidRPr="006A6C1D" w:rsidRDefault="006A6C1D" w:rsidP="006A6C1D">
      <w:r>
        <w:t>–</w:t>
      </w:r>
      <w:r>
        <w:tab/>
      </w:r>
      <w:r w:rsidR="0050667A" w:rsidRPr="006A6C1D">
        <w:t>Saudi Arabia.</w:t>
      </w:r>
    </w:p>
    <w:p w:rsidR="0050667A" w:rsidRPr="006A6C1D" w:rsidRDefault="0050667A" w:rsidP="006A6C1D"/>
    <w:p w:rsidR="0050667A" w:rsidRPr="006A6C1D" w:rsidRDefault="0050667A" w:rsidP="006A6C1D">
      <w:r w:rsidRPr="006A6C1D">
        <w:t>CIPO also offers its services to any State regarded as a developing country in conformity with the established practice of the General Assembly of the United Nations.</w:t>
      </w:r>
    </w:p>
    <w:p w:rsidR="0050667A" w:rsidRPr="006A6C1D" w:rsidRDefault="0050667A" w:rsidP="006A6C1D"/>
    <w:p w:rsidR="0050667A" w:rsidRPr="006A6C1D" w:rsidRDefault="0050667A" w:rsidP="006A6C1D">
      <w:r w:rsidRPr="006A6C1D">
        <w:lastRenderedPageBreak/>
        <w:t>CIPO would be open to considering requests to be a competent Authority for other receiving Offices that wish to have services provided in French.</w:t>
      </w:r>
    </w:p>
    <w:p w:rsidR="0050667A" w:rsidRPr="00C6547C" w:rsidRDefault="0050667A" w:rsidP="0050667A">
      <w:pPr>
        <w:rPr>
          <w:rFonts w:ascii="Century Gothic" w:hAnsi="Century Gothic"/>
          <w:sz w:val="20"/>
        </w:rPr>
      </w:pPr>
    </w:p>
    <w:p w:rsidR="0050667A" w:rsidRPr="00C6547C" w:rsidRDefault="0050667A" w:rsidP="006A6C1D">
      <w:pPr>
        <w:pStyle w:val="Subsection"/>
      </w:pPr>
      <w:r w:rsidRPr="00C6547C">
        <w:t>Limitations on scope of operation:</w:t>
      </w:r>
    </w:p>
    <w:p w:rsidR="0050667A" w:rsidRPr="006A6C1D" w:rsidRDefault="0050667A" w:rsidP="006A6C1D">
      <w:r w:rsidRPr="006A6C1D">
        <w:t>CIPO does not have any limits on the scope of its operation except for which States it acts, and has offered to act, as a competent authority.</w:t>
      </w:r>
    </w:p>
    <w:p w:rsidR="0050667A" w:rsidRDefault="0050667A" w:rsidP="006A6C1D">
      <w:pPr>
        <w:pStyle w:val="SectionHeading"/>
      </w:pPr>
      <w:r w:rsidRPr="00C6547C">
        <w:t>4 – Statement of Motivation</w:t>
      </w:r>
      <w:r>
        <w:t xml:space="preserve">                        </w:t>
      </w:r>
    </w:p>
    <w:p w:rsidR="0050667A" w:rsidRPr="006A6C1D" w:rsidRDefault="0050667A" w:rsidP="006A6C1D">
      <w:r w:rsidRPr="006A6C1D">
        <w:t>As an ISA/IPEA, CIPO provides its client groups with greater access to the international patent system.  CIPO offers Canadian applicants a more personalized experience, with a local Office and staff they are already familiar with who can serve them in the official language of their choice.  Being located in Canada means Canadian applicants can pay in Canadian currency and are working within known time zone limits.  These facilitate the prosecution of PCT international applications for Canadian applicants, enabling them to be more productive and competitive in the knowledge-based economy.  CIPO’s ISA/IPEA status reinforces its commitment to continued excellence in the areas of client relations and service delivery.</w:t>
      </w:r>
    </w:p>
    <w:p w:rsidR="0050667A" w:rsidRPr="006A6C1D" w:rsidRDefault="0050667A" w:rsidP="006A6C1D"/>
    <w:p w:rsidR="0050667A" w:rsidRPr="006A6C1D" w:rsidRDefault="0050667A" w:rsidP="006A6C1D">
      <w:r w:rsidRPr="006A6C1D">
        <w:t>A bit broader geographically, CIPO’s position as a mid-sized IA with a British-based legal background permits it to fill a gap in North and South America by offering pointed help to Offices in that region, most notably to those for which it acts as a competent IA.  CIPO has provided technical assistance to most of the Caribbean countries via various WIPO PCT Seminars.  The breadth and depth of assistance CIPO can provide and its ability to provide customized assistance in this region is something larger IAs in the region cannot offer.</w:t>
      </w:r>
    </w:p>
    <w:p w:rsidR="0050667A" w:rsidRPr="006A6C1D" w:rsidRDefault="0050667A" w:rsidP="006A6C1D"/>
    <w:p w:rsidR="0050667A" w:rsidRPr="006A6C1D" w:rsidRDefault="0050667A" w:rsidP="006A6C1D">
      <w:r w:rsidRPr="006A6C1D">
        <w:t xml:space="preserve">CIPO participates in WIPO’s International Cooperation for the Search and Examination of Inventions Program (ICSEI) offered to developing countries.  CIPO’s IA status, and in particular CIPO’s ability to offer services in French, enables CIPO to provide the best quality searches, examination and assessments of novelty and inventive step of patent applications filed with Industrial Property Offices, which have no priority or for which no search reports have been established, that are forwarded to it under the ICSEI Program.  CIPO is presently filling a void as it is the only Office to offer ICSEI services in French. </w:t>
      </w:r>
    </w:p>
    <w:p w:rsidR="0050667A" w:rsidRPr="006A6C1D" w:rsidRDefault="0050667A" w:rsidP="006A6C1D"/>
    <w:p w:rsidR="0050667A" w:rsidRPr="006A6C1D" w:rsidRDefault="0050667A" w:rsidP="006A6C1D">
      <w:r w:rsidRPr="006A6C1D">
        <w:t>Traditionally an Office of second filing (79</w:t>
      </w:r>
      <w:r w:rsidR="008B1AE0">
        <w:t xml:space="preserve"> per cent</w:t>
      </w:r>
      <w:r w:rsidRPr="006A6C1D">
        <w:t xml:space="preserve"> </w:t>
      </w:r>
      <w:r w:rsidR="008B1AE0">
        <w:t xml:space="preserve">of </w:t>
      </w:r>
      <w:r w:rsidRPr="006A6C1D">
        <w:t>applications filed at CIPO are via PCT national entry) CIPO experiences first-hand, and to a great extent, what other designated and elected Offices (DO/EO) experience.  As a mid-sized IPO, CIPO understands and appreciates how DOs/EOs use the work of an IA and the importance of quality in an IA’s work products due to the trust placed in them by DOs/EOs</w:t>
      </w:r>
      <w:r w:rsidR="008B1AE0">
        <w:t xml:space="preserve">.  </w:t>
      </w:r>
      <w:r w:rsidRPr="006A6C1D">
        <w:t>Having lived their experiences CIPO is best placed to guide them and enables CIPO, when interacting with other mid-sized and smaller Offices, to offer practical advice.  CIPO in turn uses this knowledge to ensure the concerns of smaller and mid-sized Offices are addressed in a fruitful manner to the betterment of the international IP regime for everyone’s benefit.</w:t>
      </w:r>
    </w:p>
    <w:p w:rsidR="0050667A" w:rsidRPr="006A6C1D" w:rsidRDefault="0050667A" w:rsidP="006A6C1D"/>
    <w:p w:rsidR="0050667A" w:rsidRPr="006A6C1D" w:rsidRDefault="0050667A" w:rsidP="006A6C1D">
      <w:r w:rsidRPr="006A6C1D">
        <w:t>CIPO, as an existing ISA/IPEA, presently benefits by having an increased influence in the PCT system as a whole.  Actively participating, since 2004, at the Meeting of International Authorities (MIA) of the PCT and the Quality Subgroup of the MIA has enabled CIPO to constructively and collaboratively state and promote its positions, thus gaining a certain degree of leverage in the directional control of the PCT and increased respect for Canada's capabilities and contributions</w:t>
      </w:r>
      <w:r w:rsidR="008B1AE0">
        <w:t xml:space="preserve">.  </w:t>
      </w:r>
      <w:r w:rsidRPr="006A6C1D">
        <w:t xml:space="preserve"> Decisions made at those meetings impact the manner in which CIPO operates as an ISA/IPEA and directly affect our daily operations.  CIPO's status as an IA also allows CIPO to keep abreast of developments undertaken by larger offices.  </w:t>
      </w:r>
    </w:p>
    <w:p w:rsidR="0050667A" w:rsidRPr="006A6C1D" w:rsidRDefault="0050667A" w:rsidP="006A6C1D"/>
    <w:p w:rsidR="0050667A" w:rsidRPr="006A6C1D" w:rsidRDefault="0050667A" w:rsidP="006A6C1D">
      <w:pPr>
        <w:keepLines/>
      </w:pPr>
      <w:r w:rsidRPr="006A6C1D">
        <w:lastRenderedPageBreak/>
        <w:t xml:space="preserve">CIPO’s Examiners benefit from their international examination work through a wider knowledge of the harmonization framework of the PCT.  As well, being an IA strengthens the quality of Canadian search and examination through increased exposure to the PCT system and access to additional search tools.  Examiners also benefit from the sharing and collaborative efforts resulting from CIPO’s project with other IAs.  </w:t>
      </w:r>
    </w:p>
    <w:p w:rsidR="0050667A" w:rsidRPr="006A6C1D" w:rsidRDefault="0050667A" w:rsidP="006A6C1D"/>
    <w:p w:rsidR="0050667A" w:rsidRPr="006A6C1D" w:rsidRDefault="0050667A" w:rsidP="006A6C1D">
      <w:r w:rsidRPr="006A6C1D">
        <w:t>With respect to the PCT system as a whole, CIPO offers a uniquely Canadian perspective</w:t>
      </w:r>
      <w:r w:rsidR="008B1AE0">
        <w:t xml:space="preserve">.  </w:t>
      </w:r>
      <w:r w:rsidRPr="006A6C1D">
        <w:t xml:space="preserve"> Canada is a respected country and plays a role in many major political arenas, as can be seen in “International and Regional Organization Memberships” below.  CIPO offers a balance between two extremes (larger and smaller Offices).  CIPO is aware of the influences of other International Authorities and it carefully considers these when deciding on its positions while always keeping in mind what would be best for the PCT system as a whole.  Since becoming an ISA/IPEA CIPO has championed the provision of full Search Strategies, the use of Standardized Clauses in Written Opinions and more recently the in-depth reviews of other Offices QMS Reports all with the aim of strengthening the PCT system and increasing the quality of the products stemming from it which in turn contributes to a growth in users’ confidence.  As a mid-sized IA, CIPO assumes an appropriate portion of the international workload burden. </w:t>
      </w:r>
    </w:p>
    <w:p w:rsidR="0050667A" w:rsidRPr="006A6C1D" w:rsidRDefault="0050667A" w:rsidP="006A6C1D"/>
    <w:p w:rsidR="0050667A" w:rsidRPr="006A6C1D" w:rsidRDefault="0050667A" w:rsidP="006A6C1D">
      <w:r w:rsidRPr="006A6C1D">
        <w:t xml:space="preserve">Driven by the need to increase timeliness in the delivery of IP rights, decrease costs and reduce pendency in application inventories for all PCT users CIPO’s IA status allows CIPO to engage in meaningful discussing and focus on practical efforts to enhance the value of the international search and examination under the PCT.   Additionally, these efforts will lead to increased quality and enhanced transparency, which in turn will increase the level of trust among all PCT users. </w:t>
      </w:r>
      <w:r w:rsidR="006A6C1D">
        <w:t xml:space="preserve"> (</w:t>
      </w:r>
      <w:proofErr w:type="gramStart"/>
      <w:r w:rsidR="006A6C1D">
        <w:t>see</w:t>
      </w:r>
      <w:proofErr w:type="gramEnd"/>
      <w:r w:rsidR="006A6C1D">
        <w:t xml:space="preserve"> </w:t>
      </w:r>
      <w:hyperlink r:id="rId16" w:history="1">
        <w:r w:rsidR="006A6C1D">
          <w:rPr>
            <w:rStyle w:val="Hyperlink"/>
          </w:rPr>
          <w:t>PCT Statistics</w:t>
        </w:r>
      </w:hyperlink>
      <w:r w:rsidR="006A6C1D">
        <w:t xml:space="preserve"> presentation from the</w:t>
      </w:r>
      <w:r w:rsidR="006A6C1D" w:rsidRPr="006A6C1D">
        <w:t xml:space="preserve"> Twenty-Fourth Session </w:t>
      </w:r>
      <w:r w:rsidR="006A6C1D">
        <w:t xml:space="preserve">of the </w:t>
      </w:r>
      <w:r w:rsidR="006A6C1D" w:rsidRPr="006A6C1D">
        <w:t>Meeting of International Authorities)</w:t>
      </w:r>
      <w:r w:rsidR="006A6C1D">
        <w:t>.</w:t>
      </w:r>
    </w:p>
    <w:p w:rsidR="0050667A" w:rsidRPr="00C6547C" w:rsidRDefault="0050667A" w:rsidP="006A6C1D">
      <w:pPr>
        <w:pStyle w:val="SectionHeading"/>
      </w:pPr>
      <w:r w:rsidRPr="00C6547C">
        <w:t>5 – Applicant State</w:t>
      </w:r>
    </w:p>
    <w:p w:rsidR="0050667A" w:rsidRPr="00C6547C" w:rsidRDefault="0050667A" w:rsidP="006A6C1D">
      <w:pPr>
        <w:pStyle w:val="Subsection"/>
      </w:pPr>
      <w:r w:rsidRPr="00C6547C">
        <w:t>Regional location</w:t>
      </w:r>
    </w:p>
    <w:p w:rsidR="0050667A" w:rsidRPr="002313AE" w:rsidRDefault="0050667A" w:rsidP="0050667A">
      <w:pPr>
        <w:rPr>
          <w:rFonts w:ascii="Century Gothic" w:hAnsi="Century Gothic"/>
          <w:iCs/>
          <w:sz w:val="16"/>
          <w:szCs w:val="16"/>
        </w:rPr>
      </w:pPr>
      <w:r>
        <w:rPr>
          <w:noProof/>
          <w:lang w:val="en-GB" w:eastAsia="en-GB"/>
        </w:rPr>
        <w:drawing>
          <wp:inline distT="0" distB="0" distL="0" distR="0" wp14:anchorId="237A59D8" wp14:editId="27D56765">
            <wp:extent cx="3175000" cy="3647692"/>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200110" cy="3676540"/>
                    </a:xfrm>
                    <a:prstGeom prst="rect">
                      <a:avLst/>
                    </a:prstGeom>
                  </pic:spPr>
                </pic:pic>
              </a:graphicData>
            </a:graphic>
          </wp:inline>
        </w:drawing>
      </w:r>
    </w:p>
    <w:p w:rsidR="0050667A" w:rsidRDefault="0050667A" w:rsidP="0050667A">
      <w:pPr>
        <w:rPr>
          <w:rFonts w:ascii="Century Gothic" w:hAnsi="Century Gothic"/>
          <w:sz w:val="20"/>
        </w:rPr>
      </w:pPr>
    </w:p>
    <w:p w:rsidR="0050667A" w:rsidRPr="006A6C1D" w:rsidRDefault="0050667A" w:rsidP="006A6C1D">
      <w:pPr>
        <w:pStyle w:val="Subsection"/>
      </w:pPr>
      <w:r w:rsidRPr="006A6C1D">
        <w:t>Area</w:t>
      </w:r>
    </w:p>
    <w:p w:rsidR="0050667A" w:rsidRPr="006A6C1D" w:rsidRDefault="0050667A" w:rsidP="006A6C1D">
      <w:r w:rsidRPr="006A6C1D">
        <w:t xml:space="preserve"> •  </w:t>
      </w:r>
      <w:r w:rsidRPr="006A6C1D">
        <w:tab/>
        <w:t xml:space="preserve">Total </w:t>
      </w:r>
      <w:r w:rsidRPr="006A6C1D">
        <w:tab/>
      </w:r>
      <w:r w:rsidRPr="006A6C1D">
        <w:tab/>
        <w:t>9,984,670 km2 (3,854,085 mi2)</w:t>
      </w:r>
    </w:p>
    <w:p w:rsidR="0050667A" w:rsidRPr="006A6C1D" w:rsidRDefault="0050667A" w:rsidP="006A6C1D">
      <w:r w:rsidRPr="006A6C1D">
        <w:lastRenderedPageBreak/>
        <w:t xml:space="preserve"> •  </w:t>
      </w:r>
      <w:r w:rsidRPr="006A6C1D">
        <w:tab/>
        <w:t xml:space="preserve">Water (%) </w:t>
      </w:r>
      <w:r w:rsidRPr="006A6C1D">
        <w:tab/>
        <w:t>8.92 (891,163 km</w:t>
      </w:r>
      <w:r w:rsidRPr="008B1AE0">
        <w:rPr>
          <w:vertAlign w:val="superscript"/>
        </w:rPr>
        <w:t>2</w:t>
      </w:r>
      <w:r w:rsidRPr="006A6C1D">
        <w:t xml:space="preserve"> / 344,080 mi</w:t>
      </w:r>
      <w:r w:rsidRPr="008B1AE0">
        <w:rPr>
          <w:vertAlign w:val="superscript"/>
        </w:rPr>
        <w:t>2</w:t>
      </w:r>
      <w:r w:rsidRPr="006A6C1D">
        <w:t>)</w:t>
      </w:r>
    </w:p>
    <w:p w:rsidR="0050667A" w:rsidRPr="006A6C1D" w:rsidRDefault="0050667A" w:rsidP="006A6C1D"/>
    <w:p w:rsidR="0050667A" w:rsidRPr="006A6C1D" w:rsidRDefault="0050667A" w:rsidP="006A6C1D">
      <w:pPr>
        <w:pStyle w:val="Subsection"/>
      </w:pPr>
      <w:bookmarkStart w:id="9" w:name="Memberships"/>
      <w:bookmarkEnd w:id="9"/>
      <w:r w:rsidRPr="006A6C1D">
        <w:t xml:space="preserve">International and Regional Organization Memberships:  </w:t>
      </w:r>
    </w:p>
    <w:p w:rsidR="0050667A" w:rsidRPr="006A6C1D" w:rsidRDefault="0050667A" w:rsidP="006A6C1D">
      <w:r w:rsidRPr="006A6C1D">
        <w:t>Canada promotes commonly shared values such as equality, democracy, the rule of law, transparency and good governance through its participation in many international and regional organizations.  Canada is a member, or observer, of at least seventy-eight organizations, among which include:</w:t>
      </w:r>
    </w:p>
    <w:p w:rsidR="0050667A" w:rsidRPr="006A6C1D" w:rsidRDefault="0050667A" w:rsidP="006A6C1D">
      <w:r w:rsidRPr="006A6C1D">
        <w:t>Asia Pacific Economic Cooperation (APEC)</w:t>
      </w:r>
    </w:p>
    <w:p w:rsidR="0050667A" w:rsidRPr="006A6C1D" w:rsidRDefault="0050667A" w:rsidP="006A6C1D">
      <w:r w:rsidRPr="006A6C1D">
        <w:t>Association of Southeast Asian Nations (ASEAN) (dialogue partner) and the ASEAN Regional Forum</w:t>
      </w:r>
    </w:p>
    <w:p w:rsidR="0050667A" w:rsidRPr="006A6C1D" w:rsidRDefault="0050667A" w:rsidP="006A6C1D">
      <w:r w:rsidRPr="006A6C1D">
        <w:t>Commonwealth of Nations</w:t>
      </w:r>
    </w:p>
    <w:p w:rsidR="0050667A" w:rsidRPr="006A6C1D" w:rsidRDefault="0050667A" w:rsidP="006A6C1D">
      <w:r w:rsidRPr="006A6C1D">
        <w:t>Development Banks (e.g. African, Asian, Caribbean, European and International Banks for Reconstruction and Development, Inter-American)</w:t>
      </w:r>
    </w:p>
    <w:p w:rsidR="0050667A" w:rsidRPr="006A6C1D" w:rsidRDefault="0050667A" w:rsidP="006A6C1D">
      <w:r w:rsidRPr="006A6C1D">
        <w:t>G-7</w:t>
      </w:r>
    </w:p>
    <w:p w:rsidR="0050667A" w:rsidRPr="006A6C1D" w:rsidRDefault="0050667A" w:rsidP="006A6C1D">
      <w:r w:rsidRPr="006A6C1D">
        <w:t>G-20</w:t>
      </w:r>
    </w:p>
    <w:p w:rsidR="0050667A" w:rsidRPr="006A6C1D" w:rsidRDefault="0050667A" w:rsidP="006A6C1D">
      <w:r w:rsidRPr="006A6C1D">
        <w:t>International Criminal Court</w:t>
      </w:r>
    </w:p>
    <w:p w:rsidR="0050667A" w:rsidRPr="006A6C1D" w:rsidRDefault="0050667A" w:rsidP="006A6C1D">
      <w:r w:rsidRPr="006A6C1D">
        <w:t>International Federation of Red Cross and Red Crescent Societies</w:t>
      </w:r>
    </w:p>
    <w:p w:rsidR="0050667A" w:rsidRPr="006A6C1D" w:rsidRDefault="0050667A" w:rsidP="006A6C1D">
      <w:r w:rsidRPr="006A6C1D">
        <w:t>International Indigenous Affairs</w:t>
      </w:r>
    </w:p>
    <w:p w:rsidR="0050667A" w:rsidRPr="006A6C1D" w:rsidRDefault="0050667A" w:rsidP="006A6C1D">
      <w:r w:rsidRPr="006A6C1D">
        <w:t>International Red Cross and Red Crescent Movement</w:t>
      </w:r>
    </w:p>
    <w:p w:rsidR="0050667A" w:rsidRPr="006A6C1D" w:rsidRDefault="0050667A" w:rsidP="006A6C1D">
      <w:r w:rsidRPr="006A6C1D">
        <w:t>Interpol</w:t>
      </w:r>
    </w:p>
    <w:p w:rsidR="0050667A" w:rsidRPr="006A6C1D" w:rsidRDefault="0050667A" w:rsidP="006A6C1D">
      <w:r w:rsidRPr="006A6C1D">
        <w:t>La Francophonie</w:t>
      </w:r>
    </w:p>
    <w:p w:rsidR="0050667A" w:rsidRPr="006A6C1D" w:rsidRDefault="0050667A" w:rsidP="006A6C1D">
      <w:r w:rsidRPr="006A6C1D">
        <w:t>North Atlantic Treaty Organization (NATO)</w:t>
      </w:r>
    </w:p>
    <w:p w:rsidR="0050667A" w:rsidRPr="006A6C1D" w:rsidRDefault="0050667A" w:rsidP="006A6C1D">
      <w:r w:rsidRPr="006A6C1D">
        <w:t>Organization for Economic Cooperation and Development (OECD)</w:t>
      </w:r>
    </w:p>
    <w:p w:rsidR="0050667A" w:rsidRPr="006A6C1D" w:rsidRDefault="0050667A" w:rsidP="006A6C1D">
      <w:r w:rsidRPr="006A6C1D">
        <w:t>Organization for Security and Co-operation in Europe (OSCE)</w:t>
      </w:r>
    </w:p>
    <w:p w:rsidR="0050667A" w:rsidRPr="006A6C1D" w:rsidRDefault="0050667A" w:rsidP="006A6C1D">
      <w:r w:rsidRPr="006A6C1D">
        <w:t>Permanent Court of Arbitration</w:t>
      </w:r>
    </w:p>
    <w:p w:rsidR="0050667A" w:rsidRPr="006A6C1D" w:rsidRDefault="0050667A" w:rsidP="006A6C1D">
      <w:r w:rsidRPr="006A6C1D">
        <w:t xml:space="preserve">United Nations </w:t>
      </w:r>
    </w:p>
    <w:p w:rsidR="0050667A" w:rsidRPr="006A6C1D" w:rsidRDefault="0050667A" w:rsidP="006A6C1D">
      <w:r w:rsidRPr="006A6C1D">
        <w:t>United Nations Conference on Trade and Development</w:t>
      </w:r>
    </w:p>
    <w:p w:rsidR="0050667A" w:rsidRPr="006A6C1D" w:rsidRDefault="0050667A" w:rsidP="006A6C1D">
      <w:r w:rsidRPr="006A6C1D">
        <w:t>United Nations Economic, Social, and Cultural Organization (UNESCO)</w:t>
      </w:r>
    </w:p>
    <w:p w:rsidR="0050667A" w:rsidRPr="006A6C1D" w:rsidRDefault="0050667A" w:rsidP="006A6C1D">
      <w:r w:rsidRPr="006A6C1D">
        <w:t>World Trade Organization</w:t>
      </w:r>
    </w:p>
    <w:p w:rsidR="0050667A" w:rsidRPr="006A6C1D" w:rsidRDefault="0050667A" w:rsidP="006A6C1D">
      <w:r w:rsidRPr="006A6C1D">
        <w:t>World Intellectual Property Organization</w:t>
      </w:r>
    </w:p>
    <w:p w:rsidR="0050667A" w:rsidRPr="006A6C1D" w:rsidRDefault="0050667A" w:rsidP="006A6C1D">
      <w:pPr>
        <w:rPr>
          <w:i/>
        </w:rPr>
      </w:pPr>
      <w:r w:rsidRPr="006A6C1D">
        <w:rPr>
          <w:i/>
        </w:rPr>
        <w:t xml:space="preserve">Source:  </w:t>
      </w:r>
      <w:hyperlink r:id="rId18" w:history="1">
        <w:r w:rsidRPr="006A6C1D">
          <w:rPr>
            <w:rStyle w:val="Hyperlink"/>
            <w:i/>
          </w:rPr>
          <w:t>Global Affairs Canada</w:t>
        </w:r>
      </w:hyperlink>
      <w:r w:rsidRPr="006A6C1D">
        <w:rPr>
          <w:i/>
        </w:rPr>
        <w:t xml:space="preserve"> (2017-02-29)</w:t>
      </w:r>
    </w:p>
    <w:p w:rsidR="0050667A" w:rsidRPr="006A6C1D" w:rsidRDefault="0050667A" w:rsidP="006A6C1D"/>
    <w:p w:rsidR="0050667A" w:rsidRPr="006A6C1D" w:rsidRDefault="0050667A" w:rsidP="006A6C1D">
      <w:r w:rsidRPr="006A6C1D">
        <w:rPr>
          <w:b/>
        </w:rPr>
        <w:t>Population:</w:t>
      </w:r>
      <w:r w:rsidRPr="006A6C1D">
        <w:t xml:space="preserve">  36.29 million </w:t>
      </w:r>
    </w:p>
    <w:p w:rsidR="0050667A" w:rsidRPr="006A6C1D" w:rsidRDefault="0050667A" w:rsidP="006A6C1D">
      <w:pPr>
        <w:rPr>
          <w:i/>
        </w:rPr>
      </w:pPr>
      <w:r w:rsidRPr="006A6C1D">
        <w:rPr>
          <w:i/>
        </w:rPr>
        <w:t>Source:</w:t>
      </w:r>
      <w:r w:rsidR="008B1AE0">
        <w:rPr>
          <w:i/>
        </w:rPr>
        <w:t xml:space="preserve"> </w:t>
      </w:r>
      <w:r w:rsidRPr="006A6C1D">
        <w:rPr>
          <w:i/>
        </w:rPr>
        <w:t xml:space="preserve"> (2016) </w:t>
      </w:r>
      <w:hyperlink r:id="rId19" w:history="1">
        <w:r w:rsidRPr="006A6C1D">
          <w:rPr>
            <w:rStyle w:val="Hyperlink"/>
            <w:i/>
          </w:rPr>
          <w:t>Statistics Canada</w:t>
        </w:r>
      </w:hyperlink>
    </w:p>
    <w:p w:rsidR="0050667A" w:rsidRPr="006A6C1D" w:rsidRDefault="0050667A" w:rsidP="006A6C1D"/>
    <w:p w:rsidR="0050667A" w:rsidRPr="006A6C1D" w:rsidRDefault="0050667A" w:rsidP="006A6C1D">
      <w:pPr>
        <w:pStyle w:val="Subsection"/>
      </w:pPr>
      <w:r w:rsidRPr="006A6C1D">
        <w:t xml:space="preserve">GDP per capita:  </w:t>
      </w:r>
    </w:p>
    <w:tbl>
      <w:tblPr>
        <w:tblW w:w="5280" w:type="dxa"/>
        <w:tblCellSpacing w:w="15" w:type="dxa"/>
        <w:tblCellMar>
          <w:top w:w="15" w:type="dxa"/>
          <w:left w:w="15" w:type="dxa"/>
          <w:bottom w:w="15" w:type="dxa"/>
          <w:right w:w="15" w:type="dxa"/>
        </w:tblCellMar>
        <w:tblLook w:val="04A0" w:firstRow="1" w:lastRow="0" w:firstColumn="1" w:lastColumn="0" w:noHBand="0" w:noVBand="1"/>
      </w:tblPr>
      <w:tblGrid>
        <w:gridCol w:w="786"/>
        <w:gridCol w:w="1852"/>
        <w:gridCol w:w="2642"/>
      </w:tblGrid>
      <w:tr w:rsidR="0050667A" w:rsidRPr="006A6C1D" w:rsidTr="0050667A">
        <w:trPr>
          <w:tblCellSpacing w:w="15" w:type="dxa"/>
        </w:trPr>
        <w:tc>
          <w:tcPr>
            <w:tcW w:w="0" w:type="auto"/>
            <w:gridSpan w:val="2"/>
            <w:vAlign w:val="center"/>
            <w:hideMark/>
          </w:tcPr>
          <w:p w:rsidR="0050667A" w:rsidRPr="006A6C1D" w:rsidRDefault="00F454D3" w:rsidP="006A6C1D">
            <w:hyperlink r:id="rId20" w:tooltip="Gross domestic product" w:history="1">
              <w:r w:rsidR="0050667A" w:rsidRPr="006A6C1D">
                <w:rPr>
                  <w:rStyle w:val="Hyperlink"/>
                </w:rPr>
                <w:t>GDP</w:t>
              </w:r>
            </w:hyperlink>
            <w:r w:rsidR="0050667A" w:rsidRPr="006A6C1D">
              <w:t> (</w:t>
            </w:r>
            <w:hyperlink r:id="rId21" w:tooltip="Purchasing power parity" w:history="1">
              <w:r w:rsidR="0050667A" w:rsidRPr="006A6C1D">
                <w:rPr>
                  <w:rStyle w:val="Hyperlink"/>
                </w:rPr>
                <w:t>PPP</w:t>
              </w:r>
            </w:hyperlink>
            <w:r w:rsidR="0050667A" w:rsidRPr="006A6C1D">
              <w:t>) (</w:t>
            </w:r>
            <w:proofErr w:type="spellStart"/>
            <w:r w:rsidR="0050667A" w:rsidRPr="006A6C1D">
              <w:t>Int</w:t>
            </w:r>
            <w:proofErr w:type="spellEnd"/>
            <w:r w:rsidR="0050667A" w:rsidRPr="006A6C1D">
              <w:t>$)</w:t>
            </w:r>
          </w:p>
        </w:tc>
        <w:tc>
          <w:tcPr>
            <w:tcW w:w="0" w:type="auto"/>
            <w:vAlign w:val="center"/>
            <w:hideMark/>
          </w:tcPr>
          <w:p w:rsidR="0050667A" w:rsidRPr="006A6C1D" w:rsidRDefault="0050667A" w:rsidP="006A6C1D">
            <w:r w:rsidRPr="006A6C1D">
              <w:t>2015 </w:t>
            </w:r>
          </w:p>
        </w:tc>
      </w:tr>
      <w:tr w:rsidR="0050667A" w:rsidRPr="006A6C1D" w:rsidTr="0050667A">
        <w:trPr>
          <w:tblCellSpacing w:w="15" w:type="dxa"/>
        </w:trPr>
        <w:tc>
          <w:tcPr>
            <w:tcW w:w="538" w:type="dxa"/>
            <w:tcMar>
              <w:top w:w="0" w:type="dxa"/>
              <w:left w:w="144" w:type="dxa"/>
              <w:bottom w:w="0" w:type="dxa"/>
              <w:right w:w="0" w:type="dxa"/>
            </w:tcMar>
            <w:vAlign w:val="center"/>
            <w:hideMark/>
          </w:tcPr>
          <w:p w:rsidR="0050667A" w:rsidRPr="006A6C1D" w:rsidRDefault="0050667A" w:rsidP="006A6C1D">
            <w:r w:rsidRPr="006A6C1D">
              <w:t> • </w:t>
            </w:r>
          </w:p>
        </w:tc>
        <w:tc>
          <w:tcPr>
            <w:tcW w:w="0" w:type="auto"/>
            <w:tcMar>
              <w:top w:w="15" w:type="dxa"/>
              <w:left w:w="0" w:type="dxa"/>
              <w:bottom w:w="15" w:type="dxa"/>
              <w:right w:w="15" w:type="dxa"/>
            </w:tcMar>
            <w:vAlign w:val="center"/>
            <w:hideMark/>
          </w:tcPr>
          <w:p w:rsidR="0050667A" w:rsidRPr="006A6C1D" w:rsidRDefault="0050667A" w:rsidP="006A6C1D">
            <w:r w:rsidRPr="006A6C1D">
              <w:t>Total</w:t>
            </w:r>
          </w:p>
        </w:tc>
        <w:tc>
          <w:tcPr>
            <w:tcW w:w="0" w:type="auto"/>
            <w:vAlign w:val="center"/>
            <w:hideMark/>
          </w:tcPr>
          <w:p w:rsidR="0050667A" w:rsidRPr="006A6C1D" w:rsidRDefault="0050667A" w:rsidP="006A6C1D">
            <w:r w:rsidRPr="006A6C1D">
              <w:t>$1.584 trillion (</w:t>
            </w:r>
            <w:hyperlink r:id="rId22" w:tooltip="List of countries by GDP (PPP)" w:history="1">
              <w:r w:rsidRPr="006A6C1D">
                <w:rPr>
                  <w:rStyle w:val="Hyperlink"/>
                </w:rPr>
                <w:t>16th</w:t>
              </w:r>
            </w:hyperlink>
            <w:r w:rsidRPr="006A6C1D">
              <w:t>)</w:t>
            </w:r>
          </w:p>
        </w:tc>
      </w:tr>
      <w:tr w:rsidR="0050667A" w:rsidRPr="006A6C1D" w:rsidTr="0050667A">
        <w:trPr>
          <w:tblCellSpacing w:w="15" w:type="dxa"/>
        </w:trPr>
        <w:tc>
          <w:tcPr>
            <w:tcW w:w="538" w:type="dxa"/>
            <w:tcMar>
              <w:top w:w="0" w:type="dxa"/>
              <w:left w:w="144" w:type="dxa"/>
              <w:bottom w:w="0" w:type="dxa"/>
              <w:right w:w="0" w:type="dxa"/>
            </w:tcMar>
            <w:vAlign w:val="center"/>
            <w:hideMark/>
          </w:tcPr>
          <w:p w:rsidR="0050667A" w:rsidRPr="006A6C1D" w:rsidRDefault="0050667A" w:rsidP="006A6C1D">
            <w:r w:rsidRPr="006A6C1D">
              <w:t> • </w:t>
            </w:r>
          </w:p>
        </w:tc>
        <w:tc>
          <w:tcPr>
            <w:tcW w:w="0" w:type="auto"/>
            <w:tcMar>
              <w:top w:w="15" w:type="dxa"/>
              <w:left w:w="0" w:type="dxa"/>
              <w:bottom w:w="15" w:type="dxa"/>
              <w:right w:w="15" w:type="dxa"/>
            </w:tcMar>
            <w:vAlign w:val="center"/>
            <w:hideMark/>
          </w:tcPr>
          <w:p w:rsidR="0050667A" w:rsidRPr="006A6C1D" w:rsidRDefault="0050667A" w:rsidP="006A6C1D">
            <w:r w:rsidRPr="006A6C1D">
              <w:t>Per capita</w:t>
            </w:r>
          </w:p>
        </w:tc>
        <w:tc>
          <w:tcPr>
            <w:tcW w:w="0" w:type="auto"/>
            <w:vAlign w:val="center"/>
            <w:hideMark/>
          </w:tcPr>
          <w:p w:rsidR="0050667A" w:rsidRPr="006A6C1D" w:rsidRDefault="0050667A" w:rsidP="006A6C1D">
            <w:r w:rsidRPr="006A6C1D">
              <w:t>$ 44,197 (</w:t>
            </w:r>
            <w:hyperlink r:id="rId23" w:tooltip="List of countries by GDP (PPP) per capita" w:history="1">
              <w:r w:rsidRPr="006A6C1D">
                <w:rPr>
                  <w:rStyle w:val="Hyperlink"/>
                </w:rPr>
                <w:t>23rd</w:t>
              </w:r>
            </w:hyperlink>
            <w:r w:rsidRPr="006A6C1D">
              <w:t>)</w:t>
            </w:r>
          </w:p>
        </w:tc>
      </w:tr>
      <w:tr w:rsidR="0050667A" w:rsidRPr="006A6C1D" w:rsidTr="0050667A">
        <w:trPr>
          <w:tblCellSpacing w:w="15" w:type="dxa"/>
        </w:trPr>
        <w:tc>
          <w:tcPr>
            <w:tcW w:w="0" w:type="auto"/>
            <w:gridSpan w:val="2"/>
            <w:vAlign w:val="center"/>
            <w:hideMark/>
          </w:tcPr>
          <w:p w:rsidR="0050667A" w:rsidRPr="006A6C1D" w:rsidRDefault="00F454D3" w:rsidP="006A6C1D">
            <w:hyperlink r:id="rId24" w:tooltip="Gross domestic product" w:history="1">
              <w:r w:rsidR="0050667A" w:rsidRPr="006A6C1D">
                <w:rPr>
                  <w:rStyle w:val="Hyperlink"/>
                </w:rPr>
                <w:t>GDP</w:t>
              </w:r>
            </w:hyperlink>
            <w:r w:rsidR="0050667A" w:rsidRPr="006A6C1D">
              <w:t> (nominal) (USD)</w:t>
            </w:r>
          </w:p>
        </w:tc>
        <w:tc>
          <w:tcPr>
            <w:tcW w:w="0" w:type="auto"/>
            <w:vAlign w:val="center"/>
            <w:hideMark/>
          </w:tcPr>
          <w:p w:rsidR="0050667A" w:rsidRPr="006A6C1D" w:rsidRDefault="0050667A" w:rsidP="006A6C1D">
            <w:r w:rsidRPr="006A6C1D">
              <w:t>2015 </w:t>
            </w:r>
          </w:p>
        </w:tc>
      </w:tr>
      <w:tr w:rsidR="0050667A" w:rsidRPr="006A6C1D" w:rsidTr="0050667A">
        <w:trPr>
          <w:tblCellSpacing w:w="15" w:type="dxa"/>
        </w:trPr>
        <w:tc>
          <w:tcPr>
            <w:tcW w:w="538" w:type="dxa"/>
            <w:tcMar>
              <w:top w:w="0" w:type="dxa"/>
              <w:left w:w="144" w:type="dxa"/>
              <w:bottom w:w="0" w:type="dxa"/>
              <w:right w:w="0" w:type="dxa"/>
            </w:tcMar>
            <w:vAlign w:val="center"/>
            <w:hideMark/>
          </w:tcPr>
          <w:p w:rsidR="0050667A" w:rsidRPr="006A6C1D" w:rsidRDefault="0050667A" w:rsidP="006A6C1D">
            <w:r w:rsidRPr="006A6C1D">
              <w:t> • </w:t>
            </w:r>
          </w:p>
        </w:tc>
        <w:tc>
          <w:tcPr>
            <w:tcW w:w="0" w:type="auto"/>
            <w:tcMar>
              <w:top w:w="15" w:type="dxa"/>
              <w:left w:w="0" w:type="dxa"/>
              <w:bottom w:w="15" w:type="dxa"/>
              <w:right w:w="15" w:type="dxa"/>
            </w:tcMar>
            <w:vAlign w:val="center"/>
            <w:hideMark/>
          </w:tcPr>
          <w:p w:rsidR="0050667A" w:rsidRPr="006A6C1D" w:rsidRDefault="0050667A" w:rsidP="006A6C1D">
            <w:r w:rsidRPr="006A6C1D">
              <w:t>Total</w:t>
            </w:r>
          </w:p>
        </w:tc>
        <w:tc>
          <w:tcPr>
            <w:tcW w:w="0" w:type="auto"/>
            <w:vAlign w:val="center"/>
            <w:hideMark/>
          </w:tcPr>
          <w:p w:rsidR="0050667A" w:rsidRPr="006A6C1D" w:rsidRDefault="0050667A" w:rsidP="006A6C1D">
            <w:r w:rsidRPr="006A6C1D">
              <w:t>$1.551 trillion (</w:t>
            </w:r>
            <w:hyperlink r:id="rId25" w:tooltip="List of countries by GDP (nominal)" w:history="1">
              <w:r w:rsidRPr="006A6C1D">
                <w:rPr>
                  <w:rStyle w:val="Hyperlink"/>
                </w:rPr>
                <w:t>10th</w:t>
              </w:r>
            </w:hyperlink>
            <w:r w:rsidRPr="006A6C1D">
              <w:t>)</w:t>
            </w:r>
          </w:p>
        </w:tc>
      </w:tr>
      <w:tr w:rsidR="0050667A" w:rsidRPr="006A6C1D" w:rsidTr="0050667A">
        <w:trPr>
          <w:tblCellSpacing w:w="15" w:type="dxa"/>
        </w:trPr>
        <w:tc>
          <w:tcPr>
            <w:tcW w:w="538" w:type="dxa"/>
            <w:tcMar>
              <w:top w:w="0" w:type="dxa"/>
              <w:left w:w="144" w:type="dxa"/>
              <w:bottom w:w="0" w:type="dxa"/>
              <w:right w:w="0" w:type="dxa"/>
            </w:tcMar>
            <w:vAlign w:val="center"/>
            <w:hideMark/>
          </w:tcPr>
          <w:p w:rsidR="0050667A" w:rsidRPr="006A6C1D" w:rsidRDefault="0050667A" w:rsidP="006A6C1D">
            <w:r w:rsidRPr="006A6C1D">
              <w:t> • </w:t>
            </w:r>
          </w:p>
        </w:tc>
        <w:tc>
          <w:tcPr>
            <w:tcW w:w="0" w:type="auto"/>
            <w:tcMar>
              <w:top w:w="15" w:type="dxa"/>
              <w:left w:w="0" w:type="dxa"/>
              <w:bottom w:w="15" w:type="dxa"/>
              <w:right w:w="15" w:type="dxa"/>
            </w:tcMar>
            <w:vAlign w:val="center"/>
            <w:hideMark/>
          </w:tcPr>
          <w:p w:rsidR="0050667A" w:rsidRPr="006A6C1D" w:rsidRDefault="0050667A" w:rsidP="006A6C1D">
            <w:r w:rsidRPr="006A6C1D">
              <w:t>Per capita</w:t>
            </w:r>
          </w:p>
        </w:tc>
        <w:tc>
          <w:tcPr>
            <w:tcW w:w="0" w:type="auto"/>
            <w:vAlign w:val="center"/>
            <w:hideMark/>
          </w:tcPr>
          <w:p w:rsidR="0050667A" w:rsidRPr="006A6C1D" w:rsidRDefault="0050667A" w:rsidP="006A6C1D">
            <w:r w:rsidRPr="006A6C1D">
              <w:t>$ 43,249 (</w:t>
            </w:r>
            <w:hyperlink r:id="rId26" w:tooltip="List of countries by GDP (nominal) per capita" w:history="1">
              <w:r w:rsidRPr="006A6C1D">
                <w:rPr>
                  <w:rStyle w:val="Hyperlink"/>
                </w:rPr>
                <w:t>16th</w:t>
              </w:r>
            </w:hyperlink>
            <w:r w:rsidRPr="006A6C1D">
              <w:t>)</w:t>
            </w:r>
          </w:p>
        </w:tc>
      </w:tr>
    </w:tbl>
    <w:p w:rsidR="0050667A" w:rsidRPr="006A6C1D" w:rsidRDefault="0050667A" w:rsidP="006A6C1D">
      <w:pPr>
        <w:rPr>
          <w:i/>
        </w:rPr>
      </w:pPr>
      <w:r w:rsidRPr="006A6C1D">
        <w:rPr>
          <w:i/>
        </w:rPr>
        <w:t>Source</w:t>
      </w:r>
      <w:r w:rsidR="008B1AE0">
        <w:rPr>
          <w:i/>
        </w:rPr>
        <w:t xml:space="preserve">:  </w:t>
      </w:r>
      <w:r w:rsidRPr="006A6C1D">
        <w:rPr>
          <w:i/>
        </w:rPr>
        <w:t>World Bank</w:t>
      </w:r>
    </w:p>
    <w:p w:rsidR="0050667A" w:rsidRPr="006A6C1D" w:rsidRDefault="0050667A" w:rsidP="006A6C1D"/>
    <w:p w:rsidR="0050667A" w:rsidRPr="006A6C1D" w:rsidRDefault="0050667A" w:rsidP="006A6C1D">
      <w:pPr>
        <w:pStyle w:val="Subsection"/>
      </w:pPr>
      <w:r w:rsidRPr="006A6C1D">
        <w:t xml:space="preserve">Estimated national R&amp;D expenditure (% of GDP):  </w:t>
      </w:r>
    </w:p>
    <w:p w:rsidR="0050667A" w:rsidRPr="006A6C1D" w:rsidRDefault="0050667A" w:rsidP="006A6C1D">
      <w:r w:rsidRPr="006A6C1D">
        <w:t>According to Statistics Canada, Canada’s gross domestic expenditures on research and development (GERD) were expected to be $31.6 billion</w:t>
      </w:r>
      <w:r w:rsidR="008B1AE0">
        <w:t xml:space="preserve">.  </w:t>
      </w:r>
      <w:r w:rsidRPr="006A6C1D">
        <w:t>Thus, gross domestic expenditures in R&amp;D as a percentage of GDP, for 2015, in Canada was expected to be 1.99</w:t>
      </w:r>
      <w:r w:rsidR="008B1AE0">
        <w:t xml:space="preserve"> per cent</w:t>
      </w:r>
      <w:r w:rsidRPr="006A6C1D">
        <w:t>.</w:t>
      </w:r>
    </w:p>
    <w:p w:rsidR="0050667A" w:rsidRPr="006A6C1D" w:rsidRDefault="0050667A" w:rsidP="006A6C1D"/>
    <w:p w:rsidR="0050667A" w:rsidRPr="006A6C1D" w:rsidRDefault="0050667A" w:rsidP="006A6C1D">
      <w:r w:rsidRPr="006A6C1D">
        <w:t>The business enterprise sector was expected to fund $14.0 billion in 2015</w:t>
      </w:r>
      <w:r w:rsidR="008B1AE0">
        <w:t xml:space="preserve">.  </w:t>
      </w:r>
      <w:r w:rsidRPr="006A6C1D">
        <w:t>This sector remains the largest funder of R&amp;D in Canada, accounting for 44.4</w:t>
      </w:r>
      <w:r w:rsidR="008B1AE0">
        <w:t xml:space="preserve"> per cent</w:t>
      </w:r>
      <w:r w:rsidRPr="006A6C1D">
        <w:t xml:space="preserve"> of total R&amp;D funding</w:t>
      </w:r>
      <w:r w:rsidR="008B1AE0">
        <w:t xml:space="preserve">.  </w:t>
      </w:r>
    </w:p>
    <w:p w:rsidR="0050667A" w:rsidRPr="006A6C1D" w:rsidRDefault="0050667A" w:rsidP="006A6C1D"/>
    <w:p w:rsidR="0050667A" w:rsidRPr="006A6C1D" w:rsidRDefault="0050667A" w:rsidP="006A6C1D">
      <w:r w:rsidRPr="006A6C1D">
        <w:t>The next largest funding sectors, higher education and federal government, are anticipated to represent 20.2</w:t>
      </w:r>
      <w:r w:rsidR="008B1AE0">
        <w:t xml:space="preserve"> per cent</w:t>
      </w:r>
      <w:r w:rsidRPr="006A6C1D">
        <w:t xml:space="preserve"> and 19.6</w:t>
      </w:r>
      <w:r w:rsidR="008B1AE0">
        <w:t xml:space="preserve"> per cent</w:t>
      </w:r>
      <w:r w:rsidRPr="006A6C1D">
        <w:t xml:space="preserve"> of total R&amp;D funding in 2015 respectively.</w:t>
      </w:r>
    </w:p>
    <w:p w:rsidR="0050667A" w:rsidRPr="006A6C1D" w:rsidRDefault="0050667A" w:rsidP="006A6C1D"/>
    <w:p w:rsidR="0050667A" w:rsidRPr="006A6C1D" w:rsidRDefault="0050667A" w:rsidP="006A6C1D">
      <w:r w:rsidRPr="006A6C1D">
        <w:t>The higher education sector is expected to increase R&amp;D funding by 1.0</w:t>
      </w:r>
      <w:r w:rsidR="008B1AE0">
        <w:t xml:space="preserve"> per cent</w:t>
      </w:r>
      <w:r w:rsidRPr="006A6C1D">
        <w:t xml:space="preserve"> to $6.4 billion, while the federal government sector anticipates an increase of 1.8</w:t>
      </w:r>
      <w:r w:rsidR="008B1AE0">
        <w:t xml:space="preserve"> per cent</w:t>
      </w:r>
      <w:r w:rsidRPr="006A6C1D">
        <w:t xml:space="preserve"> to $6.2 billion.</w:t>
      </w:r>
    </w:p>
    <w:p w:rsidR="0050667A" w:rsidRPr="006A6C1D" w:rsidRDefault="0050667A" w:rsidP="006A6C1D">
      <w:pPr>
        <w:rPr>
          <w:i/>
        </w:rPr>
      </w:pPr>
      <w:r w:rsidRPr="006A6C1D">
        <w:rPr>
          <w:i/>
        </w:rPr>
        <w:t>Source</w:t>
      </w:r>
      <w:r w:rsidR="008B1AE0">
        <w:rPr>
          <w:i/>
        </w:rPr>
        <w:t xml:space="preserve">:  </w:t>
      </w:r>
      <w:hyperlink r:id="rId27" w:history="1">
        <w:r w:rsidRPr="006A6C1D">
          <w:rPr>
            <w:rStyle w:val="Hyperlink"/>
            <w:i/>
          </w:rPr>
          <w:t>Statistics Canada</w:t>
        </w:r>
      </w:hyperlink>
      <w:r w:rsidRPr="006A6C1D">
        <w:rPr>
          <w:i/>
        </w:rPr>
        <w:t xml:space="preserve"> 2014-09-23</w:t>
      </w:r>
      <w:r w:rsidR="008B1AE0">
        <w:rPr>
          <w:i/>
        </w:rPr>
        <w:t xml:space="preserve">.  </w:t>
      </w:r>
      <w:r w:rsidRPr="006A6C1D">
        <w:rPr>
          <w:i/>
        </w:rPr>
        <w:t>(Retrieved January 29, 2017)</w:t>
      </w:r>
    </w:p>
    <w:p w:rsidR="0050667A" w:rsidRPr="006A6C1D" w:rsidRDefault="0050667A" w:rsidP="006A6C1D"/>
    <w:p w:rsidR="0050667A" w:rsidRPr="006A6C1D" w:rsidRDefault="0050667A" w:rsidP="006A6C1D">
      <w:pPr>
        <w:pStyle w:val="Subsection"/>
      </w:pPr>
      <w:r w:rsidRPr="006A6C1D">
        <w:t xml:space="preserve">Number of research universities:  </w:t>
      </w:r>
    </w:p>
    <w:p w:rsidR="0050667A" w:rsidRPr="006A6C1D" w:rsidRDefault="0050667A" w:rsidP="006A6C1D">
      <w:r w:rsidRPr="006A6C1D">
        <w:t>Canada has 97 research universities situated across the country.  There are</w:t>
      </w:r>
      <w:r w:rsidR="008B1AE0">
        <w:t xml:space="preserve">:  </w:t>
      </w:r>
      <w:r w:rsidRPr="006A6C1D">
        <w:t xml:space="preserve">8 in Alberta, 11 in British Columbia; 6 in Manitoba; 4 in New Brunswick; 9 in Nova Scotia; 1 in Newfoundland; 33 in Ontario; 1 in Prince Edward Island; 19 in Quebec and 6 in Saskatchewan.  According to a </w:t>
      </w:r>
      <w:hyperlink r:id="rId28" w:anchor="page6" w:history="1">
        <w:r w:rsidRPr="006A6C1D">
          <w:rPr>
            <w:rStyle w:val="Hyperlink"/>
          </w:rPr>
          <w:t>2016 report</w:t>
        </w:r>
      </w:hyperlink>
      <w:r w:rsidRPr="006A6C1D">
        <w:t xml:space="preserve"> by the </w:t>
      </w:r>
      <w:hyperlink r:id="rId29" w:tooltip="Organisation for Economic Co-operation and Development" w:history="1">
        <w:r w:rsidRPr="006A6C1D">
          <w:rPr>
            <w:rStyle w:val="Hyperlink"/>
          </w:rPr>
          <w:t>Organisation for Economic Co-operation and Development</w:t>
        </w:r>
      </w:hyperlink>
      <w:r w:rsidRPr="006A6C1D">
        <w:t xml:space="preserve"> (OECD), Canada has the largest share, 55</w:t>
      </w:r>
      <w:r w:rsidR="008B1AE0">
        <w:t xml:space="preserve"> per cent</w:t>
      </w:r>
      <w:r w:rsidRPr="006A6C1D">
        <w:t>, of tertiary-educated adults of all the OECD countries.  Canada also spends more per tertiary student than almost all the OECD countries.  Annual expenditure per tertiary student by educational institutions for all services represented 51</w:t>
      </w:r>
      <w:r w:rsidR="008B1AE0">
        <w:t xml:space="preserve"> per cent</w:t>
      </w:r>
      <w:r w:rsidRPr="006A6C1D">
        <w:t xml:space="preserve"> of per capita gross domestic product (GDP) in 2012.</w:t>
      </w:r>
    </w:p>
    <w:p w:rsidR="0050667A" w:rsidRPr="006A6C1D" w:rsidRDefault="0050667A" w:rsidP="006A6C1D">
      <w:pPr>
        <w:rPr>
          <w:i/>
        </w:rPr>
      </w:pPr>
      <w:r w:rsidRPr="006A6C1D">
        <w:rPr>
          <w:i/>
        </w:rPr>
        <w:t>Source:  OECD (2016) “Canada”, in Education at a Glance 2016</w:t>
      </w:r>
      <w:r w:rsidR="008B1AE0">
        <w:rPr>
          <w:i/>
        </w:rPr>
        <w:t xml:space="preserve">:  </w:t>
      </w:r>
      <w:r w:rsidRPr="006A6C1D">
        <w:rPr>
          <w:i/>
        </w:rPr>
        <w:t xml:space="preserve">OECD Indicators, OECD Publishing, </w:t>
      </w:r>
      <w:proofErr w:type="gramStart"/>
      <w:r w:rsidRPr="006A6C1D">
        <w:rPr>
          <w:i/>
        </w:rPr>
        <w:t>Paris  [</w:t>
      </w:r>
      <w:proofErr w:type="gramEnd"/>
      <w:r w:rsidRPr="006A6C1D">
        <w:rPr>
          <w:i/>
        </w:rPr>
        <w:t>DOI</w:t>
      </w:r>
      <w:r w:rsidR="008B1AE0">
        <w:rPr>
          <w:i/>
        </w:rPr>
        <w:t xml:space="preserve">:  </w:t>
      </w:r>
      <w:hyperlink r:id="rId30" w:history="1">
        <w:r w:rsidRPr="006A6C1D">
          <w:rPr>
            <w:rStyle w:val="Hyperlink"/>
            <w:i/>
          </w:rPr>
          <w:t>http://dx.doi.org/10.1787/eag-2016-45-en</w:t>
        </w:r>
      </w:hyperlink>
      <w:r w:rsidRPr="006A6C1D">
        <w:rPr>
          <w:i/>
        </w:rPr>
        <w:t xml:space="preserve"> </w:t>
      </w:r>
    </w:p>
    <w:p w:rsidR="0050667A" w:rsidRPr="006A6C1D" w:rsidRDefault="0050667A" w:rsidP="006A6C1D"/>
    <w:p w:rsidR="0050667A" w:rsidRPr="006A6C1D" w:rsidRDefault="0050667A" w:rsidP="006A6C1D">
      <w:r w:rsidRPr="006A6C1D">
        <w:t>Universities performed $13 billion in R&amp;D in 2014, accounting for 40 percent of total Canadian research and development.  Canada’s universities conduct $1 billion in research for businesses and help build their competitive advantage.  Universities conduct $1.2 billion in research annually for the not-for-profit sector, which has nearly tripled since 2000.</w:t>
      </w:r>
    </w:p>
    <w:p w:rsidR="0050667A" w:rsidRPr="008B1AE0" w:rsidRDefault="0050667A" w:rsidP="006A6C1D">
      <w:pPr>
        <w:rPr>
          <w:i/>
        </w:rPr>
      </w:pPr>
      <w:r w:rsidRPr="008B1AE0">
        <w:rPr>
          <w:i/>
        </w:rPr>
        <w:t>Source</w:t>
      </w:r>
      <w:r w:rsidR="008B1AE0" w:rsidRPr="008B1AE0">
        <w:rPr>
          <w:i/>
        </w:rPr>
        <w:t xml:space="preserve">:  </w:t>
      </w:r>
      <w:r w:rsidRPr="008B1AE0">
        <w:rPr>
          <w:i/>
        </w:rPr>
        <w:t>Statistics Canada, Gross Domestic Expenditures on R&amp;D in Canada, 2016</w:t>
      </w:r>
    </w:p>
    <w:p w:rsidR="0050667A" w:rsidRPr="006A6C1D" w:rsidRDefault="0050667A" w:rsidP="006A6C1D"/>
    <w:p w:rsidR="0050667A" w:rsidRPr="006A6C1D" w:rsidRDefault="0050667A" w:rsidP="006A6C1D">
      <w:r w:rsidRPr="006A6C1D">
        <w:t>Nearly 1,500 companies and government labs are located in 26 university research and technology parks</w:t>
      </w:r>
      <w:r w:rsidR="008B1AE0">
        <w:t xml:space="preserve">.  </w:t>
      </w:r>
      <w:r w:rsidRPr="006A6C1D">
        <w:t>They employ about 65,000 people and generate $4.3 billion in GDP.</w:t>
      </w:r>
    </w:p>
    <w:p w:rsidR="0050667A" w:rsidRPr="004C46FB" w:rsidRDefault="0050667A" w:rsidP="006A6C1D">
      <w:pPr>
        <w:rPr>
          <w:i/>
        </w:rPr>
      </w:pPr>
      <w:r w:rsidRPr="004C46FB">
        <w:rPr>
          <w:i/>
        </w:rPr>
        <w:t>Source</w:t>
      </w:r>
      <w:r w:rsidR="008B1AE0" w:rsidRPr="004C46FB">
        <w:rPr>
          <w:i/>
        </w:rPr>
        <w:t xml:space="preserve">:  </w:t>
      </w:r>
      <w:r w:rsidRPr="004C46FB">
        <w:rPr>
          <w:i/>
        </w:rPr>
        <w:t>Association of University Research Parks Canada, National Economic Impact Study, 2013.</w:t>
      </w:r>
    </w:p>
    <w:p w:rsidR="0050667A" w:rsidRPr="006A6C1D" w:rsidRDefault="0050667A" w:rsidP="006A6C1D"/>
    <w:p w:rsidR="0050667A" w:rsidRPr="006A6C1D" w:rsidRDefault="0050667A" w:rsidP="006A6C1D">
      <w:r w:rsidRPr="006A6C1D">
        <w:t>Thirty-two universities are members of the Canadian Association of Business Incubators, a national association that supports the growth of new and early-stage businesses.</w:t>
      </w:r>
    </w:p>
    <w:p w:rsidR="0050667A" w:rsidRPr="004C46FB" w:rsidRDefault="0050667A" w:rsidP="006A6C1D">
      <w:pPr>
        <w:rPr>
          <w:i/>
        </w:rPr>
      </w:pPr>
      <w:r w:rsidRPr="004C46FB">
        <w:rPr>
          <w:i/>
        </w:rPr>
        <w:t>Source</w:t>
      </w:r>
      <w:r w:rsidR="008B1AE0" w:rsidRPr="004C46FB">
        <w:rPr>
          <w:i/>
        </w:rPr>
        <w:t xml:space="preserve">:  </w:t>
      </w:r>
      <w:r w:rsidRPr="004C46FB">
        <w:rPr>
          <w:i/>
        </w:rPr>
        <w:t>Canadian Association of Business Incubators, 2015.</w:t>
      </w:r>
    </w:p>
    <w:p w:rsidR="0050667A" w:rsidRPr="006A6C1D" w:rsidRDefault="0050667A" w:rsidP="006A6C1D"/>
    <w:p w:rsidR="0050667A" w:rsidRPr="006A6C1D" w:rsidRDefault="0050667A" w:rsidP="006A6C1D">
      <w:pPr>
        <w:pStyle w:val="Subsection"/>
      </w:pPr>
      <w:r w:rsidRPr="006A6C1D">
        <w:t xml:space="preserve">Summary of national patent information network (for example patent libraries, technology and innovation support centers):  </w:t>
      </w:r>
    </w:p>
    <w:p w:rsidR="0050667A" w:rsidRPr="006A6C1D" w:rsidRDefault="0050667A" w:rsidP="006A6C1D">
      <w:r w:rsidRPr="006A6C1D">
        <w:t>CIPO has a growing nation-wide network of Business Development Officers (BDOs) providing customized IP awareness sessions and tailored guidance for academia, technology accelerators and small businesses</w:t>
      </w:r>
      <w:r w:rsidR="008B1AE0">
        <w:t xml:space="preserve">.  </w:t>
      </w:r>
      <w:r w:rsidRPr="006A6C1D">
        <w:t xml:space="preserve">This includes educating clients on navigating national and international patent application processes.  The BDOs work closely with regional partners at all levels of government to guide Canadians through IP-right acquisition. </w:t>
      </w:r>
    </w:p>
    <w:p w:rsidR="0050667A" w:rsidRPr="006A6C1D" w:rsidRDefault="0050667A" w:rsidP="006A6C1D"/>
    <w:p w:rsidR="0050667A" w:rsidRPr="006A6C1D" w:rsidRDefault="0050667A" w:rsidP="006A6C1D">
      <w:r w:rsidRPr="006A6C1D">
        <w:t>In April 2017, CIPO will begin providing free, public seminars on a wide range of IP subjects across Canada with the aim of increasing IP awareness amongst SMEs</w:t>
      </w:r>
      <w:r w:rsidR="008B1AE0">
        <w:t xml:space="preserve">.  </w:t>
      </w:r>
      <w:r w:rsidRPr="006A6C1D">
        <w:t>This awareness program will be structured to provide progressive levels of IP education and will include instruction on the benefits of and guidance on using international IP systems including the PCT and the PPH.</w:t>
      </w:r>
    </w:p>
    <w:p w:rsidR="0050667A" w:rsidRPr="006A6C1D" w:rsidRDefault="0050667A" w:rsidP="006A6C1D"/>
    <w:p w:rsidR="0050667A" w:rsidRPr="006A6C1D" w:rsidRDefault="0050667A" w:rsidP="006A6C1D">
      <w:r w:rsidRPr="006A6C1D">
        <w:t xml:space="preserve">At the federal level the Ministry of Innovation, Science and Economic Development Canada (ISED) plays a primary role in Canada’s Innovation Agenda which is among the highest priorities of the federal government.  Several other federal ministries and agencies have mandates linked to the innovation agenda:  </w:t>
      </w:r>
      <w:hyperlink r:id="rId31" w:history="1">
        <w:r w:rsidRPr="006A6C1D">
          <w:rPr>
            <w:rStyle w:val="Hyperlink"/>
          </w:rPr>
          <w:t>National Sciences and Engineering Research Council of Canada</w:t>
        </w:r>
      </w:hyperlink>
      <w:r w:rsidRPr="006A6C1D">
        <w:t xml:space="preserve"> (NSERC); </w:t>
      </w:r>
      <w:hyperlink r:id="rId32" w:history="1">
        <w:r w:rsidRPr="006A6C1D">
          <w:rPr>
            <w:rStyle w:val="Hyperlink"/>
          </w:rPr>
          <w:t>Canada Business Network</w:t>
        </w:r>
      </w:hyperlink>
      <w:r w:rsidRPr="006A6C1D">
        <w:t xml:space="preserve">; </w:t>
      </w:r>
      <w:hyperlink r:id="rId33" w:anchor="nce" w:history="1">
        <w:r w:rsidRPr="006A6C1D">
          <w:rPr>
            <w:rStyle w:val="Hyperlink"/>
          </w:rPr>
          <w:t>Networks of Centres of Excellence (NCE)</w:t>
        </w:r>
      </w:hyperlink>
      <w:r w:rsidRPr="006A6C1D">
        <w:t xml:space="preserve"> of Canada; and the </w:t>
      </w:r>
      <w:hyperlink r:id="rId34" w:history="1">
        <w:r w:rsidRPr="006A6C1D">
          <w:rPr>
            <w:rStyle w:val="Hyperlink"/>
          </w:rPr>
          <w:t>Build in Canada Innovation Program</w:t>
        </w:r>
      </w:hyperlink>
      <w:r w:rsidRPr="006A6C1D">
        <w:t xml:space="preserve">. </w:t>
      </w:r>
    </w:p>
    <w:p w:rsidR="0050667A" w:rsidRPr="006A6C1D" w:rsidRDefault="0050667A" w:rsidP="006A6C1D"/>
    <w:p w:rsidR="0050667A" w:rsidRPr="006A6C1D" w:rsidRDefault="0050667A" w:rsidP="006A6C1D">
      <w:r w:rsidRPr="006A6C1D">
        <w:t>At the provincial and territorial levels innovation ‘hubs’ and purpose-built networks provide direct support to Canadian businesses</w:t>
      </w:r>
      <w:r w:rsidR="008B1AE0">
        <w:t xml:space="preserve">.  </w:t>
      </w:r>
      <w:r w:rsidRPr="006A6C1D">
        <w:t>Examples include</w:t>
      </w:r>
      <w:r w:rsidR="008B1AE0">
        <w:t xml:space="preserve">:  </w:t>
      </w:r>
      <w:hyperlink r:id="rId35" w:history="1">
        <w:r w:rsidRPr="006A6C1D">
          <w:rPr>
            <w:rStyle w:val="Hyperlink"/>
          </w:rPr>
          <w:t>Western Innovation (WINN) Initiative</w:t>
        </w:r>
      </w:hyperlink>
      <w:r w:rsidRPr="006A6C1D">
        <w:t xml:space="preserve"> </w:t>
      </w:r>
      <w:r w:rsidRPr="006A6C1D">
        <w:lastRenderedPageBreak/>
        <w:t xml:space="preserve">(Manitoba, Saskatchewan, Alberta, British Columbia); </w:t>
      </w:r>
      <w:hyperlink r:id="rId36" w:history="1">
        <w:r w:rsidRPr="006A6C1D">
          <w:rPr>
            <w:rStyle w:val="Hyperlink"/>
          </w:rPr>
          <w:t>Aurora Research Institute — Services for researchers</w:t>
        </w:r>
      </w:hyperlink>
      <w:r w:rsidRPr="006A6C1D">
        <w:t xml:space="preserve"> (Northwest Territories); </w:t>
      </w:r>
      <w:hyperlink r:id="rId37" w:history="1">
        <w:r w:rsidRPr="006A6C1D">
          <w:rPr>
            <w:rStyle w:val="Hyperlink"/>
          </w:rPr>
          <w:t>New Brunswick Innovation Foundation</w:t>
        </w:r>
      </w:hyperlink>
      <w:r w:rsidRPr="006A6C1D">
        <w:t xml:space="preserve">; </w:t>
      </w:r>
      <w:hyperlink r:id="rId38" w:history="1">
        <w:r w:rsidRPr="006A6C1D">
          <w:rPr>
            <w:rStyle w:val="Hyperlink"/>
          </w:rPr>
          <w:t>Innovacorp</w:t>
        </w:r>
      </w:hyperlink>
      <w:r w:rsidRPr="006A6C1D">
        <w:t xml:space="preserve"> (Nova Scotia); </w:t>
      </w:r>
      <w:hyperlink r:id="rId39" w:history="1">
        <w:r w:rsidRPr="006A6C1D">
          <w:rPr>
            <w:rStyle w:val="Hyperlink"/>
          </w:rPr>
          <w:t>Atlantic Technology Centre</w:t>
        </w:r>
      </w:hyperlink>
      <w:r w:rsidRPr="006A6C1D">
        <w:t xml:space="preserve"> (Prince Edward Island); </w:t>
      </w:r>
      <w:hyperlink r:id="rId40" w:history="1">
        <w:r w:rsidRPr="006A6C1D">
          <w:rPr>
            <w:rStyle w:val="Hyperlink"/>
          </w:rPr>
          <w:t>Centre de recherche industrielle du Québec</w:t>
        </w:r>
      </w:hyperlink>
      <w:r w:rsidRPr="006A6C1D">
        <w:t xml:space="preserve"> (Quebec); </w:t>
      </w:r>
      <w:hyperlink r:id="rId41" w:history="1">
        <w:r w:rsidRPr="006A6C1D">
          <w:rPr>
            <w:rStyle w:val="Hyperlink"/>
          </w:rPr>
          <w:t>Farm production services</w:t>
        </w:r>
      </w:hyperlink>
      <w:r w:rsidRPr="006A6C1D">
        <w:t xml:space="preserve"> (Yukon); </w:t>
      </w:r>
      <w:hyperlink r:id="rId42" w:history="1">
        <w:r w:rsidRPr="006A6C1D">
          <w:rPr>
            <w:rStyle w:val="Hyperlink"/>
          </w:rPr>
          <w:t>Ontario Centres of Excellence</w:t>
        </w:r>
      </w:hyperlink>
      <w:r w:rsidRPr="006A6C1D">
        <w:t xml:space="preserve"> (Ontario); </w:t>
      </w:r>
      <w:hyperlink r:id="rId43" w:history="1">
        <w:r w:rsidRPr="006A6C1D">
          <w:rPr>
            <w:rStyle w:val="Hyperlink"/>
          </w:rPr>
          <w:t>Strategic Investments Program</w:t>
        </w:r>
      </w:hyperlink>
      <w:r w:rsidRPr="006A6C1D">
        <w:t xml:space="preserve"> (Nunavut) and </w:t>
      </w:r>
      <w:hyperlink r:id="rId44" w:history="1">
        <w:r w:rsidRPr="006A6C1D">
          <w:rPr>
            <w:rStyle w:val="Hyperlink"/>
          </w:rPr>
          <w:t>Genesis Centre</w:t>
        </w:r>
      </w:hyperlink>
      <w:r w:rsidRPr="006A6C1D">
        <w:t xml:space="preserve"> (Newfoundland and Labrador).  </w:t>
      </w:r>
    </w:p>
    <w:p w:rsidR="0050667A" w:rsidRPr="006A6C1D" w:rsidRDefault="0050667A" w:rsidP="006A6C1D"/>
    <w:p w:rsidR="0050667A" w:rsidRPr="006A6C1D" w:rsidRDefault="0050667A" w:rsidP="006A6C1D">
      <w:r w:rsidRPr="006A6C1D">
        <w:t xml:space="preserve">Canada’s major population </w:t>
      </w:r>
      <w:proofErr w:type="spellStart"/>
      <w:r w:rsidRPr="006A6C1D">
        <w:t>centres</w:t>
      </w:r>
      <w:proofErr w:type="spellEnd"/>
      <w:r w:rsidRPr="006A6C1D">
        <w:t xml:space="preserve"> also host innovation hubs that are funded publically, through private sources, or combinations thereof.  For example </w:t>
      </w:r>
      <w:hyperlink r:id="rId45" w:history="1">
        <w:r w:rsidRPr="006A6C1D">
          <w:rPr>
            <w:rStyle w:val="Hyperlink"/>
          </w:rPr>
          <w:t>Invest Ottawa</w:t>
        </w:r>
      </w:hyperlink>
      <w:r w:rsidRPr="006A6C1D">
        <w:t xml:space="preserve">, </w:t>
      </w:r>
      <w:hyperlink r:id="rId46" w:history="1">
        <w:r w:rsidRPr="006A6C1D">
          <w:rPr>
            <w:rStyle w:val="Hyperlink"/>
          </w:rPr>
          <w:t>TEC Edmonton</w:t>
        </w:r>
      </w:hyperlink>
      <w:r w:rsidRPr="006A6C1D">
        <w:t xml:space="preserve">,  </w:t>
      </w:r>
      <w:hyperlink r:id="rId47" w:history="1">
        <w:r w:rsidRPr="006A6C1D">
          <w:rPr>
            <w:rStyle w:val="Hyperlink"/>
          </w:rPr>
          <w:t>Centre d'entreprises et d'innovation de Montréal</w:t>
        </w:r>
      </w:hyperlink>
      <w:r w:rsidRPr="006A6C1D">
        <w:t xml:space="preserve">, </w:t>
      </w:r>
      <w:hyperlink r:id="rId48" w:history="1">
        <w:r w:rsidRPr="006A6C1D">
          <w:rPr>
            <w:rStyle w:val="Hyperlink"/>
          </w:rPr>
          <w:t>Toronto Reference Library</w:t>
        </w:r>
      </w:hyperlink>
      <w:r w:rsidRPr="006A6C1D">
        <w:t xml:space="preserve">, </w:t>
      </w:r>
      <w:hyperlink r:id="rId49" w:history="1">
        <w:r w:rsidRPr="006A6C1D">
          <w:rPr>
            <w:rStyle w:val="Hyperlink"/>
          </w:rPr>
          <w:t>Innovate Calgary</w:t>
        </w:r>
      </w:hyperlink>
      <w:r w:rsidRPr="006A6C1D">
        <w:t xml:space="preserve"> and the </w:t>
      </w:r>
      <w:hyperlink r:id="rId50" w:history="1">
        <w:r w:rsidRPr="006A6C1D">
          <w:rPr>
            <w:rStyle w:val="Hyperlink"/>
          </w:rPr>
          <w:t>BC Tech Innovation Hub</w:t>
        </w:r>
      </w:hyperlink>
      <w:r w:rsidRPr="006A6C1D">
        <w:t xml:space="preserve"> in Vancouver provide physical space and expertise to local entrepreneurs at various stages in the innovation lifecycle, including direction in navigating the patent acquisition process. </w:t>
      </w:r>
    </w:p>
    <w:p w:rsidR="0050667A" w:rsidRPr="006A6C1D" w:rsidRDefault="0050667A" w:rsidP="006A6C1D"/>
    <w:p w:rsidR="0050667A" w:rsidRPr="006A6C1D" w:rsidRDefault="0050667A" w:rsidP="006A6C1D">
      <w:pPr>
        <w:pStyle w:val="Subsection"/>
      </w:pPr>
      <w:r w:rsidRPr="006A6C1D">
        <w:t xml:space="preserve">Major local industries: </w:t>
      </w:r>
    </w:p>
    <w:p w:rsidR="0050667A" w:rsidRPr="006A6C1D" w:rsidRDefault="0050667A" w:rsidP="006A6C1D">
      <w:r w:rsidRPr="006A6C1D">
        <w:t>Canada’s major local industries include:  manufacturing, mining, the service industry, forestry and petroleum industries and the world's largest suppliers of agricultural products.  The Canadian Prairies are one of the most important global producers of wheat, canola, and other grains.</w:t>
      </w:r>
    </w:p>
    <w:p w:rsidR="0050667A" w:rsidRPr="006A6C1D" w:rsidRDefault="0050667A" w:rsidP="006A6C1D"/>
    <w:p w:rsidR="0050667A" w:rsidRPr="006A6C1D" w:rsidRDefault="0050667A" w:rsidP="006A6C1D">
      <w:r w:rsidRPr="006A6C1D">
        <w:t>Canada's Ministry of Natural Resources provides statistics regarding its major exports.  Canada is a leading exporter of zinc, uranium, gold, nickel, aluminum, steel, iron ore, coking coal and lead; automobiles and aeronautic related products.</w:t>
      </w:r>
    </w:p>
    <w:p w:rsidR="0050667A" w:rsidRPr="006A6C1D" w:rsidRDefault="0050667A" w:rsidP="006A6C1D"/>
    <w:p w:rsidR="0050667A" w:rsidRPr="006A6C1D" w:rsidRDefault="0050667A" w:rsidP="006A6C1D">
      <w:pPr>
        <w:pStyle w:val="Subsection"/>
      </w:pPr>
      <w:r w:rsidRPr="006A6C1D">
        <w:t>Major trading partner States:</w:t>
      </w:r>
    </w:p>
    <w:p w:rsidR="0050667A" w:rsidRPr="006A6C1D" w:rsidRDefault="0050667A" w:rsidP="006A6C1D">
      <w:r w:rsidRPr="006A6C1D">
        <w:t>In 2015, Canada’s top merchandise trading partners by exports were the United States (</w:t>
      </w:r>
      <w:proofErr w:type="gramStart"/>
      <w:r w:rsidRPr="006A6C1D">
        <w:t xml:space="preserve">76.7 </w:t>
      </w:r>
      <w:r w:rsidR="008B1AE0">
        <w:t xml:space="preserve"> per</w:t>
      </w:r>
      <w:proofErr w:type="gramEnd"/>
      <w:r w:rsidR="008B1AE0">
        <w:t xml:space="preserve"> cent</w:t>
      </w:r>
      <w:r w:rsidRPr="006A6C1D">
        <w:t xml:space="preserve"> of total exports); China (3.9</w:t>
      </w:r>
      <w:r w:rsidR="008B1AE0">
        <w:t xml:space="preserve"> per cent</w:t>
      </w:r>
      <w:r w:rsidRPr="006A6C1D">
        <w:t xml:space="preserve"> of total exports); and the United Kingdom (3.0</w:t>
      </w:r>
      <w:r w:rsidR="008B1AE0">
        <w:t xml:space="preserve"> per cent</w:t>
      </w:r>
      <w:r w:rsidRPr="006A6C1D">
        <w:t xml:space="preserve"> of total exports)</w:t>
      </w:r>
      <w:r w:rsidR="008B1AE0">
        <w:t xml:space="preserve">.  </w:t>
      </w:r>
      <w:r w:rsidRPr="006A6C1D">
        <w:t>The same year, Canada’s top merchandise trading partners by imports were the United States (53.3</w:t>
      </w:r>
      <w:r w:rsidR="008B1AE0">
        <w:t xml:space="preserve"> per cent</w:t>
      </w:r>
      <w:r w:rsidRPr="006A6C1D">
        <w:t xml:space="preserve"> of total imports); China (12.3</w:t>
      </w:r>
      <w:r w:rsidR="008B1AE0">
        <w:t xml:space="preserve"> per cent</w:t>
      </w:r>
      <w:r w:rsidRPr="006A6C1D">
        <w:t xml:space="preserve"> of total imports); and Mexico, (5.8</w:t>
      </w:r>
      <w:r w:rsidR="008B1AE0">
        <w:t xml:space="preserve"> per cent</w:t>
      </w:r>
      <w:r w:rsidRPr="006A6C1D">
        <w:t xml:space="preserve"> of total exports)</w:t>
      </w:r>
      <w:r w:rsidR="008B1AE0">
        <w:t xml:space="preserve">.  </w:t>
      </w:r>
      <w:r w:rsidRPr="006A6C1D">
        <w:t xml:space="preserve">Top services trading partners for Canada in 2015 by exports and imports were the United States, the European Union, and Japan. </w:t>
      </w:r>
    </w:p>
    <w:p w:rsidR="0050667A" w:rsidRPr="006A6C1D" w:rsidRDefault="0050667A" w:rsidP="006A6C1D">
      <w:pPr>
        <w:rPr>
          <w:i/>
        </w:rPr>
      </w:pPr>
      <w:r w:rsidRPr="006A6C1D">
        <w:rPr>
          <w:i/>
        </w:rPr>
        <w:t>Source</w:t>
      </w:r>
      <w:r w:rsidR="008B1AE0">
        <w:rPr>
          <w:i/>
        </w:rPr>
        <w:t xml:space="preserve">:  </w:t>
      </w:r>
      <w:hyperlink r:id="rId51" w:anchor="5.0" w:history="1">
        <w:r w:rsidRPr="006A6C1D">
          <w:rPr>
            <w:rStyle w:val="Hyperlink"/>
            <w:i/>
          </w:rPr>
          <w:t>Canada’s State of Trade: Trade and Investment Update - 2016</w:t>
        </w:r>
      </w:hyperlink>
    </w:p>
    <w:p w:rsidR="0050667A" w:rsidRPr="006A6C1D" w:rsidRDefault="0050667A" w:rsidP="006A6C1D"/>
    <w:p w:rsidR="0050667A" w:rsidRPr="006A6C1D" w:rsidRDefault="0050667A" w:rsidP="006A6C1D">
      <w:pPr>
        <w:pStyle w:val="Subsection"/>
      </w:pPr>
      <w:r w:rsidRPr="006A6C1D">
        <w:t>Other key information:</w:t>
      </w:r>
    </w:p>
    <w:p w:rsidR="0050667A" w:rsidRPr="006A6C1D" w:rsidRDefault="0050667A" w:rsidP="006A6C1D">
      <w:r w:rsidRPr="006A6C1D">
        <w:t xml:space="preserve">Canada announced plans for its new inclusive </w:t>
      </w:r>
      <w:hyperlink r:id="rId52" w:history="1">
        <w:r w:rsidRPr="006A6C1D">
          <w:rPr>
            <w:rStyle w:val="Hyperlink"/>
          </w:rPr>
          <w:t>Innovation Agenda</w:t>
        </w:r>
      </w:hyperlink>
      <w:r w:rsidRPr="006A6C1D">
        <w:t xml:space="preserve"> on June 14, 2016.  All Canadians were invited to provide input.  To help Canadians adjust and thrive during a period of rapid change, and to ensure all Canadians benefit from a growing economy, Canadians’ suggestions for the federal government were to focus on three priority areas:</w:t>
      </w:r>
    </w:p>
    <w:p w:rsidR="0050667A" w:rsidRPr="006A6C1D" w:rsidRDefault="006A6C1D" w:rsidP="006A6C1D">
      <w:pPr>
        <w:ind w:left="567"/>
      </w:pPr>
      <w:r>
        <w:t>–</w:t>
      </w:r>
      <w:r>
        <w:tab/>
      </w:r>
      <w:r w:rsidR="0050667A" w:rsidRPr="006A6C1D">
        <w:t xml:space="preserve">People: </w:t>
      </w:r>
      <w:r w:rsidR="008B1AE0">
        <w:t xml:space="preserve"> </w:t>
      </w:r>
      <w:r w:rsidR="0050667A" w:rsidRPr="006A6C1D">
        <w:t>Identify ways for more Canadians to acquire the skills and experience that the global and digital economy demands.</w:t>
      </w:r>
    </w:p>
    <w:p w:rsidR="0050667A" w:rsidRPr="006A6C1D" w:rsidRDefault="006A6C1D" w:rsidP="006A6C1D">
      <w:pPr>
        <w:ind w:left="567"/>
      </w:pPr>
      <w:r>
        <w:t>–</w:t>
      </w:r>
      <w:r>
        <w:tab/>
      </w:r>
      <w:r w:rsidR="0050667A" w:rsidRPr="006A6C1D">
        <w:t xml:space="preserve">Technologies: </w:t>
      </w:r>
      <w:r w:rsidR="008B1AE0">
        <w:t xml:space="preserve"> </w:t>
      </w:r>
      <w:r w:rsidR="0050667A" w:rsidRPr="006A6C1D">
        <w:t>Identify ways for Canada to harness emerging technologies that would create jobs and industries that never existed before, while reinvigorating established industries</w:t>
      </w:r>
      <w:r w:rsidR="008B1AE0">
        <w:t xml:space="preserve">.  </w:t>
      </w:r>
      <w:r w:rsidR="0050667A" w:rsidRPr="006A6C1D">
        <w:t>You also urged Canada to focus on developing technologies which will drive the next great wave of innovation.</w:t>
      </w:r>
    </w:p>
    <w:p w:rsidR="0050667A" w:rsidRPr="006A6C1D" w:rsidRDefault="006A6C1D" w:rsidP="006A6C1D">
      <w:pPr>
        <w:ind w:left="567"/>
      </w:pPr>
      <w:r>
        <w:t>–</w:t>
      </w:r>
      <w:r>
        <w:tab/>
      </w:r>
      <w:r w:rsidR="0050667A" w:rsidRPr="006A6C1D">
        <w:t xml:space="preserve">Companies: </w:t>
      </w:r>
      <w:r w:rsidR="008B1AE0">
        <w:t xml:space="preserve"> </w:t>
      </w:r>
      <w:r w:rsidR="0050667A" w:rsidRPr="006A6C1D">
        <w:t xml:space="preserve">Identify ways to encourage more Canadians to start and grow companies into globally competitive successes. </w:t>
      </w:r>
    </w:p>
    <w:p w:rsidR="0050667A" w:rsidRPr="006A6C1D" w:rsidRDefault="0050667A" w:rsidP="006A6C1D"/>
    <w:p w:rsidR="0050667A" w:rsidRPr="006A6C1D" w:rsidRDefault="0050667A" w:rsidP="006A6C1D">
      <w:r w:rsidRPr="006A6C1D">
        <w:t>The Canadian Government has already taken steps to shift the country toward an innovation-based economy</w:t>
      </w:r>
      <w:r w:rsidR="008B1AE0">
        <w:t xml:space="preserve">.  </w:t>
      </w:r>
      <w:r w:rsidRPr="006A6C1D">
        <w:t>In the 2016 Budget, the Government committed:</w:t>
      </w:r>
    </w:p>
    <w:p w:rsidR="0050667A" w:rsidRPr="006A6C1D" w:rsidRDefault="006A6C1D" w:rsidP="006A6C1D">
      <w:pPr>
        <w:ind w:left="567"/>
      </w:pPr>
      <w:r>
        <w:t>–</w:t>
      </w:r>
      <w:r>
        <w:tab/>
      </w:r>
      <w:r w:rsidR="0050667A" w:rsidRPr="006A6C1D">
        <w:t>$2 billion in the renewal and expansion of infrastructure at universities and colleges campuses across the country to promote research excellence and allow students, professors and researchers to work in close proximity with partners to turn discoveries into products and services</w:t>
      </w:r>
      <w:r w:rsidR="008B1AE0">
        <w:t xml:space="preserve">.  </w:t>
      </w:r>
      <w:r w:rsidR="0050667A" w:rsidRPr="006A6C1D">
        <w:t>In the process, they will train for the high-quality, middle-class jobs of the future.</w:t>
      </w:r>
    </w:p>
    <w:p w:rsidR="0050667A" w:rsidRPr="006A6C1D" w:rsidRDefault="006A6C1D" w:rsidP="006A6C1D">
      <w:pPr>
        <w:ind w:left="567"/>
      </w:pPr>
      <w:r>
        <w:t>–</w:t>
      </w:r>
      <w:r>
        <w:tab/>
      </w:r>
      <w:r w:rsidR="0050667A" w:rsidRPr="006A6C1D">
        <w:t>Over $1 billion to support the development of “clean technologies” that result in less pollution and more energy efficiency.</w:t>
      </w:r>
    </w:p>
    <w:p w:rsidR="0050667A" w:rsidRPr="006A6C1D" w:rsidRDefault="006A6C1D" w:rsidP="006A6C1D">
      <w:pPr>
        <w:ind w:left="567"/>
      </w:pPr>
      <w:proofErr w:type="gramStart"/>
      <w:r>
        <w:lastRenderedPageBreak/>
        <w:t>–</w:t>
      </w:r>
      <w:r>
        <w:tab/>
      </w:r>
      <w:r w:rsidR="0050667A" w:rsidRPr="006A6C1D">
        <w:t>$800 million over four years to strengthen innovation networks and clusters.</w:t>
      </w:r>
      <w:proofErr w:type="gramEnd"/>
      <w:r w:rsidR="0050667A" w:rsidRPr="006A6C1D">
        <w:t xml:space="preserve">  These investments are intended to catalyze private sector dynamism, bring a critical mass of stakeholders together and connect their ideas to the marketplace.</w:t>
      </w:r>
    </w:p>
    <w:p w:rsidR="0050667A" w:rsidRPr="006A6C1D" w:rsidRDefault="0050667A" w:rsidP="006A6C1D">
      <w:pPr>
        <w:rPr>
          <w:i/>
        </w:rPr>
      </w:pPr>
      <w:r w:rsidRPr="006A6C1D">
        <w:tab/>
      </w:r>
      <w:r w:rsidRPr="006A6C1D">
        <w:rPr>
          <w:i/>
        </w:rPr>
        <w:t>Source</w:t>
      </w:r>
      <w:r w:rsidR="008B1AE0">
        <w:rPr>
          <w:i/>
        </w:rPr>
        <w:t xml:space="preserve">:  </w:t>
      </w:r>
      <w:hyperlink r:id="rId53" w:history="1">
        <w:r w:rsidRPr="006A6C1D">
          <w:rPr>
            <w:rStyle w:val="Hyperlink"/>
            <w:i/>
          </w:rPr>
          <w:t>Innovation, Science and Economic Development Canada</w:t>
        </w:r>
      </w:hyperlink>
    </w:p>
    <w:p w:rsidR="0050667A" w:rsidRPr="006A6C1D" w:rsidRDefault="0050667A" w:rsidP="006A6C1D">
      <w:pPr>
        <w:pStyle w:val="SectionHeading"/>
      </w:pPr>
      <w:r w:rsidRPr="00C6547C">
        <w:t>6 – Profile of Patent Applications</w:t>
      </w:r>
    </w:p>
    <w:p w:rsidR="0050667A" w:rsidRDefault="0050667A" w:rsidP="006A6C1D">
      <w:pPr>
        <w:pStyle w:val="Subsection"/>
      </w:pPr>
      <w:r w:rsidRPr="00C6547C">
        <w:t>Number of international applications received as RO</w:t>
      </w:r>
    </w:p>
    <w:p w:rsidR="0050667A" w:rsidRPr="006A6C1D" w:rsidRDefault="0050667A" w:rsidP="006A6C1D">
      <w:pPr>
        <w:rPr>
          <w:i/>
        </w:rPr>
      </w:pPr>
      <w:r w:rsidRPr="006A6C1D">
        <w:rPr>
          <w:i/>
        </w:rPr>
        <w:t xml:space="preserve">These numbers are derived from CIPO’s internal </w:t>
      </w:r>
      <w:proofErr w:type="spellStart"/>
      <w:r w:rsidRPr="006A6C1D">
        <w:rPr>
          <w:i/>
        </w:rPr>
        <w:t>InterApp</w:t>
      </w:r>
      <w:proofErr w:type="spellEnd"/>
      <w:r w:rsidRPr="006A6C1D">
        <w:rPr>
          <w:i/>
        </w:rPr>
        <w:t xml:space="preserve"> database and are based on the International Patent Classification symbol assigned to an application and which examination Division within CIPO examines that sub-group.</w:t>
      </w:r>
    </w:p>
    <w:p w:rsidR="0050667A" w:rsidRPr="00C6547C" w:rsidRDefault="0050667A" w:rsidP="0050667A">
      <w:pPr>
        <w:rPr>
          <w:rFonts w:ascii="Century Gothic" w:hAnsi="Century Gothic"/>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50667A" w:rsidRPr="006A6C1D" w:rsidTr="0050667A">
        <w:trPr>
          <w:cantSplit/>
        </w:trPr>
        <w:tc>
          <w:tcPr>
            <w:tcW w:w="2518" w:type="dxa"/>
            <w:tcBorders>
              <w:tl2br w:val="single" w:sz="4" w:space="0" w:color="auto"/>
            </w:tcBorders>
            <w:shd w:val="clear" w:color="auto" w:fill="auto"/>
          </w:tcPr>
          <w:p w:rsidR="0050667A" w:rsidRPr="006A6C1D" w:rsidRDefault="0050667A" w:rsidP="006A6C1D">
            <w:pPr>
              <w:rPr>
                <w:b/>
              </w:rPr>
            </w:pPr>
          </w:p>
          <w:p w:rsidR="0050667A" w:rsidRPr="006A6C1D" w:rsidRDefault="0050667A" w:rsidP="006A6C1D">
            <w:pPr>
              <w:rPr>
                <w:b/>
              </w:rPr>
            </w:pPr>
            <w:r w:rsidRPr="006A6C1D">
              <w:rPr>
                <w:b/>
              </w:rPr>
              <w:t>Year</w:t>
            </w:r>
          </w:p>
          <w:p w:rsidR="0050667A" w:rsidRPr="006A6C1D" w:rsidRDefault="0050667A" w:rsidP="006A6C1D">
            <w:pPr>
              <w:rPr>
                <w:b/>
              </w:rPr>
            </w:pPr>
            <w:r w:rsidRPr="006A6C1D">
              <w:rPr>
                <w:b/>
              </w:rPr>
              <w:t>Technical Field</w:t>
            </w:r>
          </w:p>
        </w:tc>
        <w:tc>
          <w:tcPr>
            <w:tcW w:w="1360" w:type="dxa"/>
            <w:shd w:val="clear" w:color="auto" w:fill="auto"/>
            <w:vAlign w:val="center"/>
          </w:tcPr>
          <w:p w:rsidR="0050667A" w:rsidRPr="006A6C1D" w:rsidRDefault="0050667A" w:rsidP="006A6C1D">
            <w:pPr>
              <w:rPr>
                <w:b/>
              </w:rPr>
            </w:pPr>
            <w:r w:rsidRPr="006A6C1D">
              <w:rPr>
                <w:b/>
              </w:rPr>
              <w:t>2011-2012</w:t>
            </w:r>
          </w:p>
        </w:tc>
        <w:tc>
          <w:tcPr>
            <w:tcW w:w="1361" w:type="dxa"/>
            <w:shd w:val="clear" w:color="auto" w:fill="auto"/>
            <w:vAlign w:val="center"/>
          </w:tcPr>
          <w:p w:rsidR="0050667A" w:rsidRPr="006A6C1D" w:rsidRDefault="0050667A" w:rsidP="006A6C1D">
            <w:pPr>
              <w:rPr>
                <w:b/>
              </w:rPr>
            </w:pPr>
            <w:r w:rsidRPr="006A6C1D">
              <w:rPr>
                <w:b/>
              </w:rPr>
              <w:t>2012-2013</w:t>
            </w:r>
          </w:p>
        </w:tc>
        <w:tc>
          <w:tcPr>
            <w:tcW w:w="1361" w:type="dxa"/>
            <w:shd w:val="clear" w:color="auto" w:fill="auto"/>
            <w:vAlign w:val="center"/>
          </w:tcPr>
          <w:p w:rsidR="0050667A" w:rsidRPr="006A6C1D" w:rsidRDefault="0050667A" w:rsidP="006A6C1D">
            <w:pPr>
              <w:rPr>
                <w:b/>
              </w:rPr>
            </w:pPr>
            <w:r w:rsidRPr="006A6C1D">
              <w:rPr>
                <w:b/>
              </w:rPr>
              <w:t>2013-2014</w:t>
            </w:r>
          </w:p>
        </w:tc>
        <w:tc>
          <w:tcPr>
            <w:tcW w:w="1361" w:type="dxa"/>
            <w:shd w:val="clear" w:color="auto" w:fill="auto"/>
            <w:vAlign w:val="center"/>
          </w:tcPr>
          <w:p w:rsidR="0050667A" w:rsidRPr="006A6C1D" w:rsidRDefault="0050667A" w:rsidP="006A6C1D">
            <w:pPr>
              <w:rPr>
                <w:b/>
              </w:rPr>
            </w:pPr>
            <w:r w:rsidRPr="006A6C1D">
              <w:rPr>
                <w:b/>
              </w:rPr>
              <w:t>2014-2015</w:t>
            </w:r>
          </w:p>
        </w:tc>
        <w:tc>
          <w:tcPr>
            <w:tcW w:w="1361" w:type="dxa"/>
            <w:shd w:val="clear" w:color="auto" w:fill="auto"/>
            <w:vAlign w:val="center"/>
          </w:tcPr>
          <w:p w:rsidR="0050667A" w:rsidRPr="006A6C1D" w:rsidRDefault="0050667A" w:rsidP="006A6C1D">
            <w:pPr>
              <w:rPr>
                <w:b/>
              </w:rPr>
            </w:pPr>
            <w:r w:rsidRPr="006A6C1D">
              <w:rPr>
                <w:b/>
              </w:rPr>
              <w:t>2015-2016</w:t>
            </w:r>
          </w:p>
        </w:tc>
      </w:tr>
      <w:tr w:rsidR="0050667A" w:rsidRPr="006A6C1D" w:rsidTr="0050667A">
        <w:trPr>
          <w:cantSplit/>
        </w:trPr>
        <w:tc>
          <w:tcPr>
            <w:tcW w:w="9322" w:type="dxa"/>
            <w:gridSpan w:val="6"/>
            <w:shd w:val="clear" w:color="auto" w:fill="auto"/>
            <w:vAlign w:val="center"/>
          </w:tcPr>
          <w:p w:rsidR="0050667A" w:rsidRPr="006A6C1D" w:rsidRDefault="0050667A" w:rsidP="006A6C1D">
            <w:r w:rsidRPr="006A6C1D">
              <w:t>International applications, Chapter I Requests</w:t>
            </w:r>
          </w:p>
        </w:tc>
      </w:tr>
      <w:tr w:rsidR="0050667A" w:rsidRPr="006A6C1D" w:rsidTr="0050667A">
        <w:trPr>
          <w:cantSplit/>
        </w:trPr>
        <w:tc>
          <w:tcPr>
            <w:tcW w:w="2518" w:type="dxa"/>
            <w:shd w:val="clear" w:color="auto" w:fill="auto"/>
            <w:vAlign w:val="center"/>
          </w:tcPr>
          <w:p w:rsidR="0050667A" w:rsidRPr="006A6C1D" w:rsidRDefault="0050667A" w:rsidP="006A6C1D">
            <w:r w:rsidRPr="006A6C1D">
              <w:t>Mechanical</w:t>
            </w:r>
          </w:p>
        </w:tc>
        <w:tc>
          <w:tcPr>
            <w:tcW w:w="1360" w:type="dxa"/>
            <w:shd w:val="clear" w:color="auto" w:fill="auto"/>
            <w:vAlign w:val="center"/>
          </w:tcPr>
          <w:p w:rsidR="0050667A" w:rsidRPr="006A6C1D" w:rsidRDefault="0050667A" w:rsidP="006A6C1D">
            <w:r w:rsidRPr="006A6C1D">
              <w:t>694</w:t>
            </w:r>
          </w:p>
        </w:tc>
        <w:tc>
          <w:tcPr>
            <w:tcW w:w="1361" w:type="dxa"/>
            <w:shd w:val="clear" w:color="auto" w:fill="auto"/>
            <w:vAlign w:val="center"/>
          </w:tcPr>
          <w:p w:rsidR="0050667A" w:rsidRPr="006A6C1D" w:rsidRDefault="0050667A" w:rsidP="006A6C1D">
            <w:r w:rsidRPr="006A6C1D">
              <w:t>708</w:t>
            </w:r>
          </w:p>
        </w:tc>
        <w:tc>
          <w:tcPr>
            <w:tcW w:w="1361" w:type="dxa"/>
            <w:shd w:val="clear" w:color="auto" w:fill="auto"/>
            <w:vAlign w:val="center"/>
          </w:tcPr>
          <w:p w:rsidR="0050667A" w:rsidRPr="006A6C1D" w:rsidRDefault="0050667A" w:rsidP="006A6C1D">
            <w:r w:rsidRPr="006A6C1D">
              <w:t>739</w:t>
            </w:r>
          </w:p>
        </w:tc>
        <w:tc>
          <w:tcPr>
            <w:tcW w:w="1361" w:type="dxa"/>
            <w:shd w:val="clear" w:color="auto" w:fill="auto"/>
            <w:vAlign w:val="center"/>
          </w:tcPr>
          <w:p w:rsidR="0050667A" w:rsidRPr="006A6C1D" w:rsidRDefault="0050667A" w:rsidP="006A6C1D">
            <w:r w:rsidRPr="006A6C1D">
              <w:t>718</w:t>
            </w:r>
          </w:p>
        </w:tc>
        <w:tc>
          <w:tcPr>
            <w:tcW w:w="1361" w:type="dxa"/>
            <w:shd w:val="clear" w:color="auto" w:fill="auto"/>
            <w:vAlign w:val="center"/>
          </w:tcPr>
          <w:p w:rsidR="0050667A" w:rsidRPr="006A6C1D" w:rsidRDefault="0050667A" w:rsidP="006A6C1D">
            <w:r w:rsidRPr="006A6C1D">
              <w:t>790</w:t>
            </w:r>
          </w:p>
        </w:tc>
      </w:tr>
      <w:tr w:rsidR="0050667A" w:rsidRPr="006A6C1D" w:rsidTr="0050667A">
        <w:trPr>
          <w:cantSplit/>
        </w:trPr>
        <w:tc>
          <w:tcPr>
            <w:tcW w:w="2518" w:type="dxa"/>
            <w:shd w:val="clear" w:color="auto" w:fill="auto"/>
            <w:vAlign w:val="center"/>
          </w:tcPr>
          <w:p w:rsidR="0050667A" w:rsidRPr="006A6C1D" w:rsidRDefault="0050667A" w:rsidP="006A6C1D">
            <w:r w:rsidRPr="006A6C1D">
              <w:t>Electrical/electronic</w:t>
            </w:r>
          </w:p>
        </w:tc>
        <w:tc>
          <w:tcPr>
            <w:tcW w:w="1360" w:type="dxa"/>
            <w:shd w:val="clear" w:color="auto" w:fill="auto"/>
            <w:vAlign w:val="center"/>
          </w:tcPr>
          <w:p w:rsidR="0050667A" w:rsidRPr="006A6C1D" w:rsidRDefault="0050667A" w:rsidP="006A6C1D">
            <w:r w:rsidRPr="006A6C1D">
              <w:t>818</w:t>
            </w:r>
          </w:p>
        </w:tc>
        <w:tc>
          <w:tcPr>
            <w:tcW w:w="1361" w:type="dxa"/>
            <w:shd w:val="clear" w:color="auto" w:fill="auto"/>
            <w:vAlign w:val="center"/>
          </w:tcPr>
          <w:p w:rsidR="0050667A" w:rsidRPr="006A6C1D" w:rsidRDefault="0050667A" w:rsidP="006A6C1D">
            <w:r w:rsidRPr="006A6C1D">
              <w:t>833</w:t>
            </w:r>
          </w:p>
        </w:tc>
        <w:tc>
          <w:tcPr>
            <w:tcW w:w="1361" w:type="dxa"/>
            <w:shd w:val="clear" w:color="auto" w:fill="auto"/>
            <w:vAlign w:val="center"/>
          </w:tcPr>
          <w:p w:rsidR="0050667A" w:rsidRPr="006A6C1D" w:rsidRDefault="0050667A" w:rsidP="006A6C1D">
            <w:r w:rsidRPr="006A6C1D">
              <w:t>738</w:t>
            </w:r>
          </w:p>
        </w:tc>
        <w:tc>
          <w:tcPr>
            <w:tcW w:w="1361" w:type="dxa"/>
            <w:shd w:val="clear" w:color="auto" w:fill="auto"/>
            <w:vAlign w:val="center"/>
          </w:tcPr>
          <w:p w:rsidR="0050667A" w:rsidRPr="006A6C1D" w:rsidRDefault="0050667A" w:rsidP="006A6C1D">
            <w:r w:rsidRPr="006A6C1D">
              <w:t>701</w:t>
            </w:r>
          </w:p>
        </w:tc>
        <w:tc>
          <w:tcPr>
            <w:tcW w:w="1361" w:type="dxa"/>
            <w:shd w:val="clear" w:color="auto" w:fill="auto"/>
            <w:vAlign w:val="center"/>
          </w:tcPr>
          <w:p w:rsidR="0050667A" w:rsidRPr="006A6C1D" w:rsidRDefault="0050667A" w:rsidP="006A6C1D">
            <w:r w:rsidRPr="006A6C1D">
              <w:t>582</w:t>
            </w:r>
          </w:p>
        </w:tc>
      </w:tr>
      <w:tr w:rsidR="0050667A" w:rsidRPr="006A6C1D" w:rsidTr="0050667A">
        <w:trPr>
          <w:cantSplit/>
        </w:trPr>
        <w:tc>
          <w:tcPr>
            <w:tcW w:w="2518" w:type="dxa"/>
            <w:shd w:val="clear" w:color="auto" w:fill="auto"/>
            <w:vAlign w:val="center"/>
          </w:tcPr>
          <w:p w:rsidR="0050667A" w:rsidRPr="006A6C1D" w:rsidRDefault="0050667A" w:rsidP="006A6C1D">
            <w:r w:rsidRPr="006A6C1D">
              <w:t>Chemistry</w:t>
            </w:r>
          </w:p>
        </w:tc>
        <w:tc>
          <w:tcPr>
            <w:tcW w:w="1360" w:type="dxa"/>
            <w:shd w:val="clear" w:color="auto" w:fill="auto"/>
            <w:vAlign w:val="center"/>
          </w:tcPr>
          <w:p w:rsidR="0050667A" w:rsidRPr="006A6C1D" w:rsidRDefault="0050667A" w:rsidP="006A6C1D"/>
        </w:tc>
        <w:tc>
          <w:tcPr>
            <w:tcW w:w="1361" w:type="dxa"/>
            <w:shd w:val="clear" w:color="auto" w:fill="auto"/>
            <w:vAlign w:val="center"/>
          </w:tcPr>
          <w:p w:rsidR="0050667A" w:rsidRPr="006A6C1D" w:rsidRDefault="0050667A" w:rsidP="006A6C1D"/>
        </w:tc>
        <w:tc>
          <w:tcPr>
            <w:tcW w:w="1361" w:type="dxa"/>
            <w:shd w:val="clear" w:color="auto" w:fill="auto"/>
            <w:vAlign w:val="center"/>
          </w:tcPr>
          <w:p w:rsidR="0050667A" w:rsidRPr="006A6C1D" w:rsidRDefault="0050667A" w:rsidP="006A6C1D"/>
        </w:tc>
        <w:tc>
          <w:tcPr>
            <w:tcW w:w="1361" w:type="dxa"/>
            <w:shd w:val="clear" w:color="auto" w:fill="auto"/>
            <w:vAlign w:val="center"/>
          </w:tcPr>
          <w:p w:rsidR="0050667A" w:rsidRPr="006A6C1D" w:rsidRDefault="0050667A" w:rsidP="006A6C1D"/>
        </w:tc>
        <w:tc>
          <w:tcPr>
            <w:tcW w:w="1361" w:type="dxa"/>
            <w:shd w:val="clear" w:color="auto" w:fill="auto"/>
            <w:vAlign w:val="center"/>
          </w:tcPr>
          <w:p w:rsidR="0050667A" w:rsidRPr="006A6C1D" w:rsidRDefault="0050667A" w:rsidP="006A6C1D"/>
        </w:tc>
      </w:tr>
      <w:tr w:rsidR="0050667A" w:rsidRPr="006A6C1D" w:rsidTr="0050667A">
        <w:trPr>
          <w:cantSplit/>
        </w:trPr>
        <w:tc>
          <w:tcPr>
            <w:tcW w:w="2518" w:type="dxa"/>
            <w:shd w:val="clear" w:color="auto" w:fill="auto"/>
            <w:vAlign w:val="center"/>
          </w:tcPr>
          <w:p w:rsidR="0050667A" w:rsidRPr="006A6C1D" w:rsidRDefault="0050667A" w:rsidP="006A6C1D">
            <w:r w:rsidRPr="006A6C1D">
              <w:t xml:space="preserve">   General Chemistry</w:t>
            </w:r>
          </w:p>
        </w:tc>
        <w:tc>
          <w:tcPr>
            <w:tcW w:w="1360" w:type="dxa"/>
            <w:shd w:val="clear" w:color="auto" w:fill="auto"/>
            <w:vAlign w:val="center"/>
          </w:tcPr>
          <w:p w:rsidR="0050667A" w:rsidRPr="006A6C1D" w:rsidRDefault="0050667A" w:rsidP="006A6C1D">
            <w:r w:rsidRPr="006A6C1D">
              <w:t>193</w:t>
            </w:r>
          </w:p>
        </w:tc>
        <w:tc>
          <w:tcPr>
            <w:tcW w:w="1361" w:type="dxa"/>
            <w:shd w:val="clear" w:color="auto" w:fill="auto"/>
            <w:vAlign w:val="center"/>
          </w:tcPr>
          <w:p w:rsidR="0050667A" w:rsidRPr="006A6C1D" w:rsidRDefault="0050667A" w:rsidP="006A6C1D">
            <w:r w:rsidRPr="006A6C1D">
              <w:t>224</w:t>
            </w:r>
          </w:p>
        </w:tc>
        <w:tc>
          <w:tcPr>
            <w:tcW w:w="1361" w:type="dxa"/>
            <w:shd w:val="clear" w:color="auto" w:fill="auto"/>
            <w:vAlign w:val="center"/>
          </w:tcPr>
          <w:p w:rsidR="0050667A" w:rsidRPr="006A6C1D" w:rsidRDefault="0050667A" w:rsidP="006A6C1D">
            <w:r w:rsidRPr="006A6C1D">
              <w:t>275</w:t>
            </w:r>
          </w:p>
        </w:tc>
        <w:tc>
          <w:tcPr>
            <w:tcW w:w="1361" w:type="dxa"/>
            <w:shd w:val="clear" w:color="auto" w:fill="auto"/>
            <w:vAlign w:val="center"/>
          </w:tcPr>
          <w:p w:rsidR="0050667A" w:rsidRPr="006A6C1D" w:rsidRDefault="0050667A" w:rsidP="006A6C1D">
            <w:r w:rsidRPr="006A6C1D">
              <w:t>219</w:t>
            </w:r>
          </w:p>
        </w:tc>
        <w:tc>
          <w:tcPr>
            <w:tcW w:w="1361" w:type="dxa"/>
            <w:shd w:val="clear" w:color="auto" w:fill="auto"/>
            <w:vAlign w:val="center"/>
          </w:tcPr>
          <w:p w:rsidR="0050667A" w:rsidRPr="006A6C1D" w:rsidRDefault="0050667A" w:rsidP="006A6C1D">
            <w:r w:rsidRPr="006A6C1D">
              <w:t>222</w:t>
            </w:r>
          </w:p>
        </w:tc>
      </w:tr>
      <w:tr w:rsidR="0050667A" w:rsidRPr="006A6C1D" w:rsidTr="0050667A">
        <w:trPr>
          <w:cantSplit/>
        </w:trPr>
        <w:tc>
          <w:tcPr>
            <w:tcW w:w="2518" w:type="dxa"/>
            <w:shd w:val="clear" w:color="auto" w:fill="auto"/>
            <w:vAlign w:val="center"/>
          </w:tcPr>
          <w:p w:rsidR="0050667A" w:rsidRPr="006A6C1D" w:rsidRDefault="0050667A" w:rsidP="006A6C1D">
            <w:r w:rsidRPr="006A6C1D">
              <w:t xml:space="preserve">   Organic Chemistry</w:t>
            </w:r>
          </w:p>
        </w:tc>
        <w:tc>
          <w:tcPr>
            <w:tcW w:w="1360" w:type="dxa"/>
            <w:shd w:val="clear" w:color="auto" w:fill="auto"/>
            <w:vAlign w:val="center"/>
          </w:tcPr>
          <w:p w:rsidR="0050667A" w:rsidRPr="006A6C1D" w:rsidRDefault="0050667A" w:rsidP="006A6C1D">
            <w:r w:rsidRPr="006A6C1D">
              <w:t>203</w:t>
            </w:r>
          </w:p>
        </w:tc>
        <w:tc>
          <w:tcPr>
            <w:tcW w:w="1361" w:type="dxa"/>
            <w:shd w:val="clear" w:color="auto" w:fill="auto"/>
            <w:vAlign w:val="center"/>
          </w:tcPr>
          <w:p w:rsidR="0050667A" w:rsidRPr="006A6C1D" w:rsidRDefault="0050667A" w:rsidP="006A6C1D">
            <w:r w:rsidRPr="006A6C1D">
              <w:t>192</w:t>
            </w:r>
          </w:p>
        </w:tc>
        <w:tc>
          <w:tcPr>
            <w:tcW w:w="1361" w:type="dxa"/>
            <w:shd w:val="clear" w:color="auto" w:fill="auto"/>
            <w:vAlign w:val="center"/>
          </w:tcPr>
          <w:p w:rsidR="0050667A" w:rsidRPr="006A6C1D" w:rsidRDefault="0050667A" w:rsidP="006A6C1D">
            <w:r w:rsidRPr="006A6C1D">
              <w:t>205</w:t>
            </w:r>
          </w:p>
        </w:tc>
        <w:tc>
          <w:tcPr>
            <w:tcW w:w="1361" w:type="dxa"/>
            <w:shd w:val="clear" w:color="auto" w:fill="auto"/>
            <w:vAlign w:val="center"/>
          </w:tcPr>
          <w:p w:rsidR="0050667A" w:rsidRPr="006A6C1D" w:rsidRDefault="0050667A" w:rsidP="006A6C1D">
            <w:r w:rsidRPr="006A6C1D">
              <w:t>183</w:t>
            </w:r>
          </w:p>
        </w:tc>
        <w:tc>
          <w:tcPr>
            <w:tcW w:w="1361" w:type="dxa"/>
            <w:shd w:val="clear" w:color="auto" w:fill="auto"/>
            <w:vAlign w:val="center"/>
          </w:tcPr>
          <w:p w:rsidR="0050667A" w:rsidRPr="006A6C1D" w:rsidRDefault="0050667A" w:rsidP="006A6C1D">
            <w:r w:rsidRPr="006A6C1D">
              <w:t>188</w:t>
            </w:r>
          </w:p>
        </w:tc>
      </w:tr>
      <w:tr w:rsidR="0050667A" w:rsidRPr="006A6C1D" w:rsidTr="0050667A">
        <w:trPr>
          <w:cantSplit/>
        </w:trPr>
        <w:tc>
          <w:tcPr>
            <w:tcW w:w="2518" w:type="dxa"/>
            <w:shd w:val="clear" w:color="auto" w:fill="auto"/>
            <w:vAlign w:val="center"/>
          </w:tcPr>
          <w:p w:rsidR="0050667A" w:rsidRPr="006A6C1D" w:rsidRDefault="0050667A" w:rsidP="006A6C1D">
            <w:r w:rsidRPr="006A6C1D">
              <w:t>Biotech</w:t>
            </w:r>
          </w:p>
        </w:tc>
        <w:tc>
          <w:tcPr>
            <w:tcW w:w="1360" w:type="dxa"/>
            <w:shd w:val="clear" w:color="auto" w:fill="auto"/>
            <w:vAlign w:val="center"/>
          </w:tcPr>
          <w:p w:rsidR="0050667A" w:rsidRPr="006A6C1D" w:rsidRDefault="0050667A" w:rsidP="006A6C1D">
            <w:r w:rsidRPr="006A6C1D">
              <w:t>153</w:t>
            </w:r>
          </w:p>
        </w:tc>
        <w:tc>
          <w:tcPr>
            <w:tcW w:w="1361" w:type="dxa"/>
            <w:shd w:val="clear" w:color="auto" w:fill="auto"/>
            <w:vAlign w:val="center"/>
          </w:tcPr>
          <w:p w:rsidR="0050667A" w:rsidRPr="006A6C1D" w:rsidRDefault="0050667A" w:rsidP="006A6C1D">
            <w:r w:rsidRPr="006A6C1D">
              <w:t>139</w:t>
            </w:r>
          </w:p>
        </w:tc>
        <w:tc>
          <w:tcPr>
            <w:tcW w:w="1361" w:type="dxa"/>
            <w:shd w:val="clear" w:color="auto" w:fill="auto"/>
            <w:vAlign w:val="center"/>
          </w:tcPr>
          <w:p w:rsidR="0050667A" w:rsidRPr="006A6C1D" w:rsidRDefault="0050667A" w:rsidP="006A6C1D">
            <w:r w:rsidRPr="006A6C1D">
              <w:t>145</w:t>
            </w:r>
          </w:p>
        </w:tc>
        <w:tc>
          <w:tcPr>
            <w:tcW w:w="1361" w:type="dxa"/>
            <w:shd w:val="clear" w:color="auto" w:fill="auto"/>
            <w:vAlign w:val="center"/>
          </w:tcPr>
          <w:p w:rsidR="0050667A" w:rsidRPr="006A6C1D" w:rsidRDefault="0050667A" w:rsidP="006A6C1D">
            <w:r w:rsidRPr="006A6C1D">
              <w:t>148</w:t>
            </w:r>
          </w:p>
        </w:tc>
        <w:tc>
          <w:tcPr>
            <w:tcW w:w="1361" w:type="dxa"/>
            <w:shd w:val="clear" w:color="auto" w:fill="auto"/>
            <w:vAlign w:val="center"/>
          </w:tcPr>
          <w:p w:rsidR="0050667A" w:rsidRPr="006A6C1D" w:rsidRDefault="0050667A" w:rsidP="006A6C1D">
            <w:r w:rsidRPr="006A6C1D">
              <w:t>159</w:t>
            </w:r>
          </w:p>
        </w:tc>
      </w:tr>
      <w:tr w:rsidR="0050667A" w:rsidRPr="006A6C1D" w:rsidTr="0050667A">
        <w:trPr>
          <w:cantSplit/>
        </w:trPr>
        <w:tc>
          <w:tcPr>
            <w:tcW w:w="2518" w:type="dxa"/>
            <w:shd w:val="clear" w:color="auto" w:fill="auto"/>
            <w:vAlign w:val="center"/>
          </w:tcPr>
          <w:p w:rsidR="0050667A" w:rsidRPr="006A6C1D" w:rsidRDefault="0050667A" w:rsidP="006A6C1D">
            <w:r w:rsidRPr="006A6C1D">
              <w:t>Unassigned</w:t>
            </w:r>
          </w:p>
        </w:tc>
        <w:tc>
          <w:tcPr>
            <w:tcW w:w="1360" w:type="dxa"/>
            <w:shd w:val="clear" w:color="auto" w:fill="auto"/>
            <w:vAlign w:val="center"/>
          </w:tcPr>
          <w:p w:rsidR="0050667A" w:rsidRPr="006A6C1D" w:rsidRDefault="0050667A" w:rsidP="006A6C1D">
            <w:r w:rsidRPr="006A6C1D">
              <w:t>76</w:t>
            </w:r>
          </w:p>
        </w:tc>
        <w:tc>
          <w:tcPr>
            <w:tcW w:w="1361" w:type="dxa"/>
            <w:shd w:val="clear" w:color="auto" w:fill="auto"/>
            <w:vAlign w:val="center"/>
          </w:tcPr>
          <w:p w:rsidR="0050667A" w:rsidRPr="006A6C1D" w:rsidRDefault="0050667A" w:rsidP="006A6C1D">
            <w:r w:rsidRPr="006A6C1D">
              <w:t>82</w:t>
            </w:r>
          </w:p>
        </w:tc>
        <w:tc>
          <w:tcPr>
            <w:tcW w:w="1361" w:type="dxa"/>
            <w:shd w:val="clear" w:color="auto" w:fill="auto"/>
            <w:vAlign w:val="center"/>
          </w:tcPr>
          <w:p w:rsidR="0050667A" w:rsidRPr="006A6C1D" w:rsidRDefault="0050667A" w:rsidP="006A6C1D">
            <w:r w:rsidRPr="006A6C1D">
              <w:t>49</w:t>
            </w:r>
          </w:p>
        </w:tc>
        <w:tc>
          <w:tcPr>
            <w:tcW w:w="1361" w:type="dxa"/>
            <w:shd w:val="clear" w:color="auto" w:fill="auto"/>
            <w:vAlign w:val="center"/>
          </w:tcPr>
          <w:p w:rsidR="0050667A" w:rsidRPr="006A6C1D" w:rsidRDefault="0050667A" w:rsidP="006A6C1D">
            <w:r w:rsidRPr="006A6C1D">
              <w:t>22</w:t>
            </w:r>
          </w:p>
        </w:tc>
        <w:tc>
          <w:tcPr>
            <w:tcW w:w="1361" w:type="dxa"/>
            <w:shd w:val="clear" w:color="auto" w:fill="auto"/>
            <w:vAlign w:val="center"/>
          </w:tcPr>
          <w:p w:rsidR="0050667A" w:rsidRPr="006A6C1D" w:rsidRDefault="0050667A" w:rsidP="006A6C1D">
            <w:r w:rsidRPr="006A6C1D">
              <w:t>13</w:t>
            </w:r>
          </w:p>
        </w:tc>
      </w:tr>
      <w:tr w:rsidR="0050667A" w:rsidRPr="006A6C1D" w:rsidTr="0050667A">
        <w:trPr>
          <w:cantSplit/>
        </w:trPr>
        <w:tc>
          <w:tcPr>
            <w:tcW w:w="2518" w:type="dxa"/>
            <w:shd w:val="clear" w:color="auto" w:fill="auto"/>
            <w:vAlign w:val="center"/>
          </w:tcPr>
          <w:p w:rsidR="0050667A" w:rsidRPr="006A6C1D" w:rsidRDefault="0050667A" w:rsidP="006A6C1D">
            <w:pPr>
              <w:rPr>
                <w:i/>
              </w:rPr>
            </w:pPr>
            <w:r w:rsidRPr="006A6C1D">
              <w:rPr>
                <w:i/>
              </w:rPr>
              <w:t>Total</w:t>
            </w:r>
          </w:p>
        </w:tc>
        <w:tc>
          <w:tcPr>
            <w:tcW w:w="1360" w:type="dxa"/>
            <w:shd w:val="clear" w:color="auto" w:fill="auto"/>
            <w:vAlign w:val="center"/>
          </w:tcPr>
          <w:p w:rsidR="0050667A" w:rsidRPr="006A6C1D" w:rsidRDefault="0050667A" w:rsidP="006A6C1D">
            <w:pPr>
              <w:rPr>
                <w:i/>
              </w:rPr>
            </w:pPr>
            <w:r w:rsidRPr="006A6C1D">
              <w:rPr>
                <w:i/>
              </w:rPr>
              <w:t>2,137</w:t>
            </w:r>
          </w:p>
        </w:tc>
        <w:tc>
          <w:tcPr>
            <w:tcW w:w="1361" w:type="dxa"/>
            <w:shd w:val="clear" w:color="auto" w:fill="auto"/>
            <w:vAlign w:val="center"/>
          </w:tcPr>
          <w:p w:rsidR="0050667A" w:rsidRPr="006A6C1D" w:rsidRDefault="0050667A" w:rsidP="006A6C1D">
            <w:pPr>
              <w:rPr>
                <w:i/>
              </w:rPr>
            </w:pPr>
            <w:r w:rsidRPr="006A6C1D">
              <w:rPr>
                <w:i/>
              </w:rPr>
              <w:t>2,178</w:t>
            </w:r>
          </w:p>
        </w:tc>
        <w:tc>
          <w:tcPr>
            <w:tcW w:w="1361" w:type="dxa"/>
            <w:shd w:val="clear" w:color="auto" w:fill="auto"/>
            <w:vAlign w:val="center"/>
          </w:tcPr>
          <w:p w:rsidR="0050667A" w:rsidRPr="006A6C1D" w:rsidRDefault="0050667A" w:rsidP="006A6C1D">
            <w:pPr>
              <w:rPr>
                <w:i/>
              </w:rPr>
            </w:pPr>
            <w:r w:rsidRPr="006A6C1D">
              <w:rPr>
                <w:i/>
              </w:rPr>
              <w:t>2,151</w:t>
            </w:r>
          </w:p>
        </w:tc>
        <w:tc>
          <w:tcPr>
            <w:tcW w:w="1361" w:type="dxa"/>
            <w:shd w:val="clear" w:color="auto" w:fill="auto"/>
            <w:vAlign w:val="center"/>
          </w:tcPr>
          <w:p w:rsidR="0050667A" w:rsidRPr="006A6C1D" w:rsidRDefault="0050667A" w:rsidP="006A6C1D">
            <w:pPr>
              <w:rPr>
                <w:i/>
              </w:rPr>
            </w:pPr>
            <w:r w:rsidRPr="006A6C1D">
              <w:rPr>
                <w:i/>
              </w:rPr>
              <w:t>1,991</w:t>
            </w:r>
          </w:p>
        </w:tc>
        <w:tc>
          <w:tcPr>
            <w:tcW w:w="1361" w:type="dxa"/>
            <w:shd w:val="clear" w:color="auto" w:fill="auto"/>
            <w:vAlign w:val="center"/>
          </w:tcPr>
          <w:p w:rsidR="0050667A" w:rsidRPr="006A6C1D" w:rsidRDefault="0050667A" w:rsidP="006A6C1D">
            <w:pPr>
              <w:rPr>
                <w:i/>
              </w:rPr>
            </w:pPr>
            <w:r w:rsidRPr="006A6C1D">
              <w:rPr>
                <w:i/>
              </w:rPr>
              <w:t>1,954</w:t>
            </w:r>
          </w:p>
        </w:tc>
      </w:tr>
      <w:tr w:rsidR="0050667A" w:rsidRPr="006A6C1D" w:rsidTr="0050667A">
        <w:trPr>
          <w:cantSplit/>
        </w:trPr>
        <w:tc>
          <w:tcPr>
            <w:tcW w:w="9322" w:type="dxa"/>
            <w:gridSpan w:val="6"/>
            <w:shd w:val="clear" w:color="auto" w:fill="auto"/>
          </w:tcPr>
          <w:p w:rsidR="0050667A" w:rsidRPr="006A6C1D" w:rsidRDefault="0050667A" w:rsidP="006A6C1D"/>
        </w:tc>
      </w:tr>
      <w:tr w:rsidR="0050667A" w:rsidRPr="006A6C1D" w:rsidTr="0050667A">
        <w:trPr>
          <w:cantSplit/>
        </w:trPr>
        <w:tc>
          <w:tcPr>
            <w:tcW w:w="9322" w:type="dxa"/>
            <w:gridSpan w:val="6"/>
            <w:shd w:val="clear" w:color="auto" w:fill="auto"/>
          </w:tcPr>
          <w:p w:rsidR="0050667A" w:rsidRPr="006A6C1D" w:rsidRDefault="0050667A" w:rsidP="006A6C1D">
            <w:r w:rsidRPr="006A6C1D">
              <w:t>International applications, Chapter II Demands</w:t>
            </w:r>
          </w:p>
        </w:tc>
      </w:tr>
      <w:tr w:rsidR="0050667A" w:rsidRPr="006A6C1D" w:rsidTr="0050667A">
        <w:trPr>
          <w:cantSplit/>
        </w:trPr>
        <w:tc>
          <w:tcPr>
            <w:tcW w:w="2518" w:type="dxa"/>
            <w:shd w:val="clear" w:color="auto" w:fill="auto"/>
          </w:tcPr>
          <w:p w:rsidR="0050667A" w:rsidRPr="006A6C1D" w:rsidRDefault="0050667A" w:rsidP="006A6C1D">
            <w:pPr>
              <w:rPr>
                <w:i/>
              </w:rPr>
            </w:pPr>
            <w:r w:rsidRPr="006A6C1D">
              <w:rPr>
                <w:i/>
              </w:rPr>
              <w:t xml:space="preserve">Total </w:t>
            </w:r>
          </w:p>
        </w:tc>
        <w:tc>
          <w:tcPr>
            <w:tcW w:w="1360" w:type="dxa"/>
            <w:shd w:val="clear" w:color="auto" w:fill="auto"/>
            <w:vAlign w:val="center"/>
          </w:tcPr>
          <w:p w:rsidR="0050667A" w:rsidRPr="006A6C1D" w:rsidRDefault="0050667A" w:rsidP="006A6C1D">
            <w:pPr>
              <w:rPr>
                <w:i/>
              </w:rPr>
            </w:pPr>
            <w:r w:rsidRPr="006A6C1D">
              <w:rPr>
                <w:i/>
              </w:rPr>
              <w:t>258</w:t>
            </w:r>
          </w:p>
        </w:tc>
        <w:tc>
          <w:tcPr>
            <w:tcW w:w="1361" w:type="dxa"/>
            <w:shd w:val="clear" w:color="auto" w:fill="auto"/>
            <w:vAlign w:val="center"/>
          </w:tcPr>
          <w:p w:rsidR="0050667A" w:rsidRPr="006A6C1D" w:rsidRDefault="0050667A" w:rsidP="006A6C1D">
            <w:pPr>
              <w:rPr>
                <w:i/>
              </w:rPr>
            </w:pPr>
            <w:r w:rsidRPr="006A6C1D">
              <w:rPr>
                <w:i/>
              </w:rPr>
              <w:t>270</w:t>
            </w:r>
          </w:p>
        </w:tc>
        <w:tc>
          <w:tcPr>
            <w:tcW w:w="1361" w:type="dxa"/>
            <w:shd w:val="clear" w:color="auto" w:fill="auto"/>
            <w:vAlign w:val="center"/>
          </w:tcPr>
          <w:p w:rsidR="0050667A" w:rsidRPr="006A6C1D" w:rsidRDefault="0050667A" w:rsidP="006A6C1D">
            <w:pPr>
              <w:rPr>
                <w:i/>
              </w:rPr>
            </w:pPr>
            <w:r w:rsidRPr="006A6C1D">
              <w:rPr>
                <w:i/>
              </w:rPr>
              <w:t>257</w:t>
            </w:r>
          </w:p>
        </w:tc>
        <w:tc>
          <w:tcPr>
            <w:tcW w:w="1361" w:type="dxa"/>
            <w:shd w:val="clear" w:color="auto" w:fill="auto"/>
            <w:vAlign w:val="center"/>
          </w:tcPr>
          <w:p w:rsidR="0050667A" w:rsidRPr="006A6C1D" w:rsidRDefault="0050667A" w:rsidP="006A6C1D">
            <w:pPr>
              <w:rPr>
                <w:i/>
              </w:rPr>
            </w:pPr>
            <w:r w:rsidRPr="006A6C1D">
              <w:rPr>
                <w:i/>
              </w:rPr>
              <w:t>268</w:t>
            </w:r>
          </w:p>
        </w:tc>
        <w:tc>
          <w:tcPr>
            <w:tcW w:w="1361" w:type="dxa"/>
            <w:shd w:val="clear" w:color="auto" w:fill="auto"/>
          </w:tcPr>
          <w:p w:rsidR="0050667A" w:rsidRPr="006A6C1D" w:rsidRDefault="0050667A" w:rsidP="006A6C1D">
            <w:pPr>
              <w:rPr>
                <w:i/>
              </w:rPr>
            </w:pPr>
            <w:r w:rsidRPr="006A6C1D">
              <w:rPr>
                <w:i/>
              </w:rPr>
              <w:t>278</w:t>
            </w:r>
          </w:p>
        </w:tc>
      </w:tr>
    </w:tbl>
    <w:p w:rsidR="0050667A" w:rsidRPr="006A6C1D" w:rsidRDefault="0050667A" w:rsidP="006A6C1D"/>
    <w:p w:rsidR="0050667A" w:rsidRPr="006A6C1D" w:rsidRDefault="0050667A" w:rsidP="00530D24">
      <w:pPr>
        <w:pStyle w:val="Subsection"/>
      </w:pPr>
      <w:r w:rsidRPr="006A6C1D">
        <w:t xml:space="preserve">Timeliness of ISR and IPRP Transmissions (percentage transmitted on time based on </w:t>
      </w:r>
      <w:r w:rsidRPr="00530D24">
        <w:t>Rules</w:t>
      </w:r>
      <w:r w:rsidR="00530D24">
        <w:t> </w:t>
      </w:r>
      <w:r w:rsidRPr="00530D24">
        <w:t>42.1</w:t>
      </w:r>
      <w:r w:rsidR="00530D24">
        <w:t xml:space="preserve"> </w:t>
      </w:r>
      <w:r w:rsidRPr="006A6C1D">
        <w:t xml:space="preserve">and </w:t>
      </w:r>
      <w:r w:rsidRPr="00530D24">
        <w:t>69.2</w:t>
      </w:r>
      <w:r w:rsidRPr="006A6C1D">
        <w:t>, respectively)</w:t>
      </w:r>
    </w:p>
    <w:p w:rsidR="0050667A" w:rsidRPr="00530D24" w:rsidRDefault="0050667A" w:rsidP="006A6C1D">
      <w:pPr>
        <w:rPr>
          <w:i/>
        </w:rPr>
      </w:pPr>
      <w:r w:rsidRPr="00530D24">
        <w:rPr>
          <w:i/>
        </w:rPr>
        <w:t xml:space="preserve">Data is from CIPO’s internal </w:t>
      </w:r>
      <w:proofErr w:type="spellStart"/>
      <w:r w:rsidRPr="00530D24">
        <w:rPr>
          <w:i/>
        </w:rPr>
        <w:t>InterApp</w:t>
      </w:r>
      <w:proofErr w:type="spellEnd"/>
      <w:r w:rsidRPr="00530D24">
        <w:rPr>
          <w:i/>
        </w:rPr>
        <w:t xml:space="preserve"> database which differs from WIPO’s statistics due to time zone differences and CIPO’s export routine.</w:t>
      </w:r>
    </w:p>
    <w:p w:rsidR="0050667A" w:rsidRPr="006A6C1D" w:rsidRDefault="0050667A" w:rsidP="006A6C1D"/>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50667A" w:rsidRPr="006A6C1D" w:rsidTr="0050667A">
        <w:trPr>
          <w:cantSplit/>
        </w:trPr>
        <w:tc>
          <w:tcPr>
            <w:tcW w:w="2518" w:type="dxa"/>
            <w:tcBorders>
              <w:tl2br w:val="single" w:sz="4" w:space="0" w:color="auto"/>
            </w:tcBorders>
            <w:shd w:val="clear" w:color="auto" w:fill="auto"/>
          </w:tcPr>
          <w:p w:rsidR="0050667A" w:rsidRPr="006A6C1D" w:rsidRDefault="0050667A" w:rsidP="006A6C1D">
            <w:pPr>
              <w:rPr>
                <w:b/>
              </w:rPr>
            </w:pPr>
          </w:p>
          <w:p w:rsidR="0050667A" w:rsidRPr="006A6C1D" w:rsidRDefault="0050667A" w:rsidP="006A6C1D">
            <w:pPr>
              <w:rPr>
                <w:b/>
              </w:rPr>
            </w:pPr>
            <w:r w:rsidRPr="006A6C1D">
              <w:rPr>
                <w:b/>
              </w:rPr>
              <w:t>Year</w:t>
            </w:r>
          </w:p>
          <w:p w:rsidR="0050667A" w:rsidRPr="006A6C1D" w:rsidRDefault="0050667A" w:rsidP="006A6C1D">
            <w:pPr>
              <w:rPr>
                <w:b/>
              </w:rPr>
            </w:pPr>
            <w:r w:rsidRPr="006A6C1D">
              <w:rPr>
                <w:b/>
              </w:rPr>
              <w:t>Report Type</w:t>
            </w:r>
          </w:p>
        </w:tc>
        <w:tc>
          <w:tcPr>
            <w:tcW w:w="1360" w:type="dxa"/>
            <w:shd w:val="clear" w:color="auto" w:fill="auto"/>
            <w:vAlign w:val="center"/>
          </w:tcPr>
          <w:p w:rsidR="0050667A" w:rsidRPr="006A6C1D" w:rsidRDefault="0050667A" w:rsidP="006A6C1D">
            <w:pPr>
              <w:rPr>
                <w:b/>
              </w:rPr>
            </w:pPr>
            <w:r w:rsidRPr="006A6C1D">
              <w:rPr>
                <w:b/>
              </w:rPr>
              <w:t>2012</w:t>
            </w:r>
          </w:p>
        </w:tc>
        <w:tc>
          <w:tcPr>
            <w:tcW w:w="1361" w:type="dxa"/>
            <w:shd w:val="clear" w:color="auto" w:fill="auto"/>
            <w:vAlign w:val="center"/>
          </w:tcPr>
          <w:p w:rsidR="0050667A" w:rsidRPr="006A6C1D" w:rsidRDefault="0050667A" w:rsidP="006A6C1D">
            <w:pPr>
              <w:rPr>
                <w:b/>
              </w:rPr>
            </w:pPr>
            <w:r w:rsidRPr="006A6C1D">
              <w:rPr>
                <w:b/>
              </w:rPr>
              <w:t>2013</w:t>
            </w:r>
          </w:p>
        </w:tc>
        <w:tc>
          <w:tcPr>
            <w:tcW w:w="1361" w:type="dxa"/>
            <w:shd w:val="clear" w:color="auto" w:fill="auto"/>
            <w:vAlign w:val="center"/>
          </w:tcPr>
          <w:p w:rsidR="0050667A" w:rsidRPr="006A6C1D" w:rsidRDefault="0050667A" w:rsidP="006A6C1D">
            <w:pPr>
              <w:rPr>
                <w:b/>
              </w:rPr>
            </w:pPr>
            <w:r w:rsidRPr="006A6C1D">
              <w:rPr>
                <w:b/>
              </w:rPr>
              <w:t>2014</w:t>
            </w:r>
          </w:p>
        </w:tc>
        <w:tc>
          <w:tcPr>
            <w:tcW w:w="1361" w:type="dxa"/>
            <w:shd w:val="clear" w:color="auto" w:fill="auto"/>
            <w:vAlign w:val="center"/>
          </w:tcPr>
          <w:p w:rsidR="0050667A" w:rsidRPr="006A6C1D" w:rsidRDefault="0050667A" w:rsidP="006A6C1D">
            <w:pPr>
              <w:rPr>
                <w:b/>
              </w:rPr>
            </w:pPr>
            <w:r w:rsidRPr="006A6C1D">
              <w:rPr>
                <w:b/>
              </w:rPr>
              <w:t>2015</w:t>
            </w:r>
          </w:p>
        </w:tc>
        <w:tc>
          <w:tcPr>
            <w:tcW w:w="1361" w:type="dxa"/>
            <w:shd w:val="clear" w:color="auto" w:fill="auto"/>
            <w:vAlign w:val="center"/>
          </w:tcPr>
          <w:p w:rsidR="0050667A" w:rsidRPr="006A6C1D" w:rsidRDefault="0050667A" w:rsidP="006A6C1D">
            <w:pPr>
              <w:rPr>
                <w:b/>
              </w:rPr>
            </w:pPr>
            <w:r w:rsidRPr="006A6C1D">
              <w:rPr>
                <w:b/>
              </w:rPr>
              <w:t>2016</w:t>
            </w:r>
          </w:p>
        </w:tc>
      </w:tr>
      <w:tr w:rsidR="0050667A" w:rsidRPr="006A6C1D" w:rsidTr="0050667A">
        <w:trPr>
          <w:cantSplit/>
        </w:trPr>
        <w:tc>
          <w:tcPr>
            <w:tcW w:w="9322" w:type="dxa"/>
            <w:gridSpan w:val="6"/>
            <w:shd w:val="clear" w:color="auto" w:fill="auto"/>
            <w:vAlign w:val="center"/>
          </w:tcPr>
          <w:p w:rsidR="0050667A" w:rsidRPr="006A6C1D" w:rsidRDefault="0050667A" w:rsidP="006A6C1D">
            <w:r w:rsidRPr="006A6C1D">
              <w:t>International Search Reports and Written Opinions</w:t>
            </w:r>
          </w:p>
        </w:tc>
      </w:tr>
      <w:tr w:rsidR="0050667A" w:rsidRPr="006A6C1D" w:rsidTr="0050667A">
        <w:trPr>
          <w:cantSplit/>
          <w:trHeight w:val="449"/>
        </w:trPr>
        <w:tc>
          <w:tcPr>
            <w:tcW w:w="2518" w:type="dxa"/>
            <w:shd w:val="clear" w:color="auto" w:fill="auto"/>
            <w:vAlign w:val="center"/>
          </w:tcPr>
          <w:p w:rsidR="0050667A" w:rsidRPr="006A6C1D" w:rsidRDefault="0050667A" w:rsidP="006A6C1D"/>
        </w:tc>
        <w:tc>
          <w:tcPr>
            <w:tcW w:w="1360" w:type="dxa"/>
            <w:shd w:val="clear" w:color="auto" w:fill="auto"/>
            <w:vAlign w:val="center"/>
          </w:tcPr>
          <w:p w:rsidR="0050667A" w:rsidRPr="006A6C1D" w:rsidRDefault="0050667A" w:rsidP="006A6C1D">
            <w:r w:rsidRPr="006A6C1D">
              <w:t>92%</w:t>
            </w:r>
          </w:p>
        </w:tc>
        <w:tc>
          <w:tcPr>
            <w:tcW w:w="1361" w:type="dxa"/>
            <w:shd w:val="clear" w:color="auto" w:fill="auto"/>
            <w:vAlign w:val="center"/>
          </w:tcPr>
          <w:p w:rsidR="0050667A" w:rsidRPr="006A6C1D" w:rsidRDefault="0050667A" w:rsidP="006A6C1D">
            <w:r w:rsidRPr="006A6C1D">
              <w:t>94%</w:t>
            </w:r>
          </w:p>
        </w:tc>
        <w:tc>
          <w:tcPr>
            <w:tcW w:w="1361" w:type="dxa"/>
            <w:shd w:val="clear" w:color="auto" w:fill="auto"/>
            <w:vAlign w:val="center"/>
          </w:tcPr>
          <w:p w:rsidR="0050667A" w:rsidRPr="006A6C1D" w:rsidRDefault="0050667A" w:rsidP="006A6C1D">
            <w:r w:rsidRPr="006A6C1D">
              <w:t>94%</w:t>
            </w:r>
          </w:p>
        </w:tc>
        <w:tc>
          <w:tcPr>
            <w:tcW w:w="1361" w:type="dxa"/>
            <w:shd w:val="clear" w:color="auto" w:fill="auto"/>
            <w:vAlign w:val="center"/>
          </w:tcPr>
          <w:p w:rsidR="0050667A" w:rsidRPr="006A6C1D" w:rsidRDefault="0050667A" w:rsidP="006A6C1D">
            <w:r w:rsidRPr="006A6C1D">
              <w:t>95%</w:t>
            </w:r>
          </w:p>
        </w:tc>
        <w:tc>
          <w:tcPr>
            <w:tcW w:w="1361" w:type="dxa"/>
            <w:shd w:val="clear" w:color="auto" w:fill="auto"/>
            <w:vAlign w:val="center"/>
          </w:tcPr>
          <w:p w:rsidR="0050667A" w:rsidRPr="006A6C1D" w:rsidRDefault="0050667A" w:rsidP="006A6C1D">
            <w:r w:rsidRPr="006A6C1D">
              <w:t>96%</w:t>
            </w:r>
          </w:p>
        </w:tc>
      </w:tr>
      <w:tr w:rsidR="0050667A" w:rsidRPr="006A6C1D" w:rsidTr="0050667A">
        <w:trPr>
          <w:cantSplit/>
        </w:trPr>
        <w:tc>
          <w:tcPr>
            <w:tcW w:w="9322" w:type="dxa"/>
            <w:gridSpan w:val="6"/>
            <w:shd w:val="clear" w:color="auto" w:fill="auto"/>
          </w:tcPr>
          <w:p w:rsidR="0050667A" w:rsidRPr="006A6C1D" w:rsidRDefault="0050667A" w:rsidP="006A6C1D"/>
        </w:tc>
      </w:tr>
      <w:tr w:rsidR="0050667A" w:rsidRPr="006A6C1D" w:rsidTr="0050667A">
        <w:trPr>
          <w:cantSplit/>
        </w:trPr>
        <w:tc>
          <w:tcPr>
            <w:tcW w:w="9322" w:type="dxa"/>
            <w:gridSpan w:val="6"/>
            <w:shd w:val="clear" w:color="auto" w:fill="auto"/>
          </w:tcPr>
          <w:p w:rsidR="0050667A" w:rsidRPr="006A6C1D" w:rsidRDefault="0050667A" w:rsidP="006A6C1D">
            <w:r w:rsidRPr="006A6C1D">
              <w:t>International Preliminary Reports on Patentability</w:t>
            </w:r>
          </w:p>
        </w:tc>
      </w:tr>
      <w:tr w:rsidR="0050667A" w:rsidRPr="006A6C1D" w:rsidTr="0050667A">
        <w:trPr>
          <w:cantSplit/>
          <w:trHeight w:val="386"/>
        </w:trPr>
        <w:tc>
          <w:tcPr>
            <w:tcW w:w="2518" w:type="dxa"/>
            <w:shd w:val="clear" w:color="auto" w:fill="auto"/>
          </w:tcPr>
          <w:p w:rsidR="0050667A" w:rsidRPr="006A6C1D" w:rsidRDefault="0050667A" w:rsidP="006A6C1D"/>
        </w:tc>
        <w:tc>
          <w:tcPr>
            <w:tcW w:w="1360" w:type="dxa"/>
            <w:shd w:val="clear" w:color="auto" w:fill="auto"/>
            <w:vAlign w:val="center"/>
          </w:tcPr>
          <w:p w:rsidR="0050667A" w:rsidRPr="006A6C1D" w:rsidRDefault="0050667A" w:rsidP="006A6C1D">
            <w:r w:rsidRPr="006A6C1D">
              <w:t>94%</w:t>
            </w:r>
          </w:p>
        </w:tc>
        <w:tc>
          <w:tcPr>
            <w:tcW w:w="1361" w:type="dxa"/>
            <w:shd w:val="clear" w:color="auto" w:fill="auto"/>
            <w:vAlign w:val="center"/>
          </w:tcPr>
          <w:p w:rsidR="0050667A" w:rsidRPr="006A6C1D" w:rsidRDefault="0050667A" w:rsidP="006A6C1D">
            <w:r w:rsidRPr="006A6C1D">
              <w:t>95%</w:t>
            </w:r>
          </w:p>
        </w:tc>
        <w:tc>
          <w:tcPr>
            <w:tcW w:w="1361" w:type="dxa"/>
            <w:shd w:val="clear" w:color="auto" w:fill="auto"/>
            <w:vAlign w:val="center"/>
          </w:tcPr>
          <w:p w:rsidR="0050667A" w:rsidRPr="006A6C1D" w:rsidRDefault="0050667A" w:rsidP="006A6C1D">
            <w:r w:rsidRPr="006A6C1D">
              <w:t>95%</w:t>
            </w:r>
          </w:p>
        </w:tc>
        <w:tc>
          <w:tcPr>
            <w:tcW w:w="1361" w:type="dxa"/>
            <w:shd w:val="clear" w:color="auto" w:fill="auto"/>
            <w:vAlign w:val="center"/>
          </w:tcPr>
          <w:p w:rsidR="0050667A" w:rsidRPr="006A6C1D" w:rsidRDefault="0050667A" w:rsidP="006A6C1D">
            <w:r w:rsidRPr="006A6C1D">
              <w:t>94%</w:t>
            </w:r>
          </w:p>
        </w:tc>
        <w:tc>
          <w:tcPr>
            <w:tcW w:w="1361" w:type="dxa"/>
            <w:shd w:val="clear" w:color="auto" w:fill="auto"/>
            <w:vAlign w:val="center"/>
          </w:tcPr>
          <w:p w:rsidR="0050667A" w:rsidRPr="006A6C1D" w:rsidRDefault="0050667A" w:rsidP="006A6C1D">
            <w:r w:rsidRPr="006A6C1D">
              <w:t>98%</w:t>
            </w:r>
          </w:p>
        </w:tc>
      </w:tr>
    </w:tbl>
    <w:p w:rsidR="0050667A" w:rsidRPr="006A6C1D" w:rsidRDefault="0050667A" w:rsidP="006A6C1D"/>
    <w:p w:rsidR="0050667A" w:rsidRPr="006A6C1D" w:rsidRDefault="0050667A" w:rsidP="00530D24">
      <w:pPr>
        <w:pStyle w:val="Subsection"/>
      </w:pPr>
      <w:r w:rsidRPr="006A6C1D">
        <w:lastRenderedPageBreak/>
        <w:t>Number of national applications received – by technical field</w:t>
      </w:r>
    </w:p>
    <w:p w:rsidR="0050667A" w:rsidRPr="00530D24" w:rsidRDefault="0050667A" w:rsidP="00530D24">
      <w:pPr>
        <w:keepNext/>
        <w:keepLines/>
        <w:rPr>
          <w:i/>
        </w:rPr>
      </w:pPr>
      <w:r w:rsidRPr="00530D24">
        <w:rPr>
          <w:i/>
        </w:rPr>
        <w:t xml:space="preserve">These numbers are derived from CIPO’s internal </w:t>
      </w:r>
      <w:proofErr w:type="spellStart"/>
      <w:r w:rsidRPr="00530D24">
        <w:rPr>
          <w:i/>
        </w:rPr>
        <w:t>TechSource</w:t>
      </w:r>
      <w:proofErr w:type="spellEnd"/>
      <w:r w:rsidRPr="00530D24">
        <w:rPr>
          <w:i/>
        </w:rPr>
        <w:t xml:space="preserve"> database and are based on the International Patent Classification symbol assigned to an application and which examination Division within CIPO examines that sub-group.</w:t>
      </w:r>
    </w:p>
    <w:p w:rsidR="0050667A" w:rsidRPr="006A6C1D" w:rsidRDefault="0050667A" w:rsidP="00530D24">
      <w:pPr>
        <w:keepNext/>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50667A" w:rsidRPr="006A6C1D" w:rsidTr="0050667A">
        <w:trPr>
          <w:cantSplit/>
        </w:trPr>
        <w:tc>
          <w:tcPr>
            <w:tcW w:w="2518" w:type="dxa"/>
            <w:tcBorders>
              <w:tl2br w:val="single" w:sz="4" w:space="0" w:color="auto"/>
            </w:tcBorders>
            <w:shd w:val="clear" w:color="auto" w:fill="auto"/>
          </w:tcPr>
          <w:p w:rsidR="0050667A" w:rsidRPr="00530D24" w:rsidRDefault="0050667A" w:rsidP="00530D24">
            <w:pPr>
              <w:keepNext/>
              <w:keepLines/>
              <w:rPr>
                <w:b/>
              </w:rPr>
            </w:pPr>
          </w:p>
          <w:p w:rsidR="0050667A" w:rsidRPr="00530D24" w:rsidRDefault="0050667A" w:rsidP="00530D24">
            <w:pPr>
              <w:keepNext/>
              <w:keepLines/>
              <w:rPr>
                <w:b/>
              </w:rPr>
            </w:pPr>
            <w:r w:rsidRPr="00530D24">
              <w:rPr>
                <w:b/>
              </w:rPr>
              <w:t>Year</w:t>
            </w:r>
          </w:p>
          <w:p w:rsidR="0050667A" w:rsidRPr="00530D24" w:rsidRDefault="0050667A" w:rsidP="00530D24">
            <w:pPr>
              <w:keepNext/>
              <w:keepLines/>
              <w:rPr>
                <w:b/>
              </w:rPr>
            </w:pPr>
            <w:r w:rsidRPr="00530D24">
              <w:rPr>
                <w:b/>
              </w:rPr>
              <w:t>Technical Field</w:t>
            </w:r>
          </w:p>
        </w:tc>
        <w:tc>
          <w:tcPr>
            <w:tcW w:w="1360" w:type="dxa"/>
            <w:shd w:val="clear" w:color="auto" w:fill="auto"/>
            <w:vAlign w:val="center"/>
          </w:tcPr>
          <w:p w:rsidR="0050667A" w:rsidRPr="00530D24" w:rsidRDefault="0050667A" w:rsidP="00530D24">
            <w:pPr>
              <w:keepNext/>
              <w:keepLines/>
              <w:rPr>
                <w:b/>
              </w:rPr>
            </w:pPr>
            <w:r w:rsidRPr="00530D24">
              <w:rPr>
                <w:b/>
              </w:rPr>
              <w:t>2011-2012</w:t>
            </w:r>
          </w:p>
        </w:tc>
        <w:tc>
          <w:tcPr>
            <w:tcW w:w="1361" w:type="dxa"/>
            <w:shd w:val="clear" w:color="auto" w:fill="auto"/>
            <w:vAlign w:val="center"/>
          </w:tcPr>
          <w:p w:rsidR="0050667A" w:rsidRPr="00530D24" w:rsidRDefault="0050667A" w:rsidP="00530D24">
            <w:pPr>
              <w:keepNext/>
              <w:keepLines/>
              <w:rPr>
                <w:b/>
              </w:rPr>
            </w:pPr>
            <w:r w:rsidRPr="00530D24">
              <w:rPr>
                <w:b/>
              </w:rPr>
              <w:t>2012-2013</w:t>
            </w:r>
          </w:p>
        </w:tc>
        <w:tc>
          <w:tcPr>
            <w:tcW w:w="1361" w:type="dxa"/>
            <w:shd w:val="clear" w:color="auto" w:fill="auto"/>
            <w:vAlign w:val="center"/>
          </w:tcPr>
          <w:p w:rsidR="0050667A" w:rsidRPr="00530D24" w:rsidRDefault="0050667A" w:rsidP="00530D24">
            <w:pPr>
              <w:keepNext/>
              <w:keepLines/>
              <w:rPr>
                <w:b/>
              </w:rPr>
            </w:pPr>
            <w:r w:rsidRPr="00530D24">
              <w:rPr>
                <w:b/>
              </w:rPr>
              <w:t>2013-2014</w:t>
            </w:r>
          </w:p>
        </w:tc>
        <w:tc>
          <w:tcPr>
            <w:tcW w:w="1361" w:type="dxa"/>
            <w:shd w:val="clear" w:color="auto" w:fill="auto"/>
            <w:vAlign w:val="center"/>
          </w:tcPr>
          <w:p w:rsidR="0050667A" w:rsidRPr="00530D24" w:rsidRDefault="0050667A" w:rsidP="00530D24">
            <w:pPr>
              <w:keepNext/>
              <w:keepLines/>
              <w:rPr>
                <w:b/>
              </w:rPr>
            </w:pPr>
            <w:r w:rsidRPr="00530D24">
              <w:rPr>
                <w:b/>
              </w:rPr>
              <w:t>2014-2015</w:t>
            </w:r>
          </w:p>
        </w:tc>
        <w:tc>
          <w:tcPr>
            <w:tcW w:w="1361" w:type="dxa"/>
            <w:shd w:val="clear" w:color="auto" w:fill="auto"/>
            <w:vAlign w:val="center"/>
          </w:tcPr>
          <w:p w:rsidR="0050667A" w:rsidRPr="00530D24" w:rsidRDefault="0050667A" w:rsidP="00530D24">
            <w:pPr>
              <w:keepNext/>
              <w:keepLines/>
              <w:rPr>
                <w:b/>
              </w:rPr>
            </w:pPr>
            <w:r w:rsidRPr="00530D24">
              <w:rPr>
                <w:b/>
              </w:rPr>
              <w:t>2015-2016</w:t>
            </w:r>
          </w:p>
        </w:tc>
      </w:tr>
      <w:tr w:rsidR="0050667A" w:rsidRPr="006A6C1D" w:rsidTr="0050667A">
        <w:trPr>
          <w:cantSplit/>
        </w:trPr>
        <w:tc>
          <w:tcPr>
            <w:tcW w:w="2518" w:type="dxa"/>
            <w:shd w:val="clear" w:color="auto" w:fill="auto"/>
          </w:tcPr>
          <w:p w:rsidR="0050667A" w:rsidRPr="006A6C1D" w:rsidRDefault="0050667A" w:rsidP="00530D24">
            <w:pPr>
              <w:keepNext/>
              <w:keepLines/>
            </w:pPr>
            <w:r w:rsidRPr="006A6C1D">
              <w:t>Mechanical</w:t>
            </w:r>
          </w:p>
        </w:tc>
        <w:tc>
          <w:tcPr>
            <w:tcW w:w="1360" w:type="dxa"/>
            <w:shd w:val="clear" w:color="auto" w:fill="auto"/>
            <w:vAlign w:val="center"/>
          </w:tcPr>
          <w:p w:rsidR="0050667A" w:rsidRPr="006A6C1D" w:rsidRDefault="0050667A" w:rsidP="00530D24">
            <w:pPr>
              <w:keepNext/>
              <w:keepLines/>
            </w:pPr>
            <w:r w:rsidRPr="006A6C1D">
              <w:t>10,043</w:t>
            </w:r>
          </w:p>
        </w:tc>
        <w:tc>
          <w:tcPr>
            <w:tcW w:w="1361" w:type="dxa"/>
            <w:shd w:val="clear" w:color="auto" w:fill="auto"/>
            <w:vAlign w:val="center"/>
          </w:tcPr>
          <w:p w:rsidR="0050667A" w:rsidRPr="006A6C1D" w:rsidRDefault="0050667A" w:rsidP="00530D24">
            <w:pPr>
              <w:keepNext/>
              <w:keepLines/>
            </w:pPr>
            <w:r w:rsidRPr="006A6C1D">
              <w:t>10,916</w:t>
            </w:r>
          </w:p>
        </w:tc>
        <w:tc>
          <w:tcPr>
            <w:tcW w:w="1361" w:type="dxa"/>
            <w:shd w:val="clear" w:color="auto" w:fill="auto"/>
            <w:vAlign w:val="center"/>
          </w:tcPr>
          <w:p w:rsidR="0050667A" w:rsidRPr="006A6C1D" w:rsidRDefault="0050667A" w:rsidP="00530D24">
            <w:pPr>
              <w:keepNext/>
              <w:keepLines/>
            </w:pPr>
            <w:r w:rsidRPr="006A6C1D">
              <w:t>10,845</w:t>
            </w:r>
          </w:p>
        </w:tc>
        <w:tc>
          <w:tcPr>
            <w:tcW w:w="1361" w:type="dxa"/>
            <w:shd w:val="clear" w:color="auto" w:fill="auto"/>
            <w:vAlign w:val="center"/>
          </w:tcPr>
          <w:p w:rsidR="0050667A" w:rsidRPr="006A6C1D" w:rsidRDefault="0050667A" w:rsidP="00530D24">
            <w:pPr>
              <w:keepNext/>
              <w:keepLines/>
            </w:pPr>
            <w:r w:rsidRPr="006A6C1D">
              <w:t>11,253</w:t>
            </w:r>
          </w:p>
        </w:tc>
        <w:tc>
          <w:tcPr>
            <w:tcW w:w="1361" w:type="dxa"/>
            <w:shd w:val="clear" w:color="auto" w:fill="auto"/>
            <w:vAlign w:val="center"/>
          </w:tcPr>
          <w:p w:rsidR="0050667A" w:rsidRPr="006A6C1D" w:rsidRDefault="0050667A" w:rsidP="00530D24">
            <w:pPr>
              <w:keepNext/>
              <w:keepLines/>
            </w:pPr>
            <w:r w:rsidRPr="006A6C1D">
              <w:t>13,615</w:t>
            </w:r>
          </w:p>
        </w:tc>
      </w:tr>
      <w:tr w:rsidR="0050667A" w:rsidRPr="006A6C1D" w:rsidTr="0050667A">
        <w:trPr>
          <w:cantSplit/>
        </w:trPr>
        <w:tc>
          <w:tcPr>
            <w:tcW w:w="2518" w:type="dxa"/>
            <w:shd w:val="clear" w:color="auto" w:fill="auto"/>
          </w:tcPr>
          <w:p w:rsidR="0050667A" w:rsidRPr="006A6C1D" w:rsidRDefault="0050667A" w:rsidP="00530D24">
            <w:pPr>
              <w:keepNext/>
              <w:keepLines/>
            </w:pPr>
            <w:r w:rsidRPr="006A6C1D">
              <w:t>Electrical</w:t>
            </w:r>
          </w:p>
        </w:tc>
        <w:tc>
          <w:tcPr>
            <w:tcW w:w="1360" w:type="dxa"/>
            <w:shd w:val="clear" w:color="auto" w:fill="auto"/>
            <w:vAlign w:val="center"/>
          </w:tcPr>
          <w:p w:rsidR="0050667A" w:rsidRPr="006A6C1D" w:rsidRDefault="0050667A" w:rsidP="00530D24">
            <w:pPr>
              <w:keepNext/>
              <w:keepLines/>
            </w:pPr>
          </w:p>
        </w:tc>
        <w:tc>
          <w:tcPr>
            <w:tcW w:w="1361" w:type="dxa"/>
            <w:shd w:val="clear" w:color="auto" w:fill="auto"/>
            <w:vAlign w:val="center"/>
          </w:tcPr>
          <w:p w:rsidR="0050667A" w:rsidRPr="006A6C1D" w:rsidRDefault="0050667A" w:rsidP="00530D24">
            <w:pPr>
              <w:keepNext/>
              <w:keepLines/>
            </w:pPr>
          </w:p>
        </w:tc>
        <w:tc>
          <w:tcPr>
            <w:tcW w:w="1361" w:type="dxa"/>
            <w:shd w:val="clear" w:color="auto" w:fill="auto"/>
            <w:vAlign w:val="center"/>
          </w:tcPr>
          <w:p w:rsidR="0050667A" w:rsidRPr="006A6C1D" w:rsidRDefault="0050667A" w:rsidP="00530D24">
            <w:pPr>
              <w:keepNext/>
              <w:keepLines/>
            </w:pPr>
          </w:p>
        </w:tc>
        <w:tc>
          <w:tcPr>
            <w:tcW w:w="1361" w:type="dxa"/>
            <w:shd w:val="clear" w:color="auto" w:fill="auto"/>
            <w:vAlign w:val="center"/>
          </w:tcPr>
          <w:p w:rsidR="0050667A" w:rsidRPr="006A6C1D" w:rsidRDefault="0050667A" w:rsidP="00530D24">
            <w:pPr>
              <w:keepNext/>
              <w:keepLines/>
            </w:pPr>
          </w:p>
        </w:tc>
        <w:tc>
          <w:tcPr>
            <w:tcW w:w="1361" w:type="dxa"/>
            <w:shd w:val="clear" w:color="auto" w:fill="auto"/>
            <w:vAlign w:val="center"/>
          </w:tcPr>
          <w:p w:rsidR="0050667A" w:rsidRPr="006A6C1D" w:rsidRDefault="0050667A" w:rsidP="00530D24">
            <w:pPr>
              <w:keepNext/>
              <w:keepLines/>
            </w:pPr>
          </w:p>
        </w:tc>
      </w:tr>
      <w:tr w:rsidR="0050667A" w:rsidRPr="006A6C1D" w:rsidTr="0050667A">
        <w:trPr>
          <w:cantSplit/>
        </w:trPr>
        <w:tc>
          <w:tcPr>
            <w:tcW w:w="2518" w:type="dxa"/>
            <w:shd w:val="clear" w:color="auto" w:fill="auto"/>
          </w:tcPr>
          <w:p w:rsidR="0050667A" w:rsidRPr="006A6C1D" w:rsidRDefault="0050667A" w:rsidP="00530D24">
            <w:pPr>
              <w:keepNext/>
              <w:keepLines/>
            </w:pPr>
            <w:r w:rsidRPr="006A6C1D">
              <w:t xml:space="preserve">   Computer-related</w:t>
            </w:r>
          </w:p>
        </w:tc>
        <w:tc>
          <w:tcPr>
            <w:tcW w:w="1360" w:type="dxa"/>
            <w:shd w:val="clear" w:color="auto" w:fill="auto"/>
            <w:vAlign w:val="center"/>
          </w:tcPr>
          <w:p w:rsidR="0050667A" w:rsidRPr="006A6C1D" w:rsidRDefault="0050667A" w:rsidP="00530D24">
            <w:pPr>
              <w:keepNext/>
              <w:keepLines/>
            </w:pPr>
            <w:r w:rsidRPr="006A6C1D">
              <w:t>5,786</w:t>
            </w:r>
          </w:p>
        </w:tc>
        <w:tc>
          <w:tcPr>
            <w:tcW w:w="1361" w:type="dxa"/>
            <w:shd w:val="clear" w:color="auto" w:fill="auto"/>
            <w:vAlign w:val="center"/>
          </w:tcPr>
          <w:p w:rsidR="0050667A" w:rsidRPr="006A6C1D" w:rsidRDefault="0050667A" w:rsidP="00530D24">
            <w:pPr>
              <w:keepNext/>
              <w:keepLines/>
            </w:pPr>
            <w:r w:rsidRPr="006A6C1D">
              <w:t>5,973</w:t>
            </w:r>
          </w:p>
        </w:tc>
        <w:tc>
          <w:tcPr>
            <w:tcW w:w="1361" w:type="dxa"/>
            <w:shd w:val="clear" w:color="auto" w:fill="auto"/>
            <w:vAlign w:val="center"/>
          </w:tcPr>
          <w:p w:rsidR="0050667A" w:rsidRPr="006A6C1D" w:rsidRDefault="0050667A" w:rsidP="00530D24">
            <w:pPr>
              <w:keepNext/>
              <w:keepLines/>
            </w:pPr>
            <w:r w:rsidRPr="006A6C1D">
              <w:t>6,018</w:t>
            </w:r>
          </w:p>
        </w:tc>
        <w:tc>
          <w:tcPr>
            <w:tcW w:w="1361" w:type="dxa"/>
            <w:shd w:val="clear" w:color="auto" w:fill="auto"/>
            <w:vAlign w:val="center"/>
          </w:tcPr>
          <w:p w:rsidR="0050667A" w:rsidRPr="006A6C1D" w:rsidRDefault="0050667A" w:rsidP="00530D24">
            <w:pPr>
              <w:keepNext/>
              <w:keepLines/>
            </w:pPr>
            <w:r w:rsidRPr="006A6C1D">
              <w:t>5,433</w:t>
            </w:r>
          </w:p>
        </w:tc>
        <w:tc>
          <w:tcPr>
            <w:tcW w:w="1361" w:type="dxa"/>
            <w:shd w:val="clear" w:color="auto" w:fill="auto"/>
            <w:vAlign w:val="center"/>
          </w:tcPr>
          <w:p w:rsidR="0050667A" w:rsidRPr="006A6C1D" w:rsidRDefault="0050667A" w:rsidP="00530D24">
            <w:pPr>
              <w:keepNext/>
              <w:keepLines/>
            </w:pPr>
            <w:r w:rsidRPr="006A6C1D">
              <w:t>5,848</w:t>
            </w:r>
          </w:p>
        </w:tc>
      </w:tr>
      <w:tr w:rsidR="0050667A" w:rsidRPr="006A6C1D" w:rsidTr="0050667A">
        <w:trPr>
          <w:cantSplit/>
        </w:trPr>
        <w:tc>
          <w:tcPr>
            <w:tcW w:w="2518" w:type="dxa"/>
            <w:shd w:val="clear" w:color="auto" w:fill="auto"/>
          </w:tcPr>
          <w:p w:rsidR="0050667A" w:rsidRPr="006A6C1D" w:rsidRDefault="0050667A" w:rsidP="00530D24">
            <w:pPr>
              <w:keepNext/>
              <w:keepLines/>
            </w:pPr>
            <w:r w:rsidRPr="006A6C1D">
              <w:t xml:space="preserve">   Electrical/Physics</w:t>
            </w:r>
          </w:p>
        </w:tc>
        <w:tc>
          <w:tcPr>
            <w:tcW w:w="1360" w:type="dxa"/>
            <w:shd w:val="clear" w:color="auto" w:fill="auto"/>
            <w:vAlign w:val="center"/>
          </w:tcPr>
          <w:p w:rsidR="0050667A" w:rsidRPr="006A6C1D" w:rsidRDefault="0050667A" w:rsidP="00530D24">
            <w:pPr>
              <w:keepNext/>
              <w:keepLines/>
            </w:pPr>
            <w:r w:rsidRPr="006A6C1D">
              <w:t>3,409</w:t>
            </w:r>
          </w:p>
        </w:tc>
        <w:tc>
          <w:tcPr>
            <w:tcW w:w="1361" w:type="dxa"/>
            <w:shd w:val="clear" w:color="auto" w:fill="auto"/>
            <w:vAlign w:val="center"/>
          </w:tcPr>
          <w:p w:rsidR="0050667A" w:rsidRPr="006A6C1D" w:rsidRDefault="0050667A" w:rsidP="00530D24">
            <w:pPr>
              <w:keepNext/>
              <w:keepLines/>
            </w:pPr>
            <w:r w:rsidRPr="006A6C1D">
              <w:t>3,456</w:t>
            </w:r>
          </w:p>
        </w:tc>
        <w:tc>
          <w:tcPr>
            <w:tcW w:w="1361" w:type="dxa"/>
            <w:shd w:val="clear" w:color="auto" w:fill="auto"/>
            <w:vAlign w:val="center"/>
          </w:tcPr>
          <w:p w:rsidR="0050667A" w:rsidRPr="006A6C1D" w:rsidRDefault="0050667A" w:rsidP="00530D24">
            <w:pPr>
              <w:keepNext/>
              <w:keepLines/>
            </w:pPr>
            <w:r w:rsidRPr="006A6C1D">
              <w:t>3,360</w:t>
            </w:r>
          </w:p>
        </w:tc>
        <w:tc>
          <w:tcPr>
            <w:tcW w:w="1361" w:type="dxa"/>
            <w:shd w:val="clear" w:color="auto" w:fill="auto"/>
            <w:vAlign w:val="center"/>
          </w:tcPr>
          <w:p w:rsidR="0050667A" w:rsidRPr="006A6C1D" w:rsidRDefault="0050667A" w:rsidP="00530D24">
            <w:pPr>
              <w:keepNext/>
              <w:keepLines/>
            </w:pPr>
            <w:r w:rsidRPr="006A6C1D">
              <w:t>3,268</w:t>
            </w:r>
          </w:p>
        </w:tc>
        <w:tc>
          <w:tcPr>
            <w:tcW w:w="1361" w:type="dxa"/>
            <w:shd w:val="clear" w:color="auto" w:fill="auto"/>
            <w:vAlign w:val="center"/>
          </w:tcPr>
          <w:p w:rsidR="0050667A" w:rsidRPr="006A6C1D" w:rsidRDefault="0050667A" w:rsidP="00530D24">
            <w:pPr>
              <w:keepNext/>
              <w:keepLines/>
            </w:pPr>
            <w:r w:rsidRPr="006A6C1D">
              <w:t>3,521</w:t>
            </w:r>
          </w:p>
        </w:tc>
      </w:tr>
      <w:tr w:rsidR="0050667A" w:rsidRPr="006A6C1D" w:rsidTr="0050667A">
        <w:trPr>
          <w:cantSplit/>
        </w:trPr>
        <w:tc>
          <w:tcPr>
            <w:tcW w:w="2518" w:type="dxa"/>
            <w:shd w:val="clear" w:color="auto" w:fill="auto"/>
          </w:tcPr>
          <w:p w:rsidR="0050667A" w:rsidRPr="006A6C1D" w:rsidRDefault="0050667A" w:rsidP="00530D24">
            <w:pPr>
              <w:keepNext/>
              <w:keepLines/>
            </w:pPr>
            <w:r w:rsidRPr="006A6C1D">
              <w:t>Chemistry</w:t>
            </w:r>
          </w:p>
        </w:tc>
        <w:tc>
          <w:tcPr>
            <w:tcW w:w="1360" w:type="dxa"/>
            <w:shd w:val="clear" w:color="auto" w:fill="auto"/>
            <w:vAlign w:val="center"/>
          </w:tcPr>
          <w:p w:rsidR="0050667A" w:rsidRPr="006A6C1D" w:rsidRDefault="0050667A" w:rsidP="00530D24">
            <w:pPr>
              <w:keepNext/>
              <w:keepLines/>
            </w:pPr>
            <w:r w:rsidRPr="006A6C1D">
              <w:t>3,995</w:t>
            </w:r>
          </w:p>
        </w:tc>
        <w:tc>
          <w:tcPr>
            <w:tcW w:w="1361" w:type="dxa"/>
            <w:shd w:val="clear" w:color="auto" w:fill="auto"/>
            <w:vAlign w:val="center"/>
          </w:tcPr>
          <w:p w:rsidR="0050667A" w:rsidRPr="006A6C1D" w:rsidRDefault="0050667A" w:rsidP="00530D24">
            <w:pPr>
              <w:keepNext/>
              <w:keepLines/>
            </w:pPr>
            <w:r w:rsidRPr="006A6C1D">
              <w:t>3,486</w:t>
            </w:r>
          </w:p>
        </w:tc>
        <w:tc>
          <w:tcPr>
            <w:tcW w:w="1361" w:type="dxa"/>
            <w:shd w:val="clear" w:color="auto" w:fill="auto"/>
            <w:vAlign w:val="center"/>
          </w:tcPr>
          <w:p w:rsidR="0050667A" w:rsidRPr="006A6C1D" w:rsidRDefault="0050667A" w:rsidP="00530D24">
            <w:pPr>
              <w:keepNext/>
              <w:keepLines/>
            </w:pPr>
            <w:r w:rsidRPr="006A6C1D">
              <w:t>3,416</w:t>
            </w:r>
          </w:p>
        </w:tc>
        <w:tc>
          <w:tcPr>
            <w:tcW w:w="1361" w:type="dxa"/>
            <w:shd w:val="clear" w:color="auto" w:fill="auto"/>
            <w:vAlign w:val="center"/>
          </w:tcPr>
          <w:p w:rsidR="0050667A" w:rsidRPr="006A6C1D" w:rsidRDefault="0050667A" w:rsidP="00530D24">
            <w:pPr>
              <w:keepNext/>
              <w:keepLines/>
            </w:pPr>
            <w:r w:rsidRPr="006A6C1D">
              <w:t>3,329</w:t>
            </w:r>
          </w:p>
        </w:tc>
        <w:tc>
          <w:tcPr>
            <w:tcW w:w="1361" w:type="dxa"/>
            <w:shd w:val="clear" w:color="auto" w:fill="auto"/>
            <w:vAlign w:val="center"/>
          </w:tcPr>
          <w:p w:rsidR="0050667A" w:rsidRPr="006A6C1D" w:rsidRDefault="0050667A" w:rsidP="00530D24">
            <w:pPr>
              <w:keepNext/>
              <w:keepLines/>
            </w:pPr>
            <w:r w:rsidRPr="006A6C1D">
              <w:t>3,427</w:t>
            </w:r>
          </w:p>
        </w:tc>
      </w:tr>
      <w:tr w:rsidR="0050667A" w:rsidRPr="006A6C1D" w:rsidTr="0050667A">
        <w:trPr>
          <w:cantSplit/>
        </w:trPr>
        <w:tc>
          <w:tcPr>
            <w:tcW w:w="2518" w:type="dxa"/>
            <w:shd w:val="clear" w:color="auto" w:fill="auto"/>
          </w:tcPr>
          <w:p w:rsidR="0050667A" w:rsidRPr="006A6C1D" w:rsidRDefault="0050667A" w:rsidP="00530D24">
            <w:pPr>
              <w:keepNext/>
              <w:keepLines/>
            </w:pPr>
            <w:r w:rsidRPr="006A6C1D">
              <w:t xml:space="preserve">   General Chemistry</w:t>
            </w:r>
          </w:p>
        </w:tc>
        <w:tc>
          <w:tcPr>
            <w:tcW w:w="1360" w:type="dxa"/>
            <w:shd w:val="clear" w:color="auto" w:fill="auto"/>
            <w:vAlign w:val="center"/>
          </w:tcPr>
          <w:p w:rsidR="0050667A" w:rsidRPr="006A6C1D" w:rsidRDefault="0050667A" w:rsidP="00530D24">
            <w:pPr>
              <w:keepNext/>
              <w:keepLines/>
            </w:pPr>
          </w:p>
        </w:tc>
        <w:tc>
          <w:tcPr>
            <w:tcW w:w="1361" w:type="dxa"/>
            <w:shd w:val="clear" w:color="auto" w:fill="auto"/>
            <w:vAlign w:val="center"/>
          </w:tcPr>
          <w:p w:rsidR="0050667A" w:rsidRPr="006A6C1D" w:rsidRDefault="0050667A" w:rsidP="00530D24">
            <w:pPr>
              <w:keepNext/>
              <w:keepLines/>
            </w:pPr>
          </w:p>
        </w:tc>
        <w:tc>
          <w:tcPr>
            <w:tcW w:w="1361" w:type="dxa"/>
            <w:shd w:val="clear" w:color="auto" w:fill="auto"/>
            <w:vAlign w:val="center"/>
          </w:tcPr>
          <w:p w:rsidR="0050667A" w:rsidRPr="006A6C1D" w:rsidRDefault="0050667A" w:rsidP="00530D24">
            <w:pPr>
              <w:keepNext/>
              <w:keepLines/>
            </w:pPr>
          </w:p>
        </w:tc>
        <w:tc>
          <w:tcPr>
            <w:tcW w:w="1361" w:type="dxa"/>
            <w:shd w:val="clear" w:color="auto" w:fill="auto"/>
            <w:vAlign w:val="center"/>
          </w:tcPr>
          <w:p w:rsidR="0050667A" w:rsidRPr="006A6C1D" w:rsidRDefault="0050667A" w:rsidP="00530D24">
            <w:pPr>
              <w:keepNext/>
              <w:keepLines/>
            </w:pPr>
          </w:p>
        </w:tc>
        <w:tc>
          <w:tcPr>
            <w:tcW w:w="1361" w:type="dxa"/>
            <w:shd w:val="clear" w:color="auto" w:fill="auto"/>
            <w:vAlign w:val="center"/>
          </w:tcPr>
          <w:p w:rsidR="0050667A" w:rsidRPr="006A6C1D" w:rsidRDefault="0050667A" w:rsidP="00530D24">
            <w:pPr>
              <w:keepNext/>
              <w:keepLines/>
            </w:pPr>
          </w:p>
        </w:tc>
      </w:tr>
      <w:tr w:rsidR="0050667A" w:rsidRPr="006A6C1D" w:rsidTr="0050667A">
        <w:trPr>
          <w:cantSplit/>
        </w:trPr>
        <w:tc>
          <w:tcPr>
            <w:tcW w:w="2518" w:type="dxa"/>
            <w:shd w:val="clear" w:color="auto" w:fill="auto"/>
          </w:tcPr>
          <w:p w:rsidR="0050667A" w:rsidRPr="006A6C1D" w:rsidRDefault="0050667A" w:rsidP="00530D24">
            <w:pPr>
              <w:keepNext/>
              <w:keepLines/>
            </w:pPr>
            <w:r w:rsidRPr="006A6C1D">
              <w:t xml:space="preserve">   Organic Chemistry</w:t>
            </w:r>
          </w:p>
        </w:tc>
        <w:tc>
          <w:tcPr>
            <w:tcW w:w="1360" w:type="dxa"/>
            <w:shd w:val="clear" w:color="auto" w:fill="auto"/>
            <w:vAlign w:val="center"/>
          </w:tcPr>
          <w:p w:rsidR="0050667A" w:rsidRPr="006A6C1D" w:rsidRDefault="0050667A" w:rsidP="00530D24">
            <w:pPr>
              <w:keepNext/>
              <w:keepLines/>
            </w:pPr>
            <w:r w:rsidRPr="006A6C1D">
              <w:t>5,386</w:t>
            </w:r>
          </w:p>
        </w:tc>
        <w:tc>
          <w:tcPr>
            <w:tcW w:w="1361" w:type="dxa"/>
            <w:shd w:val="clear" w:color="auto" w:fill="auto"/>
            <w:vAlign w:val="center"/>
          </w:tcPr>
          <w:p w:rsidR="0050667A" w:rsidRPr="006A6C1D" w:rsidRDefault="0050667A" w:rsidP="00530D24">
            <w:pPr>
              <w:keepNext/>
              <w:keepLines/>
            </w:pPr>
            <w:r w:rsidRPr="006A6C1D">
              <w:t>5,259</w:t>
            </w:r>
          </w:p>
        </w:tc>
        <w:tc>
          <w:tcPr>
            <w:tcW w:w="1361" w:type="dxa"/>
            <w:shd w:val="clear" w:color="auto" w:fill="auto"/>
            <w:vAlign w:val="center"/>
          </w:tcPr>
          <w:p w:rsidR="0050667A" w:rsidRPr="006A6C1D" w:rsidRDefault="0050667A" w:rsidP="00530D24">
            <w:pPr>
              <w:keepNext/>
              <w:keepLines/>
            </w:pPr>
            <w:r w:rsidRPr="006A6C1D">
              <w:t>5,137</w:t>
            </w:r>
          </w:p>
        </w:tc>
        <w:tc>
          <w:tcPr>
            <w:tcW w:w="1361" w:type="dxa"/>
            <w:shd w:val="clear" w:color="auto" w:fill="auto"/>
            <w:vAlign w:val="center"/>
          </w:tcPr>
          <w:p w:rsidR="0050667A" w:rsidRPr="006A6C1D" w:rsidRDefault="0050667A" w:rsidP="00530D24">
            <w:pPr>
              <w:keepNext/>
              <w:keepLines/>
            </w:pPr>
            <w:r w:rsidRPr="006A6C1D">
              <w:t>5,258</w:t>
            </w:r>
          </w:p>
        </w:tc>
        <w:tc>
          <w:tcPr>
            <w:tcW w:w="1361" w:type="dxa"/>
            <w:shd w:val="clear" w:color="auto" w:fill="auto"/>
            <w:vAlign w:val="center"/>
          </w:tcPr>
          <w:p w:rsidR="0050667A" w:rsidRPr="006A6C1D" w:rsidRDefault="0050667A" w:rsidP="00530D24">
            <w:pPr>
              <w:keepNext/>
              <w:keepLines/>
            </w:pPr>
            <w:r w:rsidRPr="006A6C1D">
              <w:t>3,715</w:t>
            </w:r>
          </w:p>
        </w:tc>
      </w:tr>
      <w:tr w:rsidR="0050667A" w:rsidRPr="006A6C1D" w:rsidTr="0050667A">
        <w:trPr>
          <w:cantSplit/>
        </w:trPr>
        <w:tc>
          <w:tcPr>
            <w:tcW w:w="2518" w:type="dxa"/>
            <w:shd w:val="clear" w:color="auto" w:fill="auto"/>
          </w:tcPr>
          <w:p w:rsidR="0050667A" w:rsidRPr="006A6C1D" w:rsidRDefault="0050667A" w:rsidP="00530D24">
            <w:pPr>
              <w:keepNext/>
              <w:keepLines/>
            </w:pPr>
            <w:r w:rsidRPr="006A6C1D">
              <w:t>Biotech</w:t>
            </w:r>
          </w:p>
        </w:tc>
        <w:tc>
          <w:tcPr>
            <w:tcW w:w="1360" w:type="dxa"/>
            <w:shd w:val="clear" w:color="auto" w:fill="auto"/>
            <w:vAlign w:val="center"/>
          </w:tcPr>
          <w:p w:rsidR="0050667A" w:rsidRPr="006A6C1D" w:rsidRDefault="0050667A" w:rsidP="00530D24">
            <w:pPr>
              <w:keepNext/>
              <w:keepLines/>
            </w:pPr>
            <w:r w:rsidRPr="006A6C1D">
              <w:t>3,210</w:t>
            </w:r>
          </w:p>
        </w:tc>
        <w:tc>
          <w:tcPr>
            <w:tcW w:w="1361" w:type="dxa"/>
            <w:shd w:val="clear" w:color="auto" w:fill="auto"/>
            <w:vAlign w:val="center"/>
          </w:tcPr>
          <w:p w:rsidR="0050667A" w:rsidRPr="006A6C1D" w:rsidRDefault="0050667A" w:rsidP="00530D24">
            <w:pPr>
              <w:keepNext/>
              <w:keepLines/>
            </w:pPr>
            <w:r w:rsidRPr="006A6C1D">
              <w:t>3,000</w:t>
            </w:r>
          </w:p>
        </w:tc>
        <w:tc>
          <w:tcPr>
            <w:tcW w:w="1361" w:type="dxa"/>
            <w:shd w:val="clear" w:color="auto" w:fill="auto"/>
            <w:vAlign w:val="center"/>
          </w:tcPr>
          <w:p w:rsidR="0050667A" w:rsidRPr="006A6C1D" w:rsidRDefault="0050667A" w:rsidP="00530D24">
            <w:pPr>
              <w:keepNext/>
              <w:keepLines/>
            </w:pPr>
            <w:r w:rsidRPr="006A6C1D">
              <w:t>2,850</w:t>
            </w:r>
          </w:p>
        </w:tc>
        <w:tc>
          <w:tcPr>
            <w:tcW w:w="1361" w:type="dxa"/>
            <w:shd w:val="clear" w:color="auto" w:fill="auto"/>
            <w:vAlign w:val="center"/>
          </w:tcPr>
          <w:p w:rsidR="0050667A" w:rsidRPr="006A6C1D" w:rsidRDefault="0050667A" w:rsidP="00530D24">
            <w:pPr>
              <w:keepNext/>
              <w:keepLines/>
            </w:pPr>
            <w:r w:rsidRPr="006A6C1D">
              <w:t>2,876</w:t>
            </w:r>
          </w:p>
        </w:tc>
        <w:tc>
          <w:tcPr>
            <w:tcW w:w="1361" w:type="dxa"/>
            <w:shd w:val="clear" w:color="auto" w:fill="auto"/>
            <w:vAlign w:val="center"/>
          </w:tcPr>
          <w:p w:rsidR="0050667A" w:rsidRPr="006A6C1D" w:rsidRDefault="0050667A" w:rsidP="00530D24">
            <w:pPr>
              <w:keepNext/>
              <w:keepLines/>
            </w:pPr>
            <w:r w:rsidRPr="006A6C1D">
              <w:t>3,136</w:t>
            </w:r>
          </w:p>
        </w:tc>
      </w:tr>
      <w:tr w:rsidR="0050667A" w:rsidRPr="006A6C1D" w:rsidTr="0050667A">
        <w:trPr>
          <w:cantSplit/>
        </w:trPr>
        <w:tc>
          <w:tcPr>
            <w:tcW w:w="2518" w:type="dxa"/>
            <w:shd w:val="clear" w:color="auto" w:fill="auto"/>
          </w:tcPr>
          <w:p w:rsidR="0050667A" w:rsidRPr="006A6C1D" w:rsidRDefault="0050667A" w:rsidP="00530D24">
            <w:pPr>
              <w:keepNext/>
              <w:keepLines/>
            </w:pPr>
            <w:r w:rsidRPr="006A6C1D">
              <w:t>Miscellaneous</w:t>
            </w:r>
          </w:p>
        </w:tc>
        <w:tc>
          <w:tcPr>
            <w:tcW w:w="1360" w:type="dxa"/>
            <w:shd w:val="clear" w:color="auto" w:fill="auto"/>
            <w:vAlign w:val="center"/>
          </w:tcPr>
          <w:p w:rsidR="0050667A" w:rsidRPr="006A6C1D" w:rsidRDefault="0050667A" w:rsidP="00530D24">
            <w:pPr>
              <w:keepNext/>
              <w:keepLines/>
            </w:pPr>
            <w:r w:rsidRPr="006A6C1D">
              <w:t>3,752</w:t>
            </w:r>
          </w:p>
        </w:tc>
        <w:tc>
          <w:tcPr>
            <w:tcW w:w="1361" w:type="dxa"/>
            <w:shd w:val="clear" w:color="auto" w:fill="auto"/>
            <w:vAlign w:val="center"/>
          </w:tcPr>
          <w:p w:rsidR="0050667A" w:rsidRPr="006A6C1D" w:rsidRDefault="0050667A" w:rsidP="00530D24">
            <w:pPr>
              <w:keepNext/>
              <w:keepLines/>
            </w:pPr>
            <w:r w:rsidRPr="006A6C1D">
              <w:t>3,727</w:t>
            </w:r>
          </w:p>
        </w:tc>
        <w:tc>
          <w:tcPr>
            <w:tcW w:w="1361" w:type="dxa"/>
            <w:shd w:val="clear" w:color="auto" w:fill="auto"/>
            <w:vAlign w:val="center"/>
          </w:tcPr>
          <w:p w:rsidR="0050667A" w:rsidRPr="006A6C1D" w:rsidRDefault="0050667A" w:rsidP="00530D24">
            <w:pPr>
              <w:keepNext/>
              <w:keepLines/>
            </w:pPr>
            <w:r w:rsidRPr="006A6C1D">
              <w:t>3,734</w:t>
            </w:r>
          </w:p>
        </w:tc>
        <w:tc>
          <w:tcPr>
            <w:tcW w:w="1361" w:type="dxa"/>
            <w:shd w:val="clear" w:color="auto" w:fill="auto"/>
            <w:vAlign w:val="center"/>
          </w:tcPr>
          <w:p w:rsidR="0050667A" w:rsidRPr="006A6C1D" w:rsidRDefault="0050667A" w:rsidP="00530D24">
            <w:pPr>
              <w:keepNext/>
              <w:keepLines/>
            </w:pPr>
            <w:r w:rsidRPr="006A6C1D">
              <w:t>3,476</w:t>
            </w:r>
          </w:p>
        </w:tc>
        <w:tc>
          <w:tcPr>
            <w:tcW w:w="1361" w:type="dxa"/>
            <w:shd w:val="clear" w:color="auto" w:fill="auto"/>
            <w:vAlign w:val="center"/>
          </w:tcPr>
          <w:p w:rsidR="0050667A" w:rsidRPr="006A6C1D" w:rsidRDefault="0050667A" w:rsidP="00530D24">
            <w:pPr>
              <w:keepNext/>
              <w:keepLines/>
            </w:pPr>
            <w:r w:rsidRPr="006A6C1D">
              <w:t>3,843</w:t>
            </w:r>
          </w:p>
        </w:tc>
      </w:tr>
      <w:tr w:rsidR="0050667A" w:rsidRPr="00530D24" w:rsidTr="0050667A">
        <w:trPr>
          <w:cantSplit/>
        </w:trPr>
        <w:tc>
          <w:tcPr>
            <w:tcW w:w="2518" w:type="dxa"/>
            <w:shd w:val="clear" w:color="auto" w:fill="auto"/>
          </w:tcPr>
          <w:p w:rsidR="0050667A" w:rsidRPr="00530D24" w:rsidRDefault="0050667A" w:rsidP="006A6C1D">
            <w:pPr>
              <w:rPr>
                <w:i/>
              </w:rPr>
            </w:pPr>
            <w:r w:rsidRPr="00530D24">
              <w:rPr>
                <w:i/>
              </w:rPr>
              <w:t>Total</w:t>
            </w:r>
          </w:p>
        </w:tc>
        <w:tc>
          <w:tcPr>
            <w:tcW w:w="1360" w:type="dxa"/>
            <w:shd w:val="clear" w:color="auto" w:fill="auto"/>
            <w:vAlign w:val="center"/>
          </w:tcPr>
          <w:p w:rsidR="0050667A" w:rsidRPr="00530D24" w:rsidRDefault="0050667A" w:rsidP="006A6C1D">
            <w:pPr>
              <w:rPr>
                <w:i/>
              </w:rPr>
            </w:pPr>
            <w:r w:rsidRPr="00530D24">
              <w:rPr>
                <w:i/>
              </w:rPr>
              <w:t>35,581</w:t>
            </w:r>
          </w:p>
        </w:tc>
        <w:tc>
          <w:tcPr>
            <w:tcW w:w="1361" w:type="dxa"/>
            <w:shd w:val="clear" w:color="auto" w:fill="auto"/>
            <w:vAlign w:val="center"/>
          </w:tcPr>
          <w:p w:rsidR="0050667A" w:rsidRPr="00530D24" w:rsidRDefault="0050667A" w:rsidP="006A6C1D">
            <w:pPr>
              <w:rPr>
                <w:i/>
              </w:rPr>
            </w:pPr>
            <w:r w:rsidRPr="00530D24">
              <w:rPr>
                <w:i/>
              </w:rPr>
              <w:t>35,817</w:t>
            </w:r>
          </w:p>
        </w:tc>
        <w:tc>
          <w:tcPr>
            <w:tcW w:w="1361" w:type="dxa"/>
            <w:shd w:val="clear" w:color="auto" w:fill="auto"/>
            <w:vAlign w:val="center"/>
          </w:tcPr>
          <w:p w:rsidR="0050667A" w:rsidRPr="00530D24" w:rsidRDefault="0050667A" w:rsidP="006A6C1D">
            <w:pPr>
              <w:rPr>
                <w:i/>
              </w:rPr>
            </w:pPr>
            <w:r w:rsidRPr="00530D24">
              <w:rPr>
                <w:i/>
              </w:rPr>
              <w:t>35,361</w:t>
            </w:r>
          </w:p>
        </w:tc>
        <w:tc>
          <w:tcPr>
            <w:tcW w:w="1361" w:type="dxa"/>
            <w:shd w:val="clear" w:color="auto" w:fill="auto"/>
            <w:vAlign w:val="center"/>
          </w:tcPr>
          <w:p w:rsidR="0050667A" w:rsidRPr="00530D24" w:rsidRDefault="0050667A" w:rsidP="006A6C1D">
            <w:pPr>
              <w:rPr>
                <w:i/>
              </w:rPr>
            </w:pPr>
            <w:r w:rsidRPr="00530D24">
              <w:rPr>
                <w:i/>
              </w:rPr>
              <w:t>34,893</w:t>
            </w:r>
          </w:p>
        </w:tc>
        <w:tc>
          <w:tcPr>
            <w:tcW w:w="1361" w:type="dxa"/>
            <w:shd w:val="clear" w:color="auto" w:fill="auto"/>
            <w:vAlign w:val="center"/>
          </w:tcPr>
          <w:p w:rsidR="0050667A" w:rsidRPr="00530D24" w:rsidRDefault="0050667A" w:rsidP="006A6C1D">
            <w:pPr>
              <w:rPr>
                <w:i/>
              </w:rPr>
            </w:pPr>
            <w:r w:rsidRPr="00530D24">
              <w:rPr>
                <w:i/>
              </w:rPr>
              <w:t>37,104</w:t>
            </w:r>
          </w:p>
        </w:tc>
      </w:tr>
    </w:tbl>
    <w:p w:rsidR="0050667A" w:rsidRPr="006A6C1D" w:rsidRDefault="0050667A" w:rsidP="006A6C1D"/>
    <w:p w:rsidR="0050667A" w:rsidRPr="006A6C1D" w:rsidRDefault="0050667A" w:rsidP="00530D24">
      <w:pPr>
        <w:pStyle w:val="Subsection"/>
      </w:pPr>
      <w:r w:rsidRPr="006A6C1D">
        <w:t>Number of national applications received – by route</w:t>
      </w:r>
    </w:p>
    <w:p w:rsidR="0050667A" w:rsidRPr="00530D24" w:rsidRDefault="0050667A" w:rsidP="006A6C1D">
      <w:pPr>
        <w:rPr>
          <w:i/>
        </w:rPr>
      </w:pPr>
      <w:r w:rsidRPr="00530D24">
        <w:rPr>
          <w:i/>
        </w:rPr>
        <w:t xml:space="preserve">These numbers are derived from CIPO’s internal </w:t>
      </w:r>
      <w:proofErr w:type="spellStart"/>
      <w:r w:rsidRPr="00530D24">
        <w:rPr>
          <w:i/>
        </w:rPr>
        <w:t>TechSource</w:t>
      </w:r>
      <w:proofErr w:type="spellEnd"/>
      <w:r w:rsidRPr="00530D24">
        <w:rPr>
          <w:i/>
        </w:rPr>
        <w:t xml:space="preserve"> database.</w:t>
      </w:r>
    </w:p>
    <w:p w:rsidR="0050667A" w:rsidRPr="006A6C1D" w:rsidRDefault="0050667A" w:rsidP="006A6C1D"/>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50667A" w:rsidRPr="006A6C1D" w:rsidTr="0050667A">
        <w:trPr>
          <w:cantSplit/>
        </w:trPr>
        <w:tc>
          <w:tcPr>
            <w:tcW w:w="2518" w:type="dxa"/>
            <w:tcBorders>
              <w:tl2br w:val="single" w:sz="4" w:space="0" w:color="auto"/>
            </w:tcBorders>
            <w:shd w:val="clear" w:color="auto" w:fill="auto"/>
          </w:tcPr>
          <w:p w:rsidR="0050667A" w:rsidRPr="00530D24" w:rsidRDefault="0050667A" w:rsidP="006A6C1D">
            <w:pPr>
              <w:rPr>
                <w:b/>
              </w:rPr>
            </w:pPr>
          </w:p>
          <w:p w:rsidR="0050667A" w:rsidRPr="00530D24" w:rsidRDefault="0050667A" w:rsidP="006A6C1D">
            <w:pPr>
              <w:rPr>
                <w:b/>
              </w:rPr>
            </w:pPr>
            <w:r w:rsidRPr="00530D24">
              <w:rPr>
                <w:b/>
              </w:rPr>
              <w:t>Year</w:t>
            </w:r>
          </w:p>
          <w:p w:rsidR="0050667A" w:rsidRPr="00530D24" w:rsidRDefault="0050667A" w:rsidP="006A6C1D">
            <w:pPr>
              <w:rPr>
                <w:b/>
              </w:rPr>
            </w:pPr>
            <w:r w:rsidRPr="00530D24">
              <w:rPr>
                <w:b/>
              </w:rPr>
              <w:t>Route</w:t>
            </w:r>
          </w:p>
        </w:tc>
        <w:tc>
          <w:tcPr>
            <w:tcW w:w="1360" w:type="dxa"/>
            <w:shd w:val="clear" w:color="auto" w:fill="auto"/>
            <w:vAlign w:val="center"/>
          </w:tcPr>
          <w:p w:rsidR="0050667A" w:rsidRPr="00530D24" w:rsidRDefault="0050667A" w:rsidP="006A6C1D">
            <w:pPr>
              <w:rPr>
                <w:b/>
              </w:rPr>
            </w:pPr>
            <w:r w:rsidRPr="00530D24">
              <w:rPr>
                <w:b/>
              </w:rPr>
              <w:t>2011-2012</w:t>
            </w:r>
          </w:p>
        </w:tc>
        <w:tc>
          <w:tcPr>
            <w:tcW w:w="1361" w:type="dxa"/>
            <w:shd w:val="clear" w:color="auto" w:fill="auto"/>
            <w:vAlign w:val="center"/>
          </w:tcPr>
          <w:p w:rsidR="0050667A" w:rsidRPr="00530D24" w:rsidRDefault="0050667A" w:rsidP="006A6C1D">
            <w:pPr>
              <w:rPr>
                <w:b/>
              </w:rPr>
            </w:pPr>
            <w:r w:rsidRPr="00530D24">
              <w:rPr>
                <w:b/>
              </w:rPr>
              <w:t>2012-2013</w:t>
            </w:r>
          </w:p>
        </w:tc>
        <w:tc>
          <w:tcPr>
            <w:tcW w:w="1361" w:type="dxa"/>
            <w:shd w:val="clear" w:color="auto" w:fill="auto"/>
            <w:vAlign w:val="center"/>
          </w:tcPr>
          <w:p w:rsidR="0050667A" w:rsidRPr="00530D24" w:rsidRDefault="0050667A" w:rsidP="006A6C1D">
            <w:pPr>
              <w:rPr>
                <w:b/>
              </w:rPr>
            </w:pPr>
            <w:r w:rsidRPr="00530D24">
              <w:rPr>
                <w:b/>
              </w:rPr>
              <w:t>2013-2014</w:t>
            </w:r>
          </w:p>
        </w:tc>
        <w:tc>
          <w:tcPr>
            <w:tcW w:w="1361" w:type="dxa"/>
            <w:shd w:val="clear" w:color="auto" w:fill="auto"/>
            <w:vAlign w:val="center"/>
          </w:tcPr>
          <w:p w:rsidR="0050667A" w:rsidRPr="00530D24" w:rsidRDefault="0050667A" w:rsidP="006A6C1D">
            <w:pPr>
              <w:rPr>
                <w:b/>
              </w:rPr>
            </w:pPr>
            <w:r w:rsidRPr="00530D24">
              <w:rPr>
                <w:b/>
              </w:rPr>
              <w:t>2014-2015</w:t>
            </w:r>
          </w:p>
        </w:tc>
        <w:tc>
          <w:tcPr>
            <w:tcW w:w="1361" w:type="dxa"/>
            <w:shd w:val="clear" w:color="auto" w:fill="auto"/>
            <w:vAlign w:val="center"/>
          </w:tcPr>
          <w:p w:rsidR="0050667A" w:rsidRPr="00530D24" w:rsidRDefault="0050667A" w:rsidP="006A6C1D">
            <w:pPr>
              <w:rPr>
                <w:b/>
              </w:rPr>
            </w:pPr>
            <w:r w:rsidRPr="00530D24">
              <w:rPr>
                <w:b/>
              </w:rPr>
              <w:t>2015-2016</w:t>
            </w:r>
          </w:p>
        </w:tc>
      </w:tr>
      <w:tr w:rsidR="0050667A" w:rsidRPr="006A6C1D" w:rsidTr="0050667A">
        <w:trPr>
          <w:cantSplit/>
        </w:trPr>
        <w:tc>
          <w:tcPr>
            <w:tcW w:w="2518" w:type="dxa"/>
            <w:shd w:val="clear" w:color="auto" w:fill="auto"/>
          </w:tcPr>
          <w:p w:rsidR="0050667A" w:rsidRPr="006A6C1D" w:rsidRDefault="0050667A" w:rsidP="006A6C1D">
            <w:r w:rsidRPr="006A6C1D">
              <w:t>National first filing/internal priority</w:t>
            </w:r>
          </w:p>
        </w:tc>
        <w:tc>
          <w:tcPr>
            <w:tcW w:w="1360" w:type="dxa"/>
            <w:shd w:val="clear" w:color="auto" w:fill="auto"/>
            <w:vAlign w:val="center"/>
          </w:tcPr>
          <w:p w:rsidR="0050667A" w:rsidRPr="006A6C1D" w:rsidRDefault="0050667A" w:rsidP="006A6C1D">
            <w:r w:rsidRPr="006A6C1D">
              <w:t>1,826</w:t>
            </w:r>
          </w:p>
        </w:tc>
        <w:tc>
          <w:tcPr>
            <w:tcW w:w="1361" w:type="dxa"/>
            <w:shd w:val="clear" w:color="auto" w:fill="auto"/>
            <w:vAlign w:val="center"/>
          </w:tcPr>
          <w:p w:rsidR="0050667A" w:rsidRPr="006A6C1D" w:rsidRDefault="0050667A" w:rsidP="006A6C1D">
            <w:r w:rsidRPr="006A6C1D">
              <w:t>1,809</w:t>
            </w:r>
          </w:p>
        </w:tc>
        <w:tc>
          <w:tcPr>
            <w:tcW w:w="1361" w:type="dxa"/>
            <w:shd w:val="clear" w:color="auto" w:fill="auto"/>
            <w:vAlign w:val="center"/>
          </w:tcPr>
          <w:p w:rsidR="0050667A" w:rsidRPr="006A6C1D" w:rsidRDefault="0050667A" w:rsidP="006A6C1D">
            <w:r w:rsidRPr="006A6C1D">
              <w:t>1,579</w:t>
            </w:r>
          </w:p>
        </w:tc>
        <w:tc>
          <w:tcPr>
            <w:tcW w:w="1361" w:type="dxa"/>
            <w:shd w:val="clear" w:color="auto" w:fill="auto"/>
            <w:vAlign w:val="center"/>
          </w:tcPr>
          <w:p w:rsidR="0050667A" w:rsidRPr="006A6C1D" w:rsidRDefault="0050667A" w:rsidP="006A6C1D">
            <w:r w:rsidRPr="006A6C1D">
              <w:t>1,606</w:t>
            </w:r>
          </w:p>
        </w:tc>
        <w:tc>
          <w:tcPr>
            <w:tcW w:w="1361" w:type="dxa"/>
            <w:shd w:val="clear" w:color="auto" w:fill="auto"/>
            <w:vAlign w:val="center"/>
          </w:tcPr>
          <w:p w:rsidR="0050667A" w:rsidRPr="006A6C1D" w:rsidRDefault="0050667A" w:rsidP="006A6C1D">
            <w:r w:rsidRPr="006A6C1D">
              <w:t>1,591</w:t>
            </w:r>
          </w:p>
        </w:tc>
      </w:tr>
      <w:tr w:rsidR="0050667A" w:rsidRPr="006A6C1D" w:rsidTr="0050667A">
        <w:trPr>
          <w:cantSplit/>
        </w:trPr>
        <w:tc>
          <w:tcPr>
            <w:tcW w:w="2518" w:type="dxa"/>
            <w:shd w:val="clear" w:color="auto" w:fill="auto"/>
          </w:tcPr>
          <w:p w:rsidR="0050667A" w:rsidRPr="006A6C1D" w:rsidRDefault="0050667A" w:rsidP="006A6C1D">
            <w:r w:rsidRPr="006A6C1D">
              <w:t>Paris priority</w:t>
            </w:r>
          </w:p>
        </w:tc>
        <w:tc>
          <w:tcPr>
            <w:tcW w:w="1360" w:type="dxa"/>
            <w:shd w:val="clear" w:color="auto" w:fill="auto"/>
            <w:vAlign w:val="center"/>
          </w:tcPr>
          <w:p w:rsidR="0050667A" w:rsidRPr="006A6C1D" w:rsidRDefault="0050667A" w:rsidP="006A6C1D">
            <w:r w:rsidRPr="006A6C1D">
              <w:t>7,131</w:t>
            </w:r>
          </w:p>
        </w:tc>
        <w:tc>
          <w:tcPr>
            <w:tcW w:w="1361" w:type="dxa"/>
            <w:shd w:val="clear" w:color="auto" w:fill="auto"/>
            <w:vAlign w:val="center"/>
          </w:tcPr>
          <w:p w:rsidR="0050667A" w:rsidRPr="006A6C1D" w:rsidRDefault="0050667A" w:rsidP="006A6C1D">
            <w:r w:rsidRPr="006A6C1D">
              <w:t>7,007</w:t>
            </w:r>
          </w:p>
        </w:tc>
        <w:tc>
          <w:tcPr>
            <w:tcW w:w="1361" w:type="dxa"/>
            <w:shd w:val="clear" w:color="auto" w:fill="auto"/>
            <w:vAlign w:val="center"/>
          </w:tcPr>
          <w:p w:rsidR="0050667A" w:rsidRPr="006A6C1D" w:rsidRDefault="0050667A" w:rsidP="006A6C1D">
            <w:r w:rsidRPr="006A6C1D">
              <w:t>7,142</w:t>
            </w:r>
          </w:p>
        </w:tc>
        <w:tc>
          <w:tcPr>
            <w:tcW w:w="1361" w:type="dxa"/>
            <w:shd w:val="clear" w:color="auto" w:fill="auto"/>
            <w:vAlign w:val="center"/>
          </w:tcPr>
          <w:p w:rsidR="0050667A" w:rsidRPr="006A6C1D" w:rsidRDefault="0050667A" w:rsidP="006A6C1D">
            <w:r w:rsidRPr="006A6C1D">
              <w:t>5,823</w:t>
            </w:r>
          </w:p>
        </w:tc>
        <w:tc>
          <w:tcPr>
            <w:tcW w:w="1361" w:type="dxa"/>
            <w:shd w:val="clear" w:color="auto" w:fill="auto"/>
            <w:vAlign w:val="center"/>
          </w:tcPr>
          <w:p w:rsidR="0050667A" w:rsidRPr="006A6C1D" w:rsidRDefault="0050667A" w:rsidP="006A6C1D">
            <w:r w:rsidRPr="006A6C1D">
              <w:t>6,065</w:t>
            </w:r>
          </w:p>
        </w:tc>
      </w:tr>
      <w:tr w:rsidR="0050667A" w:rsidRPr="006A6C1D" w:rsidTr="0050667A">
        <w:trPr>
          <w:cantSplit/>
        </w:trPr>
        <w:tc>
          <w:tcPr>
            <w:tcW w:w="2518" w:type="dxa"/>
            <w:shd w:val="clear" w:color="auto" w:fill="auto"/>
          </w:tcPr>
          <w:p w:rsidR="0050667A" w:rsidRPr="006A6C1D" w:rsidRDefault="0050667A" w:rsidP="006A6C1D">
            <w:r w:rsidRPr="006A6C1D">
              <w:t>PCT national phase entry</w:t>
            </w:r>
          </w:p>
        </w:tc>
        <w:tc>
          <w:tcPr>
            <w:tcW w:w="1360" w:type="dxa"/>
            <w:shd w:val="clear" w:color="auto" w:fill="auto"/>
            <w:vAlign w:val="center"/>
          </w:tcPr>
          <w:p w:rsidR="0050667A" w:rsidRPr="006A6C1D" w:rsidRDefault="0050667A" w:rsidP="006A6C1D">
            <w:r w:rsidRPr="006A6C1D">
              <w:t>26,624</w:t>
            </w:r>
          </w:p>
        </w:tc>
        <w:tc>
          <w:tcPr>
            <w:tcW w:w="1361" w:type="dxa"/>
            <w:shd w:val="clear" w:color="auto" w:fill="auto"/>
            <w:vAlign w:val="center"/>
          </w:tcPr>
          <w:p w:rsidR="0050667A" w:rsidRPr="006A6C1D" w:rsidRDefault="0050667A" w:rsidP="006A6C1D">
            <w:r w:rsidRPr="006A6C1D">
              <w:t>27,001</w:t>
            </w:r>
          </w:p>
        </w:tc>
        <w:tc>
          <w:tcPr>
            <w:tcW w:w="1361" w:type="dxa"/>
            <w:shd w:val="clear" w:color="auto" w:fill="auto"/>
            <w:vAlign w:val="center"/>
          </w:tcPr>
          <w:p w:rsidR="0050667A" w:rsidRPr="006A6C1D" w:rsidRDefault="0050667A" w:rsidP="006A6C1D">
            <w:r w:rsidRPr="006A6C1D">
              <w:t>26,640</w:t>
            </w:r>
          </w:p>
        </w:tc>
        <w:tc>
          <w:tcPr>
            <w:tcW w:w="1361" w:type="dxa"/>
            <w:shd w:val="clear" w:color="auto" w:fill="auto"/>
            <w:vAlign w:val="center"/>
          </w:tcPr>
          <w:p w:rsidR="0050667A" w:rsidRPr="006A6C1D" w:rsidRDefault="0050667A" w:rsidP="006A6C1D">
            <w:r w:rsidRPr="006A6C1D">
              <w:t>27,464</w:t>
            </w:r>
          </w:p>
        </w:tc>
        <w:tc>
          <w:tcPr>
            <w:tcW w:w="1361" w:type="dxa"/>
            <w:shd w:val="clear" w:color="auto" w:fill="auto"/>
            <w:vAlign w:val="center"/>
          </w:tcPr>
          <w:p w:rsidR="0050667A" w:rsidRPr="006A6C1D" w:rsidRDefault="0050667A" w:rsidP="006A6C1D">
            <w:r w:rsidRPr="006A6C1D">
              <w:t>29,448</w:t>
            </w:r>
          </w:p>
        </w:tc>
      </w:tr>
      <w:tr w:rsidR="0050667A" w:rsidRPr="006A6C1D" w:rsidTr="0050667A">
        <w:trPr>
          <w:cantSplit/>
        </w:trPr>
        <w:tc>
          <w:tcPr>
            <w:tcW w:w="2518" w:type="dxa"/>
            <w:shd w:val="clear" w:color="auto" w:fill="auto"/>
          </w:tcPr>
          <w:p w:rsidR="0050667A" w:rsidRPr="00530D24" w:rsidRDefault="0050667A" w:rsidP="006A6C1D">
            <w:pPr>
              <w:rPr>
                <w:i/>
              </w:rPr>
            </w:pPr>
            <w:r w:rsidRPr="00530D24">
              <w:rPr>
                <w:i/>
              </w:rPr>
              <w:t xml:space="preserve">Total </w:t>
            </w:r>
          </w:p>
        </w:tc>
        <w:tc>
          <w:tcPr>
            <w:tcW w:w="1360" w:type="dxa"/>
            <w:shd w:val="clear" w:color="auto" w:fill="auto"/>
            <w:vAlign w:val="center"/>
          </w:tcPr>
          <w:p w:rsidR="0050667A" w:rsidRPr="00530D24" w:rsidRDefault="0050667A" w:rsidP="006A6C1D">
            <w:pPr>
              <w:rPr>
                <w:i/>
              </w:rPr>
            </w:pPr>
            <w:r w:rsidRPr="00530D24">
              <w:rPr>
                <w:i/>
              </w:rPr>
              <w:t>35,581</w:t>
            </w:r>
          </w:p>
        </w:tc>
        <w:tc>
          <w:tcPr>
            <w:tcW w:w="1361" w:type="dxa"/>
            <w:shd w:val="clear" w:color="auto" w:fill="auto"/>
            <w:vAlign w:val="center"/>
          </w:tcPr>
          <w:p w:rsidR="0050667A" w:rsidRPr="00530D24" w:rsidRDefault="0050667A" w:rsidP="006A6C1D">
            <w:pPr>
              <w:rPr>
                <w:i/>
              </w:rPr>
            </w:pPr>
            <w:r w:rsidRPr="00530D24">
              <w:rPr>
                <w:i/>
              </w:rPr>
              <w:t>35,817</w:t>
            </w:r>
          </w:p>
        </w:tc>
        <w:tc>
          <w:tcPr>
            <w:tcW w:w="1361" w:type="dxa"/>
            <w:shd w:val="clear" w:color="auto" w:fill="auto"/>
            <w:vAlign w:val="center"/>
          </w:tcPr>
          <w:p w:rsidR="0050667A" w:rsidRPr="00530D24" w:rsidRDefault="0050667A" w:rsidP="006A6C1D">
            <w:pPr>
              <w:rPr>
                <w:i/>
              </w:rPr>
            </w:pPr>
            <w:r w:rsidRPr="00530D24">
              <w:rPr>
                <w:i/>
              </w:rPr>
              <w:t>35,361</w:t>
            </w:r>
          </w:p>
        </w:tc>
        <w:tc>
          <w:tcPr>
            <w:tcW w:w="1361" w:type="dxa"/>
            <w:shd w:val="clear" w:color="auto" w:fill="auto"/>
            <w:vAlign w:val="center"/>
          </w:tcPr>
          <w:p w:rsidR="0050667A" w:rsidRPr="00530D24" w:rsidRDefault="0050667A" w:rsidP="006A6C1D">
            <w:pPr>
              <w:rPr>
                <w:i/>
              </w:rPr>
            </w:pPr>
            <w:r w:rsidRPr="00530D24">
              <w:rPr>
                <w:i/>
              </w:rPr>
              <w:t>34,893</w:t>
            </w:r>
          </w:p>
        </w:tc>
        <w:tc>
          <w:tcPr>
            <w:tcW w:w="1361" w:type="dxa"/>
            <w:shd w:val="clear" w:color="auto" w:fill="auto"/>
            <w:vAlign w:val="center"/>
          </w:tcPr>
          <w:p w:rsidR="0050667A" w:rsidRPr="00530D24" w:rsidRDefault="0050667A" w:rsidP="006A6C1D">
            <w:pPr>
              <w:rPr>
                <w:i/>
              </w:rPr>
            </w:pPr>
            <w:r w:rsidRPr="00530D24">
              <w:rPr>
                <w:i/>
              </w:rPr>
              <w:t>37,104</w:t>
            </w:r>
          </w:p>
        </w:tc>
      </w:tr>
    </w:tbl>
    <w:p w:rsidR="0050667A" w:rsidRPr="006A6C1D" w:rsidRDefault="0050667A" w:rsidP="006A6C1D"/>
    <w:p w:rsidR="0050667A" w:rsidRPr="006A6C1D" w:rsidRDefault="0050667A" w:rsidP="00530D24">
      <w:pPr>
        <w:pStyle w:val="Subsection"/>
      </w:pPr>
      <w:r w:rsidRPr="006A6C1D">
        <w:t>Average time taken for national patent processing</w:t>
      </w:r>
    </w:p>
    <w:p w:rsidR="0050667A" w:rsidRPr="006A6C1D" w:rsidRDefault="0050667A" w:rsidP="006A6C1D"/>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1426"/>
        <w:gridCol w:w="604"/>
        <w:gridCol w:w="1560"/>
        <w:gridCol w:w="749"/>
        <w:gridCol w:w="783"/>
        <w:gridCol w:w="777"/>
        <w:gridCol w:w="883"/>
        <w:gridCol w:w="1366"/>
      </w:tblGrid>
      <w:tr w:rsidR="0050667A" w:rsidRPr="006A6C1D" w:rsidTr="00530D24">
        <w:trPr>
          <w:cantSplit/>
        </w:trPr>
        <w:tc>
          <w:tcPr>
            <w:tcW w:w="1426" w:type="dxa"/>
            <w:shd w:val="clear" w:color="auto" w:fill="auto"/>
          </w:tcPr>
          <w:p w:rsidR="0050667A" w:rsidRPr="00530D24" w:rsidRDefault="0050667A" w:rsidP="006A6C1D">
            <w:pPr>
              <w:rPr>
                <w:b/>
              </w:rPr>
            </w:pPr>
            <w:r w:rsidRPr="00530D24">
              <w:rPr>
                <w:b/>
              </w:rPr>
              <w:t>Indicator</w:t>
            </w:r>
          </w:p>
        </w:tc>
        <w:tc>
          <w:tcPr>
            <w:tcW w:w="1426" w:type="dxa"/>
            <w:shd w:val="clear" w:color="auto" w:fill="auto"/>
          </w:tcPr>
          <w:p w:rsidR="0050667A" w:rsidRPr="00530D24" w:rsidRDefault="0050667A" w:rsidP="006A6C1D">
            <w:pPr>
              <w:rPr>
                <w:b/>
              </w:rPr>
            </w:pPr>
            <w:r w:rsidRPr="00530D24">
              <w:rPr>
                <w:b/>
              </w:rPr>
              <w:t>Measured from</w:t>
            </w:r>
          </w:p>
        </w:tc>
        <w:tc>
          <w:tcPr>
            <w:tcW w:w="2164" w:type="dxa"/>
            <w:gridSpan w:val="2"/>
          </w:tcPr>
          <w:p w:rsidR="0050667A" w:rsidRPr="00530D24" w:rsidRDefault="0050667A" w:rsidP="006A6C1D">
            <w:pPr>
              <w:rPr>
                <w:b/>
              </w:rPr>
            </w:pPr>
            <w:r w:rsidRPr="00530D24">
              <w:rPr>
                <w:b/>
              </w:rPr>
              <w:t>Time in months</w:t>
            </w:r>
          </w:p>
        </w:tc>
        <w:tc>
          <w:tcPr>
            <w:tcW w:w="749" w:type="dxa"/>
            <w:tcMar>
              <w:left w:w="51" w:type="dxa"/>
              <w:right w:w="51" w:type="dxa"/>
            </w:tcMar>
            <w:vAlign w:val="center"/>
          </w:tcPr>
          <w:p w:rsidR="0050667A" w:rsidRPr="00530D24" w:rsidRDefault="0050667A" w:rsidP="006A6C1D">
            <w:pPr>
              <w:rPr>
                <w:b/>
              </w:rPr>
            </w:pPr>
            <w:r w:rsidRPr="00530D24">
              <w:rPr>
                <w:b/>
              </w:rPr>
              <w:t>2011-2012</w:t>
            </w:r>
          </w:p>
        </w:tc>
        <w:tc>
          <w:tcPr>
            <w:tcW w:w="783" w:type="dxa"/>
            <w:tcMar>
              <w:left w:w="51" w:type="dxa"/>
              <w:right w:w="51" w:type="dxa"/>
            </w:tcMar>
            <w:vAlign w:val="center"/>
          </w:tcPr>
          <w:p w:rsidR="0050667A" w:rsidRPr="00530D24" w:rsidRDefault="0050667A" w:rsidP="006A6C1D">
            <w:pPr>
              <w:rPr>
                <w:b/>
              </w:rPr>
            </w:pPr>
            <w:r w:rsidRPr="00530D24">
              <w:rPr>
                <w:b/>
              </w:rPr>
              <w:t>2012-2013</w:t>
            </w:r>
          </w:p>
        </w:tc>
        <w:tc>
          <w:tcPr>
            <w:tcW w:w="777" w:type="dxa"/>
            <w:tcMar>
              <w:left w:w="51" w:type="dxa"/>
              <w:right w:w="51" w:type="dxa"/>
            </w:tcMar>
            <w:vAlign w:val="center"/>
          </w:tcPr>
          <w:p w:rsidR="0050667A" w:rsidRPr="00530D24" w:rsidRDefault="0050667A" w:rsidP="006A6C1D">
            <w:pPr>
              <w:rPr>
                <w:b/>
              </w:rPr>
            </w:pPr>
            <w:r w:rsidRPr="00530D24">
              <w:rPr>
                <w:b/>
              </w:rPr>
              <w:t>2013-2014</w:t>
            </w:r>
          </w:p>
        </w:tc>
        <w:tc>
          <w:tcPr>
            <w:tcW w:w="883" w:type="dxa"/>
            <w:tcMar>
              <w:left w:w="51" w:type="dxa"/>
              <w:right w:w="51" w:type="dxa"/>
            </w:tcMar>
            <w:vAlign w:val="center"/>
          </w:tcPr>
          <w:p w:rsidR="0050667A" w:rsidRPr="00530D24" w:rsidRDefault="0050667A" w:rsidP="006A6C1D">
            <w:pPr>
              <w:rPr>
                <w:b/>
              </w:rPr>
            </w:pPr>
            <w:r w:rsidRPr="00530D24">
              <w:rPr>
                <w:b/>
              </w:rPr>
              <w:t>2014-2015</w:t>
            </w:r>
          </w:p>
        </w:tc>
        <w:tc>
          <w:tcPr>
            <w:tcW w:w="1366" w:type="dxa"/>
            <w:tcMar>
              <w:left w:w="51" w:type="dxa"/>
              <w:right w:w="51" w:type="dxa"/>
            </w:tcMar>
          </w:tcPr>
          <w:p w:rsidR="0050667A" w:rsidRPr="00530D24" w:rsidRDefault="0050667A" w:rsidP="006A6C1D">
            <w:pPr>
              <w:rPr>
                <w:b/>
              </w:rPr>
            </w:pPr>
            <w:r w:rsidRPr="00530D24">
              <w:rPr>
                <w:b/>
              </w:rPr>
              <w:t>(as of</w:t>
            </w:r>
          </w:p>
          <w:p w:rsidR="0050667A" w:rsidRPr="00530D24" w:rsidRDefault="0050667A" w:rsidP="006A6C1D">
            <w:pPr>
              <w:rPr>
                <w:b/>
              </w:rPr>
            </w:pPr>
            <w:r w:rsidRPr="00530D24">
              <w:rPr>
                <w:b/>
              </w:rPr>
              <w:t>2016-12-31)</w:t>
            </w:r>
          </w:p>
        </w:tc>
      </w:tr>
      <w:tr w:rsidR="0050667A" w:rsidRPr="006A6C1D" w:rsidTr="0050667A">
        <w:trPr>
          <w:cantSplit/>
        </w:trPr>
        <w:tc>
          <w:tcPr>
            <w:tcW w:w="1426" w:type="dxa"/>
            <w:shd w:val="clear" w:color="auto" w:fill="auto"/>
          </w:tcPr>
          <w:p w:rsidR="0050667A" w:rsidRPr="006A6C1D" w:rsidRDefault="0050667A" w:rsidP="006A6C1D">
            <w:r w:rsidRPr="006A6C1D">
              <w:t>To search</w:t>
            </w:r>
          </w:p>
        </w:tc>
        <w:tc>
          <w:tcPr>
            <w:tcW w:w="1426" w:type="dxa"/>
            <w:shd w:val="clear" w:color="auto" w:fill="auto"/>
          </w:tcPr>
          <w:p w:rsidR="0050667A" w:rsidRPr="006A6C1D" w:rsidRDefault="0050667A" w:rsidP="006A6C1D">
            <w:r w:rsidRPr="006A6C1D">
              <w:t>n/a</w:t>
            </w:r>
          </w:p>
        </w:tc>
        <w:tc>
          <w:tcPr>
            <w:tcW w:w="604" w:type="dxa"/>
          </w:tcPr>
          <w:p w:rsidR="0050667A" w:rsidRPr="006A6C1D" w:rsidRDefault="0050667A" w:rsidP="006A6C1D"/>
        </w:tc>
        <w:tc>
          <w:tcPr>
            <w:tcW w:w="6118" w:type="dxa"/>
            <w:gridSpan w:val="6"/>
          </w:tcPr>
          <w:p w:rsidR="0050667A" w:rsidRPr="006A6C1D" w:rsidRDefault="0050667A" w:rsidP="006A6C1D">
            <w:r w:rsidRPr="006A6C1D">
              <w:t>As search and examination tasks are undertaken by the same examiner at the time, CIPO does not gather separate search statistics.</w:t>
            </w:r>
          </w:p>
        </w:tc>
      </w:tr>
      <w:tr w:rsidR="0050667A" w:rsidRPr="006A6C1D" w:rsidTr="0050667A">
        <w:trPr>
          <w:cantSplit/>
          <w:trHeight w:val="123"/>
        </w:trPr>
        <w:tc>
          <w:tcPr>
            <w:tcW w:w="1426" w:type="dxa"/>
            <w:vMerge w:val="restart"/>
            <w:shd w:val="clear" w:color="auto" w:fill="auto"/>
          </w:tcPr>
          <w:p w:rsidR="0050667A" w:rsidRPr="006A6C1D" w:rsidRDefault="0050667A" w:rsidP="006A6C1D">
            <w:r w:rsidRPr="006A6C1D">
              <w:t>To first examination</w:t>
            </w:r>
          </w:p>
        </w:tc>
        <w:tc>
          <w:tcPr>
            <w:tcW w:w="1426" w:type="dxa"/>
            <w:vMerge w:val="restart"/>
            <w:shd w:val="clear" w:color="auto" w:fill="auto"/>
          </w:tcPr>
          <w:p w:rsidR="0050667A" w:rsidRPr="006A6C1D" w:rsidRDefault="0050667A" w:rsidP="006A6C1D">
            <w:r w:rsidRPr="006A6C1D">
              <w:t>Request for examination</w:t>
            </w:r>
          </w:p>
        </w:tc>
        <w:tc>
          <w:tcPr>
            <w:tcW w:w="2164" w:type="dxa"/>
            <w:gridSpan w:val="2"/>
          </w:tcPr>
          <w:p w:rsidR="0050667A" w:rsidRPr="006A6C1D" w:rsidRDefault="0050667A" w:rsidP="006A6C1D">
            <w:r w:rsidRPr="006A6C1D">
              <w:t>Varies by discipline, but on average:</w:t>
            </w:r>
          </w:p>
        </w:tc>
        <w:tc>
          <w:tcPr>
            <w:tcW w:w="3192" w:type="dxa"/>
            <w:gridSpan w:val="4"/>
            <w:vMerge w:val="restart"/>
            <w:vAlign w:val="center"/>
          </w:tcPr>
          <w:p w:rsidR="0050667A" w:rsidRPr="00530D24" w:rsidRDefault="0050667A" w:rsidP="006A6C1D">
            <w:pPr>
              <w:rPr>
                <w:i/>
              </w:rPr>
            </w:pPr>
            <w:r w:rsidRPr="00530D24">
              <w:rPr>
                <w:i/>
              </w:rPr>
              <w:t>Not available</w:t>
            </w:r>
          </w:p>
        </w:tc>
        <w:tc>
          <w:tcPr>
            <w:tcW w:w="1366" w:type="dxa"/>
            <w:vAlign w:val="center"/>
          </w:tcPr>
          <w:p w:rsidR="0050667A" w:rsidRPr="006A6C1D" w:rsidRDefault="0050667A" w:rsidP="006A6C1D">
            <w:r w:rsidRPr="006A6C1D">
              <w:t>10.4</w:t>
            </w:r>
          </w:p>
        </w:tc>
      </w:tr>
      <w:tr w:rsidR="0050667A" w:rsidRPr="006A6C1D" w:rsidTr="0050667A">
        <w:trPr>
          <w:cantSplit/>
          <w:trHeight w:val="123"/>
        </w:trPr>
        <w:tc>
          <w:tcPr>
            <w:tcW w:w="1426" w:type="dxa"/>
            <w:vMerge/>
            <w:shd w:val="clear" w:color="auto" w:fill="auto"/>
          </w:tcPr>
          <w:p w:rsidR="0050667A" w:rsidRPr="006A6C1D" w:rsidRDefault="0050667A" w:rsidP="006A6C1D"/>
        </w:tc>
        <w:tc>
          <w:tcPr>
            <w:tcW w:w="1426" w:type="dxa"/>
            <w:vMerge/>
            <w:shd w:val="clear" w:color="auto" w:fill="auto"/>
          </w:tcPr>
          <w:p w:rsidR="0050667A" w:rsidRPr="006A6C1D" w:rsidRDefault="0050667A" w:rsidP="006A6C1D"/>
        </w:tc>
        <w:tc>
          <w:tcPr>
            <w:tcW w:w="2164" w:type="dxa"/>
            <w:gridSpan w:val="2"/>
            <w:vAlign w:val="center"/>
          </w:tcPr>
          <w:p w:rsidR="0050667A" w:rsidRPr="006A6C1D" w:rsidRDefault="0050667A" w:rsidP="006A6C1D">
            <w:r w:rsidRPr="006A6C1D">
              <w:t>Mechanical</w:t>
            </w:r>
          </w:p>
        </w:tc>
        <w:tc>
          <w:tcPr>
            <w:tcW w:w="3192" w:type="dxa"/>
            <w:gridSpan w:val="4"/>
            <w:vMerge/>
          </w:tcPr>
          <w:p w:rsidR="0050667A" w:rsidRPr="006A6C1D" w:rsidRDefault="0050667A" w:rsidP="006A6C1D"/>
        </w:tc>
        <w:tc>
          <w:tcPr>
            <w:tcW w:w="1366" w:type="dxa"/>
            <w:vAlign w:val="center"/>
          </w:tcPr>
          <w:p w:rsidR="0050667A" w:rsidRPr="006A6C1D" w:rsidRDefault="0050667A" w:rsidP="006A6C1D">
            <w:r w:rsidRPr="006A6C1D">
              <w:t>9.4</w:t>
            </w:r>
          </w:p>
        </w:tc>
      </w:tr>
      <w:tr w:rsidR="0050667A" w:rsidRPr="006A6C1D" w:rsidTr="0050667A">
        <w:trPr>
          <w:cantSplit/>
          <w:trHeight w:val="123"/>
        </w:trPr>
        <w:tc>
          <w:tcPr>
            <w:tcW w:w="1426" w:type="dxa"/>
            <w:vMerge/>
            <w:shd w:val="clear" w:color="auto" w:fill="auto"/>
          </w:tcPr>
          <w:p w:rsidR="0050667A" w:rsidRPr="006A6C1D" w:rsidRDefault="0050667A" w:rsidP="006A6C1D"/>
        </w:tc>
        <w:tc>
          <w:tcPr>
            <w:tcW w:w="1426" w:type="dxa"/>
            <w:vMerge/>
            <w:shd w:val="clear" w:color="auto" w:fill="auto"/>
          </w:tcPr>
          <w:p w:rsidR="0050667A" w:rsidRPr="006A6C1D" w:rsidRDefault="0050667A" w:rsidP="006A6C1D"/>
        </w:tc>
        <w:tc>
          <w:tcPr>
            <w:tcW w:w="2164" w:type="dxa"/>
            <w:gridSpan w:val="2"/>
            <w:vAlign w:val="center"/>
          </w:tcPr>
          <w:p w:rsidR="0050667A" w:rsidRPr="006A6C1D" w:rsidRDefault="0050667A" w:rsidP="006A6C1D">
            <w:r w:rsidRPr="006A6C1D">
              <w:t>Electrical/electronic</w:t>
            </w:r>
          </w:p>
        </w:tc>
        <w:tc>
          <w:tcPr>
            <w:tcW w:w="3192" w:type="dxa"/>
            <w:gridSpan w:val="4"/>
            <w:vMerge/>
          </w:tcPr>
          <w:p w:rsidR="0050667A" w:rsidRPr="006A6C1D" w:rsidRDefault="0050667A" w:rsidP="006A6C1D"/>
        </w:tc>
        <w:tc>
          <w:tcPr>
            <w:tcW w:w="1366" w:type="dxa"/>
            <w:vAlign w:val="center"/>
          </w:tcPr>
          <w:p w:rsidR="0050667A" w:rsidRPr="006A6C1D" w:rsidRDefault="0050667A" w:rsidP="006A6C1D">
            <w:r w:rsidRPr="006A6C1D">
              <w:t>10.2</w:t>
            </w:r>
          </w:p>
        </w:tc>
      </w:tr>
      <w:tr w:rsidR="0050667A" w:rsidRPr="006A6C1D" w:rsidTr="0050667A">
        <w:trPr>
          <w:cantSplit/>
          <w:trHeight w:val="123"/>
        </w:trPr>
        <w:tc>
          <w:tcPr>
            <w:tcW w:w="1426" w:type="dxa"/>
            <w:vMerge/>
            <w:shd w:val="clear" w:color="auto" w:fill="auto"/>
          </w:tcPr>
          <w:p w:rsidR="0050667A" w:rsidRPr="006A6C1D" w:rsidRDefault="0050667A" w:rsidP="006A6C1D"/>
        </w:tc>
        <w:tc>
          <w:tcPr>
            <w:tcW w:w="1426" w:type="dxa"/>
            <w:vMerge/>
            <w:shd w:val="clear" w:color="auto" w:fill="auto"/>
          </w:tcPr>
          <w:p w:rsidR="0050667A" w:rsidRPr="006A6C1D" w:rsidRDefault="0050667A" w:rsidP="006A6C1D"/>
        </w:tc>
        <w:tc>
          <w:tcPr>
            <w:tcW w:w="2164" w:type="dxa"/>
            <w:gridSpan w:val="2"/>
            <w:vAlign w:val="center"/>
          </w:tcPr>
          <w:p w:rsidR="0050667A" w:rsidRPr="006A6C1D" w:rsidRDefault="0050667A" w:rsidP="006A6C1D">
            <w:r w:rsidRPr="006A6C1D">
              <w:t>Chemistry</w:t>
            </w:r>
          </w:p>
        </w:tc>
        <w:tc>
          <w:tcPr>
            <w:tcW w:w="3192" w:type="dxa"/>
            <w:gridSpan w:val="4"/>
            <w:vMerge/>
          </w:tcPr>
          <w:p w:rsidR="0050667A" w:rsidRPr="006A6C1D" w:rsidRDefault="0050667A" w:rsidP="006A6C1D"/>
        </w:tc>
        <w:tc>
          <w:tcPr>
            <w:tcW w:w="1366" w:type="dxa"/>
            <w:vAlign w:val="center"/>
          </w:tcPr>
          <w:p w:rsidR="0050667A" w:rsidRPr="006A6C1D" w:rsidRDefault="0050667A" w:rsidP="006A6C1D"/>
        </w:tc>
      </w:tr>
      <w:tr w:rsidR="0050667A" w:rsidRPr="006A6C1D" w:rsidTr="0050667A">
        <w:trPr>
          <w:cantSplit/>
          <w:trHeight w:val="123"/>
        </w:trPr>
        <w:tc>
          <w:tcPr>
            <w:tcW w:w="1426" w:type="dxa"/>
            <w:vMerge/>
            <w:shd w:val="clear" w:color="auto" w:fill="auto"/>
          </w:tcPr>
          <w:p w:rsidR="0050667A" w:rsidRPr="006A6C1D" w:rsidRDefault="0050667A" w:rsidP="006A6C1D"/>
        </w:tc>
        <w:tc>
          <w:tcPr>
            <w:tcW w:w="1426" w:type="dxa"/>
            <w:vMerge/>
            <w:shd w:val="clear" w:color="auto" w:fill="auto"/>
          </w:tcPr>
          <w:p w:rsidR="0050667A" w:rsidRPr="006A6C1D" w:rsidRDefault="0050667A" w:rsidP="006A6C1D"/>
        </w:tc>
        <w:tc>
          <w:tcPr>
            <w:tcW w:w="2164" w:type="dxa"/>
            <w:gridSpan w:val="2"/>
            <w:vAlign w:val="center"/>
          </w:tcPr>
          <w:p w:rsidR="0050667A" w:rsidRPr="006A6C1D" w:rsidRDefault="0050667A" w:rsidP="006A6C1D">
            <w:r w:rsidRPr="006A6C1D">
              <w:t xml:space="preserve">   General</w:t>
            </w:r>
          </w:p>
          <w:p w:rsidR="0050667A" w:rsidRPr="006A6C1D" w:rsidRDefault="0050667A" w:rsidP="006A6C1D">
            <w:r w:rsidRPr="006A6C1D">
              <w:t xml:space="preserve">   Chemistry</w:t>
            </w:r>
          </w:p>
        </w:tc>
        <w:tc>
          <w:tcPr>
            <w:tcW w:w="3192" w:type="dxa"/>
            <w:gridSpan w:val="4"/>
            <w:vMerge/>
          </w:tcPr>
          <w:p w:rsidR="0050667A" w:rsidRPr="006A6C1D" w:rsidRDefault="0050667A" w:rsidP="006A6C1D"/>
        </w:tc>
        <w:tc>
          <w:tcPr>
            <w:tcW w:w="1366" w:type="dxa"/>
            <w:vAlign w:val="center"/>
          </w:tcPr>
          <w:p w:rsidR="0050667A" w:rsidRPr="006A6C1D" w:rsidRDefault="0050667A" w:rsidP="006A6C1D">
            <w:r w:rsidRPr="006A6C1D">
              <w:t>11.2</w:t>
            </w:r>
          </w:p>
        </w:tc>
      </w:tr>
      <w:tr w:rsidR="0050667A" w:rsidRPr="006A6C1D" w:rsidTr="0050667A">
        <w:trPr>
          <w:cantSplit/>
          <w:trHeight w:val="123"/>
        </w:trPr>
        <w:tc>
          <w:tcPr>
            <w:tcW w:w="1426" w:type="dxa"/>
            <w:vMerge/>
            <w:tcBorders>
              <w:bottom w:val="nil"/>
            </w:tcBorders>
            <w:shd w:val="clear" w:color="auto" w:fill="auto"/>
          </w:tcPr>
          <w:p w:rsidR="0050667A" w:rsidRPr="006A6C1D" w:rsidRDefault="0050667A" w:rsidP="006A6C1D"/>
        </w:tc>
        <w:tc>
          <w:tcPr>
            <w:tcW w:w="1426" w:type="dxa"/>
            <w:vMerge/>
            <w:tcBorders>
              <w:bottom w:val="nil"/>
            </w:tcBorders>
            <w:shd w:val="clear" w:color="auto" w:fill="auto"/>
          </w:tcPr>
          <w:p w:rsidR="0050667A" w:rsidRPr="006A6C1D" w:rsidRDefault="0050667A" w:rsidP="006A6C1D"/>
        </w:tc>
        <w:tc>
          <w:tcPr>
            <w:tcW w:w="2164" w:type="dxa"/>
            <w:gridSpan w:val="2"/>
            <w:vAlign w:val="center"/>
          </w:tcPr>
          <w:p w:rsidR="0050667A" w:rsidRPr="006A6C1D" w:rsidRDefault="0050667A" w:rsidP="006A6C1D">
            <w:r w:rsidRPr="006A6C1D">
              <w:t xml:space="preserve">   Organic </w:t>
            </w:r>
          </w:p>
          <w:p w:rsidR="0050667A" w:rsidRPr="006A6C1D" w:rsidRDefault="0050667A" w:rsidP="006A6C1D">
            <w:r w:rsidRPr="006A6C1D">
              <w:t xml:space="preserve">   Chemistry</w:t>
            </w:r>
          </w:p>
        </w:tc>
        <w:tc>
          <w:tcPr>
            <w:tcW w:w="3192" w:type="dxa"/>
            <w:gridSpan w:val="4"/>
            <w:vMerge/>
          </w:tcPr>
          <w:p w:rsidR="0050667A" w:rsidRPr="006A6C1D" w:rsidRDefault="0050667A" w:rsidP="006A6C1D"/>
        </w:tc>
        <w:tc>
          <w:tcPr>
            <w:tcW w:w="1366" w:type="dxa"/>
            <w:vAlign w:val="center"/>
          </w:tcPr>
          <w:p w:rsidR="0050667A" w:rsidRPr="006A6C1D" w:rsidRDefault="0050667A" w:rsidP="006A6C1D">
            <w:r w:rsidRPr="006A6C1D">
              <w:t>11.1</w:t>
            </w:r>
          </w:p>
        </w:tc>
      </w:tr>
      <w:tr w:rsidR="0050667A" w:rsidRPr="006A6C1D" w:rsidTr="0050667A">
        <w:trPr>
          <w:cantSplit/>
          <w:trHeight w:val="123"/>
        </w:trPr>
        <w:tc>
          <w:tcPr>
            <w:tcW w:w="1426" w:type="dxa"/>
            <w:tcBorders>
              <w:top w:val="nil"/>
              <w:left w:val="single" w:sz="4" w:space="0" w:color="auto"/>
              <w:bottom w:val="single" w:sz="4" w:space="0" w:color="auto"/>
              <w:right w:val="single" w:sz="4" w:space="0" w:color="auto"/>
            </w:tcBorders>
            <w:shd w:val="clear" w:color="auto" w:fill="auto"/>
          </w:tcPr>
          <w:p w:rsidR="0050667A" w:rsidRPr="006A6C1D" w:rsidRDefault="0050667A" w:rsidP="006A6C1D"/>
        </w:tc>
        <w:tc>
          <w:tcPr>
            <w:tcW w:w="1426" w:type="dxa"/>
            <w:tcBorders>
              <w:top w:val="nil"/>
              <w:left w:val="single" w:sz="4" w:space="0" w:color="auto"/>
              <w:bottom w:val="single" w:sz="4" w:space="0" w:color="auto"/>
              <w:right w:val="single" w:sz="4" w:space="0" w:color="auto"/>
            </w:tcBorders>
            <w:shd w:val="clear" w:color="auto" w:fill="auto"/>
          </w:tcPr>
          <w:p w:rsidR="0050667A" w:rsidRPr="006A6C1D" w:rsidRDefault="0050667A" w:rsidP="006A6C1D"/>
        </w:tc>
        <w:tc>
          <w:tcPr>
            <w:tcW w:w="2164" w:type="dxa"/>
            <w:gridSpan w:val="2"/>
            <w:tcBorders>
              <w:left w:val="single" w:sz="4" w:space="0" w:color="auto"/>
            </w:tcBorders>
            <w:vAlign w:val="center"/>
          </w:tcPr>
          <w:p w:rsidR="0050667A" w:rsidRPr="006A6C1D" w:rsidRDefault="0050667A" w:rsidP="006A6C1D">
            <w:r w:rsidRPr="006A6C1D">
              <w:t>Biotech</w:t>
            </w:r>
          </w:p>
        </w:tc>
        <w:tc>
          <w:tcPr>
            <w:tcW w:w="3192" w:type="dxa"/>
            <w:gridSpan w:val="4"/>
            <w:vMerge/>
          </w:tcPr>
          <w:p w:rsidR="0050667A" w:rsidRPr="006A6C1D" w:rsidRDefault="0050667A" w:rsidP="006A6C1D"/>
        </w:tc>
        <w:tc>
          <w:tcPr>
            <w:tcW w:w="1366" w:type="dxa"/>
            <w:vAlign w:val="center"/>
          </w:tcPr>
          <w:p w:rsidR="0050667A" w:rsidRPr="006A6C1D" w:rsidRDefault="0050667A" w:rsidP="006A6C1D">
            <w:r w:rsidRPr="006A6C1D">
              <w:t>10.2</w:t>
            </w:r>
          </w:p>
        </w:tc>
      </w:tr>
      <w:tr w:rsidR="0050667A" w:rsidRPr="006A6C1D" w:rsidTr="0050667A">
        <w:trPr>
          <w:cantSplit/>
          <w:trHeight w:val="123"/>
        </w:trPr>
        <w:tc>
          <w:tcPr>
            <w:tcW w:w="1426" w:type="dxa"/>
            <w:vMerge w:val="restart"/>
            <w:tcBorders>
              <w:top w:val="single" w:sz="4" w:space="0" w:color="auto"/>
            </w:tcBorders>
            <w:shd w:val="clear" w:color="auto" w:fill="auto"/>
          </w:tcPr>
          <w:p w:rsidR="0050667A" w:rsidRPr="006A6C1D" w:rsidRDefault="0050667A" w:rsidP="00530D24">
            <w:pPr>
              <w:keepNext/>
            </w:pPr>
            <w:r w:rsidRPr="006A6C1D">
              <w:lastRenderedPageBreak/>
              <w:t>To grant</w:t>
            </w:r>
          </w:p>
        </w:tc>
        <w:tc>
          <w:tcPr>
            <w:tcW w:w="1426" w:type="dxa"/>
            <w:vMerge w:val="restart"/>
            <w:tcBorders>
              <w:top w:val="single" w:sz="4" w:space="0" w:color="auto"/>
            </w:tcBorders>
            <w:shd w:val="clear" w:color="auto" w:fill="auto"/>
          </w:tcPr>
          <w:p w:rsidR="0050667A" w:rsidRPr="006A6C1D" w:rsidRDefault="0050667A" w:rsidP="00530D24">
            <w:pPr>
              <w:keepNext/>
            </w:pPr>
            <w:r w:rsidRPr="006A6C1D">
              <w:t>Request for examination</w:t>
            </w:r>
          </w:p>
        </w:tc>
        <w:tc>
          <w:tcPr>
            <w:tcW w:w="2164" w:type="dxa"/>
            <w:gridSpan w:val="2"/>
            <w:vAlign w:val="center"/>
          </w:tcPr>
          <w:p w:rsidR="0050667A" w:rsidRPr="006A6C1D" w:rsidRDefault="0050667A" w:rsidP="00530D24">
            <w:pPr>
              <w:keepNext/>
            </w:pPr>
            <w:r w:rsidRPr="006A6C1D">
              <w:t xml:space="preserve">Varies by discipline, but on average: </w:t>
            </w:r>
          </w:p>
        </w:tc>
        <w:tc>
          <w:tcPr>
            <w:tcW w:w="749" w:type="dxa"/>
            <w:vAlign w:val="center"/>
          </w:tcPr>
          <w:p w:rsidR="0050667A" w:rsidRPr="006A6C1D" w:rsidRDefault="0050667A" w:rsidP="00530D24">
            <w:pPr>
              <w:keepNext/>
            </w:pPr>
            <w:r w:rsidRPr="006A6C1D">
              <w:t>48.4</w:t>
            </w:r>
          </w:p>
        </w:tc>
        <w:tc>
          <w:tcPr>
            <w:tcW w:w="783" w:type="dxa"/>
            <w:vAlign w:val="center"/>
          </w:tcPr>
          <w:p w:rsidR="0050667A" w:rsidRPr="006A6C1D" w:rsidRDefault="0050667A" w:rsidP="00530D24">
            <w:pPr>
              <w:keepNext/>
            </w:pPr>
            <w:r w:rsidRPr="006A6C1D">
              <w:t>45.7</w:t>
            </w:r>
          </w:p>
        </w:tc>
        <w:tc>
          <w:tcPr>
            <w:tcW w:w="777" w:type="dxa"/>
            <w:vAlign w:val="center"/>
          </w:tcPr>
          <w:p w:rsidR="0050667A" w:rsidRPr="006A6C1D" w:rsidRDefault="0050667A" w:rsidP="00530D24">
            <w:pPr>
              <w:keepNext/>
            </w:pPr>
            <w:r w:rsidRPr="006A6C1D">
              <w:t>42.7</w:t>
            </w:r>
          </w:p>
        </w:tc>
        <w:tc>
          <w:tcPr>
            <w:tcW w:w="883" w:type="dxa"/>
            <w:vAlign w:val="center"/>
          </w:tcPr>
          <w:p w:rsidR="0050667A" w:rsidRPr="006A6C1D" w:rsidRDefault="0050667A" w:rsidP="00530D24">
            <w:pPr>
              <w:keepNext/>
            </w:pPr>
            <w:r w:rsidRPr="006A6C1D">
              <w:t>40.3</w:t>
            </w:r>
          </w:p>
        </w:tc>
        <w:tc>
          <w:tcPr>
            <w:tcW w:w="1366" w:type="dxa"/>
            <w:shd w:val="clear" w:color="auto" w:fill="auto"/>
            <w:vAlign w:val="center"/>
          </w:tcPr>
          <w:p w:rsidR="0050667A" w:rsidRPr="006A6C1D" w:rsidRDefault="0050667A" w:rsidP="00530D24">
            <w:pPr>
              <w:keepNext/>
            </w:pPr>
            <w:r w:rsidRPr="006A6C1D">
              <w:t>35.7</w:t>
            </w:r>
          </w:p>
        </w:tc>
      </w:tr>
      <w:tr w:rsidR="0050667A" w:rsidRPr="006A6C1D" w:rsidTr="0050667A">
        <w:trPr>
          <w:cantSplit/>
          <w:trHeight w:val="123"/>
        </w:trPr>
        <w:tc>
          <w:tcPr>
            <w:tcW w:w="1426" w:type="dxa"/>
            <w:vMerge/>
            <w:shd w:val="clear" w:color="auto" w:fill="auto"/>
          </w:tcPr>
          <w:p w:rsidR="0050667A" w:rsidRPr="006A6C1D" w:rsidRDefault="0050667A" w:rsidP="00530D24">
            <w:pPr>
              <w:keepNext/>
            </w:pPr>
          </w:p>
        </w:tc>
        <w:tc>
          <w:tcPr>
            <w:tcW w:w="1426" w:type="dxa"/>
            <w:vMerge/>
            <w:shd w:val="clear" w:color="auto" w:fill="auto"/>
          </w:tcPr>
          <w:p w:rsidR="0050667A" w:rsidRPr="006A6C1D" w:rsidRDefault="0050667A" w:rsidP="00530D24">
            <w:pPr>
              <w:keepNext/>
            </w:pPr>
          </w:p>
        </w:tc>
        <w:tc>
          <w:tcPr>
            <w:tcW w:w="2164" w:type="dxa"/>
            <w:gridSpan w:val="2"/>
            <w:vAlign w:val="center"/>
          </w:tcPr>
          <w:p w:rsidR="0050667A" w:rsidRPr="006A6C1D" w:rsidRDefault="0050667A" w:rsidP="00530D24">
            <w:pPr>
              <w:keepNext/>
            </w:pPr>
            <w:r w:rsidRPr="006A6C1D">
              <w:t>Mechanical</w:t>
            </w:r>
          </w:p>
        </w:tc>
        <w:tc>
          <w:tcPr>
            <w:tcW w:w="3192" w:type="dxa"/>
            <w:gridSpan w:val="4"/>
            <w:vMerge w:val="restart"/>
            <w:vAlign w:val="center"/>
          </w:tcPr>
          <w:p w:rsidR="0050667A" w:rsidRPr="00530D24" w:rsidRDefault="0050667A" w:rsidP="00530D24">
            <w:pPr>
              <w:keepNext/>
              <w:rPr>
                <w:i/>
              </w:rPr>
            </w:pPr>
            <w:r w:rsidRPr="00530D24">
              <w:rPr>
                <w:i/>
              </w:rPr>
              <w:t>Not available</w:t>
            </w:r>
          </w:p>
        </w:tc>
        <w:tc>
          <w:tcPr>
            <w:tcW w:w="1366" w:type="dxa"/>
            <w:shd w:val="clear" w:color="auto" w:fill="auto"/>
            <w:vAlign w:val="center"/>
          </w:tcPr>
          <w:p w:rsidR="0050667A" w:rsidRPr="006A6C1D" w:rsidRDefault="0050667A" w:rsidP="00530D24">
            <w:pPr>
              <w:keepNext/>
            </w:pPr>
            <w:r w:rsidRPr="006A6C1D">
              <w:t>28.3</w:t>
            </w:r>
          </w:p>
        </w:tc>
      </w:tr>
      <w:tr w:rsidR="0050667A" w:rsidRPr="006A6C1D" w:rsidTr="0050667A">
        <w:trPr>
          <w:cantSplit/>
          <w:trHeight w:val="123"/>
        </w:trPr>
        <w:tc>
          <w:tcPr>
            <w:tcW w:w="1426" w:type="dxa"/>
            <w:vMerge/>
            <w:shd w:val="clear" w:color="auto" w:fill="auto"/>
          </w:tcPr>
          <w:p w:rsidR="0050667A" w:rsidRPr="006A6C1D" w:rsidRDefault="0050667A" w:rsidP="00530D24">
            <w:pPr>
              <w:keepNext/>
            </w:pPr>
          </w:p>
        </w:tc>
        <w:tc>
          <w:tcPr>
            <w:tcW w:w="1426" w:type="dxa"/>
            <w:vMerge/>
            <w:shd w:val="clear" w:color="auto" w:fill="auto"/>
          </w:tcPr>
          <w:p w:rsidR="0050667A" w:rsidRPr="006A6C1D" w:rsidRDefault="0050667A" w:rsidP="00530D24">
            <w:pPr>
              <w:keepNext/>
            </w:pPr>
          </w:p>
        </w:tc>
        <w:tc>
          <w:tcPr>
            <w:tcW w:w="2164" w:type="dxa"/>
            <w:gridSpan w:val="2"/>
            <w:vAlign w:val="center"/>
          </w:tcPr>
          <w:p w:rsidR="0050667A" w:rsidRPr="006A6C1D" w:rsidRDefault="0050667A" w:rsidP="00530D24">
            <w:pPr>
              <w:keepNext/>
            </w:pPr>
            <w:r w:rsidRPr="006A6C1D">
              <w:t>Electrical/electronic</w:t>
            </w:r>
          </w:p>
        </w:tc>
        <w:tc>
          <w:tcPr>
            <w:tcW w:w="3192" w:type="dxa"/>
            <w:gridSpan w:val="4"/>
            <w:vMerge/>
          </w:tcPr>
          <w:p w:rsidR="0050667A" w:rsidRPr="006A6C1D" w:rsidRDefault="0050667A" w:rsidP="00530D24">
            <w:pPr>
              <w:keepNext/>
            </w:pPr>
          </w:p>
        </w:tc>
        <w:tc>
          <w:tcPr>
            <w:tcW w:w="1366" w:type="dxa"/>
            <w:shd w:val="clear" w:color="auto" w:fill="auto"/>
            <w:vAlign w:val="center"/>
          </w:tcPr>
          <w:p w:rsidR="0050667A" w:rsidRPr="006A6C1D" w:rsidRDefault="0050667A" w:rsidP="00530D24">
            <w:pPr>
              <w:keepNext/>
            </w:pPr>
            <w:r w:rsidRPr="006A6C1D">
              <w:t>42.1</w:t>
            </w:r>
          </w:p>
        </w:tc>
      </w:tr>
      <w:tr w:rsidR="0050667A" w:rsidRPr="006A6C1D" w:rsidTr="0050667A">
        <w:trPr>
          <w:cantSplit/>
          <w:trHeight w:val="123"/>
        </w:trPr>
        <w:tc>
          <w:tcPr>
            <w:tcW w:w="1426" w:type="dxa"/>
            <w:vMerge/>
            <w:shd w:val="clear" w:color="auto" w:fill="auto"/>
          </w:tcPr>
          <w:p w:rsidR="0050667A" w:rsidRPr="006A6C1D" w:rsidRDefault="0050667A" w:rsidP="00530D24">
            <w:pPr>
              <w:keepNext/>
            </w:pPr>
          </w:p>
        </w:tc>
        <w:tc>
          <w:tcPr>
            <w:tcW w:w="1426" w:type="dxa"/>
            <w:vMerge/>
            <w:shd w:val="clear" w:color="auto" w:fill="auto"/>
          </w:tcPr>
          <w:p w:rsidR="0050667A" w:rsidRPr="006A6C1D" w:rsidRDefault="0050667A" w:rsidP="00530D24">
            <w:pPr>
              <w:keepNext/>
            </w:pPr>
          </w:p>
        </w:tc>
        <w:tc>
          <w:tcPr>
            <w:tcW w:w="2164" w:type="dxa"/>
            <w:gridSpan w:val="2"/>
            <w:vAlign w:val="center"/>
          </w:tcPr>
          <w:p w:rsidR="0050667A" w:rsidRPr="006A6C1D" w:rsidRDefault="0050667A" w:rsidP="00530D24">
            <w:pPr>
              <w:keepNext/>
            </w:pPr>
            <w:r w:rsidRPr="006A6C1D">
              <w:t>Chemistry</w:t>
            </w:r>
          </w:p>
        </w:tc>
        <w:tc>
          <w:tcPr>
            <w:tcW w:w="3192" w:type="dxa"/>
            <w:gridSpan w:val="4"/>
            <w:vMerge/>
          </w:tcPr>
          <w:p w:rsidR="0050667A" w:rsidRPr="006A6C1D" w:rsidRDefault="0050667A" w:rsidP="00530D24">
            <w:pPr>
              <w:keepNext/>
            </w:pPr>
          </w:p>
        </w:tc>
        <w:tc>
          <w:tcPr>
            <w:tcW w:w="1366" w:type="dxa"/>
            <w:shd w:val="clear" w:color="auto" w:fill="auto"/>
            <w:vAlign w:val="center"/>
          </w:tcPr>
          <w:p w:rsidR="0050667A" w:rsidRPr="006A6C1D" w:rsidRDefault="0050667A" w:rsidP="00530D24">
            <w:pPr>
              <w:keepNext/>
            </w:pPr>
          </w:p>
        </w:tc>
      </w:tr>
      <w:tr w:rsidR="0050667A" w:rsidRPr="006A6C1D" w:rsidTr="0050667A">
        <w:trPr>
          <w:cantSplit/>
          <w:trHeight w:val="123"/>
        </w:trPr>
        <w:tc>
          <w:tcPr>
            <w:tcW w:w="1426" w:type="dxa"/>
            <w:vMerge/>
            <w:shd w:val="clear" w:color="auto" w:fill="auto"/>
          </w:tcPr>
          <w:p w:rsidR="0050667A" w:rsidRPr="006A6C1D" w:rsidRDefault="0050667A" w:rsidP="00530D24">
            <w:pPr>
              <w:keepNext/>
            </w:pPr>
          </w:p>
        </w:tc>
        <w:tc>
          <w:tcPr>
            <w:tcW w:w="1426" w:type="dxa"/>
            <w:vMerge/>
            <w:shd w:val="clear" w:color="auto" w:fill="auto"/>
          </w:tcPr>
          <w:p w:rsidR="0050667A" w:rsidRPr="006A6C1D" w:rsidRDefault="0050667A" w:rsidP="00530D24">
            <w:pPr>
              <w:keepNext/>
            </w:pPr>
          </w:p>
        </w:tc>
        <w:tc>
          <w:tcPr>
            <w:tcW w:w="2164" w:type="dxa"/>
            <w:gridSpan w:val="2"/>
            <w:vAlign w:val="center"/>
          </w:tcPr>
          <w:p w:rsidR="0050667A" w:rsidRPr="006A6C1D" w:rsidRDefault="0050667A" w:rsidP="00530D24">
            <w:pPr>
              <w:keepNext/>
            </w:pPr>
            <w:r w:rsidRPr="006A6C1D">
              <w:t xml:space="preserve">   General</w:t>
            </w:r>
          </w:p>
          <w:p w:rsidR="0050667A" w:rsidRPr="006A6C1D" w:rsidRDefault="0050667A" w:rsidP="00530D24">
            <w:pPr>
              <w:keepNext/>
            </w:pPr>
            <w:r w:rsidRPr="006A6C1D">
              <w:t xml:space="preserve">   Chemistry</w:t>
            </w:r>
          </w:p>
        </w:tc>
        <w:tc>
          <w:tcPr>
            <w:tcW w:w="3192" w:type="dxa"/>
            <w:gridSpan w:val="4"/>
            <w:vMerge/>
          </w:tcPr>
          <w:p w:rsidR="0050667A" w:rsidRPr="006A6C1D" w:rsidRDefault="0050667A" w:rsidP="00530D24">
            <w:pPr>
              <w:keepNext/>
            </w:pPr>
          </w:p>
        </w:tc>
        <w:tc>
          <w:tcPr>
            <w:tcW w:w="1366" w:type="dxa"/>
            <w:shd w:val="clear" w:color="auto" w:fill="auto"/>
            <w:vAlign w:val="center"/>
          </w:tcPr>
          <w:p w:rsidR="0050667A" w:rsidRPr="006A6C1D" w:rsidRDefault="0050667A" w:rsidP="00530D24">
            <w:pPr>
              <w:keepNext/>
            </w:pPr>
            <w:r w:rsidRPr="006A6C1D">
              <w:t>33.5</w:t>
            </w:r>
          </w:p>
        </w:tc>
      </w:tr>
      <w:tr w:rsidR="0050667A" w:rsidRPr="006A6C1D" w:rsidTr="0050667A">
        <w:trPr>
          <w:cantSplit/>
          <w:trHeight w:val="123"/>
        </w:trPr>
        <w:tc>
          <w:tcPr>
            <w:tcW w:w="1426" w:type="dxa"/>
            <w:vMerge/>
            <w:tcBorders>
              <w:bottom w:val="nil"/>
            </w:tcBorders>
            <w:shd w:val="clear" w:color="auto" w:fill="auto"/>
          </w:tcPr>
          <w:p w:rsidR="0050667A" w:rsidRPr="006A6C1D" w:rsidRDefault="0050667A" w:rsidP="00530D24">
            <w:pPr>
              <w:keepNext/>
            </w:pPr>
          </w:p>
        </w:tc>
        <w:tc>
          <w:tcPr>
            <w:tcW w:w="1426" w:type="dxa"/>
            <w:vMerge/>
            <w:tcBorders>
              <w:bottom w:val="nil"/>
            </w:tcBorders>
            <w:shd w:val="clear" w:color="auto" w:fill="auto"/>
          </w:tcPr>
          <w:p w:rsidR="0050667A" w:rsidRPr="006A6C1D" w:rsidRDefault="0050667A" w:rsidP="00530D24">
            <w:pPr>
              <w:keepNext/>
            </w:pPr>
          </w:p>
        </w:tc>
        <w:tc>
          <w:tcPr>
            <w:tcW w:w="2164" w:type="dxa"/>
            <w:gridSpan w:val="2"/>
            <w:vAlign w:val="center"/>
          </w:tcPr>
          <w:p w:rsidR="0050667A" w:rsidRPr="006A6C1D" w:rsidRDefault="0050667A" w:rsidP="00530D24">
            <w:pPr>
              <w:keepNext/>
            </w:pPr>
            <w:r w:rsidRPr="006A6C1D">
              <w:t xml:space="preserve">   Organic</w:t>
            </w:r>
          </w:p>
          <w:p w:rsidR="0050667A" w:rsidRPr="006A6C1D" w:rsidRDefault="0050667A" w:rsidP="00530D24">
            <w:pPr>
              <w:keepNext/>
            </w:pPr>
            <w:r w:rsidRPr="006A6C1D">
              <w:t xml:space="preserve">   Chemistry</w:t>
            </w:r>
          </w:p>
        </w:tc>
        <w:tc>
          <w:tcPr>
            <w:tcW w:w="3192" w:type="dxa"/>
            <w:gridSpan w:val="4"/>
            <w:vMerge/>
          </w:tcPr>
          <w:p w:rsidR="0050667A" w:rsidRPr="006A6C1D" w:rsidRDefault="0050667A" w:rsidP="00530D24">
            <w:pPr>
              <w:keepNext/>
            </w:pPr>
          </w:p>
        </w:tc>
        <w:tc>
          <w:tcPr>
            <w:tcW w:w="1366" w:type="dxa"/>
            <w:shd w:val="clear" w:color="auto" w:fill="auto"/>
            <w:vAlign w:val="center"/>
          </w:tcPr>
          <w:p w:rsidR="0050667A" w:rsidRPr="006A6C1D" w:rsidRDefault="0050667A" w:rsidP="00530D24">
            <w:pPr>
              <w:keepNext/>
            </w:pPr>
            <w:r w:rsidRPr="006A6C1D">
              <w:t>31.5</w:t>
            </w:r>
          </w:p>
        </w:tc>
      </w:tr>
      <w:tr w:rsidR="0050667A" w:rsidRPr="006A6C1D" w:rsidTr="0050667A">
        <w:trPr>
          <w:cantSplit/>
          <w:trHeight w:val="123"/>
        </w:trPr>
        <w:tc>
          <w:tcPr>
            <w:tcW w:w="1426" w:type="dxa"/>
            <w:tcBorders>
              <w:top w:val="nil"/>
              <w:left w:val="single" w:sz="4" w:space="0" w:color="auto"/>
              <w:bottom w:val="single" w:sz="4" w:space="0" w:color="auto"/>
              <w:right w:val="single" w:sz="4" w:space="0" w:color="auto"/>
            </w:tcBorders>
            <w:shd w:val="clear" w:color="auto" w:fill="auto"/>
          </w:tcPr>
          <w:p w:rsidR="0050667A" w:rsidRPr="006A6C1D" w:rsidRDefault="0050667A" w:rsidP="006A6C1D"/>
        </w:tc>
        <w:tc>
          <w:tcPr>
            <w:tcW w:w="1426" w:type="dxa"/>
            <w:tcBorders>
              <w:top w:val="nil"/>
              <w:left w:val="single" w:sz="4" w:space="0" w:color="auto"/>
              <w:bottom w:val="single" w:sz="4" w:space="0" w:color="auto"/>
              <w:right w:val="single" w:sz="4" w:space="0" w:color="auto"/>
            </w:tcBorders>
            <w:shd w:val="clear" w:color="auto" w:fill="auto"/>
          </w:tcPr>
          <w:p w:rsidR="0050667A" w:rsidRPr="006A6C1D" w:rsidRDefault="0050667A" w:rsidP="006A6C1D"/>
        </w:tc>
        <w:tc>
          <w:tcPr>
            <w:tcW w:w="2164" w:type="dxa"/>
            <w:gridSpan w:val="2"/>
            <w:tcBorders>
              <w:left w:val="single" w:sz="4" w:space="0" w:color="auto"/>
            </w:tcBorders>
            <w:vAlign w:val="center"/>
          </w:tcPr>
          <w:p w:rsidR="0050667A" w:rsidRPr="006A6C1D" w:rsidRDefault="0050667A" w:rsidP="006A6C1D">
            <w:r w:rsidRPr="006A6C1D">
              <w:t>Biotech</w:t>
            </w:r>
          </w:p>
        </w:tc>
        <w:tc>
          <w:tcPr>
            <w:tcW w:w="3192" w:type="dxa"/>
            <w:gridSpan w:val="4"/>
            <w:vMerge/>
          </w:tcPr>
          <w:p w:rsidR="0050667A" w:rsidRPr="006A6C1D" w:rsidRDefault="0050667A" w:rsidP="006A6C1D"/>
        </w:tc>
        <w:tc>
          <w:tcPr>
            <w:tcW w:w="1366" w:type="dxa"/>
            <w:shd w:val="clear" w:color="auto" w:fill="auto"/>
            <w:vAlign w:val="center"/>
          </w:tcPr>
          <w:p w:rsidR="0050667A" w:rsidRPr="006A6C1D" w:rsidRDefault="0050667A" w:rsidP="006A6C1D">
            <w:r w:rsidRPr="006A6C1D">
              <w:t>58.4</w:t>
            </w:r>
          </w:p>
        </w:tc>
      </w:tr>
    </w:tbl>
    <w:p w:rsidR="0050667A" w:rsidRPr="006A6C1D" w:rsidRDefault="0050667A" w:rsidP="006A6C1D"/>
    <w:p w:rsidR="0050667A" w:rsidRPr="006A6C1D" w:rsidRDefault="0050667A" w:rsidP="006A6C1D"/>
    <w:tbl>
      <w:tblPr>
        <w:tblW w:w="6800" w:type="dxa"/>
        <w:tblLook w:val="04A0" w:firstRow="1" w:lastRow="0" w:firstColumn="1" w:lastColumn="0" w:noHBand="0" w:noVBand="1"/>
      </w:tblPr>
      <w:tblGrid>
        <w:gridCol w:w="2075"/>
        <w:gridCol w:w="889"/>
        <w:gridCol w:w="959"/>
        <w:gridCol w:w="959"/>
        <w:gridCol w:w="959"/>
        <w:gridCol w:w="959"/>
      </w:tblGrid>
      <w:tr w:rsidR="0050667A" w:rsidRPr="006A6C1D" w:rsidTr="00530D24">
        <w:trPr>
          <w:trHeight w:val="300"/>
        </w:trPr>
        <w:tc>
          <w:tcPr>
            <w:tcW w:w="680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50667A" w:rsidRPr="00530D24" w:rsidRDefault="0050667A" w:rsidP="006A6C1D">
            <w:pPr>
              <w:rPr>
                <w:b/>
              </w:rPr>
            </w:pPr>
            <w:r w:rsidRPr="00530D24">
              <w:rPr>
                <w:b/>
              </w:rPr>
              <w:t>Product outputs</w:t>
            </w:r>
          </w:p>
        </w:tc>
      </w:tr>
      <w:tr w:rsidR="0050667A" w:rsidRPr="006A6C1D" w:rsidTr="00530D24">
        <w:trPr>
          <w:trHeight w:val="516"/>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50667A" w:rsidRPr="00530D24" w:rsidRDefault="0050667A" w:rsidP="006A6C1D">
            <w:pPr>
              <w:rPr>
                <w:b/>
              </w:rPr>
            </w:pPr>
            <w:r w:rsidRPr="00530D24">
              <w:rPr>
                <w:b/>
              </w:rPr>
              <w:t> </w:t>
            </w:r>
          </w:p>
        </w:tc>
        <w:tc>
          <w:tcPr>
            <w:tcW w:w="880" w:type="dxa"/>
            <w:tcBorders>
              <w:top w:val="nil"/>
              <w:left w:val="nil"/>
              <w:bottom w:val="single" w:sz="8" w:space="0" w:color="auto"/>
              <w:right w:val="single" w:sz="8" w:space="0" w:color="auto"/>
            </w:tcBorders>
            <w:shd w:val="clear" w:color="auto" w:fill="auto"/>
            <w:vAlign w:val="center"/>
            <w:hideMark/>
          </w:tcPr>
          <w:p w:rsidR="0050667A" w:rsidRPr="00530D24" w:rsidRDefault="0050667A" w:rsidP="006A6C1D">
            <w:pPr>
              <w:rPr>
                <w:b/>
              </w:rPr>
            </w:pPr>
            <w:r w:rsidRPr="00530D24">
              <w:rPr>
                <w:b/>
              </w:rPr>
              <w:t>2011-2012</w:t>
            </w:r>
          </w:p>
        </w:tc>
        <w:tc>
          <w:tcPr>
            <w:tcW w:w="960" w:type="dxa"/>
            <w:tcBorders>
              <w:top w:val="nil"/>
              <w:left w:val="nil"/>
              <w:bottom w:val="single" w:sz="8" w:space="0" w:color="auto"/>
              <w:right w:val="single" w:sz="8" w:space="0" w:color="auto"/>
            </w:tcBorders>
            <w:shd w:val="clear" w:color="auto" w:fill="auto"/>
            <w:vAlign w:val="center"/>
            <w:hideMark/>
          </w:tcPr>
          <w:p w:rsidR="0050667A" w:rsidRPr="00530D24" w:rsidRDefault="0050667A" w:rsidP="006A6C1D">
            <w:pPr>
              <w:rPr>
                <w:b/>
              </w:rPr>
            </w:pPr>
            <w:r w:rsidRPr="00530D24">
              <w:rPr>
                <w:b/>
              </w:rPr>
              <w:t>2012-2013</w:t>
            </w:r>
          </w:p>
        </w:tc>
        <w:tc>
          <w:tcPr>
            <w:tcW w:w="960" w:type="dxa"/>
            <w:tcBorders>
              <w:top w:val="nil"/>
              <w:left w:val="nil"/>
              <w:bottom w:val="single" w:sz="8" w:space="0" w:color="auto"/>
              <w:right w:val="single" w:sz="8" w:space="0" w:color="auto"/>
            </w:tcBorders>
            <w:shd w:val="clear" w:color="auto" w:fill="auto"/>
            <w:vAlign w:val="center"/>
            <w:hideMark/>
          </w:tcPr>
          <w:p w:rsidR="0050667A" w:rsidRPr="00530D24" w:rsidRDefault="0050667A" w:rsidP="006A6C1D">
            <w:pPr>
              <w:rPr>
                <w:b/>
              </w:rPr>
            </w:pPr>
            <w:r w:rsidRPr="00530D24">
              <w:rPr>
                <w:b/>
              </w:rPr>
              <w:t>2013-2014</w:t>
            </w:r>
          </w:p>
        </w:tc>
        <w:tc>
          <w:tcPr>
            <w:tcW w:w="960" w:type="dxa"/>
            <w:tcBorders>
              <w:top w:val="nil"/>
              <w:left w:val="nil"/>
              <w:bottom w:val="single" w:sz="8" w:space="0" w:color="auto"/>
              <w:right w:val="single" w:sz="8" w:space="0" w:color="auto"/>
            </w:tcBorders>
            <w:shd w:val="clear" w:color="auto" w:fill="auto"/>
            <w:vAlign w:val="center"/>
            <w:hideMark/>
          </w:tcPr>
          <w:p w:rsidR="0050667A" w:rsidRPr="00530D24" w:rsidRDefault="0050667A" w:rsidP="006A6C1D">
            <w:pPr>
              <w:rPr>
                <w:b/>
              </w:rPr>
            </w:pPr>
            <w:r w:rsidRPr="00530D24">
              <w:rPr>
                <w:b/>
              </w:rPr>
              <w:t>2014-2015</w:t>
            </w:r>
          </w:p>
        </w:tc>
        <w:tc>
          <w:tcPr>
            <w:tcW w:w="960" w:type="dxa"/>
            <w:tcBorders>
              <w:top w:val="nil"/>
              <w:left w:val="nil"/>
              <w:bottom w:val="single" w:sz="8" w:space="0" w:color="auto"/>
              <w:right w:val="single" w:sz="8" w:space="0" w:color="auto"/>
            </w:tcBorders>
          </w:tcPr>
          <w:p w:rsidR="0050667A" w:rsidRPr="00530D24" w:rsidRDefault="0050667A" w:rsidP="006A6C1D">
            <w:pPr>
              <w:rPr>
                <w:b/>
              </w:rPr>
            </w:pPr>
            <w:r w:rsidRPr="00530D24">
              <w:rPr>
                <w:b/>
              </w:rPr>
              <w:t>2015-2016</w:t>
            </w:r>
          </w:p>
        </w:tc>
      </w:tr>
      <w:tr w:rsidR="0050667A" w:rsidRPr="006A6C1D" w:rsidTr="00530D24">
        <w:trPr>
          <w:trHeight w:val="1020"/>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50667A" w:rsidRPr="006A6C1D" w:rsidRDefault="0050667A" w:rsidP="006A6C1D">
            <w:r w:rsidRPr="006A6C1D">
              <w:t>Requests for examination</w:t>
            </w:r>
          </w:p>
        </w:tc>
        <w:tc>
          <w:tcPr>
            <w:tcW w:w="880" w:type="dxa"/>
            <w:tcBorders>
              <w:top w:val="nil"/>
              <w:left w:val="nil"/>
              <w:bottom w:val="single" w:sz="8" w:space="0" w:color="auto"/>
              <w:right w:val="single" w:sz="8" w:space="0" w:color="auto"/>
            </w:tcBorders>
            <w:shd w:val="clear" w:color="auto" w:fill="auto"/>
            <w:vAlign w:val="center"/>
            <w:hideMark/>
          </w:tcPr>
          <w:p w:rsidR="0050667A" w:rsidRPr="006A6C1D" w:rsidRDefault="0050667A" w:rsidP="006A6C1D">
            <w:r w:rsidRPr="006A6C1D">
              <w:t>29,077</w:t>
            </w:r>
          </w:p>
        </w:tc>
        <w:tc>
          <w:tcPr>
            <w:tcW w:w="960" w:type="dxa"/>
            <w:tcBorders>
              <w:top w:val="nil"/>
              <w:left w:val="nil"/>
              <w:bottom w:val="single" w:sz="8" w:space="0" w:color="auto"/>
              <w:right w:val="single" w:sz="8" w:space="0" w:color="auto"/>
            </w:tcBorders>
            <w:shd w:val="clear" w:color="auto" w:fill="auto"/>
            <w:vAlign w:val="center"/>
            <w:hideMark/>
          </w:tcPr>
          <w:p w:rsidR="0050667A" w:rsidRPr="006A6C1D" w:rsidRDefault="0050667A" w:rsidP="006A6C1D">
            <w:r w:rsidRPr="006A6C1D">
              <w:t>28,161</w:t>
            </w:r>
          </w:p>
        </w:tc>
        <w:tc>
          <w:tcPr>
            <w:tcW w:w="960" w:type="dxa"/>
            <w:tcBorders>
              <w:top w:val="nil"/>
              <w:left w:val="nil"/>
              <w:bottom w:val="single" w:sz="8" w:space="0" w:color="auto"/>
              <w:right w:val="single" w:sz="8" w:space="0" w:color="auto"/>
            </w:tcBorders>
            <w:shd w:val="clear" w:color="auto" w:fill="auto"/>
            <w:vAlign w:val="center"/>
            <w:hideMark/>
          </w:tcPr>
          <w:p w:rsidR="0050667A" w:rsidRPr="006A6C1D" w:rsidRDefault="0050667A" w:rsidP="006A6C1D">
            <w:r w:rsidRPr="006A6C1D">
              <w:t>28,497</w:t>
            </w:r>
          </w:p>
        </w:tc>
        <w:tc>
          <w:tcPr>
            <w:tcW w:w="960" w:type="dxa"/>
            <w:tcBorders>
              <w:top w:val="nil"/>
              <w:left w:val="nil"/>
              <w:bottom w:val="single" w:sz="8" w:space="0" w:color="auto"/>
              <w:right w:val="single" w:sz="8" w:space="0" w:color="auto"/>
            </w:tcBorders>
            <w:shd w:val="clear" w:color="auto" w:fill="auto"/>
            <w:vAlign w:val="center"/>
            <w:hideMark/>
          </w:tcPr>
          <w:p w:rsidR="0050667A" w:rsidRPr="006A6C1D" w:rsidRDefault="0050667A" w:rsidP="006A6C1D">
            <w:r w:rsidRPr="006A6C1D">
              <w:t>28,776</w:t>
            </w:r>
          </w:p>
        </w:tc>
        <w:tc>
          <w:tcPr>
            <w:tcW w:w="960" w:type="dxa"/>
            <w:tcBorders>
              <w:top w:val="nil"/>
              <w:left w:val="nil"/>
              <w:bottom w:val="single" w:sz="8" w:space="0" w:color="auto"/>
              <w:right w:val="single" w:sz="8" w:space="0" w:color="auto"/>
            </w:tcBorders>
            <w:vAlign w:val="center"/>
          </w:tcPr>
          <w:p w:rsidR="0050667A" w:rsidRPr="006A6C1D" w:rsidRDefault="0050667A" w:rsidP="006A6C1D">
            <w:r w:rsidRPr="006A6C1D">
              <w:t>29,050</w:t>
            </w:r>
          </w:p>
        </w:tc>
      </w:tr>
      <w:tr w:rsidR="0050667A" w:rsidRPr="006A6C1D" w:rsidTr="00530D24">
        <w:trPr>
          <w:trHeight w:val="516"/>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50667A" w:rsidRPr="006A6C1D" w:rsidRDefault="0050667A" w:rsidP="006A6C1D">
            <w:r w:rsidRPr="006A6C1D">
              <w:t>Disposals</w:t>
            </w:r>
          </w:p>
        </w:tc>
        <w:tc>
          <w:tcPr>
            <w:tcW w:w="880" w:type="dxa"/>
            <w:tcBorders>
              <w:top w:val="nil"/>
              <w:left w:val="nil"/>
              <w:bottom w:val="single" w:sz="8" w:space="0" w:color="auto"/>
              <w:right w:val="single" w:sz="8" w:space="0" w:color="auto"/>
            </w:tcBorders>
            <w:shd w:val="clear" w:color="auto" w:fill="auto"/>
            <w:vAlign w:val="center"/>
            <w:hideMark/>
          </w:tcPr>
          <w:p w:rsidR="0050667A" w:rsidRPr="006A6C1D" w:rsidRDefault="0050667A" w:rsidP="006A6C1D">
            <w:r w:rsidRPr="006A6C1D">
              <w:t>36,211</w:t>
            </w:r>
          </w:p>
        </w:tc>
        <w:tc>
          <w:tcPr>
            <w:tcW w:w="960" w:type="dxa"/>
            <w:tcBorders>
              <w:top w:val="nil"/>
              <w:left w:val="nil"/>
              <w:bottom w:val="single" w:sz="8" w:space="0" w:color="auto"/>
              <w:right w:val="single" w:sz="8" w:space="0" w:color="auto"/>
            </w:tcBorders>
            <w:shd w:val="clear" w:color="auto" w:fill="auto"/>
            <w:vAlign w:val="center"/>
            <w:hideMark/>
          </w:tcPr>
          <w:p w:rsidR="0050667A" w:rsidRPr="006A6C1D" w:rsidRDefault="0050667A" w:rsidP="006A6C1D">
            <w:r w:rsidRPr="006A6C1D">
              <w:t>37,682</w:t>
            </w:r>
          </w:p>
        </w:tc>
        <w:tc>
          <w:tcPr>
            <w:tcW w:w="960" w:type="dxa"/>
            <w:tcBorders>
              <w:top w:val="nil"/>
              <w:left w:val="nil"/>
              <w:bottom w:val="single" w:sz="8" w:space="0" w:color="auto"/>
              <w:right w:val="single" w:sz="8" w:space="0" w:color="auto"/>
            </w:tcBorders>
            <w:shd w:val="clear" w:color="auto" w:fill="auto"/>
            <w:vAlign w:val="center"/>
            <w:hideMark/>
          </w:tcPr>
          <w:p w:rsidR="0050667A" w:rsidRPr="006A6C1D" w:rsidRDefault="0050667A" w:rsidP="006A6C1D">
            <w:r w:rsidRPr="006A6C1D">
              <w:t>38,533</w:t>
            </w:r>
          </w:p>
        </w:tc>
        <w:tc>
          <w:tcPr>
            <w:tcW w:w="960" w:type="dxa"/>
            <w:tcBorders>
              <w:top w:val="nil"/>
              <w:left w:val="nil"/>
              <w:bottom w:val="single" w:sz="8" w:space="0" w:color="auto"/>
              <w:right w:val="single" w:sz="8" w:space="0" w:color="auto"/>
            </w:tcBorders>
            <w:shd w:val="clear" w:color="auto" w:fill="auto"/>
            <w:vAlign w:val="center"/>
            <w:hideMark/>
          </w:tcPr>
          <w:p w:rsidR="0050667A" w:rsidRPr="006A6C1D" w:rsidRDefault="0050667A" w:rsidP="006A6C1D">
            <w:r w:rsidRPr="006A6C1D">
              <w:t>36,370</w:t>
            </w:r>
          </w:p>
        </w:tc>
        <w:tc>
          <w:tcPr>
            <w:tcW w:w="960" w:type="dxa"/>
            <w:tcBorders>
              <w:top w:val="nil"/>
              <w:left w:val="nil"/>
              <w:bottom w:val="single" w:sz="8" w:space="0" w:color="auto"/>
              <w:right w:val="single" w:sz="8" w:space="0" w:color="auto"/>
            </w:tcBorders>
            <w:vAlign w:val="center"/>
          </w:tcPr>
          <w:p w:rsidR="0050667A" w:rsidRPr="006A6C1D" w:rsidRDefault="0050667A" w:rsidP="006A6C1D">
            <w:r w:rsidRPr="006A6C1D">
              <w:t>37,820</w:t>
            </w:r>
          </w:p>
        </w:tc>
      </w:tr>
      <w:tr w:rsidR="0050667A" w:rsidRPr="006A6C1D" w:rsidTr="00530D24">
        <w:trPr>
          <w:trHeight w:val="300"/>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50667A" w:rsidRPr="006A6C1D" w:rsidRDefault="0050667A" w:rsidP="006A6C1D">
            <w:r w:rsidRPr="006A6C1D">
              <w:t>Grants</w:t>
            </w:r>
          </w:p>
        </w:tc>
        <w:tc>
          <w:tcPr>
            <w:tcW w:w="880" w:type="dxa"/>
            <w:tcBorders>
              <w:top w:val="nil"/>
              <w:left w:val="nil"/>
              <w:bottom w:val="single" w:sz="8" w:space="0" w:color="auto"/>
              <w:right w:val="single" w:sz="8" w:space="0" w:color="auto"/>
            </w:tcBorders>
            <w:shd w:val="clear" w:color="auto" w:fill="auto"/>
            <w:vAlign w:val="center"/>
            <w:hideMark/>
          </w:tcPr>
          <w:p w:rsidR="0050667A" w:rsidRPr="006A6C1D" w:rsidRDefault="0050667A" w:rsidP="006A6C1D">
            <w:r w:rsidRPr="006A6C1D">
              <w:t>20,624</w:t>
            </w:r>
          </w:p>
        </w:tc>
        <w:tc>
          <w:tcPr>
            <w:tcW w:w="960" w:type="dxa"/>
            <w:tcBorders>
              <w:top w:val="nil"/>
              <w:left w:val="nil"/>
              <w:bottom w:val="single" w:sz="8" w:space="0" w:color="auto"/>
              <w:right w:val="single" w:sz="8" w:space="0" w:color="auto"/>
            </w:tcBorders>
            <w:shd w:val="clear" w:color="auto" w:fill="auto"/>
            <w:vAlign w:val="center"/>
            <w:hideMark/>
          </w:tcPr>
          <w:p w:rsidR="0050667A" w:rsidRPr="006A6C1D" w:rsidRDefault="0050667A" w:rsidP="006A6C1D">
            <w:r w:rsidRPr="006A6C1D">
              <w:t>21,529</w:t>
            </w:r>
          </w:p>
        </w:tc>
        <w:tc>
          <w:tcPr>
            <w:tcW w:w="960" w:type="dxa"/>
            <w:tcBorders>
              <w:top w:val="nil"/>
              <w:left w:val="nil"/>
              <w:bottom w:val="single" w:sz="8" w:space="0" w:color="auto"/>
              <w:right w:val="single" w:sz="8" w:space="0" w:color="auto"/>
            </w:tcBorders>
            <w:shd w:val="clear" w:color="auto" w:fill="auto"/>
            <w:vAlign w:val="center"/>
            <w:hideMark/>
          </w:tcPr>
          <w:p w:rsidR="0050667A" w:rsidRPr="006A6C1D" w:rsidRDefault="0050667A" w:rsidP="006A6C1D">
            <w:r w:rsidRPr="006A6C1D">
              <w:t>23,482</w:t>
            </w:r>
          </w:p>
        </w:tc>
        <w:tc>
          <w:tcPr>
            <w:tcW w:w="960" w:type="dxa"/>
            <w:tcBorders>
              <w:top w:val="nil"/>
              <w:left w:val="nil"/>
              <w:bottom w:val="single" w:sz="8" w:space="0" w:color="auto"/>
              <w:right w:val="single" w:sz="8" w:space="0" w:color="auto"/>
            </w:tcBorders>
            <w:shd w:val="clear" w:color="auto" w:fill="auto"/>
            <w:vAlign w:val="center"/>
            <w:hideMark/>
          </w:tcPr>
          <w:p w:rsidR="0050667A" w:rsidRPr="006A6C1D" w:rsidRDefault="0050667A" w:rsidP="006A6C1D">
            <w:r w:rsidRPr="006A6C1D">
              <w:t>23,746</w:t>
            </w:r>
          </w:p>
        </w:tc>
        <w:tc>
          <w:tcPr>
            <w:tcW w:w="960" w:type="dxa"/>
            <w:tcBorders>
              <w:top w:val="nil"/>
              <w:left w:val="nil"/>
              <w:bottom w:val="single" w:sz="8" w:space="0" w:color="auto"/>
              <w:right w:val="single" w:sz="8" w:space="0" w:color="auto"/>
            </w:tcBorders>
            <w:vAlign w:val="center"/>
          </w:tcPr>
          <w:p w:rsidR="0050667A" w:rsidRPr="006A6C1D" w:rsidRDefault="0050667A" w:rsidP="006A6C1D">
            <w:r w:rsidRPr="006A6C1D">
              <w:t>25,088</w:t>
            </w:r>
          </w:p>
        </w:tc>
      </w:tr>
    </w:tbl>
    <w:p w:rsidR="0050667A" w:rsidRPr="006A6C1D" w:rsidRDefault="0050667A" w:rsidP="006A6C1D"/>
    <w:p w:rsidR="0050667A" w:rsidRPr="006A6C1D" w:rsidRDefault="0050667A" w:rsidP="00530D24">
      <w:pPr>
        <w:pStyle w:val="Subsection"/>
      </w:pPr>
      <w:r w:rsidRPr="006A6C1D">
        <w:t>National backlogs</w:t>
      </w:r>
    </w:p>
    <w:p w:rsidR="0050667A" w:rsidRPr="006A6C1D" w:rsidRDefault="0050667A" w:rsidP="006A6C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990"/>
        <w:gridCol w:w="1080"/>
        <w:gridCol w:w="1080"/>
        <w:gridCol w:w="1080"/>
        <w:gridCol w:w="2533"/>
      </w:tblGrid>
      <w:tr w:rsidR="0050667A" w:rsidRPr="006A6C1D" w:rsidTr="0050667A">
        <w:trPr>
          <w:cantSplit/>
        </w:trPr>
        <w:tc>
          <w:tcPr>
            <w:tcW w:w="2808" w:type="dxa"/>
            <w:shd w:val="clear" w:color="auto" w:fill="auto"/>
          </w:tcPr>
          <w:p w:rsidR="0050667A" w:rsidRPr="006A6C1D" w:rsidRDefault="0050667A" w:rsidP="006A6C1D">
            <w:r w:rsidRPr="006A6C1D">
              <w:t>Measure</w:t>
            </w:r>
          </w:p>
        </w:tc>
        <w:tc>
          <w:tcPr>
            <w:tcW w:w="990" w:type="dxa"/>
            <w:vAlign w:val="center"/>
          </w:tcPr>
          <w:p w:rsidR="0050667A" w:rsidRPr="006A6C1D" w:rsidRDefault="0050667A" w:rsidP="006A6C1D">
            <w:r w:rsidRPr="006A6C1D">
              <w:t xml:space="preserve"> 2011-2012</w:t>
            </w:r>
          </w:p>
        </w:tc>
        <w:tc>
          <w:tcPr>
            <w:tcW w:w="1080" w:type="dxa"/>
            <w:vAlign w:val="center"/>
          </w:tcPr>
          <w:p w:rsidR="0050667A" w:rsidRPr="006A6C1D" w:rsidRDefault="0050667A" w:rsidP="006A6C1D">
            <w:r w:rsidRPr="006A6C1D">
              <w:t xml:space="preserve"> 2012-2013</w:t>
            </w:r>
          </w:p>
        </w:tc>
        <w:tc>
          <w:tcPr>
            <w:tcW w:w="1080" w:type="dxa"/>
            <w:shd w:val="clear" w:color="auto" w:fill="auto"/>
            <w:vAlign w:val="center"/>
          </w:tcPr>
          <w:p w:rsidR="0050667A" w:rsidRPr="006A6C1D" w:rsidRDefault="0050667A" w:rsidP="006A6C1D">
            <w:r w:rsidRPr="006A6C1D">
              <w:t xml:space="preserve"> 2013-2014</w:t>
            </w:r>
          </w:p>
        </w:tc>
        <w:tc>
          <w:tcPr>
            <w:tcW w:w="1080" w:type="dxa"/>
            <w:vAlign w:val="center"/>
          </w:tcPr>
          <w:p w:rsidR="0050667A" w:rsidRPr="006A6C1D" w:rsidRDefault="0050667A" w:rsidP="006A6C1D">
            <w:r w:rsidRPr="006A6C1D">
              <w:t xml:space="preserve"> 2014-2015</w:t>
            </w:r>
          </w:p>
        </w:tc>
        <w:tc>
          <w:tcPr>
            <w:tcW w:w="2533" w:type="dxa"/>
          </w:tcPr>
          <w:p w:rsidR="0050667A" w:rsidRPr="006A6C1D" w:rsidRDefault="0050667A" w:rsidP="006A6C1D">
            <w:r w:rsidRPr="006A6C1D">
              <w:t xml:space="preserve">Number of applications </w:t>
            </w:r>
          </w:p>
          <w:p w:rsidR="0050667A" w:rsidRPr="006A6C1D" w:rsidRDefault="0050667A" w:rsidP="006A6C1D">
            <w:r w:rsidRPr="006A6C1D">
              <w:t xml:space="preserve">    (as of 2016-12-31)</w:t>
            </w:r>
          </w:p>
        </w:tc>
      </w:tr>
      <w:tr w:rsidR="0050667A" w:rsidRPr="006A6C1D" w:rsidTr="0050667A">
        <w:trPr>
          <w:cantSplit/>
        </w:trPr>
        <w:tc>
          <w:tcPr>
            <w:tcW w:w="2808" w:type="dxa"/>
            <w:shd w:val="clear" w:color="auto" w:fill="auto"/>
          </w:tcPr>
          <w:p w:rsidR="0050667A" w:rsidRPr="006A6C1D" w:rsidRDefault="0050667A" w:rsidP="006A6C1D"/>
          <w:p w:rsidR="0050667A" w:rsidRPr="006A6C1D" w:rsidRDefault="0050667A" w:rsidP="006A6C1D">
            <w:r w:rsidRPr="006A6C1D">
              <w:t>All pending applications</w:t>
            </w:r>
          </w:p>
          <w:p w:rsidR="0050667A" w:rsidRPr="006A6C1D" w:rsidRDefault="0050667A" w:rsidP="006A6C1D"/>
        </w:tc>
        <w:tc>
          <w:tcPr>
            <w:tcW w:w="990" w:type="dxa"/>
            <w:vAlign w:val="center"/>
          </w:tcPr>
          <w:p w:rsidR="0050667A" w:rsidRPr="006A6C1D" w:rsidRDefault="0050667A" w:rsidP="006A6C1D">
            <w:r w:rsidRPr="006A6C1D">
              <w:t>n/a</w:t>
            </w:r>
          </w:p>
        </w:tc>
        <w:tc>
          <w:tcPr>
            <w:tcW w:w="1080" w:type="dxa"/>
            <w:vAlign w:val="center"/>
          </w:tcPr>
          <w:p w:rsidR="0050667A" w:rsidRPr="006A6C1D" w:rsidRDefault="0050667A" w:rsidP="006A6C1D">
            <w:r w:rsidRPr="006A6C1D">
              <w:t>n/a</w:t>
            </w:r>
          </w:p>
        </w:tc>
        <w:tc>
          <w:tcPr>
            <w:tcW w:w="1080" w:type="dxa"/>
            <w:shd w:val="clear" w:color="auto" w:fill="auto"/>
            <w:vAlign w:val="center"/>
          </w:tcPr>
          <w:p w:rsidR="0050667A" w:rsidRPr="006A6C1D" w:rsidRDefault="0050667A" w:rsidP="006A6C1D">
            <w:r w:rsidRPr="006A6C1D">
              <w:t>n/a</w:t>
            </w:r>
          </w:p>
        </w:tc>
        <w:tc>
          <w:tcPr>
            <w:tcW w:w="1080" w:type="dxa"/>
            <w:vAlign w:val="center"/>
          </w:tcPr>
          <w:p w:rsidR="0050667A" w:rsidRPr="006A6C1D" w:rsidRDefault="0050667A" w:rsidP="006A6C1D">
            <w:r w:rsidRPr="006A6C1D">
              <w:t>n/a</w:t>
            </w:r>
          </w:p>
        </w:tc>
        <w:tc>
          <w:tcPr>
            <w:tcW w:w="2533" w:type="dxa"/>
            <w:vAlign w:val="center"/>
          </w:tcPr>
          <w:p w:rsidR="0050667A" w:rsidRPr="006A6C1D" w:rsidRDefault="0050667A" w:rsidP="006A6C1D">
            <w:r w:rsidRPr="006A6C1D">
              <w:t>177,710</w:t>
            </w:r>
          </w:p>
        </w:tc>
      </w:tr>
      <w:tr w:rsidR="0050667A" w:rsidRPr="006A6C1D" w:rsidTr="0050667A">
        <w:trPr>
          <w:cantSplit/>
        </w:trPr>
        <w:tc>
          <w:tcPr>
            <w:tcW w:w="2808" w:type="dxa"/>
            <w:shd w:val="clear" w:color="auto" w:fill="auto"/>
          </w:tcPr>
          <w:p w:rsidR="0050667A" w:rsidRPr="006A6C1D" w:rsidRDefault="0050667A" w:rsidP="006A6C1D">
            <w:r w:rsidRPr="006A6C1D">
              <w:t>Applications awaiting search (where relevant fees paid)</w:t>
            </w:r>
          </w:p>
        </w:tc>
        <w:tc>
          <w:tcPr>
            <w:tcW w:w="6763" w:type="dxa"/>
            <w:gridSpan w:val="5"/>
            <w:vAlign w:val="center"/>
          </w:tcPr>
          <w:p w:rsidR="0050667A" w:rsidRPr="006A6C1D" w:rsidRDefault="0050667A" w:rsidP="006A6C1D">
            <w:r w:rsidRPr="006A6C1D">
              <w:t>As search and examination tasks are undertaken by the same examiner at the same time there is no separate and specific data.</w:t>
            </w:r>
          </w:p>
        </w:tc>
      </w:tr>
      <w:tr w:rsidR="0050667A" w:rsidRPr="006A6C1D" w:rsidTr="0050667A">
        <w:trPr>
          <w:cantSplit/>
        </w:trPr>
        <w:tc>
          <w:tcPr>
            <w:tcW w:w="2808" w:type="dxa"/>
            <w:shd w:val="clear" w:color="auto" w:fill="auto"/>
          </w:tcPr>
          <w:p w:rsidR="0050667A" w:rsidRPr="006A6C1D" w:rsidRDefault="0050667A" w:rsidP="006A6C1D">
            <w:r w:rsidRPr="006A6C1D">
              <w:t>Applications awaiting first examination (where relevant fees paid)</w:t>
            </w:r>
          </w:p>
        </w:tc>
        <w:tc>
          <w:tcPr>
            <w:tcW w:w="990" w:type="dxa"/>
            <w:vAlign w:val="center"/>
          </w:tcPr>
          <w:p w:rsidR="0050667A" w:rsidRPr="006A6C1D" w:rsidRDefault="0050667A" w:rsidP="006A6C1D">
            <w:r w:rsidRPr="006A6C1D">
              <w:t>45,281</w:t>
            </w:r>
          </w:p>
        </w:tc>
        <w:tc>
          <w:tcPr>
            <w:tcW w:w="1080" w:type="dxa"/>
            <w:vAlign w:val="center"/>
          </w:tcPr>
          <w:p w:rsidR="0050667A" w:rsidRPr="006A6C1D" w:rsidRDefault="0050667A" w:rsidP="006A6C1D">
            <w:r w:rsidRPr="006A6C1D">
              <w:t>36,872</w:t>
            </w:r>
          </w:p>
        </w:tc>
        <w:tc>
          <w:tcPr>
            <w:tcW w:w="1080" w:type="dxa"/>
            <w:shd w:val="clear" w:color="auto" w:fill="auto"/>
            <w:vAlign w:val="center"/>
          </w:tcPr>
          <w:p w:rsidR="0050667A" w:rsidRPr="006A6C1D" w:rsidRDefault="0050667A" w:rsidP="006A6C1D">
            <w:r w:rsidRPr="006A6C1D">
              <w:t>30,125</w:t>
            </w:r>
          </w:p>
        </w:tc>
        <w:tc>
          <w:tcPr>
            <w:tcW w:w="1080" w:type="dxa"/>
            <w:vAlign w:val="center"/>
          </w:tcPr>
          <w:p w:rsidR="0050667A" w:rsidRPr="006A6C1D" w:rsidRDefault="0050667A" w:rsidP="006A6C1D">
            <w:r w:rsidRPr="006A6C1D">
              <w:t>28,367</w:t>
            </w:r>
          </w:p>
        </w:tc>
        <w:tc>
          <w:tcPr>
            <w:tcW w:w="2533" w:type="dxa"/>
            <w:vAlign w:val="center"/>
          </w:tcPr>
          <w:p w:rsidR="0050667A" w:rsidRPr="006A6C1D" w:rsidRDefault="0050667A" w:rsidP="006A6C1D">
            <w:r w:rsidRPr="006A6C1D">
              <w:t>22,562</w:t>
            </w:r>
          </w:p>
        </w:tc>
      </w:tr>
    </w:tbl>
    <w:p w:rsidR="0050667A" w:rsidRPr="006A6C1D" w:rsidRDefault="0050667A" w:rsidP="006A6C1D"/>
    <w:p w:rsidR="0050667A" w:rsidRPr="006A6C1D" w:rsidRDefault="0050667A" w:rsidP="00530D24">
      <w:pPr>
        <w:pStyle w:val="Subsection"/>
      </w:pPr>
      <w:r w:rsidRPr="006A6C1D">
        <w:t xml:space="preserve">Main Offices/States in which priority is claimed from national applications:  </w:t>
      </w:r>
    </w:p>
    <w:p w:rsidR="0050667A" w:rsidRPr="006A6C1D" w:rsidRDefault="0050667A" w:rsidP="00530D24">
      <w:pPr>
        <w:pStyle w:val="Subsection"/>
      </w:pPr>
      <w:r w:rsidRPr="006A6C1D">
        <w:t xml:space="preserve">Main Countries of Origin Filed CIPO </w:t>
      </w:r>
    </w:p>
    <w:p w:rsidR="0050667A" w:rsidRPr="00530D24" w:rsidRDefault="0050667A" w:rsidP="006A6C1D">
      <w:pPr>
        <w:rPr>
          <w:i/>
        </w:rPr>
      </w:pPr>
      <w:r w:rsidRPr="00530D24">
        <w:rPr>
          <w:i/>
        </w:rPr>
        <w:t>Source</w:t>
      </w:r>
      <w:r w:rsidR="008B1AE0">
        <w:rPr>
          <w:i/>
        </w:rPr>
        <w:t xml:space="preserve">:  </w:t>
      </w:r>
      <w:hyperlink r:id="rId54" w:history="1">
        <w:r w:rsidRPr="00530D24">
          <w:rPr>
            <w:rStyle w:val="Hyperlink"/>
            <w:i/>
          </w:rPr>
          <w:t>CIPO’s 2014/2015 Annual Report</w:t>
        </w:r>
      </w:hyperlink>
    </w:p>
    <w:p w:rsidR="0050667A" w:rsidRPr="00530D24" w:rsidRDefault="0050667A" w:rsidP="00530D24">
      <w:pPr>
        <w:tabs>
          <w:tab w:val="right" w:pos="2552"/>
        </w:tabs>
        <w:rPr>
          <w:i/>
        </w:rPr>
      </w:pPr>
      <w:r w:rsidRPr="00530D24">
        <w:rPr>
          <w:i/>
        </w:rPr>
        <w:t>Countries</w:t>
      </w:r>
      <w:r w:rsidRPr="00530D24">
        <w:rPr>
          <w:i/>
        </w:rPr>
        <w:tab/>
        <w:t>Patents</w:t>
      </w:r>
      <w:r w:rsidRPr="00530D24">
        <w:rPr>
          <w:i/>
        </w:rPr>
        <w:tab/>
      </w:r>
    </w:p>
    <w:p w:rsidR="0050667A" w:rsidRPr="006A6C1D" w:rsidRDefault="00530D24" w:rsidP="00530D24">
      <w:pPr>
        <w:tabs>
          <w:tab w:val="right" w:pos="2552"/>
        </w:tabs>
      </w:pPr>
      <w:r>
        <w:t>United States</w:t>
      </w:r>
      <w:r w:rsidR="0050667A" w:rsidRPr="006A6C1D">
        <w:tab/>
        <w:t xml:space="preserve">17,129 </w:t>
      </w:r>
      <w:r w:rsidR="0050667A" w:rsidRPr="006A6C1D">
        <w:tab/>
      </w:r>
    </w:p>
    <w:p w:rsidR="0050667A" w:rsidRPr="006A6C1D" w:rsidRDefault="00530D24" w:rsidP="00530D24">
      <w:pPr>
        <w:tabs>
          <w:tab w:val="right" w:pos="2552"/>
        </w:tabs>
      </w:pPr>
      <w:r>
        <w:t xml:space="preserve">Canada </w:t>
      </w:r>
      <w:r w:rsidR="0050667A" w:rsidRPr="006A6C1D">
        <w:tab/>
        <w:t xml:space="preserve">  4,812 </w:t>
      </w:r>
      <w:r w:rsidR="0050667A" w:rsidRPr="006A6C1D">
        <w:tab/>
      </w:r>
    </w:p>
    <w:p w:rsidR="0050667A" w:rsidRPr="006A6C1D" w:rsidRDefault="0050667A" w:rsidP="00530D24">
      <w:pPr>
        <w:tabs>
          <w:tab w:val="right" w:pos="2552"/>
        </w:tabs>
      </w:pPr>
      <w:r w:rsidRPr="006A6C1D">
        <w:t>Germany</w:t>
      </w:r>
      <w:r w:rsidRPr="006A6C1D">
        <w:tab/>
        <w:t xml:space="preserve">  2,374 </w:t>
      </w:r>
      <w:r w:rsidRPr="006A6C1D">
        <w:tab/>
      </w:r>
    </w:p>
    <w:p w:rsidR="0050667A" w:rsidRPr="006A6C1D" w:rsidRDefault="0050667A" w:rsidP="00530D24">
      <w:pPr>
        <w:tabs>
          <w:tab w:val="right" w:pos="2552"/>
        </w:tabs>
      </w:pPr>
      <w:r w:rsidRPr="006A6C1D">
        <w:t xml:space="preserve">Japan </w:t>
      </w:r>
      <w:r w:rsidRPr="006A6C1D">
        <w:tab/>
        <w:t xml:space="preserve">  1,903 </w:t>
      </w:r>
      <w:r w:rsidRPr="006A6C1D">
        <w:tab/>
      </w:r>
    </w:p>
    <w:p w:rsidR="0050667A" w:rsidRPr="006A6C1D" w:rsidRDefault="0050667A" w:rsidP="00530D24">
      <w:pPr>
        <w:tabs>
          <w:tab w:val="right" w:pos="2552"/>
        </w:tabs>
      </w:pPr>
      <w:r w:rsidRPr="006A6C1D">
        <w:t>France</w:t>
      </w:r>
      <w:r w:rsidRPr="006A6C1D">
        <w:tab/>
        <w:t xml:space="preserve">  1,876 </w:t>
      </w:r>
      <w:r w:rsidRPr="006A6C1D">
        <w:tab/>
      </w:r>
    </w:p>
    <w:p w:rsidR="0050667A" w:rsidRPr="006A6C1D" w:rsidRDefault="0050667A" w:rsidP="00530D24">
      <w:pPr>
        <w:tabs>
          <w:tab w:val="right" w:pos="2552"/>
        </w:tabs>
      </w:pPr>
      <w:r w:rsidRPr="006A6C1D">
        <w:t xml:space="preserve">Switzerland </w:t>
      </w:r>
      <w:r w:rsidRPr="006A6C1D">
        <w:tab/>
        <w:t xml:space="preserve">  1,476 </w:t>
      </w:r>
      <w:r w:rsidRPr="006A6C1D">
        <w:tab/>
      </w:r>
    </w:p>
    <w:p w:rsidR="0050667A" w:rsidRPr="006A6C1D" w:rsidRDefault="0050667A" w:rsidP="00530D24">
      <w:pPr>
        <w:tabs>
          <w:tab w:val="right" w:pos="2552"/>
        </w:tabs>
      </w:pPr>
      <w:r w:rsidRPr="006A6C1D">
        <w:t xml:space="preserve">United Kingdom </w:t>
      </w:r>
      <w:r w:rsidRPr="006A6C1D">
        <w:tab/>
        <w:t xml:space="preserve">  1,229 </w:t>
      </w:r>
      <w:r w:rsidRPr="006A6C1D">
        <w:tab/>
      </w:r>
    </w:p>
    <w:p w:rsidR="0050667A" w:rsidRPr="006A6C1D" w:rsidRDefault="0050667A" w:rsidP="00530D24">
      <w:pPr>
        <w:tabs>
          <w:tab w:val="right" w:pos="2552"/>
        </w:tabs>
      </w:pPr>
      <w:r w:rsidRPr="006A6C1D">
        <w:t xml:space="preserve">China </w:t>
      </w:r>
      <w:r w:rsidRPr="006A6C1D">
        <w:tab/>
        <w:t xml:space="preserve">     661 </w:t>
      </w:r>
      <w:r w:rsidRPr="006A6C1D">
        <w:tab/>
      </w:r>
    </w:p>
    <w:p w:rsidR="0050667A" w:rsidRPr="006A6C1D" w:rsidRDefault="0050667A" w:rsidP="00530D24">
      <w:pPr>
        <w:tabs>
          <w:tab w:val="right" w:pos="2552"/>
        </w:tabs>
      </w:pPr>
      <w:r w:rsidRPr="006A6C1D">
        <w:t xml:space="preserve">Netherlands </w:t>
      </w:r>
      <w:r w:rsidRPr="006A6C1D">
        <w:tab/>
        <w:t xml:space="preserve">     601 </w:t>
      </w:r>
      <w:r w:rsidRPr="006A6C1D">
        <w:tab/>
      </w:r>
    </w:p>
    <w:p w:rsidR="0050667A" w:rsidRPr="006A6C1D" w:rsidRDefault="0050667A" w:rsidP="00530D24">
      <w:pPr>
        <w:tabs>
          <w:tab w:val="right" w:pos="2552"/>
        </w:tabs>
      </w:pPr>
      <w:r w:rsidRPr="006A6C1D">
        <w:t xml:space="preserve">Italy </w:t>
      </w:r>
      <w:r w:rsidRPr="006A6C1D">
        <w:tab/>
        <w:t xml:space="preserve">    569</w:t>
      </w:r>
    </w:p>
    <w:p w:rsidR="0050667A" w:rsidRPr="00530D24" w:rsidRDefault="0050667A" w:rsidP="00530D24">
      <w:pPr>
        <w:pStyle w:val="SectionHeading"/>
        <w:rPr>
          <w:rStyle w:val="InsertedText"/>
          <w:color w:val="auto"/>
          <w:u w:val="none"/>
        </w:rPr>
      </w:pPr>
      <w:r w:rsidRPr="00530D24">
        <w:rPr>
          <w:rStyle w:val="InsertedText"/>
          <w:color w:val="auto"/>
          <w:u w:val="none"/>
        </w:rPr>
        <w:lastRenderedPageBreak/>
        <w:t>7 – Support Required</w:t>
      </w:r>
    </w:p>
    <w:p w:rsidR="0050667A" w:rsidRDefault="0050667A" w:rsidP="00530D24">
      <w:pPr>
        <w:rPr>
          <w:color w:val="00B050"/>
        </w:rPr>
      </w:pPr>
      <w:r w:rsidRPr="002B2776">
        <w:t xml:space="preserve">CIPO will need minimal </w:t>
      </w:r>
      <w:r w:rsidRPr="00530D24">
        <w:t>support</w:t>
      </w:r>
      <w:r w:rsidRPr="002B2776">
        <w:t xml:space="preserve"> from the International Bureau over the next year to assist us in testing the use of ePCT for post-filed documents from applicants.    </w:t>
      </w:r>
    </w:p>
    <w:p w:rsidR="0050667A" w:rsidRPr="00C6547C" w:rsidRDefault="0050667A" w:rsidP="00530D24">
      <w:pPr>
        <w:pStyle w:val="SectionHeading"/>
      </w:pPr>
      <w:r w:rsidRPr="00C6547C">
        <w:t>8 – Other</w:t>
      </w:r>
    </w:p>
    <w:p w:rsidR="0050667A" w:rsidRPr="00530D24" w:rsidRDefault="0050667A" w:rsidP="00530D24">
      <w:pPr>
        <w:pStyle w:val="Subsection"/>
      </w:pPr>
      <w:r w:rsidRPr="00530D24">
        <w:t>About CIPO</w:t>
      </w:r>
    </w:p>
    <w:p w:rsidR="0050667A" w:rsidRPr="00530D24" w:rsidRDefault="0050667A" w:rsidP="00530D24">
      <w:pPr>
        <w:rPr>
          <w:i/>
        </w:rPr>
      </w:pPr>
      <w:r w:rsidRPr="00530D24">
        <w:rPr>
          <w:i/>
        </w:rPr>
        <w:t>Source</w:t>
      </w:r>
      <w:r w:rsidR="008B1AE0">
        <w:rPr>
          <w:i/>
        </w:rPr>
        <w:t xml:space="preserve">:  </w:t>
      </w:r>
      <w:hyperlink r:id="rId55" w:history="1">
        <w:r w:rsidRPr="00530D24">
          <w:rPr>
            <w:rStyle w:val="Hyperlink"/>
            <w:i/>
          </w:rPr>
          <w:t>CIPO’s 2014/2015 Annual Report</w:t>
        </w:r>
      </w:hyperlink>
    </w:p>
    <w:p w:rsidR="0050667A" w:rsidRPr="00530D24" w:rsidRDefault="0050667A" w:rsidP="00530D24"/>
    <w:p w:rsidR="0050667A" w:rsidRPr="00530D24" w:rsidRDefault="0050667A" w:rsidP="00530D24">
      <w:r w:rsidRPr="00530D24">
        <w:t xml:space="preserve">The Canadian Intellectual Property Office (CIPO), a Special Operating Agency (SOA) associated with </w:t>
      </w:r>
      <w:hyperlink r:id="rId56" w:history="1">
        <w:r w:rsidRPr="00530D24">
          <w:rPr>
            <w:rStyle w:val="Hyperlink"/>
          </w:rPr>
          <w:t>Innovation, Science and Economic Development Canada</w:t>
        </w:r>
      </w:hyperlink>
      <w:r w:rsidRPr="00530D24">
        <w:t xml:space="preserve">, is responsible for the administration and processing of the greater part of </w:t>
      </w:r>
      <w:hyperlink r:id="rId57" w:history="1">
        <w:r w:rsidRPr="00530D24">
          <w:rPr>
            <w:rStyle w:val="Hyperlink"/>
          </w:rPr>
          <w:t>intellectual property</w:t>
        </w:r>
      </w:hyperlink>
      <w:r w:rsidRPr="00530D24">
        <w:t xml:space="preserve"> in Canada</w:t>
      </w:r>
      <w:r w:rsidR="008B1AE0">
        <w:t xml:space="preserve">.  </w:t>
      </w:r>
      <w:r w:rsidRPr="00530D24">
        <w:t>CIPO's areas of activity include</w:t>
      </w:r>
      <w:r w:rsidR="008B1AE0">
        <w:t xml:space="preserve">:  </w:t>
      </w:r>
      <w:hyperlink r:id="rId58" w:anchor="faq" w:history="1">
        <w:r w:rsidRPr="00530D24">
          <w:rPr>
            <w:rStyle w:val="Hyperlink"/>
          </w:rPr>
          <w:t>Patents</w:t>
        </w:r>
      </w:hyperlink>
      <w:r w:rsidRPr="00530D24">
        <w:t xml:space="preserve">; </w:t>
      </w:r>
      <w:hyperlink r:id="rId59" w:anchor="faq" w:history="1">
        <w:r w:rsidRPr="00530D24">
          <w:rPr>
            <w:rStyle w:val="Hyperlink"/>
          </w:rPr>
          <w:t>Trademark</w:t>
        </w:r>
      </w:hyperlink>
      <w:r w:rsidRPr="00530D24">
        <w:t xml:space="preserve">s; </w:t>
      </w:r>
      <w:hyperlink r:id="rId60" w:anchor="faq" w:history="1">
        <w:r w:rsidRPr="00530D24">
          <w:rPr>
            <w:rStyle w:val="Hyperlink"/>
          </w:rPr>
          <w:t>Copyright</w:t>
        </w:r>
      </w:hyperlink>
      <w:r w:rsidRPr="00530D24">
        <w:t xml:space="preserve">s; </w:t>
      </w:r>
      <w:hyperlink r:id="rId61" w:anchor="faq" w:history="1">
        <w:r w:rsidRPr="00530D24">
          <w:rPr>
            <w:rStyle w:val="Hyperlink"/>
          </w:rPr>
          <w:t>Industrial designs</w:t>
        </w:r>
      </w:hyperlink>
      <w:r w:rsidRPr="00530D24">
        <w:t xml:space="preserve">; and </w:t>
      </w:r>
      <w:hyperlink r:id="rId62" w:anchor="faq" w:history="1">
        <w:r w:rsidRPr="00530D24">
          <w:rPr>
            <w:rStyle w:val="Hyperlink"/>
          </w:rPr>
          <w:t>Integrated circuit topographies</w:t>
        </w:r>
      </w:hyperlink>
      <w:r w:rsidRPr="00530D24">
        <w:t>.</w:t>
      </w:r>
    </w:p>
    <w:p w:rsidR="0050667A" w:rsidRPr="00530D24" w:rsidRDefault="0050667A" w:rsidP="00530D24"/>
    <w:p w:rsidR="0050667A" w:rsidRPr="00530D24" w:rsidRDefault="0050667A" w:rsidP="00530D24">
      <w:pPr>
        <w:pStyle w:val="Subsection"/>
      </w:pPr>
      <w:bookmarkStart w:id="10" w:name="CIPOsHistory"/>
      <w:bookmarkEnd w:id="10"/>
      <w:r w:rsidRPr="00530D24">
        <w:t>CIPO’s History</w:t>
      </w:r>
    </w:p>
    <w:p w:rsidR="0050667A" w:rsidRPr="00530D24" w:rsidRDefault="0050667A" w:rsidP="00530D24">
      <w:pPr>
        <w:rPr>
          <w:i/>
        </w:rPr>
      </w:pPr>
      <w:r w:rsidRPr="00530D24">
        <w:rPr>
          <w:i/>
        </w:rPr>
        <w:t>Source</w:t>
      </w:r>
      <w:r w:rsidR="008B1AE0">
        <w:rPr>
          <w:i/>
        </w:rPr>
        <w:t xml:space="preserve">:  </w:t>
      </w:r>
      <w:r w:rsidRPr="00530D24">
        <w:rPr>
          <w:i/>
        </w:rPr>
        <w:t xml:space="preserve">Library and Archives Canada/Canadian Intellectual Property Office </w:t>
      </w:r>
      <w:proofErr w:type="spellStart"/>
      <w:r w:rsidRPr="00530D24">
        <w:rPr>
          <w:i/>
        </w:rPr>
        <w:t>fonds</w:t>
      </w:r>
      <w:proofErr w:type="spellEnd"/>
      <w:r w:rsidRPr="00530D24">
        <w:rPr>
          <w:i/>
        </w:rPr>
        <w:t>/R9271-0-3-E</w:t>
      </w:r>
    </w:p>
    <w:p w:rsidR="0050667A" w:rsidRPr="00530D24" w:rsidRDefault="0050667A" w:rsidP="00530D2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gridCol w:w="8200"/>
      </w:tblGrid>
      <w:tr w:rsidR="0050667A" w:rsidRPr="00530D24" w:rsidTr="00530D24">
        <w:trPr>
          <w:tblCellSpacing w:w="15" w:type="dxa"/>
        </w:trPr>
        <w:tc>
          <w:tcPr>
            <w:tcW w:w="1200" w:type="dxa"/>
            <w:hideMark/>
          </w:tcPr>
          <w:p w:rsidR="0050667A" w:rsidRPr="00530D24" w:rsidRDefault="0050667A" w:rsidP="00530D24">
            <w:r w:rsidRPr="00530D24">
              <w:t>1869</w:t>
            </w:r>
          </w:p>
        </w:tc>
        <w:tc>
          <w:tcPr>
            <w:tcW w:w="0" w:type="auto"/>
            <w:hideMark/>
          </w:tcPr>
          <w:p w:rsidR="0050667A" w:rsidRPr="00530D24" w:rsidRDefault="0050667A" w:rsidP="00530D24">
            <w:r w:rsidRPr="00530D24">
              <w:t>Patents, Trade Marks, and Industrial Design offices are established and attached to the Department of Agriculture.</w:t>
            </w:r>
          </w:p>
        </w:tc>
      </w:tr>
      <w:tr w:rsidR="0050667A" w:rsidRPr="00530D24" w:rsidTr="00530D24">
        <w:trPr>
          <w:tblCellSpacing w:w="15" w:type="dxa"/>
        </w:trPr>
        <w:tc>
          <w:tcPr>
            <w:tcW w:w="0" w:type="auto"/>
            <w:hideMark/>
          </w:tcPr>
          <w:p w:rsidR="0050667A" w:rsidRPr="00530D24" w:rsidRDefault="0050667A" w:rsidP="00530D24">
            <w:r w:rsidRPr="00530D24">
              <w:t>1918</w:t>
            </w:r>
          </w:p>
        </w:tc>
        <w:tc>
          <w:tcPr>
            <w:tcW w:w="0" w:type="auto"/>
            <w:hideMark/>
          </w:tcPr>
          <w:p w:rsidR="0050667A" w:rsidRPr="00530D24" w:rsidRDefault="0050667A" w:rsidP="00530D24">
            <w:r w:rsidRPr="00530D24">
              <w:t>Jurisdiction over Patents, Trade Marks, Copyright, Industrial Design, and Timber Marks is assumed by the Department of Trade and Commerce.</w:t>
            </w:r>
          </w:p>
        </w:tc>
      </w:tr>
      <w:tr w:rsidR="0050667A" w:rsidRPr="00530D24" w:rsidTr="00530D24">
        <w:trPr>
          <w:tblCellSpacing w:w="15" w:type="dxa"/>
        </w:trPr>
        <w:tc>
          <w:tcPr>
            <w:tcW w:w="0" w:type="auto"/>
            <w:hideMark/>
          </w:tcPr>
          <w:p w:rsidR="0050667A" w:rsidRPr="00530D24" w:rsidRDefault="0050667A" w:rsidP="00530D24">
            <w:r w:rsidRPr="00530D24">
              <w:t>1927</w:t>
            </w:r>
          </w:p>
        </w:tc>
        <w:tc>
          <w:tcPr>
            <w:tcW w:w="0" w:type="auto"/>
            <w:hideMark/>
          </w:tcPr>
          <w:p w:rsidR="0050667A" w:rsidRPr="00530D24" w:rsidRDefault="0050667A" w:rsidP="00530D24">
            <w:r w:rsidRPr="00530D24">
              <w:t>Patents, Trade Marks, Copyright, Industrial Design, and Timber Marks are transferred to the Department of the Secretary of State.</w:t>
            </w:r>
          </w:p>
        </w:tc>
      </w:tr>
      <w:tr w:rsidR="0050667A" w:rsidRPr="00530D24" w:rsidTr="00530D24">
        <w:trPr>
          <w:tblCellSpacing w:w="15" w:type="dxa"/>
        </w:trPr>
        <w:tc>
          <w:tcPr>
            <w:tcW w:w="0" w:type="auto"/>
            <w:hideMark/>
          </w:tcPr>
          <w:p w:rsidR="0050667A" w:rsidRPr="00530D24" w:rsidRDefault="0050667A" w:rsidP="00530D24">
            <w:r w:rsidRPr="00530D24">
              <w:t>1966</w:t>
            </w:r>
          </w:p>
        </w:tc>
        <w:tc>
          <w:tcPr>
            <w:tcW w:w="0" w:type="auto"/>
            <w:hideMark/>
          </w:tcPr>
          <w:p w:rsidR="0050667A" w:rsidRPr="00530D24" w:rsidRDefault="0050667A" w:rsidP="00530D24">
            <w:r w:rsidRPr="00530D24">
              <w:t>For a brief period, the Office of the Registrar General exists as a separate government department and was responsible for Patents, Trade Marks, Copyright, Industrial Design, and Timber Marks.</w:t>
            </w:r>
          </w:p>
        </w:tc>
      </w:tr>
      <w:tr w:rsidR="0050667A" w:rsidRPr="00530D24" w:rsidTr="00530D24">
        <w:trPr>
          <w:tblCellSpacing w:w="15" w:type="dxa"/>
        </w:trPr>
        <w:tc>
          <w:tcPr>
            <w:tcW w:w="0" w:type="auto"/>
            <w:hideMark/>
          </w:tcPr>
          <w:p w:rsidR="0050667A" w:rsidRPr="00530D24" w:rsidRDefault="0050667A" w:rsidP="00530D24">
            <w:r w:rsidRPr="00530D24">
              <w:t>1967</w:t>
            </w:r>
          </w:p>
        </w:tc>
        <w:tc>
          <w:tcPr>
            <w:tcW w:w="0" w:type="auto"/>
            <w:hideMark/>
          </w:tcPr>
          <w:p w:rsidR="0050667A" w:rsidRPr="00530D24" w:rsidRDefault="0050667A" w:rsidP="00530D24">
            <w:r w:rsidRPr="00530D24">
              <w:t>Office of the Registrar General is transferred to the new Department of Consumer and Corporate Affairs.</w:t>
            </w:r>
          </w:p>
        </w:tc>
      </w:tr>
      <w:tr w:rsidR="0050667A" w:rsidRPr="00530D24" w:rsidTr="00530D24">
        <w:trPr>
          <w:tblCellSpacing w:w="15" w:type="dxa"/>
        </w:trPr>
        <w:tc>
          <w:tcPr>
            <w:tcW w:w="0" w:type="auto"/>
            <w:hideMark/>
          </w:tcPr>
          <w:p w:rsidR="0050667A" w:rsidRPr="00530D24" w:rsidRDefault="0050667A" w:rsidP="00530D24">
            <w:r w:rsidRPr="00530D24">
              <w:t>1973</w:t>
            </w:r>
          </w:p>
        </w:tc>
        <w:tc>
          <w:tcPr>
            <w:tcW w:w="0" w:type="auto"/>
            <w:hideMark/>
          </w:tcPr>
          <w:p w:rsidR="0050667A" w:rsidRPr="00530D24" w:rsidRDefault="0050667A" w:rsidP="00530D24">
            <w:r w:rsidRPr="00530D24">
              <w:t>The Bureau of Intellectual Property is established within the Department of Consumer and Corporate Affairs to "provide a coordinated approach to the Department's responsibilities for patents, copyrights, trademarks and industrial design."</w:t>
            </w:r>
          </w:p>
        </w:tc>
      </w:tr>
      <w:tr w:rsidR="0050667A" w:rsidRPr="00530D24" w:rsidTr="00530D24">
        <w:trPr>
          <w:tblCellSpacing w:w="15" w:type="dxa"/>
        </w:trPr>
        <w:tc>
          <w:tcPr>
            <w:tcW w:w="0" w:type="auto"/>
            <w:hideMark/>
          </w:tcPr>
          <w:p w:rsidR="0050667A" w:rsidRPr="00530D24" w:rsidRDefault="0050667A" w:rsidP="00530D24">
            <w:r w:rsidRPr="00530D24">
              <w:t>1992</w:t>
            </w:r>
          </w:p>
        </w:tc>
        <w:tc>
          <w:tcPr>
            <w:tcW w:w="0" w:type="auto"/>
            <w:hideMark/>
          </w:tcPr>
          <w:p w:rsidR="0050667A" w:rsidRPr="00530D24" w:rsidRDefault="0050667A" w:rsidP="00530D24">
            <w:r w:rsidRPr="00530D24">
              <w:t>The Canadian Intellectual Property Office becomes a Special Operating Agency within the Department of Consumer and Corporate Affairs (CCA).</w:t>
            </w:r>
          </w:p>
        </w:tc>
      </w:tr>
      <w:tr w:rsidR="0050667A" w:rsidRPr="00530D24" w:rsidTr="00530D24">
        <w:trPr>
          <w:tblCellSpacing w:w="15" w:type="dxa"/>
        </w:trPr>
        <w:tc>
          <w:tcPr>
            <w:tcW w:w="0" w:type="auto"/>
            <w:hideMark/>
          </w:tcPr>
          <w:p w:rsidR="0050667A" w:rsidRPr="00530D24" w:rsidRDefault="0050667A" w:rsidP="00530D24">
            <w:r w:rsidRPr="00530D24">
              <w:t>1994</w:t>
            </w:r>
          </w:p>
        </w:tc>
        <w:tc>
          <w:tcPr>
            <w:tcW w:w="0" w:type="auto"/>
            <w:hideMark/>
          </w:tcPr>
          <w:p w:rsidR="0050667A" w:rsidRPr="00530D24" w:rsidRDefault="0050667A" w:rsidP="00530D24">
            <w:r w:rsidRPr="00530D24">
              <w:t xml:space="preserve">The Department of Consumer and Corporate Affairs (CCA) is renamed Industry Canada. </w:t>
            </w:r>
          </w:p>
        </w:tc>
      </w:tr>
      <w:tr w:rsidR="0050667A" w:rsidRPr="00530D24" w:rsidTr="00530D24">
        <w:trPr>
          <w:tblCellSpacing w:w="15" w:type="dxa"/>
        </w:trPr>
        <w:tc>
          <w:tcPr>
            <w:tcW w:w="0" w:type="auto"/>
          </w:tcPr>
          <w:p w:rsidR="0050667A" w:rsidRPr="00530D24" w:rsidRDefault="0050667A" w:rsidP="00530D24">
            <w:r w:rsidRPr="00530D24">
              <w:t>2016</w:t>
            </w:r>
          </w:p>
        </w:tc>
        <w:tc>
          <w:tcPr>
            <w:tcW w:w="0" w:type="auto"/>
          </w:tcPr>
          <w:p w:rsidR="0050667A" w:rsidRPr="00530D24" w:rsidRDefault="0050667A" w:rsidP="00530D24">
            <w:r w:rsidRPr="00530D24">
              <w:t>Industry Canada’s mandate is updated and the department is renamed Innovation, Science and Economic Development Canada.</w:t>
            </w:r>
          </w:p>
        </w:tc>
      </w:tr>
    </w:tbl>
    <w:p w:rsidR="0050667A" w:rsidRPr="00530D24" w:rsidRDefault="0050667A" w:rsidP="00530D24"/>
    <w:p w:rsidR="0050667A" w:rsidRPr="00530D24" w:rsidRDefault="0050667A" w:rsidP="00530D24">
      <w:r w:rsidRPr="00530D24">
        <w:t>Canada became bound by the PCT on January 2, 1990.  CIPO began operating an ISA/IPEA on July 26, 2004 and was re-appointed at the Thirty-Sixth (16th Ordinary) Session of the PCT Union As</w:t>
      </w:r>
      <w:r w:rsidR="00530D24">
        <w:t xml:space="preserve">sembly in the fall of 2007.  </w:t>
      </w:r>
      <w:r w:rsidRPr="00530D24">
        <w:t>By May 2017 CIPO will have almost 13 years of experience</w:t>
      </w:r>
      <w:r w:rsidR="00530D24">
        <w:t xml:space="preserve"> as an ISA/IPEA under the PCT.</w:t>
      </w:r>
    </w:p>
    <w:p w:rsidR="0050667A" w:rsidRPr="00530D24" w:rsidRDefault="0050667A" w:rsidP="00530D24"/>
    <w:p w:rsidR="0050667A" w:rsidRPr="00530D24" w:rsidRDefault="0050667A" w:rsidP="00530D24">
      <w:r w:rsidRPr="00530D24">
        <w:t>In conclusion, CIPO has demonstrated that it meets the requirements to function as an ISA/IPEA under the PCT on the basis of the following attributes:</w:t>
      </w:r>
    </w:p>
    <w:p w:rsidR="00530D24" w:rsidRDefault="00530D24" w:rsidP="00530D24"/>
    <w:p w:rsidR="0050667A" w:rsidRPr="00530D24" w:rsidRDefault="00530D24" w:rsidP="00530D24">
      <w:pPr>
        <w:ind w:left="567" w:hanging="567"/>
      </w:pPr>
      <w:r>
        <w:t>–</w:t>
      </w:r>
      <w:r>
        <w:tab/>
      </w:r>
      <w:proofErr w:type="gramStart"/>
      <w:r w:rsidR="0050667A" w:rsidRPr="00530D24">
        <w:t>a</w:t>
      </w:r>
      <w:proofErr w:type="gramEnd"/>
      <w:r w:rsidR="0050667A" w:rsidRPr="00530D24">
        <w:t xml:space="preserve"> highly qualified, competent and growing corps of patent examiners in all disciplines, possessing bilingual, sometimes multilingual capabilities;</w:t>
      </w:r>
    </w:p>
    <w:p w:rsidR="0050667A" w:rsidRPr="00530D24" w:rsidRDefault="0050667A" w:rsidP="00530D24">
      <w:pPr>
        <w:ind w:left="567" w:hanging="567"/>
      </w:pPr>
    </w:p>
    <w:p w:rsidR="0050667A" w:rsidRPr="00530D24" w:rsidRDefault="00530D24" w:rsidP="00530D24">
      <w:pPr>
        <w:ind w:left="567" w:hanging="567"/>
      </w:pPr>
      <w:r>
        <w:lastRenderedPageBreak/>
        <w:t>–</w:t>
      </w:r>
      <w:r>
        <w:tab/>
      </w:r>
      <w:proofErr w:type="gramStart"/>
      <w:r w:rsidR="0050667A" w:rsidRPr="00530D24">
        <w:t>a</w:t>
      </w:r>
      <w:proofErr w:type="gramEnd"/>
      <w:r w:rsidR="0050667A" w:rsidRPr="00530D24">
        <w:t xml:space="preserve"> modern and efficient automated patent processing system, supported by a forward-thinking and comprehensive IT infrastructure;</w:t>
      </w:r>
    </w:p>
    <w:p w:rsidR="0050667A" w:rsidRPr="00530D24" w:rsidRDefault="0050667A" w:rsidP="00530D24">
      <w:pPr>
        <w:ind w:left="567" w:hanging="567"/>
      </w:pPr>
    </w:p>
    <w:p w:rsidR="0050667A" w:rsidRPr="00530D24" w:rsidRDefault="00530D24" w:rsidP="00530D24">
      <w:pPr>
        <w:ind w:left="567" w:hanging="567"/>
      </w:pPr>
      <w:r>
        <w:t>–</w:t>
      </w:r>
      <w:r>
        <w:tab/>
      </w:r>
      <w:proofErr w:type="gramStart"/>
      <w:r w:rsidR="0050667A" w:rsidRPr="00530D24">
        <w:t>a</w:t>
      </w:r>
      <w:proofErr w:type="gramEnd"/>
      <w:r w:rsidR="0050667A" w:rsidRPr="00530D24">
        <w:t xml:space="preserve"> vast collection of patent documents and on-line resources which permit CIPO to meet the minimum documentation requirements;</w:t>
      </w:r>
    </w:p>
    <w:p w:rsidR="0050667A" w:rsidRPr="00530D24" w:rsidRDefault="0050667A" w:rsidP="00530D24">
      <w:pPr>
        <w:ind w:left="567" w:hanging="567"/>
      </w:pPr>
    </w:p>
    <w:p w:rsidR="0050667A" w:rsidRPr="00530D24" w:rsidRDefault="00530D24" w:rsidP="00530D24">
      <w:pPr>
        <w:ind w:left="567" w:hanging="567"/>
      </w:pPr>
      <w:r>
        <w:t>–</w:t>
      </w:r>
      <w:r>
        <w:tab/>
      </w:r>
      <w:proofErr w:type="gramStart"/>
      <w:r w:rsidR="0050667A" w:rsidRPr="00530D24">
        <w:t>an</w:t>
      </w:r>
      <w:proofErr w:type="gramEnd"/>
      <w:r w:rsidR="0050667A" w:rsidRPr="00530D24">
        <w:t xml:space="preserve"> organizational commitment to the pursuit of excellence in client relations and service delivery; and</w:t>
      </w:r>
    </w:p>
    <w:p w:rsidR="0050667A" w:rsidRPr="00530D24" w:rsidRDefault="0050667A" w:rsidP="00530D24">
      <w:pPr>
        <w:ind w:left="567" w:hanging="567"/>
      </w:pPr>
    </w:p>
    <w:p w:rsidR="0050667A" w:rsidRPr="00F727C9" w:rsidRDefault="00530D24" w:rsidP="00530D24">
      <w:pPr>
        <w:ind w:left="567" w:hanging="567"/>
        <w:rPr>
          <w:lang w:val="en-CA"/>
        </w:rPr>
      </w:pPr>
      <w:r>
        <w:t>–</w:t>
      </w:r>
      <w:r>
        <w:tab/>
      </w:r>
      <w:proofErr w:type="gramStart"/>
      <w:r w:rsidR="0050667A" w:rsidRPr="00530D24">
        <w:t>an</w:t>
      </w:r>
      <w:proofErr w:type="gramEnd"/>
      <w:r w:rsidR="0050667A" w:rsidRPr="00530D24">
        <w:t xml:space="preserve"> examination capacity to manage the anticipated international workload and which is in a position to offer its services to applicants filing through other receiving Offices.</w:t>
      </w:r>
    </w:p>
    <w:p w:rsidR="0050667A" w:rsidRDefault="0050667A" w:rsidP="00530D24">
      <w:pPr>
        <w:pStyle w:val="SectionHeading"/>
      </w:pPr>
      <w:bookmarkStart w:id="11" w:name="ArticleXI"/>
      <w:bookmarkEnd w:id="11"/>
      <w:r w:rsidRPr="00C6547C">
        <w:t xml:space="preserve">9 – </w:t>
      </w:r>
      <w:r w:rsidRPr="00530D24">
        <w:t>Assessment</w:t>
      </w:r>
      <w:r w:rsidRPr="00C6547C">
        <w:t xml:space="preserve"> by other Authorities</w:t>
      </w:r>
    </w:p>
    <w:p w:rsidR="0050667A" w:rsidRPr="00530D24" w:rsidRDefault="0050667A" w:rsidP="00530D24">
      <w:r w:rsidRPr="00530D24">
        <w:t xml:space="preserve">The comments from the </w:t>
      </w:r>
      <w:hyperlink w:anchor="OtherIAHelpAndAssessment" w:history="1">
        <w:r w:rsidRPr="00530D24">
          <w:t>Authorities</w:t>
        </w:r>
      </w:hyperlink>
      <w:r w:rsidRPr="00530D24">
        <w:t xml:space="preserve"> which reviewed our QMS reports are summarized as follows:</w:t>
      </w:r>
    </w:p>
    <w:p w:rsidR="0050667A" w:rsidRPr="00530D24" w:rsidRDefault="00530D24" w:rsidP="00530D24">
      <w:r>
        <w:t>–</w:t>
      </w:r>
      <w:r>
        <w:tab/>
      </w:r>
      <w:r w:rsidR="0050667A" w:rsidRPr="00530D24">
        <w:t>Areas we did well in (all office comments combined)</w:t>
      </w:r>
    </w:p>
    <w:p w:rsidR="0050667A" w:rsidRPr="00530D24" w:rsidRDefault="00530D24" w:rsidP="00530D24">
      <w:pPr>
        <w:ind w:left="1134" w:hanging="567"/>
      </w:pPr>
      <w:r>
        <w:t>–</w:t>
      </w:r>
      <w:r>
        <w:tab/>
      </w:r>
      <w:r w:rsidR="0050667A" w:rsidRPr="00530D24">
        <w:t>Process mapping</w:t>
      </w:r>
    </w:p>
    <w:p w:rsidR="0050667A" w:rsidRPr="00530D24" w:rsidRDefault="00530D24" w:rsidP="00530D24">
      <w:pPr>
        <w:ind w:left="1134" w:hanging="567"/>
      </w:pPr>
      <w:r>
        <w:t>–</w:t>
      </w:r>
      <w:r>
        <w:tab/>
      </w:r>
      <w:r w:rsidR="0050667A" w:rsidRPr="00530D24">
        <w:t>Quality Control and Quality Audit approaches</w:t>
      </w:r>
    </w:p>
    <w:p w:rsidR="0050667A" w:rsidRPr="00530D24" w:rsidRDefault="00530D24" w:rsidP="00530D24">
      <w:pPr>
        <w:ind w:left="1134" w:hanging="567"/>
      </w:pPr>
      <w:r>
        <w:t>–</w:t>
      </w:r>
      <w:r>
        <w:tab/>
      </w:r>
      <w:r w:rsidR="0050667A" w:rsidRPr="00530D24">
        <w:t>Management commitment to our Quality Management System via regular Quality Steering Committee meetings</w:t>
      </w:r>
    </w:p>
    <w:p w:rsidR="0050667A" w:rsidRPr="00530D24" w:rsidRDefault="00530D24" w:rsidP="00530D24">
      <w:pPr>
        <w:ind w:left="1134" w:hanging="567"/>
      </w:pPr>
      <w:r>
        <w:t>–</w:t>
      </w:r>
      <w:r>
        <w:tab/>
      </w:r>
      <w:r w:rsidR="0050667A" w:rsidRPr="00530D24">
        <w:t>Employee Performance Management Agreement system (clear goals for all employees)</w:t>
      </w:r>
    </w:p>
    <w:p w:rsidR="0050667A" w:rsidRPr="00530D24" w:rsidRDefault="00530D24" w:rsidP="00530D24">
      <w:pPr>
        <w:ind w:left="1134" w:hanging="567"/>
      </w:pPr>
      <w:r>
        <w:t>–</w:t>
      </w:r>
      <w:r>
        <w:tab/>
      </w:r>
      <w:r w:rsidR="0050667A" w:rsidRPr="00530D24">
        <w:t>Training</w:t>
      </w:r>
    </w:p>
    <w:p w:rsidR="0050667A" w:rsidRPr="00530D24" w:rsidRDefault="00530D24" w:rsidP="00530D24">
      <w:pPr>
        <w:ind w:left="1134" w:hanging="567"/>
      </w:pPr>
      <w:r>
        <w:t>–</w:t>
      </w:r>
      <w:r>
        <w:tab/>
      </w:r>
      <w:r w:rsidR="0050667A" w:rsidRPr="00530D24">
        <w:t xml:space="preserve">Workload management via </w:t>
      </w:r>
      <w:proofErr w:type="spellStart"/>
      <w:r w:rsidR="0050667A" w:rsidRPr="00530D24">
        <w:t>InterApp</w:t>
      </w:r>
      <w:proofErr w:type="spellEnd"/>
      <w:r w:rsidR="0050667A" w:rsidRPr="00530D24">
        <w:t xml:space="preserve"> interface</w:t>
      </w:r>
    </w:p>
    <w:p w:rsidR="0050667A" w:rsidRPr="00530D24" w:rsidRDefault="00530D24" w:rsidP="00530D24">
      <w:pPr>
        <w:ind w:left="1134" w:hanging="567"/>
      </w:pPr>
      <w:r>
        <w:t>–</w:t>
      </w:r>
      <w:r>
        <w:tab/>
      </w:r>
      <w:r w:rsidR="0050667A" w:rsidRPr="00530D24">
        <w:t>Feedback response time (3 days is quite short compared to 15 days promised by other Offices)</w:t>
      </w:r>
    </w:p>
    <w:p w:rsidR="0050667A" w:rsidRPr="00530D24" w:rsidRDefault="0050667A" w:rsidP="00530D24"/>
    <w:p w:rsidR="0050667A" w:rsidRPr="00530D24" w:rsidRDefault="00530D24" w:rsidP="00530D24">
      <w:r>
        <w:t>–</w:t>
      </w:r>
      <w:r>
        <w:tab/>
      </w:r>
      <w:r w:rsidR="0050667A" w:rsidRPr="00530D24">
        <w:t>Areas for improvement (in general – no major issues, just more clarification needed on some topics)</w:t>
      </w:r>
    </w:p>
    <w:p w:rsidR="0050667A" w:rsidRPr="00530D24" w:rsidRDefault="00530D24" w:rsidP="00530D24">
      <w:pPr>
        <w:ind w:left="1134" w:hanging="567"/>
      </w:pPr>
      <w:r>
        <w:t>–</w:t>
      </w:r>
      <w:r>
        <w:tab/>
      </w:r>
      <w:r w:rsidR="0050667A" w:rsidRPr="00530D24">
        <w:t>Provide a branch organizational chart</w:t>
      </w:r>
    </w:p>
    <w:p w:rsidR="0050667A" w:rsidRPr="00530D24" w:rsidRDefault="00530D24" w:rsidP="00530D24">
      <w:pPr>
        <w:ind w:left="1134" w:hanging="567"/>
      </w:pPr>
      <w:r>
        <w:t>–</w:t>
      </w:r>
      <w:r>
        <w:tab/>
      </w:r>
      <w:r w:rsidR="0050667A" w:rsidRPr="00530D24">
        <w:t>Be more specific about ISO certification (not clear from report if we are certified or not)</w:t>
      </w:r>
    </w:p>
    <w:p w:rsidR="0050667A" w:rsidRPr="00530D24" w:rsidRDefault="00530D24" w:rsidP="00530D24">
      <w:pPr>
        <w:ind w:left="1134" w:hanging="567"/>
      </w:pPr>
      <w:r>
        <w:t>–</w:t>
      </w:r>
      <w:r>
        <w:tab/>
      </w:r>
      <w:r w:rsidR="0050667A" w:rsidRPr="00530D24">
        <w:t>Be clearer about what types of actions will be taken on delayed applications (be specific about examination and operations)</w:t>
      </w:r>
    </w:p>
    <w:p w:rsidR="0050667A" w:rsidRPr="00530D24" w:rsidRDefault="00530D24" w:rsidP="00530D24">
      <w:pPr>
        <w:ind w:left="1134" w:hanging="567"/>
      </w:pPr>
      <w:r>
        <w:t>–</w:t>
      </w:r>
      <w:r>
        <w:tab/>
      </w:r>
      <w:r w:rsidR="0050667A" w:rsidRPr="00530D24">
        <w:t xml:space="preserve">Be more specific about who approves quality policy / is it publically available </w:t>
      </w:r>
    </w:p>
    <w:p w:rsidR="0050667A" w:rsidRPr="00530D24" w:rsidRDefault="00530D24" w:rsidP="00530D24">
      <w:pPr>
        <w:ind w:left="1134" w:hanging="567"/>
      </w:pPr>
      <w:r>
        <w:t>–</w:t>
      </w:r>
      <w:r>
        <w:tab/>
      </w:r>
      <w:r w:rsidR="0050667A" w:rsidRPr="00530D24">
        <w:t xml:space="preserve">Be more clear about management review </w:t>
      </w:r>
    </w:p>
    <w:p w:rsidR="0050667A" w:rsidRDefault="0050667A" w:rsidP="00530D24"/>
    <w:p w:rsidR="00530D24" w:rsidRPr="00530D24" w:rsidRDefault="00530D24" w:rsidP="00530D24"/>
    <w:p w:rsidR="00AA5F79" w:rsidRPr="00AA5F79" w:rsidRDefault="00FA4CE0" w:rsidP="00FA4CE0">
      <w:pPr>
        <w:pStyle w:val="Endofdocument-Annex"/>
      </w:pPr>
      <w:r>
        <w:t>[End of Annex and of document]</w:t>
      </w:r>
    </w:p>
    <w:sectPr w:rsidR="00AA5F79" w:rsidRPr="00AA5F79" w:rsidSect="00AA5F79">
      <w:headerReference w:type="default" r:id="rId63"/>
      <w:headerReference w:type="first" r:id="rId6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67A" w:rsidRDefault="0050667A">
      <w:r>
        <w:separator/>
      </w:r>
    </w:p>
  </w:endnote>
  <w:endnote w:type="continuationSeparator" w:id="0">
    <w:p w:rsidR="0050667A" w:rsidRDefault="0050667A" w:rsidP="003B38C1">
      <w:r>
        <w:separator/>
      </w:r>
    </w:p>
    <w:p w:rsidR="0050667A" w:rsidRPr="003B38C1" w:rsidRDefault="0050667A" w:rsidP="003B38C1">
      <w:pPr>
        <w:spacing w:after="60"/>
        <w:rPr>
          <w:sz w:val="17"/>
        </w:rPr>
      </w:pPr>
      <w:r>
        <w:rPr>
          <w:sz w:val="17"/>
        </w:rPr>
        <w:t>[Endnote continued from previous page]</w:t>
      </w:r>
    </w:p>
  </w:endnote>
  <w:endnote w:type="continuationNotice" w:id="1">
    <w:p w:rsidR="0050667A" w:rsidRPr="003B38C1" w:rsidRDefault="0050667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67A" w:rsidRDefault="0050667A">
      <w:r>
        <w:separator/>
      </w:r>
    </w:p>
  </w:footnote>
  <w:footnote w:type="continuationSeparator" w:id="0">
    <w:p w:rsidR="0050667A" w:rsidRDefault="0050667A" w:rsidP="008B60B2">
      <w:r>
        <w:separator/>
      </w:r>
    </w:p>
    <w:p w:rsidR="0050667A" w:rsidRPr="00ED77FB" w:rsidRDefault="0050667A" w:rsidP="008B60B2">
      <w:pPr>
        <w:spacing w:after="60"/>
        <w:rPr>
          <w:sz w:val="17"/>
          <w:szCs w:val="17"/>
        </w:rPr>
      </w:pPr>
      <w:r w:rsidRPr="00ED77FB">
        <w:rPr>
          <w:sz w:val="17"/>
          <w:szCs w:val="17"/>
        </w:rPr>
        <w:t>[Footnote continued from previous page]</w:t>
      </w:r>
    </w:p>
  </w:footnote>
  <w:footnote w:type="continuationNotice" w:id="1">
    <w:p w:rsidR="0050667A" w:rsidRPr="00ED77FB" w:rsidRDefault="0050667A" w:rsidP="008B60B2">
      <w:pPr>
        <w:spacing w:before="60"/>
        <w:jc w:val="right"/>
        <w:rPr>
          <w:sz w:val="17"/>
          <w:szCs w:val="17"/>
        </w:rPr>
      </w:pPr>
      <w:r w:rsidRPr="00ED77FB">
        <w:rPr>
          <w:sz w:val="17"/>
          <w:szCs w:val="17"/>
        </w:rPr>
        <w:t>[Footnote continued on next page]</w:t>
      </w:r>
    </w:p>
  </w:footnote>
  <w:footnote w:id="2">
    <w:p w:rsidR="00354444" w:rsidRDefault="00354444">
      <w:pPr>
        <w:pStyle w:val="FootnoteText"/>
      </w:pPr>
      <w:r>
        <w:rPr>
          <w:rStyle w:val="FootnoteReference"/>
        </w:rPr>
        <w:footnoteRef/>
      </w:r>
      <w:r>
        <w:t xml:space="preserve"> </w:t>
      </w:r>
      <w:r>
        <w:tab/>
        <w:t xml:space="preserve">Reports available on the WIPO website at </w:t>
      </w:r>
      <w:r w:rsidRPr="00354444">
        <w:rPr>
          <w:u w:val="single"/>
        </w:rPr>
        <w:t>http://www.wipo.int/pct/en/quality/authorities.html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67A" w:rsidRDefault="0050667A" w:rsidP="00477D6B">
    <w:pPr>
      <w:jc w:val="right"/>
    </w:pPr>
    <w:bookmarkStart w:id="6" w:name="Code2"/>
    <w:bookmarkEnd w:id="6"/>
    <w:r>
      <w:t>PCT/CTC/30/6</w:t>
    </w:r>
  </w:p>
  <w:p w:rsidR="0050667A" w:rsidRDefault="0050667A"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50667A" w:rsidRDefault="0050667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67A" w:rsidRPr="00AA5F79" w:rsidRDefault="0050667A" w:rsidP="00477D6B">
    <w:pPr>
      <w:jc w:val="right"/>
      <w:rPr>
        <w:lang w:val="fr-FR"/>
      </w:rPr>
    </w:pPr>
    <w:r w:rsidRPr="00AA5F79">
      <w:rPr>
        <w:lang w:val="fr-FR"/>
      </w:rPr>
      <w:t>PCT/CTC/30</w:t>
    </w:r>
    <w:r>
      <w:rPr>
        <w:lang w:val="fr-FR"/>
      </w:rPr>
      <w:t>/6</w:t>
    </w:r>
  </w:p>
  <w:p w:rsidR="0050667A" w:rsidRPr="00AA5F79" w:rsidRDefault="0050667A" w:rsidP="00477D6B">
    <w:pPr>
      <w:jc w:val="right"/>
      <w:rPr>
        <w:lang w:val="fr-FR"/>
      </w:rPr>
    </w:pPr>
    <w:proofErr w:type="spellStart"/>
    <w:r w:rsidRPr="00AA5F79">
      <w:rPr>
        <w:lang w:val="fr-FR"/>
      </w:rPr>
      <w:t>Annex</w:t>
    </w:r>
    <w:proofErr w:type="spellEnd"/>
    <w:r w:rsidRPr="00AA5F79">
      <w:rPr>
        <w:lang w:val="fr-FR"/>
      </w:rPr>
      <w:t xml:space="preserve">, page </w:t>
    </w:r>
    <w:r>
      <w:fldChar w:fldCharType="begin"/>
    </w:r>
    <w:r w:rsidRPr="00AA5F79">
      <w:rPr>
        <w:lang w:val="fr-FR"/>
      </w:rPr>
      <w:instrText xml:space="preserve"> PAGE  \* MERGEFORMAT </w:instrText>
    </w:r>
    <w:r>
      <w:fldChar w:fldCharType="separate"/>
    </w:r>
    <w:r w:rsidR="00F454D3">
      <w:rPr>
        <w:noProof/>
        <w:lang w:val="fr-FR"/>
      </w:rPr>
      <w:t>16</w:t>
    </w:r>
    <w:r>
      <w:fldChar w:fldCharType="end"/>
    </w:r>
  </w:p>
  <w:p w:rsidR="0050667A" w:rsidRPr="00AA5F79" w:rsidRDefault="0050667A"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67A" w:rsidRDefault="0050667A" w:rsidP="00AA5F79">
    <w:pPr>
      <w:pStyle w:val="Header"/>
      <w:jc w:val="right"/>
    </w:pPr>
    <w:r>
      <w:t>PCT/CTC/30/6</w:t>
    </w:r>
  </w:p>
  <w:p w:rsidR="0050667A" w:rsidRDefault="0050667A" w:rsidP="00AA5F79">
    <w:pPr>
      <w:pStyle w:val="Header"/>
      <w:jc w:val="right"/>
    </w:pPr>
    <w:r>
      <w:t>ANNEX</w:t>
    </w:r>
  </w:p>
  <w:p w:rsidR="0050667A" w:rsidRDefault="005066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AD54767"/>
    <w:multiLevelType w:val="multilevel"/>
    <w:tmpl w:val="10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574"/>
        </w:tabs>
        <w:ind w:left="574"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B5D232F"/>
    <w:multiLevelType w:val="multilevel"/>
    <w:tmpl w:val="FFD6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87606D"/>
    <w:multiLevelType w:val="multilevel"/>
    <w:tmpl w:val="E1D4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C45C73"/>
    <w:multiLevelType w:val="hybridMultilevel"/>
    <w:tmpl w:val="FA38FB9C"/>
    <w:lvl w:ilvl="0" w:tplc="F70ABB6E">
      <w:start w:val="9"/>
      <w:numFmt w:val="bullet"/>
      <w:lvlText w:val="-"/>
      <w:lvlJc w:val="left"/>
      <w:pPr>
        <w:ind w:left="720" w:hanging="360"/>
      </w:pPr>
      <w:rPr>
        <w:rFonts w:ascii="Arial" w:eastAsia="SimSu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7F25568"/>
    <w:multiLevelType w:val="hybridMultilevel"/>
    <w:tmpl w:val="6F020016"/>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C381A1A"/>
    <w:multiLevelType w:val="hybridMultilevel"/>
    <w:tmpl w:val="1050438A"/>
    <w:lvl w:ilvl="0" w:tplc="4F640340">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2CC366DB"/>
    <w:multiLevelType w:val="hybridMultilevel"/>
    <w:tmpl w:val="3474D770"/>
    <w:lvl w:ilvl="0" w:tplc="4F64034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2EBA6089"/>
    <w:multiLevelType w:val="hybridMultilevel"/>
    <w:tmpl w:val="1AEC18E0"/>
    <w:lvl w:ilvl="0" w:tplc="1009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nsid w:val="2F86543A"/>
    <w:multiLevelType w:val="hybridMultilevel"/>
    <w:tmpl w:val="18721A9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0BC5DC3"/>
    <w:multiLevelType w:val="hybridMultilevel"/>
    <w:tmpl w:val="ACEEA62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8A73041"/>
    <w:multiLevelType w:val="hybridMultilevel"/>
    <w:tmpl w:val="CA0601FC"/>
    <w:lvl w:ilvl="0" w:tplc="4F64034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2D22761"/>
    <w:multiLevelType w:val="hybridMultilevel"/>
    <w:tmpl w:val="2732F37C"/>
    <w:lvl w:ilvl="0" w:tplc="60E0E7FC">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nsid w:val="7FC57685"/>
    <w:multiLevelType w:val="hybridMultilevel"/>
    <w:tmpl w:val="1964634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0"/>
  </w:num>
  <w:num w:numId="4">
    <w:abstractNumId w:val="16"/>
  </w:num>
  <w:num w:numId="5">
    <w:abstractNumId w:val="1"/>
  </w:num>
  <w:num w:numId="6">
    <w:abstractNumId w:val="8"/>
  </w:num>
  <w:num w:numId="7">
    <w:abstractNumId w:val="17"/>
  </w:num>
  <w:num w:numId="8">
    <w:abstractNumId w:val="5"/>
  </w:num>
  <w:num w:numId="9">
    <w:abstractNumId w:val="9"/>
  </w:num>
  <w:num w:numId="10">
    <w:abstractNumId w:val="4"/>
  </w:num>
  <w:num w:numId="11">
    <w:abstractNumId w:val="3"/>
  </w:num>
  <w:num w:numId="12">
    <w:abstractNumId w:val="2"/>
  </w:num>
  <w:num w:numId="13">
    <w:abstractNumId w:val="18"/>
  </w:num>
  <w:num w:numId="14">
    <w:abstractNumId w:val="11"/>
  </w:num>
  <w:num w:numId="15">
    <w:abstractNumId w:val="7"/>
  </w:num>
  <w:num w:numId="16">
    <w:abstractNumId w:val="10"/>
  </w:num>
  <w:num w:numId="17">
    <w:abstractNumId w:val="14"/>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11582"/>
    <w:rsid w:val="00043CAA"/>
    <w:rsid w:val="00075432"/>
    <w:rsid w:val="000968ED"/>
    <w:rsid w:val="000F5E56"/>
    <w:rsid w:val="001362EE"/>
    <w:rsid w:val="001832A6"/>
    <w:rsid w:val="0021217E"/>
    <w:rsid w:val="002634C4"/>
    <w:rsid w:val="002928D3"/>
    <w:rsid w:val="002F1FE6"/>
    <w:rsid w:val="002F4E68"/>
    <w:rsid w:val="00312F7F"/>
    <w:rsid w:val="0035027E"/>
    <w:rsid w:val="00354444"/>
    <w:rsid w:val="00361450"/>
    <w:rsid w:val="003673CF"/>
    <w:rsid w:val="003845C1"/>
    <w:rsid w:val="003A6F89"/>
    <w:rsid w:val="003B38C1"/>
    <w:rsid w:val="00423E3E"/>
    <w:rsid w:val="00427AF4"/>
    <w:rsid w:val="004647DA"/>
    <w:rsid w:val="00474062"/>
    <w:rsid w:val="00477D6B"/>
    <w:rsid w:val="004C46FB"/>
    <w:rsid w:val="004F74E6"/>
    <w:rsid w:val="005019FF"/>
    <w:rsid w:val="0050667A"/>
    <w:rsid w:val="0053057A"/>
    <w:rsid w:val="00530D24"/>
    <w:rsid w:val="00560A29"/>
    <w:rsid w:val="005C40A3"/>
    <w:rsid w:val="005C6649"/>
    <w:rsid w:val="00605827"/>
    <w:rsid w:val="00646050"/>
    <w:rsid w:val="006713CA"/>
    <w:rsid w:val="00676C5C"/>
    <w:rsid w:val="006A6C1D"/>
    <w:rsid w:val="0075470A"/>
    <w:rsid w:val="007C0F8E"/>
    <w:rsid w:val="007D1613"/>
    <w:rsid w:val="007E4C0E"/>
    <w:rsid w:val="00837953"/>
    <w:rsid w:val="00837E2A"/>
    <w:rsid w:val="008B1AE0"/>
    <w:rsid w:val="008B2CC1"/>
    <w:rsid w:val="008B50A2"/>
    <w:rsid w:val="008B60B2"/>
    <w:rsid w:val="0090731E"/>
    <w:rsid w:val="00916EE2"/>
    <w:rsid w:val="00966A22"/>
    <w:rsid w:val="0096722F"/>
    <w:rsid w:val="00980843"/>
    <w:rsid w:val="009E2791"/>
    <w:rsid w:val="009E3F6F"/>
    <w:rsid w:val="009F499F"/>
    <w:rsid w:val="00A42DAF"/>
    <w:rsid w:val="00A45BD8"/>
    <w:rsid w:val="00A62193"/>
    <w:rsid w:val="00A869B7"/>
    <w:rsid w:val="00A93FC2"/>
    <w:rsid w:val="00AA5F79"/>
    <w:rsid w:val="00AC205C"/>
    <w:rsid w:val="00AF0A6B"/>
    <w:rsid w:val="00B05A69"/>
    <w:rsid w:val="00B9734B"/>
    <w:rsid w:val="00BA30E2"/>
    <w:rsid w:val="00BD078D"/>
    <w:rsid w:val="00C11BFE"/>
    <w:rsid w:val="00C37C03"/>
    <w:rsid w:val="00C5068F"/>
    <w:rsid w:val="00C650A4"/>
    <w:rsid w:val="00CD04F1"/>
    <w:rsid w:val="00D45252"/>
    <w:rsid w:val="00D71B4D"/>
    <w:rsid w:val="00D93D55"/>
    <w:rsid w:val="00E15015"/>
    <w:rsid w:val="00E335FE"/>
    <w:rsid w:val="00E82D0C"/>
    <w:rsid w:val="00EC4E49"/>
    <w:rsid w:val="00ED77FB"/>
    <w:rsid w:val="00EE45FA"/>
    <w:rsid w:val="00F454D3"/>
    <w:rsid w:val="00F66152"/>
    <w:rsid w:val="00FA4CE0"/>
    <w:rsid w:val="00FD0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1"/>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50667A"/>
    <w:pPr>
      <w:tabs>
        <w:tab w:val="num" w:pos="1008"/>
      </w:tabs>
      <w:spacing w:before="240" w:after="60"/>
      <w:ind w:left="1008" w:hanging="432"/>
      <w:outlineLvl w:val="4"/>
    </w:pPr>
    <w:rPr>
      <w:b/>
      <w:bCs/>
      <w:i/>
      <w:iCs/>
      <w:sz w:val="26"/>
      <w:szCs w:val="26"/>
    </w:rPr>
  </w:style>
  <w:style w:type="paragraph" w:styleId="Heading6">
    <w:name w:val="heading 6"/>
    <w:basedOn w:val="Normal"/>
    <w:next w:val="Normal"/>
    <w:link w:val="Heading6Char"/>
    <w:unhideWhenUsed/>
    <w:qFormat/>
    <w:rsid w:val="0050667A"/>
    <w:pPr>
      <w:keepNext/>
      <w:tabs>
        <w:tab w:val="num" w:pos="1152"/>
      </w:tabs>
      <w:ind w:left="1152" w:hanging="432"/>
      <w:jc w:val="center"/>
      <w:outlineLvl w:val="5"/>
    </w:pPr>
    <w:rPr>
      <w:rFonts w:ascii="Century Gothic" w:hAnsi="Century Gothic"/>
      <w:sz w:val="28"/>
      <w:szCs w:val="28"/>
    </w:rPr>
  </w:style>
  <w:style w:type="paragraph" w:styleId="Heading7">
    <w:name w:val="heading 7"/>
    <w:basedOn w:val="Normal"/>
    <w:next w:val="Normal"/>
    <w:link w:val="Heading7Char"/>
    <w:semiHidden/>
    <w:unhideWhenUsed/>
    <w:qFormat/>
    <w:rsid w:val="0050667A"/>
    <w:pPr>
      <w:keepNext/>
      <w:keepLines/>
      <w:tabs>
        <w:tab w:val="num" w:pos="1296"/>
      </w:tabs>
      <w:spacing w:before="200"/>
      <w:ind w:left="1296" w:hanging="288"/>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0667A"/>
    <w:pPr>
      <w:keepNext/>
      <w:keepLines/>
      <w:tabs>
        <w:tab w:val="num" w:pos="1440"/>
      </w:tabs>
      <w:spacing w:before="200"/>
      <w:ind w:left="1440" w:hanging="432"/>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50667A"/>
    <w:pPr>
      <w:keepNext/>
      <w:keepLines/>
      <w:tabs>
        <w:tab w:val="num" w:pos="1584"/>
      </w:tabs>
      <w:spacing w:before="200"/>
      <w:ind w:left="1584" w:hanging="144"/>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locked/>
    <w:rsid w:val="005C40A3"/>
    <w:rPr>
      <w:rFonts w:ascii="Arial" w:eastAsia="SimSun" w:hAnsi="Arial" w:cs="Arial"/>
      <w:sz w:val="22"/>
      <w:lang w:eastAsia="zh-CN"/>
    </w:rPr>
  </w:style>
  <w:style w:type="character" w:customStyle="1" w:styleId="Heading5Char">
    <w:name w:val="Heading 5 Char"/>
    <w:basedOn w:val="DefaultParagraphFont"/>
    <w:link w:val="Heading5"/>
    <w:rsid w:val="0050667A"/>
    <w:rPr>
      <w:rFonts w:ascii="Arial" w:eastAsia="SimSun" w:hAnsi="Arial" w:cs="Arial"/>
      <w:b/>
      <w:bCs/>
      <w:i/>
      <w:iCs/>
      <w:sz w:val="26"/>
      <w:szCs w:val="26"/>
      <w:lang w:eastAsia="zh-CN"/>
    </w:rPr>
  </w:style>
  <w:style w:type="character" w:customStyle="1" w:styleId="Heading6Char">
    <w:name w:val="Heading 6 Char"/>
    <w:basedOn w:val="DefaultParagraphFont"/>
    <w:link w:val="Heading6"/>
    <w:rsid w:val="0050667A"/>
    <w:rPr>
      <w:rFonts w:ascii="Century Gothic" w:eastAsia="SimSun" w:hAnsi="Century Gothic" w:cs="Arial"/>
      <w:sz w:val="28"/>
      <w:szCs w:val="28"/>
      <w:lang w:eastAsia="zh-CN"/>
    </w:rPr>
  </w:style>
  <w:style w:type="character" w:customStyle="1" w:styleId="Heading7Char">
    <w:name w:val="Heading 7 Char"/>
    <w:basedOn w:val="DefaultParagraphFont"/>
    <w:link w:val="Heading7"/>
    <w:semiHidden/>
    <w:rsid w:val="0050667A"/>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semiHidden/>
    <w:rsid w:val="0050667A"/>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semiHidden/>
    <w:rsid w:val="0050667A"/>
    <w:rPr>
      <w:rFonts w:asciiTheme="majorHAnsi" w:eastAsiaTheme="majorEastAsia" w:hAnsiTheme="majorHAnsi" w:cstheme="majorBidi"/>
      <w:i/>
      <w:iCs/>
      <w:color w:val="404040" w:themeColor="text1" w:themeTint="BF"/>
      <w:lang w:eastAsia="zh-CN"/>
    </w:rPr>
  </w:style>
  <w:style w:type="paragraph" w:styleId="List2">
    <w:name w:val="List 2"/>
    <w:basedOn w:val="Normal"/>
    <w:rsid w:val="0050667A"/>
    <w:pPr>
      <w:ind w:left="566" w:hanging="283"/>
    </w:pPr>
  </w:style>
  <w:style w:type="paragraph" w:customStyle="1" w:styleId="DateSignatureAligned">
    <w:name w:val="Date / Signature Aligned"/>
    <w:basedOn w:val="Normal"/>
    <w:rsid w:val="0050667A"/>
    <w:pPr>
      <w:ind w:left="5250"/>
    </w:pPr>
  </w:style>
  <w:style w:type="character" w:styleId="Hyperlink">
    <w:name w:val="Hyperlink"/>
    <w:basedOn w:val="DefaultParagraphFont"/>
    <w:uiPriority w:val="99"/>
    <w:rsid w:val="007C0F8E"/>
    <w:rPr>
      <w:noProof/>
      <w:szCs w:val="22"/>
    </w:rPr>
  </w:style>
  <w:style w:type="paragraph" w:customStyle="1" w:styleId="ArtRuleRef">
    <w:name w:val="Art/Rule Ref"/>
    <w:basedOn w:val="Normal"/>
    <w:rsid w:val="0050667A"/>
    <w:pPr>
      <w:keepNext/>
      <w:keepLines/>
      <w:jc w:val="right"/>
    </w:pPr>
    <w:rPr>
      <w:rFonts w:eastAsia="Arial Unicode MS"/>
      <w:i/>
      <w:snapToGrid w:val="0"/>
      <w:sz w:val="16"/>
      <w:lang w:eastAsia="ja-JP"/>
    </w:rPr>
  </w:style>
  <w:style w:type="character" w:styleId="PageNumber">
    <w:name w:val="page number"/>
    <w:basedOn w:val="DefaultParagraphFont"/>
    <w:rsid w:val="0050667A"/>
  </w:style>
  <w:style w:type="character" w:styleId="FootnoteReference">
    <w:name w:val="footnote reference"/>
    <w:basedOn w:val="DefaultParagraphFont"/>
    <w:rsid w:val="0050667A"/>
    <w:rPr>
      <w:vertAlign w:val="superscript"/>
    </w:rPr>
  </w:style>
  <w:style w:type="table" w:styleId="TableContemporary">
    <w:name w:val="Table Contemporary"/>
    <w:basedOn w:val="TableNormal"/>
    <w:rsid w:val="0050667A"/>
    <w:pPr>
      <w:suppressAutoHyphens/>
    </w:pPr>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PODocNormal">
    <w:name w:val="EPODocNormal"/>
    <w:basedOn w:val="Normal"/>
    <w:rsid w:val="0050667A"/>
    <w:pPr>
      <w:suppressAutoHyphens/>
      <w:ind w:left="1134"/>
    </w:pPr>
    <w:rPr>
      <w:rFonts w:eastAsia="Times New Roman"/>
      <w:sz w:val="24"/>
      <w:szCs w:val="24"/>
      <w:lang w:val="en-GB" w:eastAsia="en-GB"/>
    </w:rPr>
  </w:style>
  <w:style w:type="character" w:styleId="Emphasis">
    <w:name w:val="Emphasis"/>
    <w:basedOn w:val="DefaultParagraphFont"/>
    <w:qFormat/>
    <w:rsid w:val="0050667A"/>
    <w:rPr>
      <w:i/>
      <w:iCs/>
    </w:rPr>
  </w:style>
  <w:style w:type="table" w:styleId="TableElegant">
    <w:name w:val="Table Elegant"/>
    <w:basedOn w:val="TableNormal"/>
    <w:rsid w:val="0050667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link w:val="Heading1"/>
    <w:uiPriority w:val="1"/>
    <w:rsid w:val="0050667A"/>
    <w:rPr>
      <w:rFonts w:ascii="Arial" w:eastAsia="SimSun" w:hAnsi="Arial" w:cs="Arial"/>
      <w:b/>
      <w:bCs/>
      <w:caps/>
      <w:kern w:val="32"/>
      <w:sz w:val="22"/>
      <w:szCs w:val="32"/>
      <w:lang w:eastAsia="zh-CN"/>
    </w:rPr>
  </w:style>
  <w:style w:type="paragraph" w:customStyle="1" w:styleId="BodyTexti">
    <w:name w:val="Body Text (i)"/>
    <w:basedOn w:val="Normal"/>
    <w:rsid w:val="0050667A"/>
    <w:pPr>
      <w:tabs>
        <w:tab w:val="right" w:pos="851"/>
        <w:tab w:val="left" w:pos="1134"/>
      </w:tabs>
      <w:spacing w:after="120"/>
    </w:pPr>
    <w:rPr>
      <w:rFonts w:eastAsia="Times New Roman" w:cs="Times New Roman"/>
      <w:snapToGrid w:val="0"/>
      <w:lang w:eastAsia="en-US"/>
    </w:rPr>
  </w:style>
  <w:style w:type="paragraph" w:customStyle="1" w:styleId="BodyTexta">
    <w:name w:val="Body Text (a)"/>
    <w:basedOn w:val="Normal"/>
    <w:rsid w:val="0050667A"/>
    <w:pPr>
      <w:spacing w:after="120"/>
      <w:ind w:firstLine="567"/>
    </w:pPr>
    <w:rPr>
      <w:rFonts w:eastAsia="Times New Roman" w:cs="Times New Roman"/>
      <w:lang w:eastAsia="en-US"/>
    </w:rPr>
  </w:style>
  <w:style w:type="paragraph" w:customStyle="1" w:styleId="ExampleClaim">
    <w:name w:val="Example Claim"/>
    <w:basedOn w:val="ExampleText"/>
    <w:rsid w:val="0050667A"/>
    <w:pPr>
      <w:ind w:left="1134" w:hanging="567"/>
    </w:pPr>
  </w:style>
  <w:style w:type="paragraph" w:customStyle="1" w:styleId="ExampleText">
    <w:name w:val="Example Text"/>
    <w:basedOn w:val="BodyTextIndent"/>
    <w:rsid w:val="0050667A"/>
    <w:pPr>
      <w:ind w:left="567"/>
    </w:pPr>
    <w:rPr>
      <w:rFonts w:eastAsia="Times New Roman" w:cs="Times New Roman"/>
      <w:i/>
      <w:lang w:eastAsia="en-US"/>
    </w:rPr>
  </w:style>
  <w:style w:type="paragraph" w:customStyle="1" w:styleId="ExampleClaimSub">
    <w:name w:val="Example Claim Sub"/>
    <w:basedOn w:val="ExampleClaim"/>
    <w:rsid w:val="0050667A"/>
    <w:pPr>
      <w:ind w:firstLine="567"/>
    </w:pPr>
  </w:style>
  <w:style w:type="paragraph" w:customStyle="1" w:styleId="ExampleClaimEnd">
    <w:name w:val="Example Claim End"/>
    <w:basedOn w:val="ExampleClaimSub"/>
    <w:rsid w:val="0050667A"/>
    <w:pPr>
      <w:ind w:firstLine="0"/>
    </w:pPr>
  </w:style>
  <w:style w:type="paragraph" w:customStyle="1" w:styleId="ExamplePolymorphism">
    <w:name w:val="Example Polymorphism"/>
    <w:basedOn w:val="ExampleClaim"/>
    <w:rsid w:val="0050667A"/>
    <w:pPr>
      <w:tabs>
        <w:tab w:val="right" w:pos="1980"/>
        <w:tab w:val="right" w:pos="3600"/>
        <w:tab w:val="right" w:pos="5400"/>
        <w:tab w:val="left" w:pos="5580"/>
      </w:tabs>
      <w:spacing w:after="0"/>
      <w:ind w:left="567" w:firstLine="0"/>
    </w:pPr>
  </w:style>
  <w:style w:type="paragraph" w:customStyle="1" w:styleId="ExamplePolyHeader">
    <w:name w:val="Example Poly Header"/>
    <w:basedOn w:val="ExamplePolymorphism"/>
    <w:rsid w:val="0050667A"/>
    <w:pPr>
      <w:tabs>
        <w:tab w:val="clear" w:pos="1980"/>
        <w:tab w:val="clear" w:pos="5400"/>
        <w:tab w:val="clear" w:pos="5580"/>
        <w:tab w:val="left" w:pos="1134"/>
        <w:tab w:val="left" w:pos="3969"/>
      </w:tabs>
    </w:pPr>
  </w:style>
  <w:style w:type="character" w:customStyle="1" w:styleId="InsertedText">
    <w:name w:val="Inserted Text"/>
    <w:qFormat/>
    <w:rsid w:val="0050667A"/>
    <w:rPr>
      <w:color w:val="0000FF"/>
      <w:u w:val="single"/>
    </w:rPr>
  </w:style>
  <w:style w:type="paragraph" w:styleId="BodyTextIndent">
    <w:name w:val="Body Text Indent"/>
    <w:basedOn w:val="Normal"/>
    <w:link w:val="BodyTextIndentChar"/>
    <w:rsid w:val="0050667A"/>
    <w:pPr>
      <w:spacing w:after="120"/>
      <w:ind w:left="283"/>
    </w:pPr>
  </w:style>
  <w:style w:type="character" w:customStyle="1" w:styleId="BodyTextIndentChar">
    <w:name w:val="Body Text Indent Char"/>
    <w:basedOn w:val="DefaultParagraphFont"/>
    <w:link w:val="BodyTextIndent"/>
    <w:rsid w:val="0050667A"/>
    <w:rPr>
      <w:rFonts w:ascii="Arial" w:eastAsia="SimSun" w:hAnsi="Arial" w:cs="Arial"/>
      <w:sz w:val="22"/>
      <w:lang w:eastAsia="zh-CN"/>
    </w:rPr>
  </w:style>
  <w:style w:type="paragraph" w:customStyle="1" w:styleId="Default">
    <w:name w:val="Default"/>
    <w:rsid w:val="0050667A"/>
    <w:pPr>
      <w:autoSpaceDE w:val="0"/>
      <w:autoSpaceDN w:val="0"/>
      <w:adjustRightInd w:val="0"/>
    </w:pPr>
    <w:rPr>
      <w:rFonts w:ascii="Arial" w:hAnsi="Arial"/>
      <w:color w:val="000000"/>
      <w:sz w:val="22"/>
      <w:szCs w:val="24"/>
      <w:lang w:val="en-AU" w:eastAsia="en-AU"/>
    </w:rPr>
  </w:style>
  <w:style w:type="table" w:styleId="TableGrid">
    <w:name w:val="Table Grid"/>
    <w:basedOn w:val="TableNormal"/>
    <w:rsid w:val="0050667A"/>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50667A"/>
    <w:pPr>
      <w:spacing w:after="100"/>
    </w:pPr>
  </w:style>
  <w:style w:type="paragraph" w:styleId="TOC3">
    <w:name w:val="toc 3"/>
    <w:basedOn w:val="Normal"/>
    <w:next w:val="Normal"/>
    <w:autoRedefine/>
    <w:uiPriority w:val="39"/>
    <w:rsid w:val="0050667A"/>
    <w:pPr>
      <w:spacing w:after="100"/>
      <w:ind w:left="440"/>
    </w:pPr>
  </w:style>
  <w:style w:type="paragraph" w:styleId="TOC4">
    <w:name w:val="toc 4"/>
    <w:basedOn w:val="Normal"/>
    <w:next w:val="Normal"/>
    <w:autoRedefine/>
    <w:uiPriority w:val="39"/>
    <w:rsid w:val="0050667A"/>
    <w:pPr>
      <w:spacing w:after="100"/>
      <w:ind w:left="660"/>
    </w:pPr>
  </w:style>
  <w:style w:type="character" w:customStyle="1" w:styleId="BodyTextChar">
    <w:name w:val="Body Text Char"/>
    <w:basedOn w:val="DefaultParagraphFont"/>
    <w:link w:val="BodyText"/>
    <w:uiPriority w:val="1"/>
    <w:rsid w:val="0050667A"/>
    <w:rPr>
      <w:rFonts w:ascii="Arial" w:eastAsia="SimSun" w:hAnsi="Arial" w:cs="Arial"/>
      <w:sz w:val="22"/>
      <w:lang w:eastAsia="zh-CN"/>
    </w:rPr>
  </w:style>
  <w:style w:type="character" w:styleId="CommentReference">
    <w:name w:val="annotation reference"/>
    <w:basedOn w:val="DefaultParagraphFont"/>
    <w:rsid w:val="0050667A"/>
    <w:rPr>
      <w:sz w:val="16"/>
      <w:szCs w:val="16"/>
    </w:rPr>
  </w:style>
  <w:style w:type="paragraph" w:styleId="CommentSubject">
    <w:name w:val="annotation subject"/>
    <w:basedOn w:val="CommentText"/>
    <w:next w:val="CommentText"/>
    <w:link w:val="CommentSubjectChar"/>
    <w:rsid w:val="0050667A"/>
    <w:rPr>
      <w:b/>
      <w:bCs/>
      <w:sz w:val="20"/>
    </w:rPr>
  </w:style>
  <w:style w:type="character" w:customStyle="1" w:styleId="CommentTextChar">
    <w:name w:val="Comment Text Char"/>
    <w:basedOn w:val="DefaultParagraphFont"/>
    <w:link w:val="CommentText"/>
    <w:semiHidden/>
    <w:rsid w:val="0050667A"/>
    <w:rPr>
      <w:rFonts w:ascii="Arial" w:eastAsia="SimSun" w:hAnsi="Arial" w:cs="Arial"/>
      <w:sz w:val="18"/>
      <w:lang w:eastAsia="zh-CN"/>
    </w:rPr>
  </w:style>
  <w:style w:type="character" w:customStyle="1" w:styleId="CommentSubjectChar">
    <w:name w:val="Comment Subject Char"/>
    <w:basedOn w:val="CommentTextChar"/>
    <w:link w:val="CommentSubject"/>
    <w:rsid w:val="0050667A"/>
    <w:rPr>
      <w:rFonts w:ascii="Arial" w:eastAsia="SimSun" w:hAnsi="Arial" w:cs="Arial"/>
      <w:b/>
      <w:bCs/>
      <w:sz w:val="18"/>
      <w:lang w:eastAsia="zh-CN"/>
    </w:rPr>
  </w:style>
  <w:style w:type="paragraph" w:styleId="Revision">
    <w:name w:val="Revision"/>
    <w:hidden/>
    <w:uiPriority w:val="99"/>
    <w:semiHidden/>
    <w:rsid w:val="0050667A"/>
    <w:rPr>
      <w:rFonts w:ascii="Arial" w:eastAsia="SimSun" w:hAnsi="Arial" w:cs="Arial"/>
      <w:sz w:val="22"/>
      <w:lang w:eastAsia="zh-CN"/>
    </w:rPr>
  </w:style>
  <w:style w:type="character" w:customStyle="1" w:styleId="FooterChar">
    <w:name w:val="Footer Char"/>
    <w:basedOn w:val="DefaultParagraphFont"/>
    <w:link w:val="Footer"/>
    <w:uiPriority w:val="99"/>
    <w:rsid w:val="0050667A"/>
    <w:rPr>
      <w:rFonts w:ascii="Arial" w:eastAsia="SimSun" w:hAnsi="Arial" w:cs="Arial"/>
      <w:sz w:val="22"/>
      <w:lang w:eastAsia="zh-CN"/>
    </w:rPr>
  </w:style>
  <w:style w:type="character" w:customStyle="1" w:styleId="FootnoteTextChar">
    <w:name w:val="Footnote Text Char"/>
    <w:basedOn w:val="DefaultParagraphFont"/>
    <w:link w:val="FootnoteText"/>
    <w:semiHidden/>
    <w:rsid w:val="0050667A"/>
    <w:rPr>
      <w:rFonts w:ascii="Arial" w:eastAsia="SimSun" w:hAnsi="Arial" w:cs="Arial"/>
      <w:sz w:val="18"/>
      <w:lang w:eastAsia="zh-CN"/>
    </w:rPr>
  </w:style>
  <w:style w:type="paragraph" w:customStyle="1" w:styleId="SectionHeading">
    <w:name w:val="Section Heading"/>
    <w:basedOn w:val="Heading1"/>
    <w:link w:val="SectionHeadingChar"/>
    <w:qFormat/>
    <w:rsid w:val="0050667A"/>
    <w:pPr>
      <w:pBdr>
        <w:top w:val="single" w:sz="4" w:space="1" w:color="auto"/>
        <w:bottom w:val="single" w:sz="4" w:space="1" w:color="auto"/>
      </w:pBdr>
      <w:tabs>
        <w:tab w:val="num" w:pos="1440"/>
      </w:tabs>
      <w:spacing w:before="360" w:after="200"/>
    </w:pPr>
  </w:style>
  <w:style w:type="character" w:customStyle="1" w:styleId="SectionHeadingChar">
    <w:name w:val="Section Heading Char"/>
    <w:basedOn w:val="Heading1Char"/>
    <w:link w:val="SectionHeading"/>
    <w:rsid w:val="0050667A"/>
    <w:rPr>
      <w:rFonts w:ascii="Arial" w:eastAsia="SimSun" w:hAnsi="Arial" w:cs="Arial"/>
      <w:b/>
      <w:bCs/>
      <w:caps/>
      <w:kern w:val="32"/>
      <w:sz w:val="22"/>
      <w:szCs w:val="32"/>
      <w:lang w:eastAsia="zh-CN"/>
    </w:rPr>
  </w:style>
  <w:style w:type="paragraph" w:styleId="ListParagraph">
    <w:name w:val="List Paragraph"/>
    <w:basedOn w:val="Normal"/>
    <w:uiPriority w:val="34"/>
    <w:qFormat/>
    <w:rsid w:val="0050667A"/>
    <w:pPr>
      <w:ind w:left="720"/>
      <w:contextualSpacing/>
    </w:pPr>
  </w:style>
  <w:style w:type="character" w:styleId="FollowedHyperlink">
    <w:name w:val="FollowedHyperlink"/>
    <w:basedOn w:val="DefaultParagraphFont"/>
    <w:rsid w:val="0050667A"/>
    <w:rPr>
      <w:color w:val="800080" w:themeColor="followedHyperlink"/>
      <w:u w:val="single"/>
    </w:rPr>
  </w:style>
  <w:style w:type="paragraph" w:styleId="NormalWeb">
    <w:name w:val="Normal (Web)"/>
    <w:basedOn w:val="Normal"/>
    <w:uiPriority w:val="99"/>
    <w:rsid w:val="0050667A"/>
    <w:pPr>
      <w:spacing w:before="100" w:beforeAutospacing="1" w:after="100" w:afterAutospacing="1"/>
    </w:pPr>
    <w:rPr>
      <w:rFonts w:eastAsia="MS Mincho"/>
      <w:sz w:val="18"/>
      <w:szCs w:val="18"/>
      <w:lang w:eastAsia="ja-JP"/>
    </w:rPr>
  </w:style>
  <w:style w:type="paragraph" w:styleId="BodyText2">
    <w:name w:val="Body Text 2"/>
    <w:basedOn w:val="Normal"/>
    <w:link w:val="BodyText2Char"/>
    <w:rsid w:val="0050667A"/>
    <w:rPr>
      <w:rFonts w:ascii="Century Gothic" w:hAnsi="Century Gothic"/>
      <w:i/>
      <w:color w:val="0000FF"/>
      <w:sz w:val="20"/>
    </w:rPr>
  </w:style>
  <w:style w:type="character" w:customStyle="1" w:styleId="BodyText2Char">
    <w:name w:val="Body Text 2 Char"/>
    <w:basedOn w:val="DefaultParagraphFont"/>
    <w:link w:val="BodyText2"/>
    <w:rsid w:val="0050667A"/>
    <w:rPr>
      <w:rFonts w:ascii="Century Gothic" w:eastAsia="SimSun" w:hAnsi="Century Gothic" w:cs="Arial"/>
      <w:i/>
      <w:color w:val="0000FF"/>
      <w:lang w:eastAsia="zh-CN"/>
    </w:rPr>
  </w:style>
  <w:style w:type="paragraph" w:styleId="BodyText3">
    <w:name w:val="Body Text 3"/>
    <w:basedOn w:val="Normal"/>
    <w:link w:val="BodyText3Char"/>
    <w:rsid w:val="0050667A"/>
    <w:rPr>
      <w:rFonts w:ascii="Century Gothic" w:hAnsi="Century Gothic"/>
      <w:color w:val="0000FF"/>
      <w:sz w:val="20"/>
    </w:rPr>
  </w:style>
  <w:style w:type="character" w:customStyle="1" w:styleId="BodyText3Char">
    <w:name w:val="Body Text 3 Char"/>
    <w:basedOn w:val="DefaultParagraphFont"/>
    <w:link w:val="BodyText3"/>
    <w:rsid w:val="0050667A"/>
    <w:rPr>
      <w:rFonts w:ascii="Century Gothic" w:eastAsia="SimSun" w:hAnsi="Century Gothic" w:cs="Arial"/>
      <w:color w:val="0000FF"/>
      <w:lang w:eastAsia="zh-CN"/>
    </w:rPr>
  </w:style>
  <w:style w:type="paragraph" w:customStyle="1" w:styleId="Note-subparai">
    <w:name w:val="Note - subpara (i)"/>
    <w:basedOn w:val="Normal"/>
    <w:locked/>
    <w:rsid w:val="0050667A"/>
    <w:pPr>
      <w:tabs>
        <w:tab w:val="right" w:pos="1843"/>
        <w:tab w:val="left" w:pos="2127"/>
      </w:tabs>
      <w:ind w:left="2127" w:hanging="2127"/>
    </w:pPr>
    <w:rPr>
      <w:rFonts w:ascii="Times New Roman" w:hAnsi="Times New Roman" w:cs="Times New Roman"/>
      <w:color w:val="000000"/>
      <w:sz w:val="24"/>
    </w:rPr>
  </w:style>
  <w:style w:type="numbering" w:styleId="ArticleSection">
    <w:name w:val="Outline List 3"/>
    <w:basedOn w:val="NoList"/>
    <w:rsid w:val="0050667A"/>
    <w:pPr>
      <w:numPr>
        <w:numId w:val="12"/>
      </w:numPr>
    </w:pPr>
  </w:style>
  <w:style w:type="paragraph" w:styleId="BodyTextIndent2">
    <w:name w:val="Body Text Indent 2"/>
    <w:basedOn w:val="Normal"/>
    <w:link w:val="BodyTextIndent2Char"/>
    <w:rsid w:val="0050667A"/>
    <w:pPr>
      <w:ind w:left="567"/>
    </w:pPr>
    <w:rPr>
      <w:rFonts w:ascii="Century Gothic" w:hAnsi="Century Gothic"/>
      <w:bCs/>
      <w:iCs/>
      <w:sz w:val="16"/>
      <w:szCs w:val="16"/>
    </w:rPr>
  </w:style>
  <w:style w:type="character" w:customStyle="1" w:styleId="BodyTextIndent2Char">
    <w:name w:val="Body Text Indent 2 Char"/>
    <w:basedOn w:val="DefaultParagraphFont"/>
    <w:link w:val="BodyTextIndent2"/>
    <w:rsid w:val="0050667A"/>
    <w:rPr>
      <w:rFonts w:ascii="Century Gothic" w:eastAsia="SimSun" w:hAnsi="Century Gothic" w:cs="Arial"/>
      <w:bCs/>
      <w:iCs/>
      <w:sz w:val="16"/>
      <w:szCs w:val="16"/>
      <w:lang w:eastAsia="zh-CN"/>
    </w:rPr>
  </w:style>
  <w:style w:type="table" w:customStyle="1" w:styleId="TableGrid1">
    <w:name w:val="Table Grid1"/>
    <w:basedOn w:val="TableNormal"/>
    <w:next w:val="TableGrid"/>
    <w:rsid w:val="0050667A"/>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0667A"/>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0667A"/>
    <w:rPr>
      <w:rFonts w:asciiTheme="minorHAnsi" w:eastAsiaTheme="minorHAnsi" w:hAnsiTheme="minorHAnsi" w:cstheme="minorBidi"/>
      <w:sz w:val="22"/>
      <w:szCs w:val="22"/>
      <w:lang w:val="fr-CA"/>
    </w:rPr>
  </w:style>
  <w:style w:type="paragraph" w:styleId="BodyTextIndent3">
    <w:name w:val="Body Text Indent 3"/>
    <w:basedOn w:val="Normal"/>
    <w:link w:val="BodyTextIndent3Char"/>
    <w:rsid w:val="0050667A"/>
    <w:pPr>
      <w:ind w:left="360"/>
    </w:pPr>
    <w:rPr>
      <w:rFonts w:ascii="Century Gothic" w:hAnsi="Century Gothic"/>
      <w:color w:val="00B050"/>
      <w:sz w:val="20"/>
    </w:rPr>
  </w:style>
  <w:style w:type="character" w:customStyle="1" w:styleId="BodyTextIndent3Char">
    <w:name w:val="Body Text Indent 3 Char"/>
    <w:basedOn w:val="DefaultParagraphFont"/>
    <w:link w:val="BodyTextIndent3"/>
    <w:rsid w:val="0050667A"/>
    <w:rPr>
      <w:rFonts w:ascii="Century Gothic" w:eastAsia="SimSun" w:hAnsi="Century Gothic" w:cs="Arial"/>
      <w:color w:val="00B050"/>
      <w:lang w:eastAsia="zh-CN"/>
    </w:rPr>
  </w:style>
  <w:style w:type="table" w:styleId="MediumShading1">
    <w:name w:val="Medium Shading 1"/>
    <w:basedOn w:val="TableNormal"/>
    <w:uiPriority w:val="63"/>
    <w:rsid w:val="0050667A"/>
    <w:rPr>
      <w:rFonts w:asciiTheme="minorHAnsi" w:eastAsiaTheme="minorHAnsi" w:hAnsiTheme="minorHAnsi" w:cstheme="minorBidi"/>
      <w:sz w:val="22"/>
      <w:szCs w:val="22"/>
      <w:lang w:val="en-C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uiPriority w:val="99"/>
    <w:rsid w:val="0050667A"/>
    <w:rPr>
      <w:rFonts w:ascii="Arial" w:eastAsia="SimSun" w:hAnsi="Arial" w:cs="Arial"/>
      <w:sz w:val="22"/>
      <w:lang w:eastAsia="zh-CN"/>
    </w:rPr>
  </w:style>
  <w:style w:type="paragraph" w:customStyle="1" w:styleId="Subsection">
    <w:name w:val="Subsection"/>
    <w:basedOn w:val="Normal"/>
    <w:link w:val="SubsectionChar"/>
    <w:qFormat/>
    <w:rsid w:val="00354444"/>
    <w:pPr>
      <w:keepNext/>
    </w:pPr>
    <w:rPr>
      <w:b/>
    </w:rPr>
  </w:style>
  <w:style w:type="character" w:customStyle="1" w:styleId="SubsectionChar">
    <w:name w:val="Subsection Char"/>
    <w:basedOn w:val="DefaultParagraphFont"/>
    <w:link w:val="Subsection"/>
    <w:rsid w:val="00354444"/>
    <w:rPr>
      <w:rFonts w:ascii="Arial" w:eastAsia="SimSun" w:hAnsi="Arial" w:cs="Arial"/>
      <w:b/>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1"/>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50667A"/>
    <w:pPr>
      <w:tabs>
        <w:tab w:val="num" w:pos="1008"/>
      </w:tabs>
      <w:spacing w:before="240" w:after="60"/>
      <w:ind w:left="1008" w:hanging="432"/>
      <w:outlineLvl w:val="4"/>
    </w:pPr>
    <w:rPr>
      <w:b/>
      <w:bCs/>
      <w:i/>
      <w:iCs/>
      <w:sz w:val="26"/>
      <w:szCs w:val="26"/>
    </w:rPr>
  </w:style>
  <w:style w:type="paragraph" w:styleId="Heading6">
    <w:name w:val="heading 6"/>
    <w:basedOn w:val="Normal"/>
    <w:next w:val="Normal"/>
    <w:link w:val="Heading6Char"/>
    <w:unhideWhenUsed/>
    <w:qFormat/>
    <w:rsid w:val="0050667A"/>
    <w:pPr>
      <w:keepNext/>
      <w:tabs>
        <w:tab w:val="num" w:pos="1152"/>
      </w:tabs>
      <w:ind w:left="1152" w:hanging="432"/>
      <w:jc w:val="center"/>
      <w:outlineLvl w:val="5"/>
    </w:pPr>
    <w:rPr>
      <w:rFonts w:ascii="Century Gothic" w:hAnsi="Century Gothic"/>
      <w:sz w:val="28"/>
      <w:szCs w:val="28"/>
    </w:rPr>
  </w:style>
  <w:style w:type="paragraph" w:styleId="Heading7">
    <w:name w:val="heading 7"/>
    <w:basedOn w:val="Normal"/>
    <w:next w:val="Normal"/>
    <w:link w:val="Heading7Char"/>
    <w:semiHidden/>
    <w:unhideWhenUsed/>
    <w:qFormat/>
    <w:rsid w:val="0050667A"/>
    <w:pPr>
      <w:keepNext/>
      <w:keepLines/>
      <w:tabs>
        <w:tab w:val="num" w:pos="1296"/>
      </w:tabs>
      <w:spacing w:before="200"/>
      <w:ind w:left="1296" w:hanging="288"/>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0667A"/>
    <w:pPr>
      <w:keepNext/>
      <w:keepLines/>
      <w:tabs>
        <w:tab w:val="num" w:pos="1440"/>
      </w:tabs>
      <w:spacing w:before="200"/>
      <w:ind w:left="1440" w:hanging="432"/>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50667A"/>
    <w:pPr>
      <w:keepNext/>
      <w:keepLines/>
      <w:tabs>
        <w:tab w:val="num" w:pos="1584"/>
      </w:tabs>
      <w:spacing w:before="200"/>
      <w:ind w:left="1584" w:hanging="144"/>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locked/>
    <w:rsid w:val="005C40A3"/>
    <w:rPr>
      <w:rFonts w:ascii="Arial" w:eastAsia="SimSun" w:hAnsi="Arial" w:cs="Arial"/>
      <w:sz w:val="22"/>
      <w:lang w:eastAsia="zh-CN"/>
    </w:rPr>
  </w:style>
  <w:style w:type="character" w:customStyle="1" w:styleId="Heading5Char">
    <w:name w:val="Heading 5 Char"/>
    <w:basedOn w:val="DefaultParagraphFont"/>
    <w:link w:val="Heading5"/>
    <w:rsid w:val="0050667A"/>
    <w:rPr>
      <w:rFonts w:ascii="Arial" w:eastAsia="SimSun" w:hAnsi="Arial" w:cs="Arial"/>
      <w:b/>
      <w:bCs/>
      <w:i/>
      <w:iCs/>
      <w:sz w:val="26"/>
      <w:szCs w:val="26"/>
      <w:lang w:eastAsia="zh-CN"/>
    </w:rPr>
  </w:style>
  <w:style w:type="character" w:customStyle="1" w:styleId="Heading6Char">
    <w:name w:val="Heading 6 Char"/>
    <w:basedOn w:val="DefaultParagraphFont"/>
    <w:link w:val="Heading6"/>
    <w:rsid w:val="0050667A"/>
    <w:rPr>
      <w:rFonts w:ascii="Century Gothic" w:eastAsia="SimSun" w:hAnsi="Century Gothic" w:cs="Arial"/>
      <w:sz w:val="28"/>
      <w:szCs w:val="28"/>
      <w:lang w:eastAsia="zh-CN"/>
    </w:rPr>
  </w:style>
  <w:style w:type="character" w:customStyle="1" w:styleId="Heading7Char">
    <w:name w:val="Heading 7 Char"/>
    <w:basedOn w:val="DefaultParagraphFont"/>
    <w:link w:val="Heading7"/>
    <w:semiHidden/>
    <w:rsid w:val="0050667A"/>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semiHidden/>
    <w:rsid w:val="0050667A"/>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semiHidden/>
    <w:rsid w:val="0050667A"/>
    <w:rPr>
      <w:rFonts w:asciiTheme="majorHAnsi" w:eastAsiaTheme="majorEastAsia" w:hAnsiTheme="majorHAnsi" w:cstheme="majorBidi"/>
      <w:i/>
      <w:iCs/>
      <w:color w:val="404040" w:themeColor="text1" w:themeTint="BF"/>
      <w:lang w:eastAsia="zh-CN"/>
    </w:rPr>
  </w:style>
  <w:style w:type="paragraph" w:styleId="List2">
    <w:name w:val="List 2"/>
    <w:basedOn w:val="Normal"/>
    <w:rsid w:val="0050667A"/>
    <w:pPr>
      <w:ind w:left="566" w:hanging="283"/>
    </w:pPr>
  </w:style>
  <w:style w:type="paragraph" w:customStyle="1" w:styleId="DateSignatureAligned">
    <w:name w:val="Date / Signature Aligned"/>
    <w:basedOn w:val="Normal"/>
    <w:rsid w:val="0050667A"/>
    <w:pPr>
      <w:ind w:left="5250"/>
    </w:pPr>
  </w:style>
  <w:style w:type="character" w:styleId="Hyperlink">
    <w:name w:val="Hyperlink"/>
    <w:basedOn w:val="DefaultParagraphFont"/>
    <w:uiPriority w:val="99"/>
    <w:rsid w:val="007C0F8E"/>
    <w:rPr>
      <w:noProof/>
      <w:szCs w:val="22"/>
    </w:rPr>
  </w:style>
  <w:style w:type="paragraph" w:customStyle="1" w:styleId="ArtRuleRef">
    <w:name w:val="Art/Rule Ref"/>
    <w:basedOn w:val="Normal"/>
    <w:rsid w:val="0050667A"/>
    <w:pPr>
      <w:keepNext/>
      <w:keepLines/>
      <w:jc w:val="right"/>
    </w:pPr>
    <w:rPr>
      <w:rFonts w:eastAsia="Arial Unicode MS"/>
      <w:i/>
      <w:snapToGrid w:val="0"/>
      <w:sz w:val="16"/>
      <w:lang w:eastAsia="ja-JP"/>
    </w:rPr>
  </w:style>
  <w:style w:type="character" w:styleId="PageNumber">
    <w:name w:val="page number"/>
    <w:basedOn w:val="DefaultParagraphFont"/>
    <w:rsid w:val="0050667A"/>
  </w:style>
  <w:style w:type="character" w:styleId="FootnoteReference">
    <w:name w:val="footnote reference"/>
    <w:basedOn w:val="DefaultParagraphFont"/>
    <w:rsid w:val="0050667A"/>
    <w:rPr>
      <w:vertAlign w:val="superscript"/>
    </w:rPr>
  </w:style>
  <w:style w:type="table" w:styleId="TableContemporary">
    <w:name w:val="Table Contemporary"/>
    <w:basedOn w:val="TableNormal"/>
    <w:rsid w:val="0050667A"/>
    <w:pPr>
      <w:suppressAutoHyphens/>
    </w:pPr>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PODocNormal">
    <w:name w:val="EPODocNormal"/>
    <w:basedOn w:val="Normal"/>
    <w:rsid w:val="0050667A"/>
    <w:pPr>
      <w:suppressAutoHyphens/>
      <w:ind w:left="1134"/>
    </w:pPr>
    <w:rPr>
      <w:rFonts w:eastAsia="Times New Roman"/>
      <w:sz w:val="24"/>
      <w:szCs w:val="24"/>
      <w:lang w:val="en-GB" w:eastAsia="en-GB"/>
    </w:rPr>
  </w:style>
  <w:style w:type="character" w:styleId="Emphasis">
    <w:name w:val="Emphasis"/>
    <w:basedOn w:val="DefaultParagraphFont"/>
    <w:qFormat/>
    <w:rsid w:val="0050667A"/>
    <w:rPr>
      <w:i/>
      <w:iCs/>
    </w:rPr>
  </w:style>
  <w:style w:type="table" w:styleId="TableElegant">
    <w:name w:val="Table Elegant"/>
    <w:basedOn w:val="TableNormal"/>
    <w:rsid w:val="0050667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link w:val="Heading1"/>
    <w:uiPriority w:val="1"/>
    <w:rsid w:val="0050667A"/>
    <w:rPr>
      <w:rFonts w:ascii="Arial" w:eastAsia="SimSun" w:hAnsi="Arial" w:cs="Arial"/>
      <w:b/>
      <w:bCs/>
      <w:caps/>
      <w:kern w:val="32"/>
      <w:sz w:val="22"/>
      <w:szCs w:val="32"/>
      <w:lang w:eastAsia="zh-CN"/>
    </w:rPr>
  </w:style>
  <w:style w:type="paragraph" w:customStyle="1" w:styleId="BodyTexti">
    <w:name w:val="Body Text (i)"/>
    <w:basedOn w:val="Normal"/>
    <w:rsid w:val="0050667A"/>
    <w:pPr>
      <w:tabs>
        <w:tab w:val="right" w:pos="851"/>
        <w:tab w:val="left" w:pos="1134"/>
      </w:tabs>
      <w:spacing w:after="120"/>
    </w:pPr>
    <w:rPr>
      <w:rFonts w:eastAsia="Times New Roman" w:cs="Times New Roman"/>
      <w:snapToGrid w:val="0"/>
      <w:lang w:eastAsia="en-US"/>
    </w:rPr>
  </w:style>
  <w:style w:type="paragraph" w:customStyle="1" w:styleId="BodyTexta">
    <w:name w:val="Body Text (a)"/>
    <w:basedOn w:val="Normal"/>
    <w:rsid w:val="0050667A"/>
    <w:pPr>
      <w:spacing w:after="120"/>
      <w:ind w:firstLine="567"/>
    </w:pPr>
    <w:rPr>
      <w:rFonts w:eastAsia="Times New Roman" w:cs="Times New Roman"/>
      <w:lang w:eastAsia="en-US"/>
    </w:rPr>
  </w:style>
  <w:style w:type="paragraph" w:customStyle="1" w:styleId="ExampleClaim">
    <w:name w:val="Example Claim"/>
    <w:basedOn w:val="ExampleText"/>
    <w:rsid w:val="0050667A"/>
    <w:pPr>
      <w:ind w:left="1134" w:hanging="567"/>
    </w:pPr>
  </w:style>
  <w:style w:type="paragraph" w:customStyle="1" w:styleId="ExampleText">
    <w:name w:val="Example Text"/>
    <w:basedOn w:val="BodyTextIndent"/>
    <w:rsid w:val="0050667A"/>
    <w:pPr>
      <w:ind w:left="567"/>
    </w:pPr>
    <w:rPr>
      <w:rFonts w:eastAsia="Times New Roman" w:cs="Times New Roman"/>
      <w:i/>
      <w:lang w:eastAsia="en-US"/>
    </w:rPr>
  </w:style>
  <w:style w:type="paragraph" w:customStyle="1" w:styleId="ExampleClaimSub">
    <w:name w:val="Example Claim Sub"/>
    <w:basedOn w:val="ExampleClaim"/>
    <w:rsid w:val="0050667A"/>
    <w:pPr>
      <w:ind w:firstLine="567"/>
    </w:pPr>
  </w:style>
  <w:style w:type="paragraph" w:customStyle="1" w:styleId="ExampleClaimEnd">
    <w:name w:val="Example Claim End"/>
    <w:basedOn w:val="ExampleClaimSub"/>
    <w:rsid w:val="0050667A"/>
    <w:pPr>
      <w:ind w:firstLine="0"/>
    </w:pPr>
  </w:style>
  <w:style w:type="paragraph" w:customStyle="1" w:styleId="ExamplePolymorphism">
    <w:name w:val="Example Polymorphism"/>
    <w:basedOn w:val="ExampleClaim"/>
    <w:rsid w:val="0050667A"/>
    <w:pPr>
      <w:tabs>
        <w:tab w:val="right" w:pos="1980"/>
        <w:tab w:val="right" w:pos="3600"/>
        <w:tab w:val="right" w:pos="5400"/>
        <w:tab w:val="left" w:pos="5580"/>
      </w:tabs>
      <w:spacing w:after="0"/>
      <w:ind w:left="567" w:firstLine="0"/>
    </w:pPr>
  </w:style>
  <w:style w:type="paragraph" w:customStyle="1" w:styleId="ExamplePolyHeader">
    <w:name w:val="Example Poly Header"/>
    <w:basedOn w:val="ExamplePolymorphism"/>
    <w:rsid w:val="0050667A"/>
    <w:pPr>
      <w:tabs>
        <w:tab w:val="clear" w:pos="1980"/>
        <w:tab w:val="clear" w:pos="5400"/>
        <w:tab w:val="clear" w:pos="5580"/>
        <w:tab w:val="left" w:pos="1134"/>
        <w:tab w:val="left" w:pos="3969"/>
      </w:tabs>
    </w:pPr>
  </w:style>
  <w:style w:type="character" w:customStyle="1" w:styleId="InsertedText">
    <w:name w:val="Inserted Text"/>
    <w:qFormat/>
    <w:rsid w:val="0050667A"/>
    <w:rPr>
      <w:color w:val="0000FF"/>
      <w:u w:val="single"/>
    </w:rPr>
  </w:style>
  <w:style w:type="paragraph" w:styleId="BodyTextIndent">
    <w:name w:val="Body Text Indent"/>
    <w:basedOn w:val="Normal"/>
    <w:link w:val="BodyTextIndentChar"/>
    <w:rsid w:val="0050667A"/>
    <w:pPr>
      <w:spacing w:after="120"/>
      <w:ind w:left="283"/>
    </w:pPr>
  </w:style>
  <w:style w:type="character" w:customStyle="1" w:styleId="BodyTextIndentChar">
    <w:name w:val="Body Text Indent Char"/>
    <w:basedOn w:val="DefaultParagraphFont"/>
    <w:link w:val="BodyTextIndent"/>
    <w:rsid w:val="0050667A"/>
    <w:rPr>
      <w:rFonts w:ascii="Arial" w:eastAsia="SimSun" w:hAnsi="Arial" w:cs="Arial"/>
      <w:sz w:val="22"/>
      <w:lang w:eastAsia="zh-CN"/>
    </w:rPr>
  </w:style>
  <w:style w:type="paragraph" w:customStyle="1" w:styleId="Default">
    <w:name w:val="Default"/>
    <w:rsid w:val="0050667A"/>
    <w:pPr>
      <w:autoSpaceDE w:val="0"/>
      <w:autoSpaceDN w:val="0"/>
      <w:adjustRightInd w:val="0"/>
    </w:pPr>
    <w:rPr>
      <w:rFonts w:ascii="Arial" w:hAnsi="Arial"/>
      <w:color w:val="000000"/>
      <w:sz w:val="22"/>
      <w:szCs w:val="24"/>
      <w:lang w:val="en-AU" w:eastAsia="en-AU"/>
    </w:rPr>
  </w:style>
  <w:style w:type="table" w:styleId="TableGrid">
    <w:name w:val="Table Grid"/>
    <w:basedOn w:val="TableNormal"/>
    <w:rsid w:val="0050667A"/>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50667A"/>
    <w:pPr>
      <w:spacing w:after="100"/>
    </w:pPr>
  </w:style>
  <w:style w:type="paragraph" w:styleId="TOC3">
    <w:name w:val="toc 3"/>
    <w:basedOn w:val="Normal"/>
    <w:next w:val="Normal"/>
    <w:autoRedefine/>
    <w:uiPriority w:val="39"/>
    <w:rsid w:val="0050667A"/>
    <w:pPr>
      <w:spacing w:after="100"/>
      <w:ind w:left="440"/>
    </w:pPr>
  </w:style>
  <w:style w:type="paragraph" w:styleId="TOC4">
    <w:name w:val="toc 4"/>
    <w:basedOn w:val="Normal"/>
    <w:next w:val="Normal"/>
    <w:autoRedefine/>
    <w:uiPriority w:val="39"/>
    <w:rsid w:val="0050667A"/>
    <w:pPr>
      <w:spacing w:after="100"/>
      <w:ind w:left="660"/>
    </w:pPr>
  </w:style>
  <w:style w:type="character" w:customStyle="1" w:styleId="BodyTextChar">
    <w:name w:val="Body Text Char"/>
    <w:basedOn w:val="DefaultParagraphFont"/>
    <w:link w:val="BodyText"/>
    <w:uiPriority w:val="1"/>
    <w:rsid w:val="0050667A"/>
    <w:rPr>
      <w:rFonts w:ascii="Arial" w:eastAsia="SimSun" w:hAnsi="Arial" w:cs="Arial"/>
      <w:sz w:val="22"/>
      <w:lang w:eastAsia="zh-CN"/>
    </w:rPr>
  </w:style>
  <w:style w:type="character" w:styleId="CommentReference">
    <w:name w:val="annotation reference"/>
    <w:basedOn w:val="DefaultParagraphFont"/>
    <w:rsid w:val="0050667A"/>
    <w:rPr>
      <w:sz w:val="16"/>
      <w:szCs w:val="16"/>
    </w:rPr>
  </w:style>
  <w:style w:type="paragraph" w:styleId="CommentSubject">
    <w:name w:val="annotation subject"/>
    <w:basedOn w:val="CommentText"/>
    <w:next w:val="CommentText"/>
    <w:link w:val="CommentSubjectChar"/>
    <w:rsid w:val="0050667A"/>
    <w:rPr>
      <w:b/>
      <w:bCs/>
      <w:sz w:val="20"/>
    </w:rPr>
  </w:style>
  <w:style w:type="character" w:customStyle="1" w:styleId="CommentTextChar">
    <w:name w:val="Comment Text Char"/>
    <w:basedOn w:val="DefaultParagraphFont"/>
    <w:link w:val="CommentText"/>
    <w:semiHidden/>
    <w:rsid w:val="0050667A"/>
    <w:rPr>
      <w:rFonts w:ascii="Arial" w:eastAsia="SimSun" w:hAnsi="Arial" w:cs="Arial"/>
      <w:sz w:val="18"/>
      <w:lang w:eastAsia="zh-CN"/>
    </w:rPr>
  </w:style>
  <w:style w:type="character" w:customStyle="1" w:styleId="CommentSubjectChar">
    <w:name w:val="Comment Subject Char"/>
    <w:basedOn w:val="CommentTextChar"/>
    <w:link w:val="CommentSubject"/>
    <w:rsid w:val="0050667A"/>
    <w:rPr>
      <w:rFonts w:ascii="Arial" w:eastAsia="SimSun" w:hAnsi="Arial" w:cs="Arial"/>
      <w:b/>
      <w:bCs/>
      <w:sz w:val="18"/>
      <w:lang w:eastAsia="zh-CN"/>
    </w:rPr>
  </w:style>
  <w:style w:type="paragraph" w:styleId="Revision">
    <w:name w:val="Revision"/>
    <w:hidden/>
    <w:uiPriority w:val="99"/>
    <w:semiHidden/>
    <w:rsid w:val="0050667A"/>
    <w:rPr>
      <w:rFonts w:ascii="Arial" w:eastAsia="SimSun" w:hAnsi="Arial" w:cs="Arial"/>
      <w:sz w:val="22"/>
      <w:lang w:eastAsia="zh-CN"/>
    </w:rPr>
  </w:style>
  <w:style w:type="character" w:customStyle="1" w:styleId="FooterChar">
    <w:name w:val="Footer Char"/>
    <w:basedOn w:val="DefaultParagraphFont"/>
    <w:link w:val="Footer"/>
    <w:uiPriority w:val="99"/>
    <w:rsid w:val="0050667A"/>
    <w:rPr>
      <w:rFonts w:ascii="Arial" w:eastAsia="SimSun" w:hAnsi="Arial" w:cs="Arial"/>
      <w:sz w:val="22"/>
      <w:lang w:eastAsia="zh-CN"/>
    </w:rPr>
  </w:style>
  <w:style w:type="character" w:customStyle="1" w:styleId="FootnoteTextChar">
    <w:name w:val="Footnote Text Char"/>
    <w:basedOn w:val="DefaultParagraphFont"/>
    <w:link w:val="FootnoteText"/>
    <w:semiHidden/>
    <w:rsid w:val="0050667A"/>
    <w:rPr>
      <w:rFonts w:ascii="Arial" w:eastAsia="SimSun" w:hAnsi="Arial" w:cs="Arial"/>
      <w:sz w:val="18"/>
      <w:lang w:eastAsia="zh-CN"/>
    </w:rPr>
  </w:style>
  <w:style w:type="paragraph" w:customStyle="1" w:styleId="SectionHeading">
    <w:name w:val="Section Heading"/>
    <w:basedOn w:val="Heading1"/>
    <w:link w:val="SectionHeadingChar"/>
    <w:qFormat/>
    <w:rsid w:val="0050667A"/>
    <w:pPr>
      <w:pBdr>
        <w:top w:val="single" w:sz="4" w:space="1" w:color="auto"/>
        <w:bottom w:val="single" w:sz="4" w:space="1" w:color="auto"/>
      </w:pBdr>
      <w:tabs>
        <w:tab w:val="num" w:pos="1440"/>
      </w:tabs>
      <w:spacing w:before="360" w:after="200"/>
    </w:pPr>
  </w:style>
  <w:style w:type="character" w:customStyle="1" w:styleId="SectionHeadingChar">
    <w:name w:val="Section Heading Char"/>
    <w:basedOn w:val="Heading1Char"/>
    <w:link w:val="SectionHeading"/>
    <w:rsid w:val="0050667A"/>
    <w:rPr>
      <w:rFonts w:ascii="Arial" w:eastAsia="SimSun" w:hAnsi="Arial" w:cs="Arial"/>
      <w:b/>
      <w:bCs/>
      <w:caps/>
      <w:kern w:val="32"/>
      <w:sz w:val="22"/>
      <w:szCs w:val="32"/>
      <w:lang w:eastAsia="zh-CN"/>
    </w:rPr>
  </w:style>
  <w:style w:type="paragraph" w:styleId="ListParagraph">
    <w:name w:val="List Paragraph"/>
    <w:basedOn w:val="Normal"/>
    <w:uiPriority w:val="34"/>
    <w:qFormat/>
    <w:rsid w:val="0050667A"/>
    <w:pPr>
      <w:ind w:left="720"/>
      <w:contextualSpacing/>
    </w:pPr>
  </w:style>
  <w:style w:type="character" w:styleId="FollowedHyperlink">
    <w:name w:val="FollowedHyperlink"/>
    <w:basedOn w:val="DefaultParagraphFont"/>
    <w:rsid w:val="0050667A"/>
    <w:rPr>
      <w:color w:val="800080" w:themeColor="followedHyperlink"/>
      <w:u w:val="single"/>
    </w:rPr>
  </w:style>
  <w:style w:type="paragraph" w:styleId="NormalWeb">
    <w:name w:val="Normal (Web)"/>
    <w:basedOn w:val="Normal"/>
    <w:uiPriority w:val="99"/>
    <w:rsid w:val="0050667A"/>
    <w:pPr>
      <w:spacing w:before="100" w:beforeAutospacing="1" w:after="100" w:afterAutospacing="1"/>
    </w:pPr>
    <w:rPr>
      <w:rFonts w:eastAsia="MS Mincho"/>
      <w:sz w:val="18"/>
      <w:szCs w:val="18"/>
      <w:lang w:eastAsia="ja-JP"/>
    </w:rPr>
  </w:style>
  <w:style w:type="paragraph" w:styleId="BodyText2">
    <w:name w:val="Body Text 2"/>
    <w:basedOn w:val="Normal"/>
    <w:link w:val="BodyText2Char"/>
    <w:rsid w:val="0050667A"/>
    <w:rPr>
      <w:rFonts w:ascii="Century Gothic" w:hAnsi="Century Gothic"/>
      <w:i/>
      <w:color w:val="0000FF"/>
      <w:sz w:val="20"/>
    </w:rPr>
  </w:style>
  <w:style w:type="character" w:customStyle="1" w:styleId="BodyText2Char">
    <w:name w:val="Body Text 2 Char"/>
    <w:basedOn w:val="DefaultParagraphFont"/>
    <w:link w:val="BodyText2"/>
    <w:rsid w:val="0050667A"/>
    <w:rPr>
      <w:rFonts w:ascii="Century Gothic" w:eastAsia="SimSun" w:hAnsi="Century Gothic" w:cs="Arial"/>
      <w:i/>
      <w:color w:val="0000FF"/>
      <w:lang w:eastAsia="zh-CN"/>
    </w:rPr>
  </w:style>
  <w:style w:type="paragraph" w:styleId="BodyText3">
    <w:name w:val="Body Text 3"/>
    <w:basedOn w:val="Normal"/>
    <w:link w:val="BodyText3Char"/>
    <w:rsid w:val="0050667A"/>
    <w:rPr>
      <w:rFonts w:ascii="Century Gothic" w:hAnsi="Century Gothic"/>
      <w:color w:val="0000FF"/>
      <w:sz w:val="20"/>
    </w:rPr>
  </w:style>
  <w:style w:type="character" w:customStyle="1" w:styleId="BodyText3Char">
    <w:name w:val="Body Text 3 Char"/>
    <w:basedOn w:val="DefaultParagraphFont"/>
    <w:link w:val="BodyText3"/>
    <w:rsid w:val="0050667A"/>
    <w:rPr>
      <w:rFonts w:ascii="Century Gothic" w:eastAsia="SimSun" w:hAnsi="Century Gothic" w:cs="Arial"/>
      <w:color w:val="0000FF"/>
      <w:lang w:eastAsia="zh-CN"/>
    </w:rPr>
  </w:style>
  <w:style w:type="paragraph" w:customStyle="1" w:styleId="Note-subparai">
    <w:name w:val="Note - subpara (i)"/>
    <w:basedOn w:val="Normal"/>
    <w:locked/>
    <w:rsid w:val="0050667A"/>
    <w:pPr>
      <w:tabs>
        <w:tab w:val="right" w:pos="1843"/>
        <w:tab w:val="left" w:pos="2127"/>
      </w:tabs>
      <w:ind w:left="2127" w:hanging="2127"/>
    </w:pPr>
    <w:rPr>
      <w:rFonts w:ascii="Times New Roman" w:hAnsi="Times New Roman" w:cs="Times New Roman"/>
      <w:color w:val="000000"/>
      <w:sz w:val="24"/>
    </w:rPr>
  </w:style>
  <w:style w:type="numbering" w:styleId="ArticleSection">
    <w:name w:val="Outline List 3"/>
    <w:basedOn w:val="NoList"/>
    <w:rsid w:val="0050667A"/>
    <w:pPr>
      <w:numPr>
        <w:numId w:val="12"/>
      </w:numPr>
    </w:pPr>
  </w:style>
  <w:style w:type="paragraph" w:styleId="BodyTextIndent2">
    <w:name w:val="Body Text Indent 2"/>
    <w:basedOn w:val="Normal"/>
    <w:link w:val="BodyTextIndent2Char"/>
    <w:rsid w:val="0050667A"/>
    <w:pPr>
      <w:ind w:left="567"/>
    </w:pPr>
    <w:rPr>
      <w:rFonts w:ascii="Century Gothic" w:hAnsi="Century Gothic"/>
      <w:bCs/>
      <w:iCs/>
      <w:sz w:val="16"/>
      <w:szCs w:val="16"/>
    </w:rPr>
  </w:style>
  <w:style w:type="character" w:customStyle="1" w:styleId="BodyTextIndent2Char">
    <w:name w:val="Body Text Indent 2 Char"/>
    <w:basedOn w:val="DefaultParagraphFont"/>
    <w:link w:val="BodyTextIndent2"/>
    <w:rsid w:val="0050667A"/>
    <w:rPr>
      <w:rFonts w:ascii="Century Gothic" w:eastAsia="SimSun" w:hAnsi="Century Gothic" w:cs="Arial"/>
      <w:bCs/>
      <w:iCs/>
      <w:sz w:val="16"/>
      <w:szCs w:val="16"/>
      <w:lang w:eastAsia="zh-CN"/>
    </w:rPr>
  </w:style>
  <w:style w:type="table" w:customStyle="1" w:styleId="TableGrid1">
    <w:name w:val="Table Grid1"/>
    <w:basedOn w:val="TableNormal"/>
    <w:next w:val="TableGrid"/>
    <w:rsid w:val="0050667A"/>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0667A"/>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0667A"/>
    <w:rPr>
      <w:rFonts w:asciiTheme="minorHAnsi" w:eastAsiaTheme="minorHAnsi" w:hAnsiTheme="minorHAnsi" w:cstheme="minorBidi"/>
      <w:sz w:val="22"/>
      <w:szCs w:val="22"/>
      <w:lang w:val="fr-CA"/>
    </w:rPr>
  </w:style>
  <w:style w:type="paragraph" w:styleId="BodyTextIndent3">
    <w:name w:val="Body Text Indent 3"/>
    <w:basedOn w:val="Normal"/>
    <w:link w:val="BodyTextIndent3Char"/>
    <w:rsid w:val="0050667A"/>
    <w:pPr>
      <w:ind w:left="360"/>
    </w:pPr>
    <w:rPr>
      <w:rFonts w:ascii="Century Gothic" w:hAnsi="Century Gothic"/>
      <w:color w:val="00B050"/>
      <w:sz w:val="20"/>
    </w:rPr>
  </w:style>
  <w:style w:type="character" w:customStyle="1" w:styleId="BodyTextIndent3Char">
    <w:name w:val="Body Text Indent 3 Char"/>
    <w:basedOn w:val="DefaultParagraphFont"/>
    <w:link w:val="BodyTextIndent3"/>
    <w:rsid w:val="0050667A"/>
    <w:rPr>
      <w:rFonts w:ascii="Century Gothic" w:eastAsia="SimSun" w:hAnsi="Century Gothic" w:cs="Arial"/>
      <w:color w:val="00B050"/>
      <w:lang w:eastAsia="zh-CN"/>
    </w:rPr>
  </w:style>
  <w:style w:type="table" w:styleId="MediumShading1">
    <w:name w:val="Medium Shading 1"/>
    <w:basedOn w:val="TableNormal"/>
    <w:uiPriority w:val="63"/>
    <w:rsid w:val="0050667A"/>
    <w:rPr>
      <w:rFonts w:asciiTheme="minorHAnsi" w:eastAsiaTheme="minorHAnsi" w:hAnsiTheme="minorHAnsi" w:cstheme="minorBidi"/>
      <w:sz w:val="22"/>
      <w:szCs w:val="22"/>
      <w:lang w:val="en-C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uiPriority w:val="99"/>
    <w:rsid w:val="0050667A"/>
    <w:rPr>
      <w:rFonts w:ascii="Arial" w:eastAsia="SimSun" w:hAnsi="Arial" w:cs="Arial"/>
      <w:sz w:val="22"/>
      <w:lang w:eastAsia="zh-CN"/>
    </w:rPr>
  </w:style>
  <w:style w:type="paragraph" w:customStyle="1" w:styleId="Subsection">
    <w:name w:val="Subsection"/>
    <w:basedOn w:val="Normal"/>
    <w:link w:val="SubsectionChar"/>
    <w:qFormat/>
    <w:rsid w:val="00354444"/>
    <w:pPr>
      <w:keepNext/>
    </w:pPr>
    <w:rPr>
      <w:b/>
    </w:rPr>
  </w:style>
  <w:style w:type="character" w:customStyle="1" w:styleId="SubsectionChar">
    <w:name w:val="Subsection Char"/>
    <w:basedOn w:val="DefaultParagraphFont"/>
    <w:link w:val="Subsection"/>
    <w:rsid w:val="00354444"/>
    <w:rPr>
      <w:rFonts w:ascii="Arial" w:eastAsia="SimSun" w:hAnsi="Arial" w:cs="Arial"/>
      <w:b/>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ciencemag.org/" TargetMode="External"/><Relationship Id="rId18" Type="http://schemas.openxmlformats.org/officeDocument/2006/relationships/hyperlink" Target="http://www.international.gc.ca/cip-pic/organisations.aspx?lang=eng" TargetMode="External"/><Relationship Id="rId26" Type="http://schemas.openxmlformats.org/officeDocument/2006/relationships/hyperlink" Target="https://en.wikipedia.org/wiki/List_of_countries_by_GDP_%28nominal%29_per_capita" TargetMode="External"/><Relationship Id="rId39" Type="http://schemas.openxmlformats.org/officeDocument/2006/relationships/hyperlink" Target="http://www.atlantictechnologycentre.ca/" TargetMode="External"/><Relationship Id="rId21" Type="http://schemas.openxmlformats.org/officeDocument/2006/relationships/hyperlink" Target="https://en.wikipedia.org/wiki/Purchasing_power_parity" TargetMode="External"/><Relationship Id="rId34" Type="http://schemas.openxmlformats.org/officeDocument/2006/relationships/hyperlink" Target="http://www.tpsgc-pwgsc.gc.ca/app-acq/picc-bcip/index-eng.html" TargetMode="External"/><Relationship Id="rId42" Type="http://schemas.openxmlformats.org/officeDocument/2006/relationships/hyperlink" Target="http://www.oce-ontario.org/" TargetMode="External"/><Relationship Id="rId47" Type="http://schemas.openxmlformats.org/officeDocument/2006/relationships/hyperlink" Target="http://www.ceim.org/en/" TargetMode="External"/><Relationship Id="rId50" Type="http://schemas.openxmlformats.org/officeDocument/2006/relationships/hyperlink" Target="http://www.wearebctech.com/community/innovation-hub" TargetMode="External"/><Relationship Id="rId55" Type="http://schemas.openxmlformats.org/officeDocument/2006/relationships/hyperlink" Target="http://www.ic.gc.ca/eic/site/cipointernet-internetopic.nsf/eng/h_wr03993.html" TargetMode="External"/><Relationship Id="rId63"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wipo.int/edocs/mdocs/pct/en/pct_mia_24/pct_mia_24_presentation_statistics.pdf" TargetMode="External"/><Relationship Id="rId20" Type="http://schemas.openxmlformats.org/officeDocument/2006/relationships/hyperlink" Target="https://en.wikipedia.org/wiki/Gross_domestic_product" TargetMode="External"/><Relationship Id="rId29" Type="http://schemas.openxmlformats.org/officeDocument/2006/relationships/hyperlink" Target="https://en.wikipedia.org/wiki/Organisation_for_Economic_Co-operation_and_Development" TargetMode="External"/><Relationship Id="rId41" Type="http://schemas.openxmlformats.org/officeDocument/2006/relationships/hyperlink" Target="http://canadabusiness.ca/programs/farm-production-services-1/" TargetMode="External"/><Relationship Id="rId54" Type="http://schemas.openxmlformats.org/officeDocument/2006/relationships/hyperlink" Target="http://www.ic.gc.ca/eic/site/cipointernet-internetopic.nsf/eng/h_wr03993.html" TargetMode="External"/><Relationship Id="rId62" Type="http://schemas.openxmlformats.org/officeDocument/2006/relationships/hyperlink" Target="http://www.ic.gc.ca/eic/site/cipointernet-internetopic.nsf/eng/h_wr02282.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aine.hellyer@canada.ca" TargetMode="External"/><Relationship Id="rId24" Type="http://schemas.openxmlformats.org/officeDocument/2006/relationships/hyperlink" Target="https://en.wikipedia.org/wiki/Gross_domestic_product" TargetMode="External"/><Relationship Id="rId32" Type="http://schemas.openxmlformats.org/officeDocument/2006/relationships/hyperlink" Target="http://canadabusiness.ca/" TargetMode="External"/><Relationship Id="rId37" Type="http://schemas.openxmlformats.org/officeDocument/2006/relationships/hyperlink" Target="http://nbif.ca/en" TargetMode="External"/><Relationship Id="rId40" Type="http://schemas.openxmlformats.org/officeDocument/2006/relationships/hyperlink" Target="http://www.criq.qc.ca/en/" TargetMode="External"/><Relationship Id="rId45" Type="http://schemas.openxmlformats.org/officeDocument/2006/relationships/hyperlink" Target="https://www.investottawa.ca/" TargetMode="External"/><Relationship Id="rId53" Type="http://schemas.openxmlformats.org/officeDocument/2006/relationships/hyperlink" Target="https://www.ic.gc.ca/eic/site/062.nsf/eng/h_00051.html" TargetMode="External"/><Relationship Id="rId58" Type="http://schemas.openxmlformats.org/officeDocument/2006/relationships/hyperlink" Target="http://www.ic.gc.ca/eic/site/cipointernet-internetopic.nsf/eng/h_wr03652.html"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wipo.int/pct/en/quality/authorities.html" TargetMode="External"/><Relationship Id="rId23" Type="http://schemas.openxmlformats.org/officeDocument/2006/relationships/hyperlink" Target="https://en.wikipedia.org/wiki/List_of_countries_by_GDP_%28PPP%29_per_capita" TargetMode="External"/><Relationship Id="rId28" Type="http://schemas.openxmlformats.org/officeDocument/2006/relationships/hyperlink" Target="http://www.keepeek.com/Digital-Asset-Management/oecd/education/education-at-a-glance-2016/canada_eag-2016-45-en" TargetMode="External"/><Relationship Id="rId36" Type="http://schemas.openxmlformats.org/officeDocument/2006/relationships/hyperlink" Target="http://nwtresearch.com/" TargetMode="External"/><Relationship Id="rId49" Type="http://schemas.openxmlformats.org/officeDocument/2006/relationships/hyperlink" Target="http://www.innovatecalgary.com" TargetMode="External"/><Relationship Id="rId57" Type="http://schemas.openxmlformats.org/officeDocument/2006/relationships/hyperlink" Target="http://www.ic.gc.ca/eic/site/cipointernet-internetopic.nsf/eng/wr03585.html" TargetMode="External"/><Relationship Id="rId61" Type="http://schemas.openxmlformats.org/officeDocument/2006/relationships/hyperlink" Target="http://www.ic.gc.ca/eic/site/cipointernet-internetopic.nsf/eng/h_wr02300.html" TargetMode="External"/><Relationship Id="rId10" Type="http://schemas.openxmlformats.org/officeDocument/2006/relationships/header" Target="header1.xml"/><Relationship Id="rId19" Type="http://schemas.openxmlformats.org/officeDocument/2006/relationships/hyperlink" Target="http://www.statcan.gc.ca/tables-tableaux/sum-som/l01/cst01/demo02a-eng.htm" TargetMode="External"/><Relationship Id="rId31" Type="http://schemas.openxmlformats.org/officeDocument/2006/relationships/hyperlink" Target="http://www.nserc-crsng.gc.ca/index_eng.asp" TargetMode="External"/><Relationship Id="rId44" Type="http://schemas.openxmlformats.org/officeDocument/2006/relationships/hyperlink" Target="http://www.genesiscentre.ca/" TargetMode="External"/><Relationship Id="rId52" Type="http://schemas.openxmlformats.org/officeDocument/2006/relationships/hyperlink" Target="https://www.ic.gc.ca/eic/site/062.nsf/eng/home" TargetMode="External"/><Relationship Id="rId60" Type="http://schemas.openxmlformats.org/officeDocument/2006/relationships/hyperlink" Target="http://www.ic.gc.ca/eic/site/cipointernet-internetopic.nsf/eng/h_wr02281.html"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jstage.jst.go.jp/browse/bbb/-char/en" TargetMode="External"/><Relationship Id="rId22" Type="http://schemas.openxmlformats.org/officeDocument/2006/relationships/hyperlink" Target="https://en.wikipedia.org/wiki/List_of_countries_by_GDP_%28PPP%29" TargetMode="External"/><Relationship Id="rId27" Type="http://schemas.openxmlformats.org/officeDocument/2006/relationships/hyperlink" Target="http://www.statcan.gc.ca/daily-quotidien/150923/dq150923b-eng.htm" TargetMode="External"/><Relationship Id="rId30" Type="http://schemas.openxmlformats.org/officeDocument/2006/relationships/hyperlink" Target="http://dx.doi.org/10.1787/eag-2016-45-en" TargetMode="External"/><Relationship Id="rId35" Type="http://schemas.openxmlformats.org/officeDocument/2006/relationships/hyperlink" Target="http://canadabusiness.ca/programs/western-innovation-winn-initiative-1/" TargetMode="External"/><Relationship Id="rId43" Type="http://schemas.openxmlformats.org/officeDocument/2006/relationships/hyperlink" Target="http://gov.nu.ca/edt/programs-services/strategic-investments-program" TargetMode="External"/><Relationship Id="rId48" Type="http://schemas.openxmlformats.org/officeDocument/2006/relationships/hyperlink" Target="http://www.torontopubliclibrary.ca/detail.jsp?Entt=RDMLIB018&amp;R=LIB018" TargetMode="External"/><Relationship Id="rId56" Type="http://schemas.openxmlformats.org/officeDocument/2006/relationships/hyperlink" Target="http://www.ic.gc.ca/eic/site/icgc.nsf/eng/home" TargetMode="External"/><Relationship Id="rId64"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hyperlink" Target="http://www.international.gc.ca/economist-economiste/performance/state-point/state_2016_point/index.aspx?lang=eng" TargetMode="External"/><Relationship Id="rId3" Type="http://schemas.openxmlformats.org/officeDocument/2006/relationships/styles" Target="styles.xml"/><Relationship Id="rId12" Type="http://schemas.openxmlformats.org/officeDocument/2006/relationships/hyperlink" Target="http://www.wipo.int/edocs/mdocs/pct/en/pct_mia_24/pct_mia_24_presentation_statistics.pdf" TargetMode="External"/><Relationship Id="rId17" Type="http://schemas.openxmlformats.org/officeDocument/2006/relationships/image" Target="media/image2.png"/><Relationship Id="rId25" Type="http://schemas.openxmlformats.org/officeDocument/2006/relationships/hyperlink" Target="https://en.wikipedia.org/wiki/List_of_countries_by_GDP_%28nominal%29" TargetMode="External"/><Relationship Id="rId33" Type="http://schemas.openxmlformats.org/officeDocument/2006/relationships/hyperlink" Target="http://www.nce-rce.gc.ca/NetworksCentres-CentresReseaux/ByBrogram-ParProgramme_eng.asp" TargetMode="External"/><Relationship Id="rId38" Type="http://schemas.openxmlformats.org/officeDocument/2006/relationships/hyperlink" Target="http://canadabusiness.ca/programs/innovacorp-1/" TargetMode="External"/><Relationship Id="rId46" Type="http://schemas.openxmlformats.org/officeDocument/2006/relationships/hyperlink" Target="http://www.tecedmonton.com/organization/" TargetMode="External"/><Relationship Id="rId59" Type="http://schemas.openxmlformats.org/officeDocument/2006/relationships/hyperlink" Target="http://www.ic.gc.ca/eic/site/cipointernet-internetopic.nsf/eng/h_wr0236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75F7C-D15E-45EA-8FDC-8F9609BB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(E).dotm</Template>
  <TotalTime>81</TotalTime>
  <Pages>17</Pages>
  <Words>6027</Words>
  <Characters>40403</Characters>
  <Application>Microsoft Office Word</Application>
  <DocSecurity>0</DocSecurity>
  <Lines>336</Lines>
  <Paragraphs>92</Paragraphs>
  <ScaleCrop>false</ScaleCrop>
  <HeadingPairs>
    <vt:vector size="2" baseType="variant">
      <vt:variant>
        <vt:lpstr>Title</vt:lpstr>
      </vt:variant>
      <vt:variant>
        <vt:i4>1</vt:i4>
      </vt:variant>
    </vt:vector>
  </HeadingPairs>
  <TitlesOfParts>
    <vt:vector size="1" baseType="lpstr">
      <vt:lpstr>PCT/CTC/30/</vt:lpstr>
    </vt:vector>
  </TitlesOfParts>
  <Company>WIPO</Company>
  <LinksUpToDate>false</LinksUpToDate>
  <CharactersWithSpaces>46338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PCT/CTC/30/6</dc:title>
  <dc:subject>Extension of Appointment of the Canadian Intellectual Property Office as an International Searching and Preliminary Examining Authority Under the PCT</dc:subject>
  <dc:creator>MARLOW Thomas</dc:creator>
  <cp:lastModifiedBy>RICHARDSON Michael</cp:lastModifiedBy>
  <cp:revision>7</cp:revision>
  <cp:lastPrinted>2017-02-28T14:25:00Z</cp:lastPrinted>
  <dcterms:created xsi:type="dcterms:W3CDTF">2017-03-13T09:12:00Z</dcterms:created>
  <dcterms:modified xsi:type="dcterms:W3CDTF">2017-03-16T16:01:00Z</dcterms:modified>
</cp:coreProperties>
</file>