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D2807" w:rsidRPr="00AD2807" w:rsidTr="00361450">
        <w:tc>
          <w:tcPr>
            <w:tcW w:w="4513" w:type="dxa"/>
            <w:tcBorders>
              <w:bottom w:val="single" w:sz="4" w:space="0" w:color="auto"/>
            </w:tcBorders>
            <w:tcMar>
              <w:bottom w:w="170" w:type="dxa"/>
            </w:tcMar>
          </w:tcPr>
          <w:p w:rsidR="00EC4E49" w:rsidRPr="00AD2807" w:rsidRDefault="00EC4E49" w:rsidP="00916EE2">
            <w:bookmarkStart w:id="0" w:name="_GoBack"/>
            <w:bookmarkEnd w:id="0"/>
          </w:p>
        </w:tc>
        <w:tc>
          <w:tcPr>
            <w:tcW w:w="4337" w:type="dxa"/>
            <w:tcBorders>
              <w:bottom w:val="single" w:sz="4" w:space="0" w:color="auto"/>
            </w:tcBorders>
            <w:tcMar>
              <w:left w:w="0" w:type="dxa"/>
              <w:right w:w="0" w:type="dxa"/>
            </w:tcMar>
          </w:tcPr>
          <w:p w:rsidR="00EC4E49" w:rsidRPr="00AD2807" w:rsidRDefault="00BD078D" w:rsidP="00916EE2">
            <w:r w:rsidRPr="00AD2807">
              <w:rPr>
                <w:noProof/>
                <w:lang w:val="en-GB" w:eastAsia="en-GB"/>
              </w:rPr>
              <w:drawing>
                <wp:inline distT="0" distB="0" distL="0" distR="0" wp14:anchorId="1C30A9CA" wp14:editId="11EE7264">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AD2807" w:rsidRDefault="00EC4E49" w:rsidP="00916EE2">
            <w:pPr>
              <w:jc w:val="right"/>
            </w:pPr>
            <w:r w:rsidRPr="00AD2807">
              <w:rPr>
                <w:b/>
                <w:sz w:val="40"/>
                <w:szCs w:val="40"/>
              </w:rPr>
              <w:t>E</w:t>
            </w:r>
          </w:p>
        </w:tc>
      </w:tr>
      <w:tr w:rsidR="00AD2807" w:rsidRPr="00AD2807"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AD2807" w:rsidRDefault="00BD078D" w:rsidP="00BD078D">
            <w:pPr>
              <w:jc w:val="right"/>
              <w:rPr>
                <w:rFonts w:ascii="Arial Black" w:hAnsi="Arial Black"/>
                <w:caps/>
                <w:sz w:val="15"/>
              </w:rPr>
            </w:pPr>
            <w:r w:rsidRPr="00AD2807">
              <w:rPr>
                <w:rFonts w:ascii="Arial Black" w:hAnsi="Arial Black"/>
                <w:caps/>
                <w:sz w:val="15"/>
              </w:rPr>
              <w:t>PCT/CTC/30</w:t>
            </w:r>
            <w:r w:rsidR="0099692E" w:rsidRPr="00AD2807">
              <w:rPr>
                <w:rFonts w:ascii="Arial Black" w:hAnsi="Arial Black"/>
                <w:caps/>
                <w:sz w:val="15"/>
              </w:rPr>
              <w:t>/4</w:t>
            </w:r>
          </w:p>
        </w:tc>
      </w:tr>
      <w:tr w:rsidR="00AD2807" w:rsidRPr="00AD2807" w:rsidTr="00916EE2">
        <w:trPr>
          <w:trHeight w:hRule="exact" w:val="170"/>
        </w:trPr>
        <w:tc>
          <w:tcPr>
            <w:tcW w:w="9356" w:type="dxa"/>
            <w:gridSpan w:val="3"/>
            <w:noWrap/>
            <w:tcMar>
              <w:left w:w="0" w:type="dxa"/>
              <w:right w:w="0" w:type="dxa"/>
            </w:tcMar>
            <w:vAlign w:val="bottom"/>
          </w:tcPr>
          <w:p w:rsidR="008B2CC1" w:rsidRPr="00AD2807" w:rsidRDefault="008B2CC1" w:rsidP="00CD04F1">
            <w:pPr>
              <w:jc w:val="right"/>
              <w:rPr>
                <w:rFonts w:ascii="Arial Black" w:hAnsi="Arial Black"/>
                <w:caps/>
                <w:sz w:val="15"/>
              </w:rPr>
            </w:pPr>
            <w:r w:rsidRPr="00AD2807">
              <w:rPr>
                <w:rFonts w:ascii="Arial Black" w:hAnsi="Arial Black"/>
                <w:caps/>
                <w:sz w:val="15"/>
              </w:rPr>
              <w:t xml:space="preserve">ORIGINAL: </w:t>
            </w:r>
            <w:bookmarkStart w:id="1" w:name="Original"/>
            <w:bookmarkEnd w:id="1"/>
            <w:r w:rsidR="00C650A4" w:rsidRPr="00AD2807">
              <w:rPr>
                <w:rFonts w:ascii="Arial Black" w:hAnsi="Arial Black"/>
                <w:caps/>
                <w:sz w:val="15"/>
              </w:rPr>
              <w:t>English</w:t>
            </w:r>
          </w:p>
        </w:tc>
      </w:tr>
      <w:tr w:rsidR="008B2CC1" w:rsidRPr="00AD2807" w:rsidTr="00916EE2">
        <w:trPr>
          <w:trHeight w:hRule="exact" w:val="198"/>
        </w:trPr>
        <w:tc>
          <w:tcPr>
            <w:tcW w:w="9356" w:type="dxa"/>
            <w:gridSpan w:val="3"/>
            <w:tcMar>
              <w:left w:w="0" w:type="dxa"/>
              <w:right w:w="0" w:type="dxa"/>
            </w:tcMar>
            <w:vAlign w:val="bottom"/>
          </w:tcPr>
          <w:p w:rsidR="008B2CC1" w:rsidRPr="00AD2807" w:rsidRDefault="008B2CC1" w:rsidP="00A87415">
            <w:pPr>
              <w:jc w:val="right"/>
              <w:rPr>
                <w:rFonts w:ascii="Arial Black" w:hAnsi="Arial Black"/>
                <w:caps/>
                <w:sz w:val="15"/>
              </w:rPr>
            </w:pPr>
            <w:r w:rsidRPr="00AD2807">
              <w:rPr>
                <w:rFonts w:ascii="Arial Black" w:hAnsi="Arial Black"/>
                <w:caps/>
                <w:sz w:val="15"/>
              </w:rPr>
              <w:t xml:space="preserve">DATE: </w:t>
            </w:r>
            <w:bookmarkStart w:id="2" w:name="Date"/>
            <w:bookmarkEnd w:id="2"/>
            <w:r w:rsidR="00C650A4" w:rsidRPr="00AD2807">
              <w:rPr>
                <w:rFonts w:ascii="Arial Black" w:hAnsi="Arial Black"/>
                <w:caps/>
                <w:sz w:val="15"/>
              </w:rPr>
              <w:t xml:space="preserve">March </w:t>
            </w:r>
            <w:r w:rsidR="006A7C05" w:rsidRPr="00AD2807">
              <w:rPr>
                <w:rFonts w:ascii="Arial Black" w:hAnsi="Arial Black"/>
                <w:caps/>
                <w:sz w:val="15"/>
              </w:rPr>
              <w:t>1</w:t>
            </w:r>
            <w:r w:rsidR="00A87415">
              <w:rPr>
                <w:rFonts w:ascii="Arial Black" w:hAnsi="Arial Black"/>
                <w:caps/>
                <w:sz w:val="15"/>
              </w:rPr>
              <w:t>6</w:t>
            </w:r>
            <w:r w:rsidR="00C650A4" w:rsidRPr="00AD2807">
              <w:rPr>
                <w:rFonts w:ascii="Arial Black" w:hAnsi="Arial Black"/>
                <w:caps/>
                <w:sz w:val="15"/>
              </w:rPr>
              <w:t>, 2017</w:t>
            </w:r>
          </w:p>
        </w:tc>
      </w:tr>
    </w:tbl>
    <w:p w:rsidR="008B2CC1" w:rsidRPr="00AD2807" w:rsidRDefault="008B2CC1" w:rsidP="008B2CC1"/>
    <w:p w:rsidR="008B2CC1" w:rsidRPr="00AD2807" w:rsidRDefault="008B2CC1" w:rsidP="008B2CC1"/>
    <w:p w:rsidR="008B2CC1" w:rsidRPr="00AD2807" w:rsidRDefault="008B2CC1" w:rsidP="008B2CC1"/>
    <w:p w:rsidR="008B2CC1" w:rsidRPr="00AD2807" w:rsidRDefault="008B2CC1" w:rsidP="008B2CC1"/>
    <w:p w:rsidR="008B2CC1" w:rsidRPr="00AD2807" w:rsidRDefault="008B2CC1" w:rsidP="008B2CC1"/>
    <w:p w:rsidR="008B2CC1" w:rsidRPr="00AD2807" w:rsidRDefault="00BD078D" w:rsidP="008B2CC1">
      <w:pPr>
        <w:rPr>
          <w:b/>
          <w:sz w:val="28"/>
          <w:szCs w:val="28"/>
        </w:rPr>
      </w:pPr>
      <w:r w:rsidRPr="00AD2807">
        <w:rPr>
          <w:b/>
          <w:sz w:val="28"/>
          <w:szCs w:val="28"/>
        </w:rPr>
        <w:t>Patent Cooperation Treaty (PCT)</w:t>
      </w:r>
    </w:p>
    <w:p w:rsidR="00BD078D" w:rsidRPr="00AD2807" w:rsidRDefault="00BD078D" w:rsidP="008B2CC1">
      <w:pPr>
        <w:rPr>
          <w:b/>
          <w:sz w:val="28"/>
          <w:szCs w:val="28"/>
        </w:rPr>
      </w:pPr>
      <w:r w:rsidRPr="00AD2807">
        <w:rPr>
          <w:b/>
          <w:sz w:val="28"/>
          <w:szCs w:val="28"/>
        </w:rPr>
        <w:t>Committee for Technical Cooperation</w:t>
      </w:r>
    </w:p>
    <w:p w:rsidR="003845C1" w:rsidRPr="00AD2807" w:rsidRDefault="003845C1" w:rsidP="003845C1"/>
    <w:p w:rsidR="003845C1" w:rsidRPr="00AD2807" w:rsidRDefault="003845C1" w:rsidP="003845C1"/>
    <w:p w:rsidR="008B2CC1" w:rsidRPr="00AD2807" w:rsidRDefault="00BD078D" w:rsidP="008B2CC1">
      <w:pPr>
        <w:rPr>
          <w:b/>
          <w:sz w:val="24"/>
          <w:szCs w:val="24"/>
        </w:rPr>
      </w:pPr>
      <w:r w:rsidRPr="00AD2807">
        <w:rPr>
          <w:b/>
          <w:sz w:val="24"/>
          <w:szCs w:val="24"/>
        </w:rPr>
        <w:t xml:space="preserve">Thirtieth </w:t>
      </w:r>
      <w:r w:rsidR="003845C1" w:rsidRPr="00AD2807">
        <w:rPr>
          <w:b/>
          <w:sz w:val="24"/>
          <w:szCs w:val="24"/>
        </w:rPr>
        <w:t>Session</w:t>
      </w:r>
    </w:p>
    <w:p w:rsidR="008B2CC1" w:rsidRPr="00AD2807" w:rsidRDefault="00BD078D" w:rsidP="008B2CC1">
      <w:pPr>
        <w:rPr>
          <w:b/>
          <w:sz w:val="24"/>
          <w:szCs w:val="24"/>
        </w:rPr>
      </w:pPr>
      <w:r w:rsidRPr="00AD2807">
        <w:rPr>
          <w:b/>
          <w:sz w:val="24"/>
          <w:szCs w:val="24"/>
        </w:rPr>
        <w:t>Geneva, May 8 to 12, 2017</w:t>
      </w:r>
    </w:p>
    <w:p w:rsidR="008B2CC1" w:rsidRPr="00AD2807" w:rsidRDefault="008B2CC1" w:rsidP="008B2CC1"/>
    <w:p w:rsidR="008B2CC1" w:rsidRPr="00AD2807" w:rsidRDefault="008B2CC1" w:rsidP="008B2CC1"/>
    <w:p w:rsidR="008B2CC1" w:rsidRPr="00AD2807" w:rsidRDefault="008B2CC1" w:rsidP="008B2CC1"/>
    <w:p w:rsidR="008B2CC1" w:rsidRPr="00AD2807" w:rsidRDefault="00C650A4" w:rsidP="008B2CC1">
      <w:pPr>
        <w:rPr>
          <w:caps/>
          <w:sz w:val="24"/>
        </w:rPr>
      </w:pPr>
      <w:bookmarkStart w:id="3" w:name="TitleOfDoc"/>
      <w:bookmarkEnd w:id="3"/>
      <w:r w:rsidRPr="00AD2807">
        <w:rPr>
          <w:caps/>
          <w:sz w:val="24"/>
        </w:rPr>
        <w:t xml:space="preserve">Extension of Appointment of </w:t>
      </w:r>
      <w:r w:rsidR="006A7C05" w:rsidRPr="00AD2807">
        <w:rPr>
          <w:caps/>
          <w:sz w:val="24"/>
        </w:rPr>
        <w:t>the Australian Patent Office as an </w:t>
      </w:r>
      <w:r w:rsidRPr="00AD2807">
        <w:rPr>
          <w:caps/>
          <w:sz w:val="24"/>
        </w:rPr>
        <w:t>Internat</w:t>
      </w:r>
      <w:r w:rsidR="006A7C05" w:rsidRPr="00AD2807">
        <w:rPr>
          <w:caps/>
          <w:sz w:val="24"/>
        </w:rPr>
        <w:t>ional Searching and Preliminary Examining Authority </w:t>
      </w:r>
      <w:r w:rsidRPr="00AD2807">
        <w:rPr>
          <w:caps/>
          <w:sz w:val="24"/>
        </w:rPr>
        <w:t>Under the PCT</w:t>
      </w:r>
    </w:p>
    <w:p w:rsidR="008B2CC1" w:rsidRPr="00AD2807" w:rsidRDefault="008B2CC1" w:rsidP="008B2CC1"/>
    <w:p w:rsidR="008B2CC1" w:rsidRPr="00AD2807" w:rsidRDefault="00C650A4" w:rsidP="008B2CC1">
      <w:pPr>
        <w:rPr>
          <w:i/>
        </w:rPr>
      </w:pPr>
      <w:bookmarkStart w:id="4" w:name="Prepared"/>
      <w:bookmarkEnd w:id="4"/>
      <w:r w:rsidRPr="00AD2807">
        <w:rPr>
          <w:i/>
        </w:rPr>
        <w:t>Document prepared by the International Bureau</w:t>
      </w:r>
    </w:p>
    <w:p w:rsidR="00AC205C" w:rsidRPr="00AD2807" w:rsidRDefault="00AC205C"/>
    <w:p w:rsidR="000F5E56" w:rsidRPr="00AD2807" w:rsidRDefault="000F5E56"/>
    <w:p w:rsidR="002928D3" w:rsidRPr="00AD2807" w:rsidRDefault="002928D3"/>
    <w:p w:rsidR="002928D3" w:rsidRPr="00AD2807" w:rsidRDefault="002928D3" w:rsidP="0053057A"/>
    <w:p w:rsidR="005C40A3" w:rsidRPr="00AD2807" w:rsidRDefault="00A93FC2" w:rsidP="005C40A3">
      <w:pPr>
        <w:pStyle w:val="ONUME"/>
      </w:pPr>
      <w:bookmarkStart w:id="5" w:name="_Ref447032909"/>
      <w:r w:rsidRPr="00AD2807">
        <w:t>All</w:t>
      </w:r>
      <w:r w:rsidR="005C40A3" w:rsidRPr="00AD2807">
        <w:t xml:space="preserve"> of the existing International Authorities w</w:t>
      </w:r>
      <w:r w:rsidRPr="00AD2807">
        <w:t>ere</w:t>
      </w:r>
      <w:r w:rsidR="005C40A3" w:rsidRPr="00AD2807">
        <w:t xml:space="preserve"> appointed by the </w:t>
      </w:r>
      <w:r w:rsidR="008B50A2" w:rsidRPr="00AD2807">
        <w:t xml:space="preserve">PCT </w:t>
      </w:r>
      <w:r w:rsidR="005C40A3" w:rsidRPr="00AD2807">
        <w:t>Assembly for a period ending on December 31, 2017.  In 2017, the Assembly will therefore need to make a decision on the extension of the appointment of each existing International Authority that wishes to seek an extension of its appointment, having first sought the advice of th</w:t>
      </w:r>
      <w:r w:rsidR="00FD06A7" w:rsidRPr="00AD2807">
        <w:t xml:space="preserve">is Committee </w:t>
      </w:r>
      <w:r w:rsidR="005C40A3" w:rsidRPr="00AD2807">
        <w:t>(see PCT Articles 16(3</w:t>
      </w:r>
      <w:proofErr w:type="gramStart"/>
      <w:r w:rsidR="005C40A3" w:rsidRPr="00AD2807">
        <w:t>)(</w:t>
      </w:r>
      <w:proofErr w:type="gramEnd"/>
      <w:r w:rsidR="005C40A3" w:rsidRPr="00AD2807">
        <w:t>e) and 32(3)).</w:t>
      </w:r>
      <w:bookmarkEnd w:id="5"/>
      <w:r w:rsidR="0035027E" w:rsidRPr="00AD2807">
        <w:t xml:space="preserve">  </w:t>
      </w:r>
      <w:r w:rsidR="004F74E6" w:rsidRPr="00AD2807">
        <w:t>I</w:t>
      </w:r>
      <w:r w:rsidR="0035027E" w:rsidRPr="00AD2807">
        <w:t>nformation concerning this process and the role of the Committee is set out in document PCT/CTC/30/INF/1.</w:t>
      </w:r>
    </w:p>
    <w:p w:rsidR="005C40A3" w:rsidRPr="00AD2807" w:rsidRDefault="007C2F0F" w:rsidP="005C40A3">
      <w:pPr>
        <w:pStyle w:val="ONUME"/>
      </w:pPr>
      <w:r w:rsidRPr="00AD2807">
        <w:t>On March 7</w:t>
      </w:r>
      <w:r w:rsidR="00AA5F79" w:rsidRPr="00AD2807">
        <w:t>, 2017, t</w:t>
      </w:r>
      <w:r w:rsidR="005C40A3" w:rsidRPr="00AD2807">
        <w:t xml:space="preserve">he </w:t>
      </w:r>
      <w:r w:rsidR="006A7C05" w:rsidRPr="00AD2807">
        <w:t>Australian Patent Office</w:t>
      </w:r>
      <w:r w:rsidR="005C40A3" w:rsidRPr="00AD2807">
        <w:t xml:space="preserve"> submitted its application </w:t>
      </w:r>
      <w:r w:rsidR="00AA5F79" w:rsidRPr="00AD2807">
        <w:t>to extend its appointment as an International Searching Authority and International Preliminary Examining Authority under the PCT.  This application is reproduced in the Annex to this document.</w:t>
      </w:r>
    </w:p>
    <w:p w:rsidR="005C40A3" w:rsidRPr="00AD2807" w:rsidRDefault="00AA5F79" w:rsidP="0035027E">
      <w:pPr>
        <w:pStyle w:val="ONUME"/>
        <w:tabs>
          <w:tab w:val="left" w:pos="6096"/>
        </w:tabs>
        <w:ind w:left="5533"/>
        <w:rPr>
          <w:i/>
        </w:rPr>
      </w:pPr>
      <w:r w:rsidRPr="00AD2807">
        <w:rPr>
          <w:i/>
        </w:rPr>
        <w:t>The Committee is invited to give its advice on this matter.</w:t>
      </w:r>
    </w:p>
    <w:p w:rsidR="00AA5F79" w:rsidRPr="00AD2807" w:rsidRDefault="00AA5F79" w:rsidP="00AA5F79">
      <w:pPr>
        <w:pStyle w:val="ONUME"/>
        <w:numPr>
          <w:ilvl w:val="0"/>
          <w:numId w:val="0"/>
        </w:numPr>
      </w:pPr>
    </w:p>
    <w:p w:rsidR="00AA5F79" w:rsidRPr="00AD2807" w:rsidRDefault="00AA5F79" w:rsidP="00AA5F79">
      <w:pPr>
        <w:pStyle w:val="ONUME"/>
        <w:numPr>
          <w:ilvl w:val="0"/>
          <w:numId w:val="0"/>
        </w:numPr>
        <w:ind w:left="5533"/>
        <w:sectPr w:rsidR="00AA5F79" w:rsidRPr="00AD2807" w:rsidSect="00C650A4">
          <w:headerReference w:type="default" r:id="rId10"/>
          <w:endnotePr>
            <w:numFmt w:val="decimal"/>
          </w:endnotePr>
          <w:pgSz w:w="11907" w:h="16840" w:code="9"/>
          <w:pgMar w:top="567" w:right="1134" w:bottom="1418" w:left="1418" w:header="510" w:footer="1021" w:gutter="0"/>
          <w:cols w:space="720"/>
          <w:titlePg/>
          <w:docGrid w:linePitch="299"/>
        </w:sectPr>
      </w:pPr>
      <w:r w:rsidRPr="00AD2807">
        <w:t>[Annex follows]</w:t>
      </w:r>
    </w:p>
    <w:p w:rsidR="00AA5F79" w:rsidRPr="00AD2807" w:rsidRDefault="00AA5F79" w:rsidP="00AA5F79">
      <w:pPr>
        <w:pStyle w:val="ONUME"/>
        <w:numPr>
          <w:ilvl w:val="0"/>
          <w:numId w:val="0"/>
        </w:numPr>
        <w:jc w:val="center"/>
        <w:rPr>
          <w:caps/>
        </w:rPr>
      </w:pPr>
      <w:r w:rsidRPr="00AD2807">
        <w:rPr>
          <w:caps/>
        </w:rPr>
        <w:lastRenderedPageBreak/>
        <w:t xml:space="preserve">Application of </w:t>
      </w:r>
      <w:r w:rsidR="006A7C05" w:rsidRPr="00AD2807">
        <w:rPr>
          <w:caps/>
        </w:rPr>
        <w:t>the Australian Patent Office for Extension of </w:t>
      </w:r>
      <w:r w:rsidRPr="00AD2807">
        <w:rPr>
          <w:caps/>
        </w:rPr>
        <w:t xml:space="preserve">Appointment </w:t>
      </w:r>
      <w:r w:rsidRPr="00AD2807">
        <w:rPr>
          <w:caps/>
        </w:rPr>
        <w:br/>
        <w:t xml:space="preserve">as an International Searching and </w:t>
      </w:r>
      <w:r w:rsidR="006A7C05" w:rsidRPr="00AD2807">
        <w:rPr>
          <w:caps/>
        </w:rPr>
        <w:t>Preliminary Examining </w:t>
      </w:r>
      <w:r w:rsidRPr="00AD2807">
        <w:rPr>
          <w:caps/>
        </w:rPr>
        <w:t>Authority</w:t>
      </w:r>
      <w:r w:rsidR="006A7C05" w:rsidRPr="00AD2807">
        <w:rPr>
          <w:caps/>
        </w:rPr>
        <w:t> Under the </w:t>
      </w:r>
      <w:r w:rsidRPr="00AD2807">
        <w:rPr>
          <w:caps/>
        </w:rPr>
        <w:t>PCT</w:t>
      </w:r>
    </w:p>
    <w:p w:rsidR="00AA5F79" w:rsidRPr="00AD2807" w:rsidRDefault="00AA5F79" w:rsidP="00AA5F79">
      <w:pPr>
        <w:pStyle w:val="ONUME"/>
        <w:numPr>
          <w:ilvl w:val="0"/>
          <w:numId w:val="0"/>
        </w:numPr>
      </w:pPr>
    </w:p>
    <w:p w:rsidR="006720DC" w:rsidRPr="00AD2807" w:rsidRDefault="006720DC" w:rsidP="006720DC">
      <w:pPr>
        <w:rPr>
          <w:szCs w:val="22"/>
          <w:lang w:val="en-AU"/>
        </w:rPr>
      </w:pPr>
    </w:p>
    <w:p w:rsidR="006720DC" w:rsidRPr="00AD2807" w:rsidRDefault="006720DC" w:rsidP="006720DC">
      <w:pPr>
        <w:pStyle w:val="SectionHeading"/>
        <w:jc w:val="both"/>
        <w:rPr>
          <w:lang w:val="en-AU"/>
        </w:rPr>
      </w:pPr>
      <w:r w:rsidRPr="00AD2807">
        <w:rPr>
          <w:lang w:val="en-AU"/>
        </w:rPr>
        <w:t>1 – General</w:t>
      </w:r>
    </w:p>
    <w:p w:rsidR="006720DC" w:rsidRPr="00AD2807" w:rsidRDefault="006720DC" w:rsidP="006720DC">
      <w:pPr>
        <w:pStyle w:val="ListParagraph"/>
        <w:numPr>
          <w:ilvl w:val="0"/>
          <w:numId w:val="7"/>
        </w:numPr>
        <w:ind w:left="360"/>
        <w:rPr>
          <w:b/>
          <w:szCs w:val="22"/>
          <w:lang w:val="en-AU"/>
        </w:rPr>
      </w:pPr>
      <w:r w:rsidRPr="00AD2807">
        <w:rPr>
          <w:b/>
          <w:szCs w:val="22"/>
          <w:lang w:val="en-AU"/>
        </w:rPr>
        <w:t xml:space="preserve">Name of national Office: </w:t>
      </w:r>
    </w:p>
    <w:p w:rsidR="006720DC" w:rsidRPr="00AD2807" w:rsidRDefault="006720DC" w:rsidP="006720DC">
      <w:pPr>
        <w:pStyle w:val="ListParagraph"/>
        <w:ind w:left="360"/>
        <w:rPr>
          <w:szCs w:val="22"/>
          <w:lang w:val="en-AU"/>
        </w:rPr>
      </w:pPr>
      <w:r w:rsidRPr="00AD2807">
        <w:rPr>
          <w:szCs w:val="22"/>
          <w:lang w:val="en-AU"/>
        </w:rPr>
        <w:t>Australian Patent Office (part of the government agency known as IP Australia).</w:t>
      </w:r>
    </w:p>
    <w:p w:rsidR="006720DC" w:rsidRPr="00AD2807" w:rsidRDefault="006720DC" w:rsidP="006720DC">
      <w:pPr>
        <w:pStyle w:val="ListParagraph"/>
        <w:ind w:left="360"/>
        <w:rPr>
          <w:b/>
          <w:szCs w:val="22"/>
          <w:lang w:val="en-AU"/>
        </w:rPr>
      </w:pPr>
    </w:p>
    <w:p w:rsidR="006720DC" w:rsidRPr="00AD2807" w:rsidRDefault="006720DC" w:rsidP="006720DC">
      <w:pPr>
        <w:pStyle w:val="ListParagraph"/>
        <w:numPr>
          <w:ilvl w:val="0"/>
          <w:numId w:val="7"/>
        </w:numPr>
        <w:ind w:left="360"/>
        <w:rPr>
          <w:b/>
          <w:bCs/>
          <w:szCs w:val="22"/>
          <w:lang w:val="en-AU"/>
        </w:rPr>
      </w:pPr>
      <w:r w:rsidRPr="00AD2807">
        <w:rPr>
          <w:b/>
          <w:szCs w:val="22"/>
          <w:lang w:val="en-AU"/>
        </w:rPr>
        <w:t xml:space="preserve">Contact related to the contents of this report: </w:t>
      </w:r>
    </w:p>
    <w:p w:rsidR="006720DC" w:rsidRPr="00AD2807" w:rsidRDefault="006720DC" w:rsidP="006720DC">
      <w:pPr>
        <w:pStyle w:val="ListParagraph"/>
        <w:ind w:left="360"/>
        <w:rPr>
          <w:lang w:val="en-AU"/>
        </w:rPr>
      </w:pPr>
    </w:p>
    <w:p w:rsidR="006720DC" w:rsidRPr="00AD2807" w:rsidRDefault="006720DC" w:rsidP="006720DC">
      <w:pPr>
        <w:pStyle w:val="ListParagraph"/>
        <w:ind w:left="360"/>
        <w:rPr>
          <w:lang w:val="en-AU"/>
        </w:rPr>
      </w:pPr>
      <w:r w:rsidRPr="00AD2807">
        <w:rPr>
          <w:lang w:val="en-AU"/>
        </w:rPr>
        <w:t>Martin Devlin, Policy Officer, International Policy and Cooperation</w:t>
      </w:r>
    </w:p>
    <w:p w:rsidR="006720DC" w:rsidRPr="00AD2807" w:rsidRDefault="006720DC" w:rsidP="006720DC">
      <w:pPr>
        <w:pStyle w:val="ListParagraph"/>
        <w:ind w:left="360"/>
        <w:rPr>
          <w:lang w:val="en-AU"/>
        </w:rPr>
      </w:pPr>
      <w:r w:rsidRPr="00AD2807">
        <w:rPr>
          <w:lang w:val="en-AU"/>
        </w:rPr>
        <w:t>Policy and Governance Group, IP Australia</w:t>
      </w:r>
    </w:p>
    <w:p w:rsidR="006720DC" w:rsidRPr="00AD2807" w:rsidRDefault="00C30E83" w:rsidP="006720DC">
      <w:pPr>
        <w:pStyle w:val="ListParagraph"/>
        <w:ind w:left="360"/>
        <w:rPr>
          <w:lang w:val="en-AU"/>
        </w:rPr>
      </w:pPr>
      <w:hyperlink r:id="rId11" w:history="1">
        <w:r w:rsidR="006720DC" w:rsidRPr="00AD2807">
          <w:rPr>
            <w:rStyle w:val="Hyperlink"/>
          </w:rPr>
          <w:t>martin.devlin@ipaustralia.gov.au</w:t>
        </w:r>
      </w:hyperlink>
      <w:r w:rsidR="006720DC" w:rsidRPr="00AD2807">
        <w:rPr>
          <w:lang w:val="en-AU"/>
        </w:rPr>
        <w:t>, +613 99359697</w:t>
      </w:r>
    </w:p>
    <w:p w:rsidR="006720DC" w:rsidRPr="00AD2807" w:rsidRDefault="006720DC" w:rsidP="006720DC">
      <w:pPr>
        <w:pStyle w:val="ListParagraph"/>
        <w:ind w:left="360"/>
        <w:rPr>
          <w:b/>
          <w:bCs/>
          <w:szCs w:val="22"/>
          <w:lang w:val="en-AU"/>
        </w:rPr>
      </w:pPr>
    </w:p>
    <w:p w:rsidR="006720DC" w:rsidRPr="00AD2807" w:rsidRDefault="006720DC" w:rsidP="006720DC">
      <w:pPr>
        <w:pStyle w:val="ListParagraph"/>
        <w:numPr>
          <w:ilvl w:val="0"/>
          <w:numId w:val="7"/>
        </w:numPr>
        <w:ind w:left="360"/>
        <w:rPr>
          <w:b/>
          <w:bCs/>
          <w:szCs w:val="22"/>
          <w:lang w:val="en-AU"/>
        </w:rPr>
      </w:pPr>
      <w:r w:rsidRPr="00AD2807">
        <w:rPr>
          <w:b/>
          <w:szCs w:val="22"/>
          <w:lang w:val="en-AU"/>
        </w:rPr>
        <w:t>Date on which application for re-appointment was received by the Director General:</w:t>
      </w:r>
      <w:r w:rsidRPr="00AD2807">
        <w:rPr>
          <w:szCs w:val="22"/>
          <w:lang w:val="en-AU"/>
        </w:rPr>
        <w:t xml:space="preserve">  March 7, 2017</w:t>
      </w:r>
    </w:p>
    <w:p w:rsidR="006720DC" w:rsidRPr="00AD2807" w:rsidRDefault="006720DC" w:rsidP="006720DC">
      <w:pPr>
        <w:pStyle w:val="ListParagraph"/>
        <w:ind w:left="360"/>
        <w:rPr>
          <w:b/>
          <w:bCs/>
          <w:szCs w:val="22"/>
          <w:lang w:val="en-AU"/>
        </w:rPr>
      </w:pPr>
    </w:p>
    <w:p w:rsidR="006720DC" w:rsidRPr="00AD2807" w:rsidRDefault="006720DC" w:rsidP="006720DC">
      <w:pPr>
        <w:pStyle w:val="ListParagraph"/>
        <w:numPr>
          <w:ilvl w:val="0"/>
          <w:numId w:val="7"/>
        </w:numPr>
        <w:ind w:left="360"/>
        <w:rPr>
          <w:b/>
          <w:bCs/>
          <w:szCs w:val="22"/>
          <w:lang w:val="en-AU"/>
        </w:rPr>
      </w:pPr>
      <w:r w:rsidRPr="00AD2807">
        <w:rPr>
          <w:b/>
          <w:bCs/>
          <w:szCs w:val="22"/>
          <w:lang w:val="en-AU"/>
        </w:rPr>
        <w:t>Session of the Assembly at which re-appointment is to be sought:</w:t>
      </w:r>
      <w:r w:rsidRPr="00AD2807">
        <w:rPr>
          <w:szCs w:val="22"/>
          <w:lang w:val="en-AU"/>
        </w:rPr>
        <w:t xml:space="preserve">  Forty-Ninth (21</w:t>
      </w:r>
      <w:r w:rsidRPr="00AD2807">
        <w:rPr>
          <w:szCs w:val="22"/>
          <w:vertAlign w:val="superscript"/>
          <w:lang w:val="en-AU"/>
        </w:rPr>
        <w:t>st</w:t>
      </w:r>
      <w:r w:rsidR="00A87415">
        <w:rPr>
          <w:szCs w:val="22"/>
          <w:lang w:val="en-AU"/>
        </w:rPr>
        <w:t> </w:t>
      </w:r>
      <w:r w:rsidRPr="00AD2807">
        <w:rPr>
          <w:szCs w:val="22"/>
          <w:lang w:val="en-AU"/>
        </w:rPr>
        <w:t>Ordinary) Session of the PCT Union Assembly (2017).</w:t>
      </w:r>
    </w:p>
    <w:p w:rsidR="006720DC" w:rsidRPr="00AD2807" w:rsidRDefault="006720DC" w:rsidP="006720DC">
      <w:pPr>
        <w:pStyle w:val="ListParagraph"/>
        <w:ind w:left="360"/>
        <w:rPr>
          <w:b/>
          <w:bCs/>
          <w:szCs w:val="22"/>
          <w:lang w:val="en-AU"/>
        </w:rPr>
      </w:pPr>
    </w:p>
    <w:p w:rsidR="006720DC" w:rsidRPr="00AD2807" w:rsidRDefault="006720DC" w:rsidP="006720DC">
      <w:pPr>
        <w:pStyle w:val="ListParagraph"/>
        <w:numPr>
          <w:ilvl w:val="0"/>
          <w:numId w:val="7"/>
        </w:numPr>
        <w:ind w:left="360"/>
        <w:rPr>
          <w:b/>
          <w:bCs/>
          <w:szCs w:val="22"/>
          <w:lang w:val="en-AU"/>
        </w:rPr>
      </w:pPr>
      <w:r w:rsidRPr="00AD2807">
        <w:rPr>
          <w:b/>
          <w:bCs/>
          <w:szCs w:val="22"/>
          <w:lang w:val="en-AU"/>
        </w:rPr>
        <w:t xml:space="preserve">Expected date at which </w:t>
      </w:r>
      <w:r w:rsidRPr="00AD2807">
        <w:rPr>
          <w:b/>
          <w:szCs w:val="22"/>
          <w:lang w:val="en-AU"/>
        </w:rPr>
        <w:t>re-appointment</w:t>
      </w:r>
      <w:r w:rsidRPr="00AD2807">
        <w:rPr>
          <w:b/>
          <w:bCs/>
          <w:szCs w:val="22"/>
          <w:lang w:val="en-AU"/>
        </w:rPr>
        <w:t xml:space="preserve"> as ISA/IPEA could commence:</w:t>
      </w:r>
      <w:r w:rsidR="00A87415">
        <w:rPr>
          <w:szCs w:val="22"/>
          <w:lang w:val="en-AU"/>
        </w:rPr>
        <w:t xml:space="preserve">  1 January, </w:t>
      </w:r>
      <w:r w:rsidRPr="00AD2807">
        <w:rPr>
          <w:szCs w:val="22"/>
          <w:lang w:val="en-AU"/>
        </w:rPr>
        <w:t>2018.</w:t>
      </w:r>
      <w:r w:rsidRPr="00AD2807">
        <w:rPr>
          <w:rStyle w:val="FootnoteReference"/>
          <w:szCs w:val="22"/>
          <w:lang w:val="en-AU"/>
        </w:rPr>
        <w:footnoteReference w:id="2"/>
      </w:r>
    </w:p>
    <w:p w:rsidR="006720DC" w:rsidRPr="00AD2807" w:rsidRDefault="006720DC" w:rsidP="006720DC">
      <w:pPr>
        <w:pStyle w:val="ListParagraph"/>
        <w:ind w:left="360"/>
        <w:rPr>
          <w:b/>
          <w:bCs/>
          <w:szCs w:val="22"/>
          <w:lang w:val="en-AU"/>
        </w:rPr>
      </w:pPr>
    </w:p>
    <w:p w:rsidR="006720DC" w:rsidRPr="00AD2807" w:rsidRDefault="006720DC" w:rsidP="006720DC">
      <w:pPr>
        <w:pStyle w:val="ListParagraph"/>
        <w:numPr>
          <w:ilvl w:val="0"/>
          <w:numId w:val="7"/>
        </w:numPr>
        <w:ind w:left="360"/>
        <w:rPr>
          <w:b/>
          <w:bCs/>
          <w:szCs w:val="22"/>
          <w:lang w:val="en-AU"/>
        </w:rPr>
      </w:pPr>
      <w:r w:rsidRPr="00AD2807">
        <w:rPr>
          <w:b/>
          <w:bCs/>
          <w:szCs w:val="22"/>
          <w:lang w:val="en-AU"/>
        </w:rPr>
        <w:t>Existing ISA/IPEA(s) assisting in assessment of extent to which criteria met:</w:t>
      </w:r>
      <w:r w:rsidRPr="00AD2807">
        <w:rPr>
          <w:szCs w:val="22"/>
          <w:lang w:val="en-AU"/>
        </w:rPr>
        <w:t xml:space="preserve">  </w:t>
      </w:r>
    </w:p>
    <w:p w:rsidR="006720DC" w:rsidRPr="00AD2807" w:rsidRDefault="006720DC" w:rsidP="006720DC">
      <w:pPr>
        <w:pStyle w:val="ListParagraph"/>
        <w:ind w:left="360"/>
        <w:rPr>
          <w:b/>
          <w:bCs/>
          <w:szCs w:val="22"/>
          <w:lang w:val="en-AU"/>
        </w:rPr>
      </w:pPr>
    </w:p>
    <w:p w:rsidR="006720DC" w:rsidRPr="00AD2807" w:rsidRDefault="006720DC" w:rsidP="006720DC">
      <w:pPr>
        <w:pStyle w:val="ListParagraph"/>
        <w:ind w:left="360"/>
        <w:rPr>
          <w:bCs/>
          <w:szCs w:val="22"/>
          <w:lang w:val="en-AU"/>
        </w:rPr>
      </w:pPr>
      <w:r w:rsidRPr="00AD2807">
        <w:rPr>
          <w:bCs/>
          <w:szCs w:val="22"/>
          <w:lang w:val="en-AU"/>
        </w:rPr>
        <w:t>The Australian Patent Office (APO) has sought assistance from the Canadian Intellectual Property Office (CIPO) in reviewing its application for re-appointment as an International Authority (ISA/IPEA) and suitability for re-appointment</w:t>
      </w:r>
      <w:r w:rsidR="001D0D5B">
        <w:rPr>
          <w:bCs/>
          <w:szCs w:val="22"/>
          <w:lang w:val="en-AU"/>
        </w:rPr>
        <w:t xml:space="preserve">.  </w:t>
      </w:r>
      <w:r w:rsidRPr="00AD2807">
        <w:rPr>
          <w:bCs/>
          <w:szCs w:val="22"/>
          <w:lang w:val="en-AU"/>
        </w:rPr>
        <w:t>The APO has provided a draft submission to the International Bureau for comment and incorporated this initial feedback as part of formalizing this application</w:t>
      </w:r>
      <w:r w:rsidR="001D0D5B">
        <w:rPr>
          <w:bCs/>
          <w:szCs w:val="22"/>
          <w:lang w:val="en-AU"/>
        </w:rPr>
        <w:t xml:space="preserve">.  </w:t>
      </w:r>
      <w:r w:rsidRPr="00AD2807">
        <w:rPr>
          <w:bCs/>
          <w:szCs w:val="22"/>
          <w:lang w:val="en-AU"/>
        </w:rPr>
        <w:t>Further information regarding review by other Authorities can be found at Section 8 of this application.</w:t>
      </w:r>
    </w:p>
    <w:p w:rsidR="006720DC" w:rsidRPr="00AD2807" w:rsidRDefault="006720DC" w:rsidP="006720DC">
      <w:pPr>
        <w:rPr>
          <w:bCs/>
          <w:szCs w:val="22"/>
          <w:lang w:val="en-AU"/>
        </w:rPr>
      </w:pPr>
    </w:p>
    <w:p w:rsidR="006720DC" w:rsidRPr="00AD2807" w:rsidRDefault="006720DC" w:rsidP="006720DC">
      <w:pPr>
        <w:pStyle w:val="SectionHeading"/>
      </w:pPr>
      <w:r w:rsidRPr="00AD2807">
        <w:t>2 – SUBSTANTIVE Criteria:  Minimum Requirements for Appointment</w:t>
      </w:r>
    </w:p>
    <w:p w:rsidR="006720DC" w:rsidRPr="00B40E5F" w:rsidRDefault="006720DC" w:rsidP="00B40E5F">
      <w:pPr>
        <w:keepNext/>
        <w:rPr>
          <w:sz w:val="16"/>
          <w:szCs w:val="16"/>
        </w:rPr>
      </w:pPr>
    </w:p>
    <w:p w:rsidR="006720DC" w:rsidRPr="00AD2807" w:rsidRDefault="006720DC" w:rsidP="00B40E5F">
      <w:pPr>
        <w:pStyle w:val="SectionHeading"/>
        <w:spacing w:before="0"/>
      </w:pPr>
      <w:r w:rsidRPr="00AD2807">
        <w:t>2.1 – SEARCH AND EXAMINATION CAPACITY</w:t>
      </w:r>
    </w:p>
    <w:p w:rsidR="006720DC" w:rsidRPr="00534264" w:rsidRDefault="006720DC" w:rsidP="00B40E5F">
      <w:pPr>
        <w:keepNext/>
        <w:keepLines/>
        <w:rPr>
          <w:b/>
          <w:i/>
        </w:rPr>
      </w:pPr>
      <w:r w:rsidRPr="00534264">
        <w:rPr>
          <w:b/>
          <w:i/>
        </w:rPr>
        <w:t>Rules 36.1(</w:t>
      </w:r>
      <w:proofErr w:type="spellStart"/>
      <w:r w:rsidRPr="00534264">
        <w:rPr>
          <w:b/>
          <w:i/>
        </w:rPr>
        <w:t>i</w:t>
      </w:r>
      <w:proofErr w:type="spellEnd"/>
      <w:r w:rsidRPr="00534264">
        <w:rPr>
          <w:b/>
          <w:i/>
        </w:rPr>
        <w:t>) and 63.1(</w:t>
      </w:r>
      <w:proofErr w:type="spellStart"/>
      <w:r w:rsidRPr="00534264">
        <w:rPr>
          <w:b/>
          <w:i/>
        </w:rPr>
        <w:t>i</w:t>
      </w:r>
      <w:proofErr w:type="spellEnd"/>
      <w:r w:rsidRPr="00534264">
        <w:rPr>
          <w:b/>
          <w:i/>
        </w:rPr>
        <w:t>):  The national Office or intergovernmental organization must have at least 100 full-time employees with sufficient technical qualifications to carry out searches and examinations.</w:t>
      </w:r>
    </w:p>
    <w:p w:rsidR="006720DC" w:rsidRPr="00AD2807" w:rsidRDefault="006720DC" w:rsidP="00B40E5F">
      <w:pPr>
        <w:keepNext/>
        <w:keepLines/>
        <w:rPr>
          <w:b/>
          <w:bCs/>
          <w:szCs w:val="22"/>
          <w:lang w:val="en-AU"/>
        </w:rPr>
      </w:pPr>
    </w:p>
    <w:p w:rsidR="006720DC" w:rsidRPr="00AD2807" w:rsidRDefault="006720DC" w:rsidP="00AD2807">
      <w:pPr>
        <w:keepNext/>
        <w:keepLines/>
        <w:rPr>
          <w:b/>
          <w:bCs/>
          <w:szCs w:val="22"/>
          <w:lang w:val="en-AU"/>
        </w:rPr>
      </w:pPr>
      <w:r w:rsidRPr="00AD2807">
        <w:rPr>
          <w:b/>
          <w:bCs/>
          <w:szCs w:val="22"/>
          <w:lang w:val="en-AU"/>
        </w:rPr>
        <w:t>Employees qualified to carry out search and examination:</w:t>
      </w:r>
      <w:r w:rsidRPr="00AD2807">
        <w:rPr>
          <w:szCs w:val="22"/>
          <w:lang w:val="en-AU"/>
        </w:rPr>
        <w:t xml:space="preserve">  </w:t>
      </w:r>
    </w:p>
    <w:p w:rsidR="006720DC" w:rsidRPr="00534264" w:rsidRDefault="006720DC" w:rsidP="00534264">
      <w:pPr>
        <w:rPr>
          <w:i/>
        </w:rPr>
      </w:pPr>
      <w:r w:rsidRPr="00534264">
        <w:rPr>
          <w:i/>
        </w:rPr>
        <w:t>Source</w:t>
      </w:r>
      <w:r w:rsidR="001D0D5B">
        <w:rPr>
          <w:i/>
        </w:rPr>
        <w:t xml:space="preserve">:  </w:t>
      </w:r>
      <w:r w:rsidRPr="00534264">
        <w:rPr>
          <w:i/>
        </w:rPr>
        <w:t>Sourced from IP Australia’s Internal Reporting Team.</w:t>
      </w:r>
    </w:p>
    <w:p w:rsidR="006720DC" w:rsidRPr="00AD2807" w:rsidRDefault="006720DC" w:rsidP="006720DC">
      <w:pPr>
        <w:keepNext/>
        <w:keepLines/>
        <w:rPr>
          <w:szCs w:val="22"/>
          <w:lang w:val="en-AU"/>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410"/>
        <w:gridCol w:w="2693"/>
      </w:tblGrid>
      <w:tr w:rsidR="00AD2807" w:rsidRPr="00AD2807" w:rsidTr="00950C75">
        <w:trPr>
          <w:cantSplit/>
        </w:trPr>
        <w:tc>
          <w:tcPr>
            <w:tcW w:w="3085" w:type="dxa"/>
            <w:shd w:val="clear" w:color="auto" w:fill="auto"/>
          </w:tcPr>
          <w:p w:rsidR="006720DC" w:rsidRPr="00AD2807" w:rsidRDefault="006720DC" w:rsidP="00950C75">
            <w:pPr>
              <w:rPr>
                <w:b/>
                <w:bCs/>
                <w:lang w:val="en-AU"/>
              </w:rPr>
            </w:pPr>
            <w:r w:rsidRPr="00AD2807">
              <w:rPr>
                <w:b/>
                <w:bCs/>
                <w:lang w:val="en-AU"/>
              </w:rPr>
              <w:t>Technical field</w:t>
            </w:r>
          </w:p>
        </w:tc>
        <w:tc>
          <w:tcPr>
            <w:tcW w:w="2410" w:type="dxa"/>
            <w:shd w:val="clear" w:color="auto" w:fill="auto"/>
          </w:tcPr>
          <w:p w:rsidR="006720DC" w:rsidRPr="00AD2807" w:rsidRDefault="006720DC" w:rsidP="00950C75">
            <w:pPr>
              <w:rPr>
                <w:b/>
                <w:bCs/>
                <w:lang w:val="en-AU"/>
              </w:rPr>
            </w:pPr>
            <w:r w:rsidRPr="00AD2807">
              <w:rPr>
                <w:b/>
                <w:bCs/>
                <w:lang w:val="en-AU"/>
              </w:rPr>
              <w:t>Number (in full-time equivalent)</w:t>
            </w:r>
          </w:p>
        </w:tc>
        <w:tc>
          <w:tcPr>
            <w:tcW w:w="2693" w:type="dxa"/>
          </w:tcPr>
          <w:p w:rsidR="006720DC" w:rsidRPr="001D0D5B" w:rsidRDefault="006720DC" w:rsidP="00950C75">
            <w:pPr>
              <w:rPr>
                <w:b/>
                <w:bCs/>
                <w:lang w:val="en-AU"/>
              </w:rPr>
            </w:pPr>
            <w:r w:rsidRPr="001D0D5B">
              <w:rPr>
                <w:b/>
                <w:bCs/>
                <w:lang w:val="en-AU"/>
              </w:rPr>
              <w:t>Average experience as examiners (years)</w:t>
            </w:r>
          </w:p>
        </w:tc>
      </w:tr>
      <w:tr w:rsidR="00AD2807" w:rsidRPr="00AD2807" w:rsidTr="00950C75">
        <w:trPr>
          <w:cantSplit/>
        </w:trPr>
        <w:tc>
          <w:tcPr>
            <w:tcW w:w="3085" w:type="dxa"/>
            <w:shd w:val="clear" w:color="auto" w:fill="auto"/>
          </w:tcPr>
          <w:p w:rsidR="006720DC" w:rsidRPr="00AD2807" w:rsidRDefault="006720DC" w:rsidP="00950C75">
            <w:pPr>
              <w:rPr>
                <w:lang w:val="en-AU"/>
              </w:rPr>
            </w:pPr>
            <w:r w:rsidRPr="00AD2807">
              <w:rPr>
                <w:lang w:val="en-AU"/>
              </w:rPr>
              <w:t>Mechanical</w:t>
            </w:r>
          </w:p>
        </w:tc>
        <w:tc>
          <w:tcPr>
            <w:tcW w:w="2410" w:type="dxa"/>
            <w:shd w:val="clear" w:color="auto" w:fill="auto"/>
          </w:tcPr>
          <w:p w:rsidR="006720DC" w:rsidRPr="00AD2807" w:rsidRDefault="006720DC" w:rsidP="001D0D5B">
            <w:pPr>
              <w:ind w:right="884"/>
              <w:jc w:val="right"/>
              <w:rPr>
                <w:lang w:val="en-AU"/>
              </w:rPr>
            </w:pPr>
            <w:r w:rsidRPr="00AD2807">
              <w:rPr>
                <w:lang w:val="en-AU"/>
              </w:rPr>
              <w:t>125.98</w:t>
            </w:r>
          </w:p>
        </w:tc>
        <w:tc>
          <w:tcPr>
            <w:tcW w:w="2693" w:type="dxa"/>
          </w:tcPr>
          <w:p w:rsidR="006720DC" w:rsidRPr="00AD2807" w:rsidRDefault="006720DC" w:rsidP="001D0D5B">
            <w:pPr>
              <w:ind w:right="884"/>
              <w:jc w:val="right"/>
              <w:rPr>
                <w:lang w:val="en-AU"/>
              </w:rPr>
            </w:pPr>
            <w:r w:rsidRPr="00AD2807">
              <w:rPr>
                <w:lang w:val="en-AU"/>
              </w:rPr>
              <w:t>8.93</w:t>
            </w:r>
          </w:p>
        </w:tc>
      </w:tr>
      <w:tr w:rsidR="00AD2807" w:rsidRPr="00AD2807" w:rsidTr="00950C75">
        <w:trPr>
          <w:cantSplit/>
        </w:trPr>
        <w:tc>
          <w:tcPr>
            <w:tcW w:w="3085" w:type="dxa"/>
            <w:shd w:val="clear" w:color="auto" w:fill="auto"/>
          </w:tcPr>
          <w:p w:rsidR="006720DC" w:rsidRPr="00AD2807" w:rsidRDefault="006720DC" w:rsidP="00950C75">
            <w:pPr>
              <w:rPr>
                <w:lang w:val="en-AU"/>
              </w:rPr>
            </w:pPr>
            <w:r w:rsidRPr="00AD2807">
              <w:rPr>
                <w:lang w:val="en-AU"/>
              </w:rPr>
              <w:t>Electrical/electronic</w:t>
            </w:r>
          </w:p>
        </w:tc>
        <w:tc>
          <w:tcPr>
            <w:tcW w:w="2410" w:type="dxa"/>
            <w:shd w:val="clear" w:color="auto" w:fill="auto"/>
          </w:tcPr>
          <w:p w:rsidR="006720DC" w:rsidRPr="00AD2807" w:rsidRDefault="006720DC" w:rsidP="001D0D5B">
            <w:pPr>
              <w:ind w:right="884"/>
              <w:jc w:val="right"/>
              <w:rPr>
                <w:lang w:val="en-AU"/>
              </w:rPr>
            </w:pPr>
            <w:r w:rsidRPr="00AD2807">
              <w:rPr>
                <w:lang w:val="en-AU"/>
              </w:rPr>
              <w:t>87.94</w:t>
            </w:r>
          </w:p>
        </w:tc>
        <w:tc>
          <w:tcPr>
            <w:tcW w:w="2693" w:type="dxa"/>
          </w:tcPr>
          <w:p w:rsidR="006720DC" w:rsidRPr="00AD2807" w:rsidRDefault="006720DC" w:rsidP="001D0D5B">
            <w:pPr>
              <w:ind w:right="884"/>
              <w:jc w:val="right"/>
              <w:rPr>
                <w:lang w:val="en-AU"/>
              </w:rPr>
            </w:pPr>
            <w:r w:rsidRPr="00AD2807">
              <w:rPr>
                <w:lang w:val="en-AU"/>
              </w:rPr>
              <w:t>8.92</w:t>
            </w:r>
          </w:p>
        </w:tc>
      </w:tr>
      <w:tr w:rsidR="00AD2807" w:rsidRPr="00AD2807" w:rsidTr="00950C75">
        <w:trPr>
          <w:cantSplit/>
        </w:trPr>
        <w:tc>
          <w:tcPr>
            <w:tcW w:w="3085" w:type="dxa"/>
            <w:shd w:val="clear" w:color="auto" w:fill="auto"/>
          </w:tcPr>
          <w:p w:rsidR="006720DC" w:rsidRPr="00AD2807" w:rsidRDefault="006720DC" w:rsidP="00950C75">
            <w:pPr>
              <w:rPr>
                <w:lang w:val="en-AU"/>
              </w:rPr>
            </w:pPr>
            <w:r w:rsidRPr="00AD2807">
              <w:rPr>
                <w:lang w:val="en-AU"/>
              </w:rPr>
              <w:t>Chemistry</w:t>
            </w:r>
          </w:p>
        </w:tc>
        <w:tc>
          <w:tcPr>
            <w:tcW w:w="2410" w:type="dxa"/>
            <w:shd w:val="clear" w:color="auto" w:fill="auto"/>
          </w:tcPr>
          <w:p w:rsidR="006720DC" w:rsidRPr="00AD2807" w:rsidRDefault="006720DC" w:rsidP="001D0D5B">
            <w:pPr>
              <w:ind w:right="884"/>
              <w:jc w:val="right"/>
              <w:rPr>
                <w:lang w:val="en-AU"/>
              </w:rPr>
            </w:pPr>
            <w:r w:rsidRPr="00AD2807">
              <w:rPr>
                <w:lang w:val="en-AU"/>
              </w:rPr>
              <w:t>93.86</w:t>
            </w:r>
          </w:p>
        </w:tc>
        <w:tc>
          <w:tcPr>
            <w:tcW w:w="2693" w:type="dxa"/>
          </w:tcPr>
          <w:p w:rsidR="006720DC" w:rsidRPr="00AD2807" w:rsidRDefault="006720DC" w:rsidP="001D0D5B">
            <w:pPr>
              <w:ind w:right="884"/>
              <w:jc w:val="right"/>
              <w:rPr>
                <w:lang w:val="en-AU"/>
              </w:rPr>
            </w:pPr>
            <w:r w:rsidRPr="00AD2807">
              <w:rPr>
                <w:lang w:val="en-AU"/>
              </w:rPr>
              <w:t>9.06</w:t>
            </w:r>
          </w:p>
        </w:tc>
      </w:tr>
      <w:tr w:rsidR="00AD2807" w:rsidRPr="00AD2807" w:rsidTr="00950C75">
        <w:trPr>
          <w:cantSplit/>
        </w:trPr>
        <w:tc>
          <w:tcPr>
            <w:tcW w:w="3085" w:type="dxa"/>
            <w:shd w:val="clear" w:color="auto" w:fill="auto"/>
          </w:tcPr>
          <w:p w:rsidR="006720DC" w:rsidRPr="00AD2807" w:rsidRDefault="006720DC" w:rsidP="00950C75">
            <w:pPr>
              <w:rPr>
                <w:i/>
                <w:iCs/>
                <w:lang w:val="en-AU"/>
              </w:rPr>
            </w:pPr>
            <w:r w:rsidRPr="00AD2807">
              <w:rPr>
                <w:i/>
                <w:iCs/>
                <w:lang w:val="en-AU"/>
              </w:rPr>
              <w:t>Total</w:t>
            </w:r>
          </w:p>
        </w:tc>
        <w:tc>
          <w:tcPr>
            <w:tcW w:w="2410" w:type="dxa"/>
            <w:shd w:val="clear" w:color="auto" w:fill="auto"/>
          </w:tcPr>
          <w:p w:rsidR="006720DC" w:rsidRPr="00AD2807" w:rsidRDefault="006720DC" w:rsidP="001D0D5B">
            <w:pPr>
              <w:ind w:right="884"/>
              <w:jc w:val="right"/>
              <w:rPr>
                <w:i/>
                <w:iCs/>
                <w:lang w:val="en-AU"/>
              </w:rPr>
            </w:pPr>
            <w:r w:rsidRPr="00AD2807">
              <w:rPr>
                <w:i/>
                <w:iCs/>
                <w:lang w:val="en-AU"/>
              </w:rPr>
              <w:t>307.78</w:t>
            </w:r>
          </w:p>
        </w:tc>
        <w:tc>
          <w:tcPr>
            <w:tcW w:w="2693" w:type="dxa"/>
          </w:tcPr>
          <w:p w:rsidR="006720DC" w:rsidRPr="00AD2807" w:rsidRDefault="006720DC" w:rsidP="001D0D5B">
            <w:pPr>
              <w:ind w:right="884"/>
              <w:jc w:val="right"/>
              <w:rPr>
                <w:i/>
                <w:iCs/>
                <w:lang w:val="en-AU"/>
              </w:rPr>
            </w:pPr>
            <w:r w:rsidRPr="00AD2807">
              <w:rPr>
                <w:i/>
                <w:iCs/>
                <w:lang w:val="en-AU"/>
              </w:rPr>
              <w:t>9.03</w:t>
            </w:r>
          </w:p>
        </w:tc>
      </w:tr>
      <w:tr w:rsidR="00AD2807" w:rsidRPr="00AD2807" w:rsidTr="00950C75">
        <w:trPr>
          <w:cantSplit/>
        </w:trPr>
        <w:tc>
          <w:tcPr>
            <w:tcW w:w="3085" w:type="dxa"/>
            <w:shd w:val="clear" w:color="auto" w:fill="auto"/>
          </w:tcPr>
          <w:p w:rsidR="006720DC" w:rsidRPr="00AD2807" w:rsidRDefault="006720DC" w:rsidP="00950C75">
            <w:pPr>
              <w:rPr>
                <w:i/>
                <w:iCs/>
                <w:lang w:val="en-AU"/>
              </w:rPr>
            </w:pPr>
          </w:p>
          <w:p w:rsidR="006720DC" w:rsidRPr="00AD2807" w:rsidRDefault="006720DC" w:rsidP="00950C75">
            <w:pPr>
              <w:rPr>
                <w:i/>
                <w:iCs/>
                <w:lang w:val="en-AU"/>
              </w:rPr>
            </w:pPr>
          </w:p>
          <w:p w:rsidR="006720DC" w:rsidRPr="00AD2807" w:rsidRDefault="006720DC" w:rsidP="00950C75">
            <w:pPr>
              <w:rPr>
                <w:i/>
                <w:iCs/>
                <w:lang w:val="en-AU"/>
              </w:rPr>
            </w:pPr>
          </w:p>
        </w:tc>
        <w:tc>
          <w:tcPr>
            <w:tcW w:w="2410" w:type="dxa"/>
            <w:shd w:val="clear" w:color="auto" w:fill="auto"/>
          </w:tcPr>
          <w:p w:rsidR="006720DC" w:rsidRPr="00AD2807" w:rsidRDefault="006720DC" w:rsidP="00950C75">
            <w:pPr>
              <w:rPr>
                <w:iCs/>
                <w:lang w:val="en-AU"/>
              </w:rPr>
            </w:pPr>
            <w:r w:rsidRPr="00AD2807">
              <w:rPr>
                <w:iCs/>
                <w:lang w:val="en-AU"/>
              </w:rPr>
              <w:t>Excludes trainees</w:t>
            </w:r>
          </w:p>
        </w:tc>
        <w:tc>
          <w:tcPr>
            <w:tcW w:w="2693" w:type="dxa"/>
          </w:tcPr>
          <w:p w:rsidR="006720DC" w:rsidRPr="00AD2807" w:rsidRDefault="006720DC" w:rsidP="00950C75">
            <w:pPr>
              <w:rPr>
                <w:iCs/>
                <w:lang w:val="en-AU"/>
              </w:rPr>
            </w:pPr>
            <w:r w:rsidRPr="00AD2807">
              <w:rPr>
                <w:iCs/>
                <w:lang w:val="en-AU"/>
              </w:rPr>
              <w:t>Years from recruitment (includes training time)</w:t>
            </w:r>
          </w:p>
        </w:tc>
      </w:tr>
    </w:tbl>
    <w:p w:rsidR="006720DC" w:rsidRPr="00AD2807" w:rsidRDefault="006720DC" w:rsidP="006720DC">
      <w:pPr>
        <w:rPr>
          <w:szCs w:val="22"/>
          <w:lang w:val="en-AU"/>
        </w:rPr>
      </w:pPr>
    </w:p>
    <w:p w:rsidR="006720DC" w:rsidRPr="00AD2807" w:rsidRDefault="006720DC" w:rsidP="006720DC">
      <w:pPr>
        <w:rPr>
          <w:lang w:val="en-AU"/>
        </w:rPr>
      </w:pPr>
      <w:r w:rsidRPr="00AD2807">
        <w:rPr>
          <w:b/>
          <w:lang w:val="en-AU"/>
        </w:rPr>
        <w:t xml:space="preserve">Training Programs:  </w:t>
      </w:r>
      <w:r w:rsidRPr="00AD2807">
        <w:rPr>
          <w:lang w:val="en-AU"/>
        </w:rPr>
        <w:t>The APO develops the skills of patent examiners under a competency based training framework (IP Rights Examiner Program, IPREP)</w:t>
      </w:r>
      <w:r w:rsidR="001D0D5B">
        <w:rPr>
          <w:lang w:val="en-AU"/>
        </w:rPr>
        <w:t xml:space="preserve">.  </w:t>
      </w:r>
      <w:r w:rsidRPr="00AD2807">
        <w:rPr>
          <w:lang w:val="en-AU"/>
        </w:rPr>
        <w:t>We have implemented a new training program under this framework for Patents examiners called Self-paced Training in Examining Patents (STEP)</w:t>
      </w:r>
      <w:r w:rsidR="001D0D5B">
        <w:rPr>
          <w:lang w:val="en-AU"/>
        </w:rPr>
        <w:t xml:space="preserve">.  </w:t>
      </w:r>
      <w:r w:rsidRPr="00AD2807">
        <w:rPr>
          <w:lang w:val="en-AU"/>
        </w:rPr>
        <w:t xml:space="preserve">The new online blended </w:t>
      </w:r>
      <w:r w:rsidRPr="00AD2807">
        <w:t>learning</w:t>
      </w:r>
      <w:r w:rsidRPr="00AD2807">
        <w:rPr>
          <w:lang w:val="en-AU"/>
        </w:rPr>
        <w:t xml:space="preserve"> modules allow trainees to start in their section, rather than as a separate training group, with a section based Workplace coach who oversees their trainees from day 1 and is responsible for developing the training and assessment plan</w:t>
      </w:r>
      <w:r w:rsidR="001D0D5B">
        <w:rPr>
          <w:lang w:val="en-AU"/>
        </w:rPr>
        <w:t xml:space="preserve">.  </w:t>
      </w:r>
      <w:r w:rsidRPr="00AD2807">
        <w:rPr>
          <w:lang w:val="en-AU"/>
        </w:rPr>
        <w:t>Trainees and workplace coaches are supported by the Learning Community Facilitator who facilitates and leads the new examiners through the online Learning Community; and the Coach Coordinator who facilitates and leads workplace coaches’ community of practice, supports the coaches and moderates assessments</w:t>
      </w:r>
      <w:r w:rsidR="001D0D5B">
        <w:rPr>
          <w:lang w:val="en-AU"/>
        </w:rPr>
        <w:t xml:space="preserve">.  </w:t>
      </w:r>
      <w:r w:rsidRPr="00AD2807">
        <w:rPr>
          <w:lang w:val="en-AU"/>
        </w:rPr>
        <w:t>All training is available online through self-paced material, participation in online communities and virtual classrooms</w:t>
      </w:r>
      <w:r w:rsidR="001D0D5B">
        <w:rPr>
          <w:lang w:val="en-AU"/>
        </w:rPr>
        <w:t xml:space="preserve">.  </w:t>
      </w:r>
      <w:r w:rsidRPr="00AD2807">
        <w:rPr>
          <w:lang w:val="en-AU"/>
        </w:rPr>
        <w:t>Trainees can start at any time, from anywhere, rather than having to wait for a group start date</w:t>
      </w:r>
      <w:r w:rsidR="001D0D5B">
        <w:rPr>
          <w:lang w:val="en-AU"/>
        </w:rPr>
        <w:t xml:space="preserve">.  </w:t>
      </w:r>
      <w:r w:rsidRPr="00AD2807">
        <w:rPr>
          <w:lang w:val="en-AU"/>
        </w:rPr>
        <w:t>Trainee examiners are able to progress at their own speed, not held back to a rigid timetable</w:t>
      </w:r>
      <w:r w:rsidR="001D0D5B">
        <w:rPr>
          <w:lang w:val="en-AU"/>
        </w:rPr>
        <w:t xml:space="preserve">.  </w:t>
      </w:r>
      <w:r w:rsidRPr="00AD2807">
        <w:rPr>
          <w:lang w:val="en-AU"/>
        </w:rPr>
        <w:t>They are also able to go back and review learning as required</w:t>
      </w:r>
      <w:r w:rsidR="001D0D5B">
        <w:rPr>
          <w:lang w:val="en-AU"/>
        </w:rPr>
        <w:t xml:space="preserve">.  </w:t>
      </w:r>
      <w:r w:rsidRPr="00AD2807">
        <w:rPr>
          <w:lang w:val="en-AU"/>
        </w:rPr>
        <w:t>The expectation is that new patent examiners will have attained the Acceptance Delegation competencies within 2 years</w:t>
      </w:r>
      <w:r w:rsidR="001D0D5B">
        <w:rPr>
          <w:lang w:val="en-AU"/>
        </w:rPr>
        <w:t xml:space="preserve">.  </w:t>
      </w:r>
      <w:r w:rsidRPr="00AD2807">
        <w:rPr>
          <w:lang w:val="en-AU"/>
        </w:rPr>
        <w:t>Depending on the individual’s skills, knowledge and application, examiners may achieve the competencies in a shorter period of time.</w:t>
      </w:r>
    </w:p>
    <w:p w:rsidR="006720DC" w:rsidRPr="00AD2807" w:rsidRDefault="006720DC" w:rsidP="006720DC"/>
    <w:p w:rsidR="006720DC" w:rsidRPr="00AD2807" w:rsidRDefault="006720DC" w:rsidP="006720DC">
      <w:r w:rsidRPr="00AD2807">
        <w:t>The APO has an ongoing development program called the Technical Examiner Learning Program (TELP) to aid all examination staff in maintaining their currency in technological developments</w:t>
      </w:r>
      <w:r w:rsidR="001D0D5B">
        <w:t xml:space="preserve">.  </w:t>
      </w:r>
      <w:r w:rsidRPr="00AD2807">
        <w:t>The TELP operates across all technology areas and includes in-house technical training sessions by experts in the field, attendance at conferences or visits to various companies in the relevant industries</w:t>
      </w:r>
      <w:r w:rsidR="001D0D5B">
        <w:t xml:space="preserve">.  </w:t>
      </w:r>
      <w:r w:rsidRPr="00AD2807">
        <w:t>We also have a competency based program for experienced examiners to undertake development to become Hearing Officers.</w:t>
      </w:r>
    </w:p>
    <w:p w:rsidR="006720DC" w:rsidRPr="00AD2807" w:rsidRDefault="006720DC" w:rsidP="006720DC"/>
    <w:p w:rsidR="006720DC" w:rsidRPr="00AD2807" w:rsidRDefault="006720DC" w:rsidP="006720DC">
      <w:r w:rsidRPr="00AD2807">
        <w:t>IP Australia has established the IP Rights Technical Excellence Centre (IPTEC) which provides a single point of access to all IP Rights learning and development services</w:t>
      </w:r>
      <w:r w:rsidR="001D0D5B">
        <w:t xml:space="preserve">.  </w:t>
      </w:r>
      <w:r w:rsidRPr="00AD2807">
        <w:t>IPTEC delivers all aspects of job specific learning, including patents technical learning</w:t>
      </w:r>
      <w:r w:rsidR="001D0D5B">
        <w:t xml:space="preserve">.  </w:t>
      </w:r>
      <w:r w:rsidRPr="00AD2807">
        <w:t>Since July 2011, a number of courses were offered to patent examiners in searching (including essential steps; keywords and classification marks); and advanced searching techniques (including for nanotechnology applications)</w:t>
      </w:r>
      <w:r w:rsidR="001D0D5B">
        <w:t xml:space="preserve">.  </w:t>
      </w:r>
      <w:r w:rsidRPr="00AD2807">
        <w:t>Further courses have been developed and run since July 2013 and include – Advanced Furthers, EPOQUE training, Searching Masterclass, a Re-examination Online Module, IP Reform Training and Searching Non Patent Literature.</w:t>
      </w:r>
    </w:p>
    <w:p w:rsidR="006720DC" w:rsidRPr="00AD2807" w:rsidRDefault="006720DC" w:rsidP="00AD2807"/>
    <w:p w:rsidR="006720DC" w:rsidRPr="00AD2807" w:rsidRDefault="006720DC" w:rsidP="006720DC">
      <w:pPr>
        <w:rPr>
          <w:szCs w:val="22"/>
          <w:lang w:val="en-AU"/>
        </w:rPr>
      </w:pPr>
    </w:p>
    <w:p w:rsidR="006720DC" w:rsidRPr="00534264" w:rsidRDefault="006720DC" w:rsidP="00084891">
      <w:pPr>
        <w:keepNext/>
        <w:keepLines/>
        <w:rPr>
          <w:b/>
          <w:i/>
        </w:rPr>
      </w:pPr>
      <w:r w:rsidRPr="00534264">
        <w:rPr>
          <w:b/>
          <w:i/>
        </w:rPr>
        <w:t>Rules 36.1(ii) and 63.1(ii):  That Office or organization must have in its possession, or have access to, at least the minimum documentation referred to in Rule 34, properly arranged for search purposes, on paper, in microform or stored on electronic media.</w:t>
      </w:r>
    </w:p>
    <w:p w:rsidR="006720DC" w:rsidRPr="00AD2807" w:rsidRDefault="006720DC" w:rsidP="00084891">
      <w:pPr>
        <w:keepNext/>
        <w:rPr>
          <w:szCs w:val="22"/>
          <w:lang w:val="en-AU"/>
        </w:rPr>
      </w:pPr>
    </w:p>
    <w:p w:rsidR="006720DC" w:rsidRPr="00AD2807" w:rsidRDefault="006720DC" w:rsidP="006720DC">
      <w:pPr>
        <w:keepNext/>
        <w:rPr>
          <w:b/>
          <w:bCs/>
          <w:szCs w:val="22"/>
          <w:lang w:val="en-AU"/>
        </w:rPr>
      </w:pPr>
      <w:r w:rsidRPr="00AD2807">
        <w:rPr>
          <w:b/>
          <w:bCs/>
          <w:szCs w:val="22"/>
          <w:lang w:val="en-AU"/>
        </w:rPr>
        <w:t>Access to the minimum documentation for search purposes:</w:t>
      </w:r>
      <w:r w:rsidRPr="00AD2807">
        <w:rPr>
          <w:szCs w:val="22"/>
          <w:lang w:val="en-AU"/>
        </w:rPr>
        <w:t xml:space="preserve">  </w:t>
      </w:r>
      <w:proofErr w:type="gramStart"/>
      <w:r w:rsidRPr="00AD2807">
        <w:rPr>
          <w:szCs w:val="22"/>
          <w:lang w:val="en-AU"/>
        </w:rPr>
        <w:t>( X</w:t>
      </w:r>
      <w:proofErr w:type="gramEnd"/>
      <w:r w:rsidRPr="00AD2807">
        <w:rPr>
          <w:szCs w:val="22"/>
          <w:lang w:val="en-AU"/>
        </w:rPr>
        <w:t xml:space="preserve"> ) Full access</w:t>
      </w:r>
    </w:p>
    <w:p w:rsidR="006720DC" w:rsidRPr="00AD2807" w:rsidRDefault="00084891" w:rsidP="00084891">
      <w:pPr>
        <w:keepNext/>
        <w:tabs>
          <w:tab w:val="left" w:pos="3195"/>
        </w:tabs>
        <w:rPr>
          <w:szCs w:val="22"/>
          <w:lang w:val="en-AU"/>
        </w:rPr>
      </w:pPr>
      <w:r>
        <w:rPr>
          <w:szCs w:val="22"/>
          <w:lang w:val="en-AU"/>
        </w:rPr>
        <w:tab/>
      </w:r>
    </w:p>
    <w:p w:rsidR="006720DC" w:rsidRPr="00AD2807" w:rsidRDefault="006720DC" w:rsidP="006720DC">
      <w:pPr>
        <w:rPr>
          <w:rFonts w:eastAsiaTheme="minorHAnsi" w:cs="Times New Roman"/>
          <w:iCs/>
          <w:lang w:val="en-AU" w:eastAsia="en-US"/>
        </w:rPr>
      </w:pPr>
      <w:r w:rsidRPr="00AD2807">
        <w:rPr>
          <w:b/>
          <w:bCs/>
          <w:szCs w:val="22"/>
          <w:lang w:val="en-AU"/>
        </w:rPr>
        <w:t>Search systems:</w:t>
      </w:r>
      <w:r w:rsidRPr="00AD2807">
        <w:rPr>
          <w:szCs w:val="22"/>
          <w:lang w:val="en-AU"/>
        </w:rPr>
        <w:t xml:space="preserve">  </w:t>
      </w:r>
    </w:p>
    <w:p w:rsidR="006720DC" w:rsidRPr="00AD2807" w:rsidRDefault="006720DC" w:rsidP="006720DC">
      <w:pPr>
        <w:rPr>
          <w:rFonts w:eastAsiaTheme="minorHAnsi" w:cs="Times New Roman"/>
          <w:iCs/>
          <w:lang w:val="en-AU" w:eastAsia="en-US"/>
        </w:rPr>
      </w:pPr>
      <w:r w:rsidRPr="00AD2807">
        <w:rPr>
          <w:rFonts w:eastAsiaTheme="minorHAnsi" w:cs="Times New Roman"/>
          <w:iCs/>
          <w:lang w:val="en-AU" w:eastAsia="en-US"/>
        </w:rPr>
        <w:t>Our examiners use an electronic document management system (Patent Administration Management System - PAMS) to process, store, retrieve and examine national patent applications</w:t>
      </w:r>
      <w:r w:rsidR="001D0D5B">
        <w:rPr>
          <w:rFonts w:eastAsiaTheme="minorHAnsi" w:cs="Times New Roman"/>
          <w:iCs/>
          <w:lang w:val="en-AU" w:eastAsia="en-US"/>
        </w:rPr>
        <w:t xml:space="preserve">.  </w:t>
      </w:r>
      <w:r w:rsidRPr="00AD2807">
        <w:rPr>
          <w:rFonts w:eastAsiaTheme="minorHAnsi" w:cs="Times New Roman"/>
          <w:iCs/>
          <w:lang w:val="en-AU" w:eastAsia="en-US"/>
        </w:rPr>
        <w:t>IP Australia also has an electronic system for international search and examination work (INTESS)</w:t>
      </w:r>
      <w:r w:rsidR="001D0D5B">
        <w:rPr>
          <w:rFonts w:eastAsiaTheme="minorHAnsi" w:cs="Times New Roman"/>
          <w:iCs/>
          <w:lang w:val="en-AU" w:eastAsia="en-US"/>
        </w:rPr>
        <w:t xml:space="preserve">.  </w:t>
      </w:r>
      <w:r w:rsidRPr="00AD2807">
        <w:rPr>
          <w:rFonts w:eastAsiaTheme="minorHAnsi" w:cs="Times New Roman"/>
          <w:iCs/>
          <w:lang w:val="en-AU" w:eastAsia="en-US"/>
        </w:rPr>
        <w:t xml:space="preserve">Examiners are provided with a Patent Examination Workbench </w:t>
      </w:r>
      <w:r w:rsidRPr="00AD2807">
        <w:rPr>
          <w:rFonts w:eastAsiaTheme="minorHAnsi" w:cs="Times New Roman"/>
          <w:iCs/>
          <w:lang w:val="en-AU" w:eastAsia="en-US"/>
        </w:rPr>
        <w:lastRenderedPageBreak/>
        <w:t>which includes a wide assortment of examiner resources, including access to patent search tools (EPOQUE) and search engines (STN) covering at least the minimum documentation; electronically-available Manuals (e.g</w:t>
      </w:r>
      <w:r w:rsidR="001D0D5B">
        <w:rPr>
          <w:rFonts w:eastAsiaTheme="minorHAnsi" w:cs="Times New Roman"/>
          <w:iCs/>
          <w:lang w:val="en-AU" w:eastAsia="en-US"/>
        </w:rPr>
        <w:t xml:space="preserve">. </w:t>
      </w:r>
      <w:r w:rsidRPr="00AD2807">
        <w:rPr>
          <w:rFonts w:eastAsiaTheme="minorHAnsi" w:cs="Times New Roman"/>
          <w:iCs/>
          <w:lang w:val="en-AU" w:eastAsia="en-US"/>
        </w:rPr>
        <w:t>Patent Manual of Practice and Procedure and Quality Management System Manual); patent law materials; and WIPO and PCT materials</w:t>
      </w:r>
      <w:r w:rsidR="001D0D5B">
        <w:rPr>
          <w:rFonts w:eastAsiaTheme="minorHAnsi" w:cs="Times New Roman"/>
          <w:iCs/>
          <w:lang w:val="en-AU" w:eastAsia="en-US"/>
        </w:rPr>
        <w:t xml:space="preserve">.  </w:t>
      </w:r>
      <w:r w:rsidRPr="00AD2807">
        <w:rPr>
          <w:rFonts w:eastAsiaTheme="minorHAnsi" w:cs="Times New Roman"/>
          <w:iCs/>
          <w:lang w:val="en-AU" w:eastAsia="en-US"/>
        </w:rPr>
        <w:t xml:space="preserve">We have implemented a series of PCT best practices, which have been incorporated into the Manual of Practice and Procedure; and the </w:t>
      </w:r>
      <w:r w:rsidRPr="00AD2807">
        <w:rPr>
          <w:bCs/>
          <w:szCs w:val="22"/>
          <w:lang w:val="en-AU"/>
        </w:rPr>
        <w:t>IP Rights Examiner Program</w:t>
      </w:r>
      <w:r w:rsidRPr="00AD2807">
        <w:rPr>
          <w:rFonts w:eastAsiaTheme="minorHAnsi" w:cs="Times New Roman"/>
          <w:iCs/>
          <w:lang w:val="en-AU" w:eastAsia="en-US"/>
        </w:rPr>
        <w:t xml:space="preserve"> (IRPEP) training</w:t>
      </w:r>
      <w:r w:rsidR="001D0D5B">
        <w:rPr>
          <w:rFonts w:eastAsiaTheme="minorHAnsi" w:cs="Times New Roman"/>
          <w:iCs/>
          <w:lang w:val="en-AU" w:eastAsia="en-US"/>
        </w:rPr>
        <w:t xml:space="preserve">.  </w:t>
      </w:r>
      <w:r w:rsidRPr="00AD2807">
        <w:rPr>
          <w:rFonts w:eastAsiaTheme="minorHAnsi" w:cs="Times New Roman"/>
          <w:iCs/>
          <w:lang w:val="en-AU" w:eastAsia="en-US"/>
        </w:rPr>
        <w:t>These practices regularly undergo review</w:t>
      </w:r>
      <w:r w:rsidR="001D0D5B">
        <w:rPr>
          <w:rFonts w:eastAsiaTheme="minorHAnsi" w:cs="Times New Roman"/>
          <w:iCs/>
          <w:lang w:val="en-AU" w:eastAsia="en-US"/>
        </w:rPr>
        <w:t xml:space="preserve">.  </w:t>
      </w:r>
      <w:r w:rsidRPr="00AD2807">
        <w:rPr>
          <w:rFonts w:eastAsiaTheme="minorHAnsi" w:cs="Times New Roman"/>
          <w:iCs/>
          <w:lang w:val="en-AU" w:eastAsia="en-US"/>
        </w:rPr>
        <w:t>Additional support tools for examiners include ready access to internal and external databases, technical books, journals and legal resources on IP Australia’s Patent Examination Workbench</w:t>
      </w:r>
      <w:r w:rsidR="001D0D5B">
        <w:rPr>
          <w:rFonts w:eastAsiaTheme="minorHAnsi" w:cs="Times New Roman"/>
          <w:iCs/>
          <w:lang w:val="en-AU" w:eastAsia="en-US"/>
        </w:rPr>
        <w:t xml:space="preserve">.  </w:t>
      </w:r>
      <w:r w:rsidRPr="00AD2807">
        <w:rPr>
          <w:rFonts w:eastAsiaTheme="minorHAnsi" w:cs="Times New Roman"/>
          <w:iCs/>
          <w:lang w:val="en-AU" w:eastAsia="en-US"/>
        </w:rPr>
        <w:t xml:space="preserve">This includes, but is not limited to, IEEE, MEDLINE, Nature, PubMed, </w:t>
      </w:r>
      <w:proofErr w:type="spellStart"/>
      <w:r w:rsidRPr="00AD2807">
        <w:rPr>
          <w:rFonts w:eastAsiaTheme="minorHAnsi" w:cs="Times New Roman"/>
          <w:iCs/>
          <w:lang w:val="en-AU" w:eastAsia="en-US"/>
        </w:rPr>
        <w:t>Questel</w:t>
      </w:r>
      <w:proofErr w:type="spellEnd"/>
      <w:r w:rsidRPr="00AD2807">
        <w:rPr>
          <w:rFonts w:eastAsiaTheme="minorHAnsi" w:cs="Times New Roman"/>
          <w:iCs/>
          <w:lang w:val="en-AU" w:eastAsia="en-US"/>
        </w:rPr>
        <w:t xml:space="preserve">-Orbit, </w:t>
      </w:r>
      <w:proofErr w:type="gramStart"/>
      <w:r w:rsidRPr="00AD2807">
        <w:rPr>
          <w:rFonts w:eastAsiaTheme="minorHAnsi" w:cs="Times New Roman"/>
          <w:iCs/>
          <w:lang w:val="en-AU" w:eastAsia="en-US"/>
        </w:rPr>
        <w:t>WIPO</w:t>
      </w:r>
      <w:proofErr w:type="gramEnd"/>
      <w:r w:rsidRPr="00AD2807">
        <w:rPr>
          <w:rFonts w:eastAsiaTheme="minorHAnsi" w:cs="Times New Roman"/>
          <w:iCs/>
          <w:lang w:val="en-AU" w:eastAsia="en-US"/>
        </w:rPr>
        <w:t xml:space="preserve"> CASE.</w:t>
      </w:r>
    </w:p>
    <w:p w:rsidR="006720DC" w:rsidRPr="00AD2807" w:rsidRDefault="006720DC" w:rsidP="006720DC">
      <w:pPr>
        <w:rPr>
          <w:rFonts w:eastAsiaTheme="minorHAnsi" w:cs="Times New Roman"/>
          <w:lang w:val="en-AU" w:eastAsia="en-US"/>
        </w:rPr>
      </w:pPr>
    </w:p>
    <w:p w:rsidR="006720DC" w:rsidRPr="00AD2807" w:rsidRDefault="006720DC" w:rsidP="006720DC">
      <w:pPr>
        <w:rPr>
          <w:rFonts w:eastAsiaTheme="minorHAnsi" w:cs="Times New Roman"/>
          <w:iCs/>
          <w:lang w:val="en-AU" w:eastAsia="en-US"/>
        </w:rPr>
      </w:pPr>
      <w:r w:rsidRPr="00AD2807">
        <w:rPr>
          <w:rFonts w:eastAsiaTheme="minorHAnsi" w:cs="Times New Roman"/>
          <w:iCs/>
          <w:lang w:val="en-AU" w:eastAsia="en-US"/>
        </w:rPr>
        <w:t>The APO’s Search Technical Team (STT) ensures examiners are provided with best-practice search techniques and access to high quality search tools</w:t>
      </w:r>
      <w:r w:rsidR="001D0D5B">
        <w:rPr>
          <w:rFonts w:eastAsiaTheme="minorHAnsi" w:cs="Times New Roman"/>
          <w:iCs/>
          <w:lang w:val="en-AU" w:eastAsia="en-US"/>
        </w:rPr>
        <w:t xml:space="preserve">.  </w:t>
      </w:r>
      <w:r w:rsidRPr="00AD2807">
        <w:rPr>
          <w:rFonts w:eastAsiaTheme="minorHAnsi" w:cs="Times New Roman"/>
          <w:iCs/>
          <w:lang w:val="en-AU" w:eastAsia="en-US"/>
        </w:rPr>
        <w:t>The STT provides two primary capabilities:</w:t>
      </w:r>
    </w:p>
    <w:p w:rsidR="006720DC" w:rsidRPr="00AD2807" w:rsidRDefault="006720DC" w:rsidP="001D0D5B">
      <w:pPr>
        <w:pStyle w:val="ListParagraph"/>
        <w:numPr>
          <w:ilvl w:val="0"/>
          <w:numId w:val="11"/>
        </w:numPr>
        <w:ind w:left="1134" w:hanging="567"/>
        <w:rPr>
          <w:rFonts w:eastAsiaTheme="minorHAnsi" w:cs="Times New Roman"/>
          <w:iCs/>
          <w:lang w:val="en-AU" w:eastAsia="en-US"/>
        </w:rPr>
      </w:pPr>
      <w:r w:rsidRPr="00AD2807">
        <w:rPr>
          <w:rFonts w:eastAsiaTheme="minorHAnsi" w:cs="Times New Roman"/>
          <w:iCs/>
          <w:lang w:val="en-AU" w:eastAsia="en-US"/>
        </w:rPr>
        <w:t>in-section support, training, and promotion of best-practice search techniques and;</w:t>
      </w:r>
    </w:p>
    <w:p w:rsidR="006720DC" w:rsidRPr="00AD2807" w:rsidRDefault="006720DC" w:rsidP="001D0D5B">
      <w:pPr>
        <w:pStyle w:val="ListParagraph"/>
        <w:numPr>
          <w:ilvl w:val="0"/>
          <w:numId w:val="11"/>
        </w:numPr>
        <w:ind w:left="1134" w:hanging="567"/>
        <w:rPr>
          <w:rFonts w:eastAsiaTheme="minorHAnsi" w:cs="Times New Roman"/>
          <w:iCs/>
          <w:lang w:val="en-AU" w:eastAsia="en-US"/>
        </w:rPr>
      </w:pPr>
      <w:proofErr w:type="gramStart"/>
      <w:r w:rsidRPr="00AD2807">
        <w:rPr>
          <w:rFonts w:eastAsiaTheme="minorHAnsi" w:cs="Times New Roman"/>
          <w:iCs/>
          <w:lang w:val="en-AU" w:eastAsia="en-US"/>
        </w:rPr>
        <w:t>evaluation</w:t>
      </w:r>
      <w:proofErr w:type="gramEnd"/>
      <w:r w:rsidRPr="00AD2807">
        <w:rPr>
          <w:rFonts w:eastAsiaTheme="minorHAnsi" w:cs="Times New Roman"/>
          <w:iCs/>
          <w:lang w:val="en-AU" w:eastAsia="en-US"/>
        </w:rPr>
        <w:t xml:space="preserve"> of search tools and databases for patent examination.</w:t>
      </w:r>
    </w:p>
    <w:p w:rsidR="006720DC" w:rsidRPr="00AD2807" w:rsidRDefault="006720DC" w:rsidP="001D0D5B">
      <w:pPr>
        <w:ind w:left="1134" w:hanging="567"/>
        <w:rPr>
          <w:rFonts w:eastAsiaTheme="minorHAnsi" w:cs="Times New Roman"/>
          <w:iCs/>
          <w:lang w:val="en-AU" w:eastAsia="en-US"/>
        </w:rPr>
      </w:pPr>
    </w:p>
    <w:p w:rsidR="006720DC" w:rsidRPr="00AD2807" w:rsidRDefault="006720DC" w:rsidP="001D0D5B">
      <w:pPr>
        <w:ind w:left="1134" w:hanging="567"/>
        <w:rPr>
          <w:rFonts w:eastAsiaTheme="minorHAnsi" w:cs="Times New Roman"/>
          <w:iCs/>
          <w:lang w:val="en-AU" w:eastAsia="en-US"/>
        </w:rPr>
      </w:pPr>
      <w:r w:rsidRPr="00AD2807">
        <w:rPr>
          <w:rFonts w:eastAsiaTheme="minorHAnsi" w:cs="Times New Roman"/>
          <w:iCs/>
          <w:lang w:val="en-AU" w:eastAsia="en-US"/>
        </w:rPr>
        <w:t>In addition the STT activities encompass:</w:t>
      </w:r>
    </w:p>
    <w:p w:rsidR="006720DC" w:rsidRPr="00AD2807" w:rsidRDefault="006720DC" w:rsidP="001D0D5B">
      <w:pPr>
        <w:pStyle w:val="ListParagraph"/>
        <w:numPr>
          <w:ilvl w:val="0"/>
          <w:numId w:val="12"/>
        </w:numPr>
        <w:ind w:left="1134" w:hanging="567"/>
        <w:rPr>
          <w:rFonts w:eastAsiaTheme="minorHAnsi" w:cs="Times New Roman"/>
          <w:iCs/>
          <w:lang w:val="en-AU" w:eastAsia="en-US"/>
        </w:rPr>
      </w:pPr>
      <w:r w:rsidRPr="00AD2807">
        <w:rPr>
          <w:rFonts w:eastAsiaTheme="minorHAnsi" w:cs="Times New Roman"/>
          <w:iCs/>
          <w:lang w:val="en-AU" w:eastAsia="en-US"/>
        </w:rPr>
        <w:t>classification activities, including the IPC and CPC;</w:t>
      </w:r>
    </w:p>
    <w:p w:rsidR="006720DC" w:rsidRPr="00AD2807" w:rsidRDefault="006720DC" w:rsidP="001D0D5B">
      <w:pPr>
        <w:pStyle w:val="ListParagraph"/>
        <w:numPr>
          <w:ilvl w:val="0"/>
          <w:numId w:val="12"/>
        </w:numPr>
        <w:ind w:left="1134" w:hanging="567"/>
        <w:rPr>
          <w:rFonts w:eastAsiaTheme="minorHAnsi" w:cs="Times New Roman"/>
          <w:iCs/>
          <w:lang w:val="en-AU" w:eastAsia="en-US"/>
        </w:rPr>
      </w:pPr>
      <w:r w:rsidRPr="00AD2807">
        <w:rPr>
          <w:rFonts w:eastAsiaTheme="minorHAnsi" w:cs="Times New Roman"/>
          <w:iCs/>
          <w:lang w:val="en-AU" w:eastAsia="en-US"/>
        </w:rPr>
        <w:t>maintaining expertise in EPOQUE and STN amongst other search tools;</w:t>
      </w:r>
    </w:p>
    <w:p w:rsidR="006720DC" w:rsidRPr="00AD2807" w:rsidRDefault="006720DC" w:rsidP="001D0D5B">
      <w:pPr>
        <w:pStyle w:val="ListParagraph"/>
        <w:numPr>
          <w:ilvl w:val="0"/>
          <w:numId w:val="12"/>
        </w:numPr>
        <w:ind w:left="1134" w:hanging="567"/>
        <w:rPr>
          <w:rFonts w:eastAsiaTheme="minorHAnsi" w:cs="Times New Roman"/>
          <w:iCs/>
          <w:lang w:val="en-AU" w:eastAsia="en-US"/>
        </w:rPr>
      </w:pPr>
      <w:r w:rsidRPr="00AD2807">
        <w:rPr>
          <w:rFonts w:eastAsiaTheme="minorHAnsi" w:cs="Times New Roman"/>
          <w:iCs/>
          <w:lang w:val="en-AU" w:eastAsia="en-US"/>
        </w:rPr>
        <w:t>providing subject matter experts to the training projects team;</w:t>
      </w:r>
    </w:p>
    <w:p w:rsidR="006720DC" w:rsidRPr="00AD2807" w:rsidRDefault="006720DC" w:rsidP="001D0D5B">
      <w:pPr>
        <w:pStyle w:val="ListParagraph"/>
        <w:numPr>
          <w:ilvl w:val="0"/>
          <w:numId w:val="12"/>
        </w:numPr>
        <w:ind w:left="1134" w:hanging="567"/>
        <w:rPr>
          <w:rFonts w:eastAsiaTheme="minorHAnsi" w:cs="Times New Roman"/>
          <w:iCs/>
          <w:lang w:val="en-AU" w:eastAsia="en-US"/>
        </w:rPr>
      </w:pPr>
      <w:r w:rsidRPr="00AD2807">
        <w:rPr>
          <w:rFonts w:eastAsiaTheme="minorHAnsi" w:cs="Times New Roman"/>
          <w:iCs/>
          <w:lang w:val="en-AU" w:eastAsia="en-US"/>
        </w:rPr>
        <w:t>maintaining the searching volume of the Patent Manual of Practice and Procedure, and;</w:t>
      </w:r>
    </w:p>
    <w:p w:rsidR="006720DC" w:rsidRPr="00AD2807" w:rsidRDefault="006720DC" w:rsidP="001D0D5B">
      <w:pPr>
        <w:pStyle w:val="ListParagraph"/>
        <w:numPr>
          <w:ilvl w:val="0"/>
          <w:numId w:val="12"/>
        </w:numPr>
        <w:ind w:left="1134" w:hanging="567"/>
        <w:rPr>
          <w:rFonts w:eastAsiaTheme="minorHAnsi" w:cs="Times New Roman"/>
          <w:iCs/>
          <w:lang w:val="en-AU" w:eastAsia="en-US"/>
        </w:rPr>
      </w:pPr>
      <w:r w:rsidRPr="00AD2807">
        <w:rPr>
          <w:rFonts w:eastAsiaTheme="minorHAnsi" w:cs="Times New Roman"/>
          <w:iCs/>
          <w:lang w:val="en-AU" w:eastAsia="en-US"/>
        </w:rPr>
        <w:t>contract management responsibility for the commercial search tools used by examiners</w:t>
      </w:r>
    </w:p>
    <w:p w:rsidR="006720DC" w:rsidRPr="00AD2807" w:rsidRDefault="006720DC" w:rsidP="006720DC">
      <w:pPr>
        <w:rPr>
          <w:rFonts w:eastAsiaTheme="minorHAnsi" w:cs="Times New Roman"/>
          <w:iCs/>
          <w:lang w:val="en-AU" w:eastAsia="en-US"/>
        </w:rPr>
      </w:pPr>
    </w:p>
    <w:p w:rsidR="006720DC" w:rsidRPr="00AD2807" w:rsidRDefault="006720DC" w:rsidP="006720DC">
      <w:pPr>
        <w:rPr>
          <w:szCs w:val="22"/>
          <w:lang w:val="en-AU"/>
        </w:rPr>
      </w:pPr>
    </w:p>
    <w:p w:rsidR="006720DC" w:rsidRPr="00534264" w:rsidRDefault="006720DC" w:rsidP="00993A3A">
      <w:pPr>
        <w:rPr>
          <w:b/>
          <w:i/>
        </w:rPr>
      </w:pPr>
      <w:r w:rsidRPr="00534264">
        <w:rPr>
          <w:b/>
          <w:i/>
        </w:rPr>
        <w:t>Rules 36.1(iii) and 63.1(iii):  That Office or organization must have a staff which is capable of searching and examining the required technical fields and which has the language facilities to understand at least those languages in which the minimum documentation referred to in Rule 34 is written or is translated.</w:t>
      </w:r>
    </w:p>
    <w:p w:rsidR="006720DC" w:rsidRPr="00AD2807" w:rsidRDefault="006720DC" w:rsidP="006720DC">
      <w:pPr>
        <w:rPr>
          <w:szCs w:val="22"/>
          <w:lang w:val="en-AU"/>
        </w:rPr>
      </w:pPr>
    </w:p>
    <w:p w:rsidR="006720DC" w:rsidRPr="00AD2807" w:rsidRDefault="006720DC" w:rsidP="006720DC">
      <w:pPr>
        <w:rPr>
          <w:b/>
          <w:bCs/>
          <w:szCs w:val="22"/>
          <w:lang w:val="en-AU"/>
        </w:rPr>
      </w:pPr>
      <w:r w:rsidRPr="00AD2807">
        <w:rPr>
          <w:b/>
          <w:bCs/>
          <w:szCs w:val="22"/>
          <w:lang w:val="en-AU"/>
        </w:rPr>
        <w:t>Language(s) in which national applications may be filed and processed:</w:t>
      </w:r>
      <w:r w:rsidRPr="00AD2807">
        <w:rPr>
          <w:szCs w:val="22"/>
          <w:lang w:val="en-AU"/>
        </w:rPr>
        <w:t xml:space="preserve">  English</w:t>
      </w:r>
    </w:p>
    <w:p w:rsidR="006720DC" w:rsidRPr="00AD2807" w:rsidRDefault="006720DC" w:rsidP="006720DC">
      <w:pPr>
        <w:rPr>
          <w:szCs w:val="22"/>
          <w:lang w:val="en-AU"/>
        </w:rPr>
      </w:pPr>
    </w:p>
    <w:p w:rsidR="006720DC" w:rsidRPr="00AD2807" w:rsidRDefault="006720DC" w:rsidP="006720DC">
      <w:pPr>
        <w:rPr>
          <w:rFonts w:eastAsiaTheme="minorHAnsi" w:cs="Times New Roman"/>
          <w:lang w:val="en-AU" w:eastAsia="en-US"/>
        </w:rPr>
      </w:pPr>
      <w:r w:rsidRPr="00AD2807">
        <w:rPr>
          <w:b/>
          <w:bCs/>
          <w:szCs w:val="22"/>
          <w:lang w:val="en-AU"/>
        </w:rPr>
        <w:t>Other languages in which large numbers of examiners are proficient</w:t>
      </w:r>
      <w:r w:rsidR="001D0D5B">
        <w:rPr>
          <w:b/>
          <w:bCs/>
          <w:szCs w:val="22"/>
          <w:lang w:val="en-AU"/>
        </w:rPr>
        <w:t xml:space="preserve">:  </w:t>
      </w:r>
      <w:r w:rsidRPr="00AD2807">
        <w:rPr>
          <w:rFonts w:eastAsiaTheme="minorHAnsi" w:cs="Times New Roman"/>
          <w:lang w:val="en-AU" w:eastAsia="en-US"/>
        </w:rPr>
        <w:t>Apart from English, The APO has a policy of maintaining examiner competencies in other languages</w:t>
      </w:r>
      <w:r w:rsidR="001D0D5B">
        <w:rPr>
          <w:rFonts w:eastAsiaTheme="minorHAnsi" w:cs="Times New Roman"/>
          <w:lang w:val="en-AU" w:eastAsia="en-US"/>
        </w:rPr>
        <w:t xml:space="preserve">.  </w:t>
      </w:r>
      <w:r w:rsidRPr="00AD2807">
        <w:rPr>
          <w:rFonts w:eastAsiaTheme="minorHAnsi" w:cs="Times New Roman"/>
          <w:lang w:val="en-AU" w:eastAsia="en-US"/>
        </w:rPr>
        <w:t>This currently includes examiners competent in French, German, Japanese, Chinese, Russian, Spanish and Korean covering all the main technology areas</w:t>
      </w:r>
    </w:p>
    <w:p w:rsidR="006720DC" w:rsidRPr="00AD2807" w:rsidRDefault="006720DC" w:rsidP="006720DC">
      <w:pPr>
        <w:rPr>
          <w:szCs w:val="22"/>
          <w:lang w:val="en-AU"/>
        </w:rPr>
      </w:pPr>
    </w:p>
    <w:p w:rsidR="006720DC" w:rsidRPr="00AD2807" w:rsidRDefault="006720DC" w:rsidP="006720DC">
      <w:pPr>
        <w:rPr>
          <w:szCs w:val="22"/>
          <w:lang w:val="en-AU"/>
        </w:rPr>
      </w:pPr>
      <w:r w:rsidRPr="00AD2807">
        <w:rPr>
          <w:b/>
          <w:bCs/>
          <w:szCs w:val="22"/>
          <w:lang w:val="en-AU"/>
        </w:rPr>
        <w:t>Services available to assist search or understanding of prior art in other languages:</w:t>
      </w:r>
      <w:r w:rsidRPr="00AD2807">
        <w:rPr>
          <w:szCs w:val="22"/>
          <w:lang w:val="en-AU"/>
        </w:rPr>
        <w:t xml:space="preserve">  </w:t>
      </w:r>
    </w:p>
    <w:p w:rsidR="006720DC" w:rsidRPr="00AD2807" w:rsidRDefault="006720DC" w:rsidP="006720DC">
      <w:pPr>
        <w:rPr>
          <w:rFonts w:eastAsiaTheme="minorHAnsi" w:cs="Times New Roman"/>
          <w:lang w:val="en-AU" w:eastAsia="en-US"/>
        </w:rPr>
      </w:pPr>
      <w:r w:rsidRPr="00AD2807">
        <w:rPr>
          <w:rFonts w:eastAsiaTheme="minorHAnsi" w:cs="Times New Roman"/>
          <w:lang w:val="en-AU" w:eastAsia="en-US"/>
        </w:rPr>
        <w:t xml:space="preserve">To assist in searching and understanding prior art in other languages, examiners have access to, but are not limited to, the following resources: </w:t>
      </w:r>
    </w:p>
    <w:p w:rsidR="006720DC" w:rsidRPr="00AD2807" w:rsidRDefault="006720DC" w:rsidP="001D0D5B">
      <w:pPr>
        <w:pStyle w:val="ListParagraph"/>
        <w:numPr>
          <w:ilvl w:val="0"/>
          <w:numId w:val="8"/>
        </w:numPr>
        <w:ind w:left="1134" w:hanging="567"/>
        <w:rPr>
          <w:rFonts w:eastAsiaTheme="minorHAnsi" w:cs="Times New Roman"/>
          <w:lang w:val="en-AU" w:eastAsia="en-US"/>
        </w:rPr>
      </w:pPr>
      <w:r w:rsidRPr="00AD2807">
        <w:rPr>
          <w:rFonts w:eastAsiaTheme="minorHAnsi" w:cs="Times New Roman"/>
          <w:lang w:val="en-AU" w:eastAsia="en-US"/>
        </w:rPr>
        <w:t>WIPO Translate</w:t>
      </w:r>
    </w:p>
    <w:p w:rsidR="006720DC" w:rsidRPr="00AD2807" w:rsidRDefault="006720DC" w:rsidP="001D0D5B">
      <w:pPr>
        <w:pStyle w:val="ListParagraph"/>
        <w:numPr>
          <w:ilvl w:val="0"/>
          <w:numId w:val="8"/>
        </w:numPr>
        <w:ind w:left="1134" w:hanging="567"/>
        <w:rPr>
          <w:rFonts w:eastAsiaTheme="minorHAnsi" w:cs="Times New Roman"/>
          <w:lang w:val="en-AU" w:eastAsia="en-US"/>
        </w:rPr>
      </w:pPr>
      <w:r w:rsidRPr="00AD2807">
        <w:rPr>
          <w:rFonts w:eastAsiaTheme="minorHAnsi" w:cs="Times New Roman"/>
          <w:lang w:val="en-AU" w:eastAsia="en-US"/>
        </w:rPr>
        <w:t>WIPO Pearl</w:t>
      </w:r>
    </w:p>
    <w:p w:rsidR="006720DC" w:rsidRPr="00AD2807" w:rsidRDefault="006720DC" w:rsidP="001D0D5B">
      <w:pPr>
        <w:pStyle w:val="ListParagraph"/>
        <w:numPr>
          <w:ilvl w:val="0"/>
          <w:numId w:val="8"/>
        </w:numPr>
        <w:ind w:left="1134" w:hanging="567"/>
        <w:rPr>
          <w:rFonts w:eastAsiaTheme="minorHAnsi" w:cs="Times New Roman"/>
          <w:lang w:val="en-AU" w:eastAsia="en-US"/>
        </w:rPr>
      </w:pPr>
      <w:r w:rsidRPr="00AD2807">
        <w:rPr>
          <w:rFonts w:eastAsiaTheme="minorHAnsi" w:cs="Times New Roman"/>
          <w:lang w:val="en-AU" w:eastAsia="en-US"/>
        </w:rPr>
        <w:t>Google Translate</w:t>
      </w:r>
    </w:p>
    <w:p w:rsidR="006720DC" w:rsidRDefault="006720DC" w:rsidP="001D0D5B">
      <w:pPr>
        <w:pStyle w:val="ListParagraph"/>
        <w:numPr>
          <w:ilvl w:val="0"/>
          <w:numId w:val="8"/>
        </w:numPr>
        <w:ind w:left="1134" w:hanging="567"/>
        <w:rPr>
          <w:rFonts w:eastAsiaTheme="minorHAnsi" w:cs="Times New Roman"/>
          <w:lang w:val="en-AU" w:eastAsia="en-US"/>
        </w:rPr>
      </w:pPr>
      <w:proofErr w:type="spellStart"/>
      <w:r w:rsidRPr="00AD2807">
        <w:rPr>
          <w:rFonts w:eastAsiaTheme="minorHAnsi" w:cs="Times New Roman"/>
          <w:lang w:val="en-AU" w:eastAsia="en-US"/>
        </w:rPr>
        <w:t>Esp@cenet</w:t>
      </w:r>
      <w:proofErr w:type="spellEnd"/>
      <w:r w:rsidRPr="00AD2807">
        <w:rPr>
          <w:rFonts w:eastAsiaTheme="minorHAnsi" w:cs="Times New Roman"/>
          <w:lang w:val="en-AU" w:eastAsia="en-US"/>
        </w:rPr>
        <w:t xml:space="preserve"> – Patent Translate (uses Google Translate)</w:t>
      </w:r>
    </w:p>
    <w:p w:rsidR="00B40E5F" w:rsidRPr="00B40E5F" w:rsidRDefault="00B40E5F" w:rsidP="00B40E5F">
      <w:pPr>
        <w:rPr>
          <w:rFonts w:eastAsiaTheme="minorHAnsi" w:cs="Times New Roman"/>
          <w:lang w:val="en-AU" w:eastAsia="en-US"/>
        </w:rPr>
      </w:pPr>
    </w:p>
    <w:p w:rsidR="006720DC" w:rsidRPr="00AD2807" w:rsidRDefault="006720DC" w:rsidP="006720DC">
      <w:pPr>
        <w:pStyle w:val="SectionHeading"/>
        <w:rPr>
          <w:lang w:val="en-AU"/>
        </w:rPr>
      </w:pPr>
      <w:r w:rsidRPr="00AD2807">
        <w:rPr>
          <w:lang w:val="en-AU"/>
        </w:rPr>
        <w:t>2.2</w:t>
      </w:r>
      <w:r w:rsidRPr="00AD2807">
        <w:rPr>
          <w:rFonts w:ascii="Arial Bold" w:hAnsi="Arial Bold"/>
          <w:i/>
          <w:iCs/>
          <w:caps w:val="0"/>
          <w:lang w:val="en-AU"/>
        </w:rPr>
        <w:t xml:space="preserve"> </w:t>
      </w:r>
      <w:r w:rsidRPr="00AD2807">
        <w:rPr>
          <w:lang w:val="en-AU"/>
        </w:rPr>
        <w:t>– Quality Management</w:t>
      </w:r>
    </w:p>
    <w:p w:rsidR="006720DC" w:rsidRPr="00534264" w:rsidRDefault="006720DC" w:rsidP="006720DC">
      <w:pPr>
        <w:rPr>
          <w:b/>
          <w:i/>
        </w:rPr>
      </w:pPr>
      <w:r w:rsidRPr="00534264">
        <w:rPr>
          <w:b/>
          <w:i/>
        </w:rPr>
        <w:t>Rules 36.1(iv) and 63.1(iv):  That Office or organization must have in place a quality management system and internal review arrangements in accordance with the common rules of international search.</w:t>
      </w:r>
    </w:p>
    <w:p w:rsidR="006720DC" w:rsidRPr="00AD2807" w:rsidRDefault="006720DC" w:rsidP="006720DC">
      <w:pPr>
        <w:rPr>
          <w:b/>
          <w:bCs/>
          <w:szCs w:val="22"/>
          <w:lang w:val="en-AU"/>
        </w:rPr>
      </w:pPr>
    </w:p>
    <w:p w:rsidR="006720DC" w:rsidRPr="00AD2807" w:rsidRDefault="006720DC" w:rsidP="006720DC">
      <w:pPr>
        <w:rPr>
          <w:rFonts w:eastAsiaTheme="minorHAnsi" w:cs="Times New Roman"/>
          <w:lang w:val="en-AU" w:eastAsia="en-US"/>
        </w:rPr>
      </w:pPr>
      <w:r w:rsidRPr="00AD2807">
        <w:rPr>
          <w:rFonts w:eastAsiaTheme="minorHAnsi" w:cs="Times New Roman"/>
          <w:lang w:val="en-AU" w:eastAsia="en-US"/>
        </w:rPr>
        <w:t>The APO continues to meet or exceed the requirements set out in Chapter 21 of the guidelines</w:t>
      </w:r>
      <w:r w:rsidR="001D0D5B">
        <w:rPr>
          <w:rFonts w:eastAsiaTheme="minorHAnsi" w:cs="Times New Roman"/>
          <w:lang w:val="en-AU" w:eastAsia="en-US"/>
        </w:rPr>
        <w:t xml:space="preserve">.  </w:t>
      </w:r>
      <w:r w:rsidRPr="00AD2807">
        <w:rPr>
          <w:rFonts w:eastAsiaTheme="minorHAnsi" w:cs="Times New Roman"/>
          <w:lang w:val="en-AU" w:eastAsia="en-US"/>
        </w:rPr>
        <w:t xml:space="preserve"> We are committed to the continual improvement of our core business functions and corresponding quality management system (QMS)</w:t>
      </w:r>
      <w:r w:rsidR="001D0D5B">
        <w:rPr>
          <w:rFonts w:eastAsiaTheme="minorHAnsi" w:cs="Times New Roman"/>
          <w:lang w:val="en-AU" w:eastAsia="en-US"/>
        </w:rPr>
        <w:t xml:space="preserve">.  </w:t>
      </w:r>
      <w:r w:rsidRPr="00AD2807">
        <w:rPr>
          <w:rFonts w:eastAsiaTheme="minorHAnsi" w:cs="Times New Roman"/>
          <w:lang w:val="en-AU" w:eastAsia="en-US"/>
        </w:rPr>
        <w:t xml:space="preserve">Our QMS report is in full compliance with Chapter 21 of the PCT International Search and Examination Guidelines and all of APO’s annual quality reports since 2006 are available on the WIPO website at </w:t>
      </w:r>
      <w:hyperlink r:id="rId12" w:history="1">
        <w:r w:rsidRPr="00621DF1">
          <w:rPr>
            <w:rStyle w:val="Hyperlink"/>
          </w:rPr>
          <w:t>http://www.wipo.int/pct/en/quality/authorities.html</w:t>
        </w:r>
      </w:hyperlink>
      <w:r w:rsidR="001D0D5B">
        <w:rPr>
          <w:rFonts w:eastAsiaTheme="minorHAnsi" w:cs="Times New Roman"/>
          <w:lang w:val="en-AU" w:eastAsia="en-US"/>
        </w:rPr>
        <w:t xml:space="preserve">.  </w:t>
      </w:r>
      <w:r w:rsidRPr="00AD2807">
        <w:rPr>
          <w:rFonts w:eastAsiaTheme="minorHAnsi" w:cs="Times New Roman"/>
          <w:lang w:val="en-AU" w:eastAsia="en-US"/>
        </w:rPr>
        <w:t>Our QMS has been certified under ISO 9001 since 2006.</w:t>
      </w:r>
    </w:p>
    <w:p w:rsidR="006720DC" w:rsidRPr="00AD2807" w:rsidRDefault="006720DC" w:rsidP="006720DC">
      <w:pPr>
        <w:rPr>
          <w:rFonts w:eastAsiaTheme="minorHAnsi" w:cs="Times New Roman"/>
          <w:lang w:val="en-AU" w:eastAsia="en-US"/>
        </w:rPr>
      </w:pPr>
    </w:p>
    <w:p w:rsidR="006720DC" w:rsidRPr="00AD2807" w:rsidRDefault="006720DC" w:rsidP="006720DC">
      <w:pPr>
        <w:rPr>
          <w:b/>
          <w:bCs/>
          <w:szCs w:val="22"/>
          <w:lang w:val="en-AU"/>
        </w:rPr>
      </w:pPr>
      <w:r w:rsidRPr="00AD2807">
        <w:rPr>
          <w:b/>
          <w:bCs/>
          <w:szCs w:val="22"/>
          <w:lang w:val="en-AU"/>
        </w:rPr>
        <w:t>Customer Service Charter Timelines</w:t>
      </w:r>
      <w:r w:rsidR="001D0D5B">
        <w:rPr>
          <w:b/>
          <w:bCs/>
          <w:szCs w:val="22"/>
          <w:lang w:val="en-AU"/>
        </w:rPr>
        <w:t xml:space="preserve">:  </w:t>
      </w:r>
      <w:r w:rsidRPr="00AD2807">
        <w:rPr>
          <w:rFonts w:eastAsiaTheme="minorHAnsi" w:cs="Times New Roman"/>
          <w:bCs/>
          <w:lang w:val="en-AU" w:eastAsia="en-US"/>
        </w:rPr>
        <w:t>Our Customer Service Charter Report is updated and published quarterly on our website</w:t>
      </w:r>
      <w:r w:rsidRPr="00AD2807">
        <w:rPr>
          <w:rFonts w:eastAsiaTheme="minorHAnsi" w:cs="Times New Roman"/>
          <w:bCs/>
          <w:vertAlign w:val="superscript"/>
          <w:lang w:val="en-AU" w:eastAsia="en-US"/>
        </w:rPr>
        <w:footnoteReference w:id="3"/>
      </w:r>
      <w:r w:rsidRPr="00AD2807">
        <w:rPr>
          <w:rFonts w:eastAsiaTheme="minorHAnsi" w:cs="Times New Roman"/>
          <w:bCs/>
          <w:lang w:val="en-AU" w:eastAsia="en-US"/>
        </w:rPr>
        <w:t xml:space="preserve">  which, for example, states our standard for international search report issuance against average performance delivered over the most recent quarter.</w:t>
      </w:r>
    </w:p>
    <w:p w:rsidR="006720DC" w:rsidRPr="00AD2807" w:rsidRDefault="006720DC" w:rsidP="006720DC">
      <w:pPr>
        <w:keepNext/>
        <w:shd w:val="clear" w:color="auto" w:fill="FFFFFF"/>
        <w:spacing w:before="300" w:after="225"/>
        <w:textAlignment w:val="top"/>
        <w:outlineLvl w:val="1"/>
        <w:rPr>
          <w:rFonts w:eastAsiaTheme="minorHAnsi"/>
          <w:bCs/>
          <w:i/>
          <w:iCs/>
          <w:caps/>
          <w:spacing w:val="-8"/>
          <w:szCs w:val="22"/>
          <w:lang w:val="en-AU" w:eastAsia="en-US"/>
        </w:rPr>
      </w:pPr>
      <w:r w:rsidRPr="00AD2807">
        <w:rPr>
          <w:rFonts w:eastAsiaTheme="minorHAnsi"/>
          <w:bCs/>
          <w:i/>
          <w:iCs/>
          <w:caps/>
          <w:spacing w:val="-8"/>
          <w:szCs w:val="22"/>
          <w:lang w:val="en-AU" w:eastAsia="en-US"/>
        </w:rPr>
        <w:t>Patent registration and examination standard</w:t>
      </w:r>
    </w:p>
    <w:p w:rsidR="006720DC" w:rsidRPr="00AD2807" w:rsidRDefault="006720DC" w:rsidP="001D0D5B">
      <w:pPr>
        <w:numPr>
          <w:ilvl w:val="0"/>
          <w:numId w:val="9"/>
        </w:numPr>
        <w:shd w:val="clear" w:color="auto" w:fill="FFFFFF"/>
        <w:tabs>
          <w:tab w:val="clear" w:pos="360"/>
          <w:tab w:val="num" w:pos="567"/>
        </w:tabs>
        <w:spacing w:before="100" w:beforeAutospacing="1" w:after="100" w:afterAutospacing="1"/>
        <w:ind w:left="567" w:hanging="567"/>
        <w:rPr>
          <w:rFonts w:eastAsiaTheme="minorHAnsi"/>
          <w:szCs w:val="22"/>
          <w:lang w:val="en-AU" w:eastAsia="en-US"/>
        </w:rPr>
      </w:pPr>
      <w:r w:rsidRPr="00AD2807">
        <w:rPr>
          <w:rFonts w:eastAsiaTheme="minorHAnsi"/>
          <w:szCs w:val="22"/>
          <w:lang w:val="en-AU" w:eastAsia="en-US"/>
        </w:rPr>
        <w:t xml:space="preserve">We will issue international search reports within </w:t>
      </w:r>
      <w:r w:rsidRPr="00AD2807">
        <w:rPr>
          <w:rFonts w:eastAsiaTheme="minorHAnsi"/>
          <w:b/>
          <w:bCs/>
          <w:szCs w:val="22"/>
          <w:lang w:val="en-AU" w:eastAsia="en-US"/>
        </w:rPr>
        <w:t xml:space="preserve">10 weeks </w:t>
      </w:r>
      <w:r w:rsidRPr="00AD2807">
        <w:rPr>
          <w:rFonts w:eastAsiaTheme="minorHAnsi"/>
          <w:szCs w:val="22"/>
          <w:lang w:val="en-AU" w:eastAsia="en-US"/>
        </w:rPr>
        <w:t>of receiving the search copy of the international application unless the application is for more than one invention.</w:t>
      </w:r>
    </w:p>
    <w:p w:rsidR="006720DC" w:rsidRPr="00AD2807" w:rsidRDefault="006720DC" w:rsidP="001D0D5B">
      <w:pPr>
        <w:numPr>
          <w:ilvl w:val="0"/>
          <w:numId w:val="9"/>
        </w:numPr>
        <w:shd w:val="clear" w:color="auto" w:fill="FFFFFF"/>
        <w:tabs>
          <w:tab w:val="clear" w:pos="360"/>
          <w:tab w:val="num" w:pos="567"/>
        </w:tabs>
        <w:spacing w:before="100" w:beforeAutospacing="1" w:after="100" w:afterAutospacing="1"/>
        <w:ind w:left="567" w:hanging="567"/>
        <w:rPr>
          <w:rFonts w:eastAsiaTheme="minorHAnsi"/>
          <w:szCs w:val="22"/>
          <w:lang w:val="en-AU" w:eastAsia="en-US"/>
        </w:rPr>
      </w:pPr>
      <w:r w:rsidRPr="00AD2807">
        <w:rPr>
          <w:rFonts w:eastAsiaTheme="minorHAnsi"/>
          <w:szCs w:val="22"/>
          <w:lang w:val="en-AU" w:eastAsia="en-US"/>
        </w:rPr>
        <w:t xml:space="preserve">We will issue international-type search reports for patents within </w:t>
      </w:r>
      <w:r w:rsidRPr="00AD2807">
        <w:rPr>
          <w:rFonts w:eastAsiaTheme="minorHAnsi"/>
          <w:b/>
          <w:bCs/>
          <w:szCs w:val="22"/>
          <w:lang w:val="en-AU" w:eastAsia="en-US"/>
        </w:rPr>
        <w:t xml:space="preserve">6 weeks </w:t>
      </w:r>
      <w:r w:rsidRPr="00AD2807">
        <w:rPr>
          <w:rFonts w:eastAsiaTheme="minorHAnsi"/>
          <w:szCs w:val="22"/>
          <w:lang w:val="en-AU" w:eastAsia="en-US"/>
        </w:rPr>
        <w:t>of receiving the request for the search, unless the search request covers more than one invention, or we ask you to supply a written search statement.</w:t>
      </w:r>
    </w:p>
    <w:p w:rsidR="006720DC" w:rsidRPr="00AD2807" w:rsidRDefault="006720DC" w:rsidP="001D0D5B">
      <w:pPr>
        <w:numPr>
          <w:ilvl w:val="0"/>
          <w:numId w:val="9"/>
        </w:numPr>
        <w:shd w:val="clear" w:color="auto" w:fill="FFFFFF"/>
        <w:tabs>
          <w:tab w:val="clear" w:pos="360"/>
          <w:tab w:val="num" w:pos="567"/>
        </w:tabs>
        <w:spacing w:before="100" w:beforeAutospacing="1" w:after="100" w:afterAutospacing="1"/>
        <w:ind w:left="567" w:hanging="567"/>
        <w:rPr>
          <w:rFonts w:eastAsiaTheme="minorHAnsi"/>
          <w:szCs w:val="22"/>
          <w:lang w:val="en-AU" w:eastAsia="en-US"/>
        </w:rPr>
      </w:pPr>
      <w:r w:rsidRPr="00AD2807">
        <w:rPr>
          <w:rFonts w:eastAsiaTheme="minorHAnsi"/>
          <w:szCs w:val="22"/>
          <w:lang w:val="en-AU" w:eastAsia="en-US"/>
        </w:rPr>
        <w:t xml:space="preserve">We will respond to correspondence relating to the examination of your application within </w:t>
      </w:r>
      <w:r w:rsidRPr="00AD2807">
        <w:rPr>
          <w:rFonts w:eastAsiaTheme="minorHAnsi"/>
          <w:b/>
          <w:bCs/>
          <w:szCs w:val="22"/>
          <w:lang w:val="en-AU" w:eastAsia="en-US"/>
        </w:rPr>
        <w:t xml:space="preserve">20 working days </w:t>
      </w:r>
      <w:r w:rsidRPr="00AD2807">
        <w:rPr>
          <w:rFonts w:eastAsiaTheme="minorHAnsi"/>
          <w:szCs w:val="22"/>
          <w:lang w:val="en-AU" w:eastAsia="en-US"/>
        </w:rPr>
        <w:t>of receiving the correspondence.</w:t>
      </w:r>
    </w:p>
    <w:p w:rsidR="006720DC" w:rsidRPr="00AD2807" w:rsidRDefault="006720DC" w:rsidP="006720DC">
      <w:pPr>
        <w:keepNext/>
        <w:shd w:val="clear" w:color="auto" w:fill="FFFFFF"/>
        <w:spacing w:after="225"/>
        <w:textAlignment w:val="top"/>
        <w:outlineLvl w:val="1"/>
        <w:rPr>
          <w:rFonts w:eastAsiaTheme="minorHAnsi"/>
          <w:i/>
          <w:szCs w:val="22"/>
          <w:lang w:val="en-AU" w:eastAsia="en-US"/>
        </w:rPr>
      </w:pPr>
      <w:r w:rsidRPr="00AD2807">
        <w:rPr>
          <w:rFonts w:eastAsiaTheme="minorHAnsi"/>
          <w:i/>
          <w:szCs w:val="22"/>
          <w:lang w:val="en-AU" w:eastAsia="en-US"/>
        </w:rPr>
        <w:t>Patent product quality standards tier 1</w:t>
      </w:r>
    </w:p>
    <w:p w:rsidR="006720DC" w:rsidRPr="00AD2807" w:rsidRDefault="006720DC" w:rsidP="006720DC">
      <w:pPr>
        <w:keepNext/>
        <w:shd w:val="clear" w:color="auto" w:fill="FFFFFF"/>
        <w:spacing w:after="225"/>
        <w:textAlignment w:val="top"/>
        <w:outlineLvl w:val="1"/>
        <w:rPr>
          <w:rFonts w:eastAsiaTheme="minorHAnsi"/>
          <w:szCs w:val="22"/>
          <w:lang w:val="en-AU" w:eastAsia="en-US"/>
        </w:rPr>
      </w:pPr>
      <w:r w:rsidRPr="00AD2807">
        <w:rPr>
          <w:rFonts w:eastAsiaTheme="minorHAnsi"/>
          <w:szCs w:val="22"/>
          <w:lang w:val="en-AU" w:eastAsia="en-US"/>
        </w:rPr>
        <w:t>Product quality standards that relate to matters which would adversely affect (or have the potential to affect) the validity of the Intellectual Property (IP) right:</w:t>
      </w:r>
    </w:p>
    <w:p w:rsidR="006720DC" w:rsidRPr="00AD2807" w:rsidRDefault="006720DC" w:rsidP="001D0D5B">
      <w:pPr>
        <w:pStyle w:val="ListParagraph"/>
        <w:keepNext/>
        <w:numPr>
          <w:ilvl w:val="0"/>
          <w:numId w:val="15"/>
        </w:numPr>
        <w:shd w:val="clear" w:color="auto" w:fill="FFFFFF"/>
        <w:spacing w:after="225"/>
        <w:ind w:left="567" w:hanging="567"/>
        <w:textAlignment w:val="top"/>
        <w:outlineLvl w:val="1"/>
        <w:rPr>
          <w:rFonts w:eastAsiaTheme="minorHAnsi"/>
          <w:szCs w:val="22"/>
          <w:lang w:val="en-AU" w:eastAsia="en-US"/>
        </w:rPr>
      </w:pPr>
      <w:r w:rsidRPr="00AD2807">
        <w:rPr>
          <w:rFonts w:eastAsiaTheme="minorHAnsi"/>
          <w:szCs w:val="22"/>
          <w:lang w:val="en-AU" w:eastAsia="en-US"/>
        </w:rPr>
        <w:t>correct search procedure is adopted for all searches</w:t>
      </w:r>
    </w:p>
    <w:p w:rsidR="006720DC" w:rsidRPr="00AD2807" w:rsidRDefault="006720DC" w:rsidP="001D0D5B">
      <w:pPr>
        <w:pStyle w:val="ListParagraph"/>
        <w:keepNext/>
        <w:numPr>
          <w:ilvl w:val="0"/>
          <w:numId w:val="15"/>
        </w:numPr>
        <w:shd w:val="clear" w:color="auto" w:fill="FFFFFF"/>
        <w:spacing w:after="225"/>
        <w:ind w:left="567" w:hanging="567"/>
        <w:textAlignment w:val="top"/>
        <w:outlineLvl w:val="1"/>
        <w:rPr>
          <w:rFonts w:eastAsiaTheme="minorHAnsi"/>
          <w:szCs w:val="22"/>
          <w:lang w:val="en-AU" w:eastAsia="en-US"/>
        </w:rPr>
      </w:pPr>
      <w:proofErr w:type="gramStart"/>
      <w:r w:rsidRPr="00AD2807">
        <w:rPr>
          <w:rFonts w:eastAsiaTheme="minorHAnsi"/>
          <w:szCs w:val="22"/>
          <w:lang w:val="en-AU" w:eastAsia="en-US"/>
        </w:rPr>
        <w:t>all</w:t>
      </w:r>
      <w:proofErr w:type="gramEnd"/>
      <w:r w:rsidRPr="00AD2807">
        <w:rPr>
          <w:rFonts w:eastAsiaTheme="minorHAnsi"/>
          <w:szCs w:val="22"/>
          <w:lang w:val="en-AU" w:eastAsia="en-US"/>
        </w:rPr>
        <w:t xml:space="preserve"> relevant objections/considerations which would adversely affect (or have the potential to affect) the validity of the patent are taken.</w:t>
      </w:r>
    </w:p>
    <w:p w:rsidR="006720DC" w:rsidRPr="00AD2807" w:rsidRDefault="006720DC" w:rsidP="006720DC">
      <w:pPr>
        <w:keepNext/>
        <w:shd w:val="clear" w:color="auto" w:fill="FFFFFF"/>
        <w:spacing w:after="225"/>
        <w:textAlignment w:val="top"/>
        <w:outlineLvl w:val="1"/>
        <w:rPr>
          <w:rFonts w:eastAsiaTheme="minorHAnsi"/>
          <w:szCs w:val="22"/>
          <w:lang w:val="en-AU" w:eastAsia="en-US"/>
        </w:rPr>
      </w:pPr>
      <w:r w:rsidRPr="00AD2807">
        <w:rPr>
          <w:rFonts w:eastAsiaTheme="minorHAnsi"/>
          <w:i/>
          <w:szCs w:val="22"/>
          <w:lang w:val="en-AU" w:eastAsia="en-US"/>
        </w:rPr>
        <w:t>Patent product quality standards tier 2</w:t>
      </w:r>
    </w:p>
    <w:p w:rsidR="006720DC" w:rsidRPr="00AD2807" w:rsidRDefault="006720DC" w:rsidP="006720DC">
      <w:pPr>
        <w:shd w:val="clear" w:color="auto" w:fill="FFFFFF"/>
        <w:autoSpaceDE w:val="0"/>
        <w:autoSpaceDN w:val="0"/>
        <w:spacing w:line="240" w:lineRule="atLeast"/>
        <w:rPr>
          <w:rFonts w:eastAsiaTheme="minorHAnsi"/>
          <w:szCs w:val="22"/>
          <w:lang w:val="en-AU" w:eastAsia="en-US"/>
        </w:rPr>
      </w:pPr>
      <w:r w:rsidRPr="00AD2807">
        <w:rPr>
          <w:rFonts w:eastAsiaTheme="minorHAnsi"/>
          <w:szCs w:val="22"/>
          <w:lang w:val="en-AU" w:eastAsia="en-US"/>
        </w:rPr>
        <w:t>Product quality standards that relate to matters which would require a considerable amount of rework and/or inconvenience to the applicant or IP Australia:</w:t>
      </w:r>
    </w:p>
    <w:p w:rsidR="006720DC" w:rsidRPr="00AD2807" w:rsidRDefault="006720DC" w:rsidP="001D0D5B">
      <w:pPr>
        <w:pStyle w:val="ListParagraph"/>
        <w:numPr>
          <w:ilvl w:val="0"/>
          <w:numId w:val="16"/>
        </w:numPr>
        <w:shd w:val="clear" w:color="auto" w:fill="FFFFFF"/>
        <w:autoSpaceDE w:val="0"/>
        <w:autoSpaceDN w:val="0"/>
        <w:spacing w:line="240" w:lineRule="atLeast"/>
        <w:ind w:left="567" w:hanging="567"/>
        <w:rPr>
          <w:rFonts w:eastAsiaTheme="minorHAnsi"/>
          <w:szCs w:val="22"/>
          <w:lang w:val="en-AU" w:eastAsia="en-US"/>
        </w:rPr>
      </w:pPr>
      <w:r w:rsidRPr="00AD2807">
        <w:rPr>
          <w:rFonts w:eastAsiaTheme="minorHAnsi"/>
          <w:szCs w:val="22"/>
          <w:lang w:val="en-AU" w:eastAsia="en-US"/>
        </w:rPr>
        <w:t>all other important objections/considerations are taken</w:t>
      </w:r>
    </w:p>
    <w:p w:rsidR="006720DC" w:rsidRPr="00AD2807" w:rsidRDefault="006720DC" w:rsidP="001D0D5B">
      <w:pPr>
        <w:pStyle w:val="ListParagraph"/>
        <w:numPr>
          <w:ilvl w:val="0"/>
          <w:numId w:val="16"/>
        </w:numPr>
        <w:shd w:val="clear" w:color="auto" w:fill="FFFFFF"/>
        <w:autoSpaceDE w:val="0"/>
        <w:autoSpaceDN w:val="0"/>
        <w:spacing w:line="240" w:lineRule="atLeast"/>
        <w:ind w:left="567" w:hanging="567"/>
        <w:rPr>
          <w:rFonts w:eastAsiaTheme="minorHAnsi"/>
          <w:szCs w:val="22"/>
          <w:lang w:val="en-AU" w:eastAsia="en-US"/>
        </w:rPr>
      </w:pPr>
      <w:r w:rsidRPr="00AD2807">
        <w:rPr>
          <w:rFonts w:eastAsiaTheme="minorHAnsi"/>
          <w:szCs w:val="22"/>
          <w:lang w:val="en-AU" w:eastAsia="en-US"/>
        </w:rPr>
        <w:t>the report/opinion is free of invalid objections/considerations</w:t>
      </w:r>
    </w:p>
    <w:p w:rsidR="006720DC" w:rsidRPr="00AD2807" w:rsidRDefault="006720DC" w:rsidP="001D0D5B">
      <w:pPr>
        <w:pStyle w:val="ListParagraph"/>
        <w:numPr>
          <w:ilvl w:val="0"/>
          <w:numId w:val="16"/>
        </w:numPr>
        <w:shd w:val="clear" w:color="auto" w:fill="FFFFFF"/>
        <w:autoSpaceDE w:val="0"/>
        <w:autoSpaceDN w:val="0"/>
        <w:spacing w:line="240" w:lineRule="atLeast"/>
        <w:ind w:left="567" w:hanging="567"/>
        <w:rPr>
          <w:rFonts w:eastAsiaTheme="minorHAnsi"/>
          <w:szCs w:val="22"/>
          <w:lang w:val="en-AU" w:eastAsia="en-US"/>
        </w:rPr>
      </w:pPr>
      <w:r w:rsidRPr="00AD2807">
        <w:rPr>
          <w:rFonts w:eastAsiaTheme="minorHAnsi"/>
          <w:szCs w:val="22"/>
          <w:lang w:val="en-AU" w:eastAsia="en-US"/>
        </w:rPr>
        <w:t>all reports and opinions are comprehensive and informative</w:t>
      </w:r>
    </w:p>
    <w:p w:rsidR="006720DC" w:rsidRPr="00AD2807" w:rsidRDefault="006720DC" w:rsidP="006720DC">
      <w:pPr>
        <w:shd w:val="clear" w:color="auto" w:fill="FFFFFF"/>
        <w:autoSpaceDE w:val="0"/>
        <w:autoSpaceDN w:val="0"/>
        <w:spacing w:line="240" w:lineRule="atLeast"/>
        <w:rPr>
          <w:rFonts w:eastAsiaTheme="minorHAnsi"/>
          <w:szCs w:val="22"/>
          <w:lang w:val="en-AU" w:eastAsia="en-US"/>
        </w:rPr>
      </w:pPr>
    </w:p>
    <w:p w:rsidR="006720DC" w:rsidRPr="00AD2807" w:rsidRDefault="006720DC" w:rsidP="00B40E5F">
      <w:pPr>
        <w:keepNext/>
        <w:keepLines/>
        <w:shd w:val="clear" w:color="auto" w:fill="FFFFFF"/>
        <w:autoSpaceDE w:val="0"/>
        <w:autoSpaceDN w:val="0"/>
        <w:spacing w:line="240" w:lineRule="atLeast"/>
        <w:rPr>
          <w:rFonts w:eastAsiaTheme="minorHAnsi"/>
          <w:i/>
          <w:szCs w:val="22"/>
          <w:lang w:val="en-AU" w:eastAsia="en-US"/>
        </w:rPr>
      </w:pPr>
      <w:r w:rsidRPr="00AD2807">
        <w:rPr>
          <w:rFonts w:eastAsiaTheme="minorHAnsi"/>
          <w:i/>
          <w:szCs w:val="22"/>
          <w:lang w:val="en-AU" w:eastAsia="en-US"/>
        </w:rPr>
        <w:t>Patent product quality standards tier 3</w:t>
      </w:r>
    </w:p>
    <w:p w:rsidR="006720DC" w:rsidRPr="00AD2807" w:rsidRDefault="006720DC" w:rsidP="00B40E5F">
      <w:pPr>
        <w:keepNext/>
        <w:keepLines/>
        <w:shd w:val="clear" w:color="auto" w:fill="FFFFFF"/>
        <w:autoSpaceDE w:val="0"/>
        <w:autoSpaceDN w:val="0"/>
        <w:spacing w:line="240" w:lineRule="atLeast"/>
        <w:rPr>
          <w:rFonts w:eastAsiaTheme="minorHAnsi"/>
          <w:i/>
          <w:szCs w:val="22"/>
          <w:lang w:val="en-AU" w:eastAsia="en-US"/>
        </w:rPr>
      </w:pPr>
    </w:p>
    <w:p w:rsidR="006720DC" w:rsidRPr="00AD2807" w:rsidRDefault="006720DC" w:rsidP="00B40E5F">
      <w:pPr>
        <w:keepNext/>
        <w:keepLines/>
        <w:shd w:val="clear" w:color="auto" w:fill="FFFFFF"/>
        <w:autoSpaceDE w:val="0"/>
        <w:autoSpaceDN w:val="0"/>
        <w:spacing w:line="240" w:lineRule="atLeast"/>
        <w:rPr>
          <w:rFonts w:eastAsiaTheme="minorHAnsi"/>
          <w:szCs w:val="22"/>
          <w:lang w:val="en-AU" w:eastAsia="en-US"/>
        </w:rPr>
      </w:pPr>
      <w:r w:rsidRPr="00AD2807">
        <w:rPr>
          <w:rFonts w:eastAsiaTheme="minorHAnsi"/>
          <w:szCs w:val="22"/>
          <w:lang w:val="en-AU" w:eastAsia="en-US"/>
        </w:rPr>
        <w:t>Product quality standards that relate to other important procedures required by the patents manual:</w:t>
      </w:r>
    </w:p>
    <w:p w:rsidR="006720DC" w:rsidRPr="00AD2807" w:rsidRDefault="006720DC" w:rsidP="001D0D5B">
      <w:pPr>
        <w:pStyle w:val="ListParagraph"/>
        <w:keepNext/>
        <w:keepLines/>
        <w:numPr>
          <w:ilvl w:val="0"/>
          <w:numId w:val="17"/>
        </w:numPr>
        <w:shd w:val="clear" w:color="auto" w:fill="FFFFFF"/>
        <w:autoSpaceDE w:val="0"/>
        <w:autoSpaceDN w:val="0"/>
        <w:spacing w:line="240" w:lineRule="atLeast"/>
        <w:ind w:left="567" w:hanging="567"/>
        <w:rPr>
          <w:rFonts w:eastAsiaTheme="minorHAnsi"/>
          <w:szCs w:val="22"/>
          <w:lang w:val="en-AU" w:eastAsia="en-US"/>
        </w:rPr>
      </w:pPr>
      <w:r w:rsidRPr="00AD2807">
        <w:rPr>
          <w:rFonts w:eastAsiaTheme="minorHAnsi"/>
          <w:szCs w:val="22"/>
          <w:lang w:val="en-AU" w:eastAsia="en-US"/>
        </w:rPr>
        <w:t>search results are correctly communicated and stored</w:t>
      </w:r>
    </w:p>
    <w:p w:rsidR="006720DC" w:rsidRPr="00AD2807" w:rsidRDefault="006720DC" w:rsidP="001D0D5B">
      <w:pPr>
        <w:pStyle w:val="ListParagraph"/>
        <w:numPr>
          <w:ilvl w:val="0"/>
          <w:numId w:val="17"/>
        </w:numPr>
        <w:shd w:val="clear" w:color="auto" w:fill="FFFFFF"/>
        <w:autoSpaceDE w:val="0"/>
        <w:autoSpaceDN w:val="0"/>
        <w:spacing w:line="240" w:lineRule="atLeast"/>
        <w:ind w:left="567" w:hanging="567"/>
        <w:rPr>
          <w:rFonts w:eastAsiaTheme="minorHAnsi" w:cs="Times New Roman"/>
          <w:lang w:val="en-AU" w:eastAsia="en-US"/>
        </w:rPr>
      </w:pPr>
      <w:proofErr w:type="gramStart"/>
      <w:r w:rsidRPr="00AD2807">
        <w:rPr>
          <w:rFonts w:eastAsiaTheme="minorHAnsi"/>
          <w:szCs w:val="22"/>
          <w:lang w:val="en-AU" w:eastAsia="en-US"/>
        </w:rPr>
        <w:t>written</w:t>
      </w:r>
      <w:proofErr w:type="gramEnd"/>
      <w:r w:rsidRPr="00AD2807">
        <w:rPr>
          <w:rFonts w:eastAsiaTheme="minorHAnsi"/>
          <w:szCs w:val="22"/>
          <w:lang w:val="en-AU" w:eastAsia="en-US"/>
        </w:rPr>
        <w:t xml:space="preserve"> formalities are complete and correct.</w:t>
      </w:r>
    </w:p>
    <w:p w:rsidR="006720DC" w:rsidRPr="00AD2807" w:rsidRDefault="006720DC" w:rsidP="006720DC">
      <w:pPr>
        <w:pStyle w:val="SectionHeading"/>
        <w:rPr>
          <w:lang w:val="en-AU"/>
        </w:rPr>
      </w:pPr>
      <w:r w:rsidRPr="00AD2807">
        <w:rPr>
          <w:lang w:val="en-AU"/>
        </w:rPr>
        <w:t>3 – Intended Scope of Operation</w:t>
      </w:r>
    </w:p>
    <w:p w:rsidR="006720DC" w:rsidRPr="00AD2807" w:rsidRDefault="006720DC" w:rsidP="001D0D5B">
      <w:pPr>
        <w:keepNext/>
        <w:rPr>
          <w:szCs w:val="22"/>
          <w:lang w:val="en-AU"/>
        </w:rPr>
      </w:pPr>
      <w:r w:rsidRPr="00AD2807">
        <w:rPr>
          <w:b/>
          <w:bCs/>
          <w:szCs w:val="22"/>
          <w:lang w:val="en-AU"/>
        </w:rPr>
        <w:t>Language(s) in which services would be offered</w:t>
      </w:r>
      <w:r w:rsidR="001D0D5B">
        <w:rPr>
          <w:b/>
          <w:bCs/>
          <w:szCs w:val="22"/>
          <w:lang w:val="en-AU"/>
        </w:rPr>
        <w:t xml:space="preserve">:  </w:t>
      </w:r>
      <w:r w:rsidRPr="00AD2807">
        <w:rPr>
          <w:szCs w:val="22"/>
          <w:lang w:val="en-AU"/>
        </w:rPr>
        <w:t>English</w:t>
      </w:r>
    </w:p>
    <w:p w:rsidR="006720DC" w:rsidRPr="00AD2807" w:rsidRDefault="006720DC" w:rsidP="001D0D5B">
      <w:pPr>
        <w:keepNext/>
        <w:rPr>
          <w:b/>
          <w:bCs/>
          <w:szCs w:val="22"/>
          <w:lang w:val="en-AU"/>
        </w:rPr>
      </w:pPr>
    </w:p>
    <w:p w:rsidR="006720DC" w:rsidRPr="00AD2807" w:rsidRDefault="006720DC" w:rsidP="001D0D5B">
      <w:pPr>
        <w:keepLines/>
        <w:rPr>
          <w:szCs w:val="22"/>
          <w:lang w:val="en-AU"/>
        </w:rPr>
      </w:pPr>
      <w:r w:rsidRPr="00AD2807">
        <w:rPr>
          <w:b/>
          <w:bCs/>
          <w:szCs w:val="22"/>
          <w:lang w:val="en-AU"/>
        </w:rPr>
        <w:t>State(s) or receiving Office(s) for which Authority is competent</w:t>
      </w:r>
      <w:r w:rsidR="001D0D5B">
        <w:rPr>
          <w:b/>
          <w:bCs/>
          <w:szCs w:val="22"/>
          <w:lang w:val="en-AU"/>
        </w:rPr>
        <w:t xml:space="preserve">:  </w:t>
      </w:r>
      <w:r w:rsidRPr="00AD2807">
        <w:rPr>
          <w:szCs w:val="22"/>
          <w:lang w:val="en-AU"/>
        </w:rPr>
        <w:t>The APO acts as a competent ISA for Australia, Brunei, Ghana, Indonesia, India, International Bureau (For Nationals and Residents of Nigeria, Saint Lucia, Saint Vincent and the Grenadines, Sri Lanka and United Arab Emirates), Kenya, Republic of Korea, Liberia, Malaysia, New Zealand, Papua New Guinea, Philippines, Singapore, Thailand, United States of America, Viet Nam, South Africa and Zimbabwe</w:t>
      </w:r>
    </w:p>
    <w:p w:rsidR="006720DC" w:rsidRPr="00AD2807" w:rsidRDefault="006720DC" w:rsidP="006720DC">
      <w:pPr>
        <w:rPr>
          <w:szCs w:val="22"/>
          <w:lang w:val="en-AU"/>
        </w:rPr>
      </w:pPr>
    </w:p>
    <w:p w:rsidR="006720DC" w:rsidRPr="00AD2807" w:rsidRDefault="006720DC" w:rsidP="006720DC">
      <w:pPr>
        <w:rPr>
          <w:szCs w:val="22"/>
          <w:lang w:val="en-AU"/>
        </w:rPr>
      </w:pPr>
      <w:r w:rsidRPr="00AD2807">
        <w:rPr>
          <w:b/>
          <w:bCs/>
          <w:szCs w:val="22"/>
          <w:lang w:val="en-AU"/>
        </w:rPr>
        <w:t>Limitations on scope of operation</w:t>
      </w:r>
      <w:r w:rsidR="001D0D5B">
        <w:rPr>
          <w:b/>
          <w:bCs/>
          <w:szCs w:val="22"/>
          <w:lang w:val="en-AU"/>
        </w:rPr>
        <w:t xml:space="preserve">:  </w:t>
      </w:r>
      <w:r w:rsidRPr="00AD2807">
        <w:rPr>
          <w:szCs w:val="22"/>
          <w:lang w:val="en-AU"/>
        </w:rPr>
        <w:t>The APO does not have any limits on the scope of its operation except for which States it acts as a competent authority.</w:t>
      </w:r>
    </w:p>
    <w:p w:rsidR="006720DC" w:rsidRPr="00AD2807" w:rsidRDefault="006720DC" w:rsidP="006720DC">
      <w:pPr>
        <w:pStyle w:val="SectionHeading"/>
        <w:rPr>
          <w:lang w:val="en-AU"/>
        </w:rPr>
      </w:pPr>
      <w:r w:rsidRPr="00AD2807">
        <w:rPr>
          <w:lang w:val="en-AU"/>
        </w:rPr>
        <w:t>4 – Statement of Motivation</w:t>
      </w:r>
    </w:p>
    <w:p w:rsidR="006720DC" w:rsidRPr="00AD2807" w:rsidRDefault="006720DC" w:rsidP="006720DC">
      <w:pPr>
        <w:rPr>
          <w:szCs w:val="22"/>
          <w:lang w:val="en-AU"/>
        </w:rPr>
      </w:pPr>
      <w:r w:rsidRPr="00AD2807">
        <w:rPr>
          <w:szCs w:val="22"/>
          <w:lang w:val="en-AU"/>
        </w:rPr>
        <w:t>IP Australia recognises WIPO as the primary forum for advancing Australia’s IP interests internationally and we will continue to play a bridge-building role, supporting WIPO to help ensure it is an efficient and effective international organisation</w:t>
      </w:r>
      <w:r w:rsidR="001D0D5B">
        <w:rPr>
          <w:szCs w:val="22"/>
          <w:lang w:val="en-AU"/>
        </w:rPr>
        <w:t xml:space="preserve">.  </w:t>
      </w:r>
      <w:r w:rsidRPr="00AD2807">
        <w:rPr>
          <w:szCs w:val="22"/>
          <w:lang w:val="en-AU"/>
        </w:rPr>
        <w:t>As a result of successive agreements between the Australian Government and the International Bureau, the APO has been an ISA/IPEA since 31 March 1980 and we have built a strong reputation within the PCT community</w:t>
      </w:r>
      <w:r w:rsidR="001D0D5B">
        <w:rPr>
          <w:szCs w:val="22"/>
          <w:lang w:val="en-AU"/>
        </w:rPr>
        <w:t xml:space="preserve">.  </w:t>
      </w:r>
      <w:r w:rsidRPr="00AD2807">
        <w:rPr>
          <w:szCs w:val="22"/>
          <w:lang w:val="en-AU"/>
        </w:rPr>
        <w:t>We continue to demonstrate support for WIPO, including prioritizing PCT reforms, as it is the preeminent body for the development of international IP law and practice</w:t>
      </w:r>
      <w:r w:rsidR="001D0D5B">
        <w:rPr>
          <w:szCs w:val="22"/>
          <w:lang w:val="en-AU"/>
        </w:rPr>
        <w:t xml:space="preserve">.  </w:t>
      </w:r>
      <w:r w:rsidRPr="00AD2807">
        <w:rPr>
          <w:szCs w:val="22"/>
          <w:lang w:val="en-AU"/>
        </w:rPr>
        <w:t xml:space="preserve">Our participation in various technical and policy meetings and committees assists Australian applications through streamlined international IP </w:t>
      </w:r>
      <w:proofErr w:type="gramStart"/>
      <w:r w:rsidRPr="00AD2807">
        <w:rPr>
          <w:szCs w:val="22"/>
          <w:lang w:val="en-AU"/>
        </w:rPr>
        <w:t>systems,</w:t>
      </w:r>
      <w:proofErr w:type="gramEnd"/>
      <w:r w:rsidRPr="00AD2807">
        <w:rPr>
          <w:szCs w:val="22"/>
          <w:lang w:val="en-AU"/>
        </w:rPr>
        <w:t xml:space="preserve"> improved quality through Office based work-sharing initiatives, and enhanced usability of the PCT</w:t>
      </w:r>
      <w:r w:rsidR="001D0D5B">
        <w:rPr>
          <w:szCs w:val="22"/>
          <w:lang w:val="en-AU"/>
        </w:rPr>
        <w:t xml:space="preserve">.  </w:t>
      </w:r>
      <w:r w:rsidRPr="00AD2807">
        <w:rPr>
          <w:szCs w:val="22"/>
          <w:lang w:val="en-AU"/>
        </w:rPr>
        <w:t>Continuing our appointment as an International Authority underpins our ongoing international engagement</w:t>
      </w:r>
      <w:r w:rsidR="001D0D5B">
        <w:rPr>
          <w:szCs w:val="22"/>
          <w:lang w:val="en-AU"/>
        </w:rPr>
        <w:t xml:space="preserve">:  </w:t>
      </w:r>
      <w:r w:rsidRPr="00AD2807">
        <w:rPr>
          <w:szCs w:val="22"/>
          <w:lang w:val="en-AU"/>
        </w:rPr>
        <w:t>as an organisation we strive to bridge the divide between developing and developed nations in WIPO, delivering innovative international products and capacity-building in the Asia-Pacific region</w:t>
      </w:r>
      <w:r w:rsidR="001D0D5B">
        <w:rPr>
          <w:szCs w:val="22"/>
          <w:lang w:val="en-AU"/>
        </w:rPr>
        <w:t xml:space="preserve">.  </w:t>
      </w:r>
      <w:r w:rsidRPr="00AD2807">
        <w:rPr>
          <w:szCs w:val="22"/>
          <w:lang w:val="en-AU"/>
        </w:rPr>
        <w:t>We do so through various cooperation activities and leading by best example.</w:t>
      </w:r>
    </w:p>
    <w:p w:rsidR="006720DC" w:rsidRPr="00AD2807" w:rsidRDefault="006720DC" w:rsidP="006720DC">
      <w:pPr>
        <w:rPr>
          <w:szCs w:val="22"/>
          <w:lang w:val="en-AU"/>
        </w:rPr>
      </w:pPr>
    </w:p>
    <w:p w:rsidR="006720DC" w:rsidRPr="00AD2807" w:rsidRDefault="006720DC" w:rsidP="006720DC">
      <w:pPr>
        <w:rPr>
          <w:szCs w:val="22"/>
          <w:lang w:val="en-AU"/>
        </w:rPr>
      </w:pPr>
      <w:r w:rsidRPr="00AD2807">
        <w:rPr>
          <w:szCs w:val="22"/>
          <w:lang w:val="en-AU"/>
        </w:rPr>
        <w:t>The Regional Patent Examination Training Program (RPET), for example, has been an ongoing award-winning success, with positive feedback from participants and the wider global IP community</w:t>
      </w:r>
      <w:r w:rsidR="001D0D5B">
        <w:rPr>
          <w:szCs w:val="22"/>
          <w:lang w:val="en-AU"/>
        </w:rPr>
        <w:t xml:space="preserve">.  </w:t>
      </w:r>
      <w:r w:rsidRPr="00AD2807">
        <w:rPr>
          <w:szCs w:val="22"/>
          <w:lang w:val="en-AU"/>
        </w:rPr>
        <w:t>As a world-first in virtual training, RPET continues to provide a key mechanism for enhancing search and examination practices in the region</w:t>
      </w:r>
      <w:r w:rsidR="001D0D5B">
        <w:rPr>
          <w:szCs w:val="22"/>
          <w:lang w:val="en-AU"/>
        </w:rPr>
        <w:t xml:space="preserve">.  </w:t>
      </w:r>
      <w:r w:rsidRPr="00AD2807">
        <w:rPr>
          <w:szCs w:val="22"/>
          <w:lang w:val="en-AU"/>
        </w:rPr>
        <w:t>RPET provides a comprehensive end-to-end training program and infrastructure that:</w:t>
      </w:r>
    </w:p>
    <w:p w:rsidR="006720DC" w:rsidRPr="00AD2807" w:rsidRDefault="006720DC" w:rsidP="006720DC">
      <w:pPr>
        <w:pStyle w:val="ListParagraph"/>
        <w:numPr>
          <w:ilvl w:val="0"/>
          <w:numId w:val="18"/>
        </w:numPr>
        <w:rPr>
          <w:szCs w:val="22"/>
          <w:lang w:val="en-AU"/>
        </w:rPr>
      </w:pPr>
      <w:r w:rsidRPr="00AD2807">
        <w:rPr>
          <w:szCs w:val="22"/>
          <w:lang w:val="en-AU"/>
        </w:rPr>
        <w:t>provides for more sustainable patent examination training to overseas offices; and</w:t>
      </w:r>
    </w:p>
    <w:p w:rsidR="006720DC" w:rsidRPr="00AD2807" w:rsidRDefault="006720DC" w:rsidP="006720DC">
      <w:pPr>
        <w:pStyle w:val="ListParagraph"/>
        <w:numPr>
          <w:ilvl w:val="0"/>
          <w:numId w:val="18"/>
        </w:numPr>
        <w:rPr>
          <w:szCs w:val="22"/>
          <w:lang w:val="en-AU"/>
        </w:rPr>
      </w:pPr>
      <w:proofErr w:type="gramStart"/>
      <w:r w:rsidRPr="00AD2807">
        <w:rPr>
          <w:szCs w:val="22"/>
          <w:lang w:val="en-AU"/>
        </w:rPr>
        <w:t>can</w:t>
      </w:r>
      <w:proofErr w:type="gramEnd"/>
      <w:r w:rsidRPr="00AD2807">
        <w:rPr>
          <w:szCs w:val="22"/>
          <w:lang w:val="en-AU"/>
        </w:rPr>
        <w:t xml:space="preserve"> be leveraged to support work sharing and cooperative initiatives with other IP offices.</w:t>
      </w:r>
    </w:p>
    <w:p w:rsidR="006720DC" w:rsidRPr="00AD2807" w:rsidRDefault="006720DC" w:rsidP="006720DC">
      <w:pPr>
        <w:pStyle w:val="ListParagraph"/>
        <w:rPr>
          <w:szCs w:val="22"/>
          <w:lang w:val="en-AU"/>
        </w:rPr>
      </w:pPr>
    </w:p>
    <w:p w:rsidR="006720DC" w:rsidRPr="00AD2807" w:rsidRDefault="006720DC" w:rsidP="006720DC">
      <w:pPr>
        <w:rPr>
          <w:szCs w:val="22"/>
          <w:lang w:val="en-AU"/>
        </w:rPr>
      </w:pPr>
      <w:r w:rsidRPr="00AD2807">
        <w:rPr>
          <w:szCs w:val="22"/>
          <w:lang w:val="en-AU"/>
        </w:rPr>
        <w:t>Through RPET, patent examination standards in participating offices are enhanced, leading to the grant of higher quality patents and increased business confidence throughout the ASEAN region</w:t>
      </w:r>
      <w:r w:rsidR="001D0D5B">
        <w:rPr>
          <w:szCs w:val="22"/>
          <w:lang w:val="en-AU"/>
        </w:rPr>
        <w:t xml:space="preserve">.  </w:t>
      </w:r>
      <w:r w:rsidRPr="00AD2807">
        <w:rPr>
          <w:szCs w:val="22"/>
          <w:lang w:val="en-AU"/>
        </w:rPr>
        <w:t xml:space="preserve">Effective collaboration enhances our reputation as a quality and committed provider of IP training and development, also strengthening senior and working level relationships with participating offices and program partners.  </w:t>
      </w:r>
    </w:p>
    <w:p w:rsidR="006720DC" w:rsidRPr="00AD2807" w:rsidRDefault="006720DC" w:rsidP="006720DC">
      <w:pPr>
        <w:rPr>
          <w:szCs w:val="22"/>
          <w:lang w:val="en-AU"/>
        </w:rPr>
      </w:pPr>
    </w:p>
    <w:p w:rsidR="006720DC" w:rsidRPr="00AD2807" w:rsidRDefault="006720DC" w:rsidP="006720DC">
      <w:pPr>
        <w:rPr>
          <w:szCs w:val="22"/>
          <w:lang w:val="en-AU"/>
        </w:rPr>
      </w:pPr>
      <w:r w:rsidRPr="00AD2807">
        <w:rPr>
          <w:szCs w:val="22"/>
          <w:lang w:val="en-AU"/>
        </w:rPr>
        <w:t>Another example of our regional engagement, Australia’s WIPO Funds-In-Trust (FIT), was first established in 2012.  We have worked closely with WIPO and recipient member states to deliver practical outcomes towards improved IP systems globally, but principally in the Indo-Pacific</w:t>
      </w:r>
      <w:r w:rsidR="001D0D5B">
        <w:rPr>
          <w:szCs w:val="22"/>
          <w:lang w:val="en-AU"/>
        </w:rPr>
        <w:t xml:space="preserve">.  </w:t>
      </w:r>
      <w:r w:rsidRPr="00AD2807">
        <w:rPr>
          <w:szCs w:val="22"/>
          <w:lang w:val="en-AU"/>
        </w:rPr>
        <w:t xml:space="preserve"> The initiative, WIPO </w:t>
      </w:r>
      <w:proofErr w:type="spellStart"/>
      <w:r w:rsidRPr="00AD2807">
        <w:rPr>
          <w:szCs w:val="22"/>
          <w:lang w:val="en-AU"/>
        </w:rPr>
        <w:t>Re</w:t>
      </w:r>
      <w:proofErr w:type="gramStart"/>
      <w:r w:rsidRPr="00AD2807">
        <w:rPr>
          <w:szCs w:val="22"/>
          <w:lang w:val="en-AU"/>
        </w:rPr>
        <w:t>:Search</w:t>
      </w:r>
      <w:proofErr w:type="spellEnd"/>
      <w:proofErr w:type="gramEnd"/>
      <w:r w:rsidRPr="00AD2807">
        <w:rPr>
          <w:szCs w:val="22"/>
          <w:lang w:val="en-AU"/>
        </w:rPr>
        <w:t>, has been particularly successful, facilitating collaborative research on neglected tropical diseases</w:t>
      </w:r>
      <w:r w:rsidR="001D0D5B">
        <w:rPr>
          <w:szCs w:val="22"/>
          <w:lang w:val="en-AU"/>
        </w:rPr>
        <w:t xml:space="preserve">.  </w:t>
      </w:r>
      <w:r w:rsidRPr="00AD2807">
        <w:rPr>
          <w:szCs w:val="22"/>
          <w:lang w:val="en-AU"/>
        </w:rPr>
        <w:t>Improved IP systems, administration and technology transfer in the region benefits Australians seeking to trade in these countries.  The FIT also provides a range of humanitarian benefits in line with broader Australian Government priorities (e.g. access to books for persons with impaired vision in developing countries)</w:t>
      </w:r>
      <w:r w:rsidR="001D0D5B">
        <w:rPr>
          <w:szCs w:val="22"/>
          <w:lang w:val="en-AU"/>
        </w:rPr>
        <w:t xml:space="preserve">.  </w:t>
      </w:r>
      <w:r w:rsidRPr="00AD2807">
        <w:rPr>
          <w:szCs w:val="22"/>
          <w:lang w:val="en-AU"/>
        </w:rPr>
        <w:t xml:space="preserve">The FIT has also increased Australia’s profile, credibility and standing in WIPO amongst member states and WIPO’s Secretariat.  This strengthens our reputation as a constructive contributor to WIPO’s normative agenda and improved geographical reach of WIPO’s global systems and services to business stakeholders. </w:t>
      </w:r>
    </w:p>
    <w:p w:rsidR="006720DC" w:rsidRPr="00AD2807" w:rsidRDefault="006720DC" w:rsidP="006720DC">
      <w:pPr>
        <w:rPr>
          <w:szCs w:val="22"/>
          <w:lang w:val="en-AU"/>
        </w:rPr>
      </w:pPr>
    </w:p>
    <w:p w:rsidR="006720DC" w:rsidRPr="00AD2807" w:rsidRDefault="006720DC" w:rsidP="006720DC">
      <w:pPr>
        <w:rPr>
          <w:szCs w:val="22"/>
          <w:lang w:val="en-AU"/>
        </w:rPr>
      </w:pPr>
      <w:r w:rsidRPr="00AD2807">
        <w:rPr>
          <w:szCs w:val="22"/>
          <w:lang w:val="en-AU"/>
        </w:rPr>
        <w:t>IP Australia has an interest in promoting development of the IP system to the benefit of our users and we do this by collaborating with other IP Offices to influence regional and global IP system development</w:t>
      </w:r>
      <w:r w:rsidR="001D0D5B">
        <w:rPr>
          <w:szCs w:val="22"/>
          <w:lang w:val="en-AU"/>
        </w:rPr>
        <w:t xml:space="preserve">.  </w:t>
      </w:r>
      <w:r w:rsidRPr="00AD2807">
        <w:rPr>
          <w:szCs w:val="22"/>
          <w:lang w:val="en-AU"/>
        </w:rPr>
        <w:t>We do this by working with similar mid-size offices, such as UK-IPO and CIPO, on sharing search strategies and we work with other donors on capacity-building activities</w:t>
      </w:r>
      <w:r w:rsidR="001D0D5B">
        <w:rPr>
          <w:szCs w:val="22"/>
          <w:lang w:val="en-AU"/>
        </w:rPr>
        <w:t xml:space="preserve">.  </w:t>
      </w:r>
      <w:r w:rsidRPr="00AD2807">
        <w:rPr>
          <w:szCs w:val="22"/>
          <w:lang w:val="en-AU"/>
        </w:rPr>
        <w:t>As an ISA/IPEA, we can continue to influence development of the international IP system from a position of operational credibility, supporting other IP Offices and systems in the Asia-Pacific region</w:t>
      </w:r>
      <w:r w:rsidR="001D0D5B">
        <w:rPr>
          <w:szCs w:val="22"/>
          <w:lang w:val="en-AU"/>
        </w:rPr>
        <w:t xml:space="preserve">.  </w:t>
      </w:r>
      <w:r w:rsidRPr="00AD2807">
        <w:rPr>
          <w:szCs w:val="22"/>
          <w:lang w:val="en-AU"/>
        </w:rPr>
        <w:t>The services we provide as an ISA/IPEA are highly valued and sought-after by Australian innovators: the overwhelming majority of Australian applicants choose IP Australia as their ISA and as well as applicants from other jurisdictions, including the United States of America, New Zealand, Singapore, Malaysia and the Republic of Korea, use our ISA services</w:t>
      </w:r>
      <w:r w:rsidR="001D0D5B">
        <w:rPr>
          <w:szCs w:val="22"/>
          <w:lang w:val="en-AU"/>
        </w:rPr>
        <w:t xml:space="preserve">.  </w:t>
      </w:r>
      <w:r w:rsidRPr="00AD2807">
        <w:rPr>
          <w:szCs w:val="22"/>
          <w:lang w:val="en-AU"/>
        </w:rPr>
        <w:t>We provide world-class patent search and examination services at an early stage in the international patent application process</w:t>
      </w:r>
      <w:r w:rsidR="001D0D5B">
        <w:rPr>
          <w:szCs w:val="22"/>
          <w:lang w:val="en-AU"/>
        </w:rPr>
        <w:t xml:space="preserve">.  </w:t>
      </w:r>
      <w:r w:rsidRPr="00AD2807">
        <w:rPr>
          <w:szCs w:val="22"/>
          <w:lang w:val="en-AU"/>
        </w:rPr>
        <w:t>This provides considerable benefit for industry and technology in Australia, in part because the examination and support staff are readily accessible to applicants and/or their legal advisers</w:t>
      </w:r>
      <w:r w:rsidR="001D0D5B">
        <w:rPr>
          <w:szCs w:val="22"/>
          <w:lang w:val="en-AU"/>
        </w:rPr>
        <w:t xml:space="preserve">.  </w:t>
      </w:r>
      <w:r w:rsidRPr="00AD2807">
        <w:rPr>
          <w:szCs w:val="22"/>
          <w:lang w:val="en-AU"/>
        </w:rPr>
        <w:t>This represents a large skills and knowledge base conveniently available to the business and research sector</w:t>
      </w:r>
      <w:r w:rsidR="001D0D5B">
        <w:rPr>
          <w:szCs w:val="22"/>
          <w:lang w:val="en-AU"/>
        </w:rPr>
        <w:t xml:space="preserve">.  </w:t>
      </w:r>
      <w:r w:rsidRPr="00AD2807">
        <w:rPr>
          <w:szCs w:val="22"/>
          <w:lang w:val="en-AU"/>
        </w:rPr>
        <w:t xml:space="preserve">This assists Australian innovators to make early decisions about their patent application, potentially saving them time and expense.  </w:t>
      </w:r>
    </w:p>
    <w:p w:rsidR="006720DC" w:rsidRPr="00AD2807" w:rsidRDefault="006720DC" w:rsidP="006720DC">
      <w:pPr>
        <w:pStyle w:val="SectionHeading"/>
        <w:rPr>
          <w:lang w:val="en-AU"/>
        </w:rPr>
      </w:pPr>
      <w:r w:rsidRPr="00AD2807">
        <w:rPr>
          <w:lang w:val="en-AU"/>
        </w:rPr>
        <w:t>5 – Profile of Patent Applications</w:t>
      </w:r>
    </w:p>
    <w:p w:rsidR="006720DC" w:rsidRPr="00B40E5F" w:rsidRDefault="006720DC" w:rsidP="00B40E5F">
      <w:pPr>
        <w:rPr>
          <w:i/>
        </w:rPr>
      </w:pPr>
      <w:r w:rsidRPr="00B40E5F">
        <w:rPr>
          <w:i/>
        </w:rPr>
        <w:t>Source: Sourced from IP Australia’s Internal Reporting Team.</w:t>
      </w:r>
    </w:p>
    <w:p w:rsidR="006720DC" w:rsidRPr="00AD2807" w:rsidRDefault="006720DC" w:rsidP="006720DC">
      <w:pPr>
        <w:rPr>
          <w:szCs w:val="22"/>
          <w:lang w:val="en-AU"/>
        </w:rPr>
      </w:pPr>
    </w:p>
    <w:p w:rsidR="006720DC" w:rsidRPr="00AD2807" w:rsidRDefault="006720DC" w:rsidP="006720DC">
      <w:pPr>
        <w:rPr>
          <w:rFonts w:eastAsiaTheme="minorHAnsi" w:cs="Times New Roman"/>
          <w:b/>
          <w:bCs/>
          <w:lang w:val="en-AU" w:eastAsia="en-US"/>
        </w:rPr>
      </w:pPr>
      <w:r w:rsidRPr="00AD2807">
        <w:rPr>
          <w:rFonts w:eastAsiaTheme="minorHAnsi" w:cs="Times New Roman"/>
          <w:b/>
          <w:bCs/>
          <w:lang w:val="en-AU" w:eastAsia="en-US"/>
        </w:rPr>
        <w:t>Number of national applications received – by technical field</w:t>
      </w:r>
    </w:p>
    <w:tbl>
      <w:tblPr>
        <w:tblW w:w="83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83"/>
        <w:gridCol w:w="1276"/>
        <w:gridCol w:w="1276"/>
        <w:gridCol w:w="1276"/>
        <w:gridCol w:w="1275"/>
        <w:gridCol w:w="993"/>
      </w:tblGrid>
      <w:tr w:rsidR="00AD2807" w:rsidRPr="00AD2807" w:rsidTr="00950C75">
        <w:trPr>
          <w:trHeight w:val="292"/>
        </w:trPr>
        <w:tc>
          <w:tcPr>
            <w:tcW w:w="2283" w:type="dxa"/>
            <w:noWrap/>
            <w:tcMar>
              <w:top w:w="0" w:type="dxa"/>
              <w:left w:w="108" w:type="dxa"/>
              <w:bottom w:w="0" w:type="dxa"/>
              <w:right w:w="108" w:type="dxa"/>
            </w:tcMar>
            <w:vAlign w:val="bottom"/>
            <w:hideMark/>
          </w:tcPr>
          <w:p w:rsidR="006720DC" w:rsidRPr="00AD2807" w:rsidRDefault="006720DC" w:rsidP="00950C75">
            <w:pPr>
              <w:rPr>
                <w:rFonts w:ascii="Times New Roman" w:eastAsia="Times New Roman" w:hAnsi="Times New Roman" w:cs="Times New Roman"/>
                <w:sz w:val="20"/>
                <w:lang w:val="en-AU" w:eastAsia="en-AU"/>
              </w:rPr>
            </w:pPr>
          </w:p>
        </w:tc>
        <w:tc>
          <w:tcPr>
            <w:tcW w:w="1276"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2012</w:t>
            </w:r>
          </w:p>
        </w:tc>
        <w:tc>
          <w:tcPr>
            <w:tcW w:w="1276"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2013</w:t>
            </w:r>
          </w:p>
        </w:tc>
        <w:tc>
          <w:tcPr>
            <w:tcW w:w="1276"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2014</w:t>
            </w:r>
          </w:p>
        </w:tc>
        <w:tc>
          <w:tcPr>
            <w:tcW w:w="1275"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2015</w:t>
            </w:r>
          </w:p>
        </w:tc>
        <w:tc>
          <w:tcPr>
            <w:tcW w:w="993"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2016</w:t>
            </w:r>
          </w:p>
        </w:tc>
      </w:tr>
      <w:tr w:rsidR="00AD2807" w:rsidRPr="00AD2807" w:rsidTr="00950C75">
        <w:trPr>
          <w:trHeight w:val="292"/>
        </w:trPr>
        <w:tc>
          <w:tcPr>
            <w:tcW w:w="2283" w:type="dxa"/>
            <w:noWrap/>
            <w:tcMar>
              <w:top w:w="0" w:type="dxa"/>
              <w:left w:w="108" w:type="dxa"/>
              <w:bottom w:w="0" w:type="dxa"/>
              <w:right w:w="108" w:type="dxa"/>
            </w:tcMar>
            <w:vAlign w:val="bottom"/>
            <w:hideMark/>
          </w:tcPr>
          <w:p w:rsidR="006720DC" w:rsidRPr="00AD2807" w:rsidRDefault="006720DC" w:rsidP="00950C75">
            <w:pPr>
              <w:rPr>
                <w:rFonts w:ascii="Calibri" w:eastAsiaTheme="minorHAnsi" w:hAnsi="Calibri" w:cs="Calibri"/>
                <w:szCs w:val="22"/>
                <w:lang w:val="en-AU"/>
              </w:rPr>
            </w:pPr>
            <w:r w:rsidRPr="00AD2807">
              <w:rPr>
                <w:rFonts w:eastAsiaTheme="minorHAnsi" w:cs="Times New Roman"/>
                <w:lang w:val="en-AU"/>
              </w:rPr>
              <w:t>Not indexed</w:t>
            </w:r>
          </w:p>
        </w:tc>
        <w:tc>
          <w:tcPr>
            <w:tcW w:w="1276"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4</w:t>
            </w:r>
          </w:p>
        </w:tc>
        <w:tc>
          <w:tcPr>
            <w:tcW w:w="1276"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4</w:t>
            </w:r>
          </w:p>
        </w:tc>
        <w:tc>
          <w:tcPr>
            <w:tcW w:w="1276"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2</w:t>
            </w:r>
          </w:p>
        </w:tc>
        <w:tc>
          <w:tcPr>
            <w:tcW w:w="1275"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5</w:t>
            </w:r>
          </w:p>
        </w:tc>
        <w:tc>
          <w:tcPr>
            <w:tcW w:w="993"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12</w:t>
            </w:r>
          </w:p>
        </w:tc>
      </w:tr>
      <w:tr w:rsidR="00AD2807" w:rsidRPr="00AD2807" w:rsidTr="00950C75">
        <w:trPr>
          <w:trHeight w:val="292"/>
        </w:trPr>
        <w:tc>
          <w:tcPr>
            <w:tcW w:w="2283" w:type="dxa"/>
            <w:noWrap/>
            <w:tcMar>
              <w:top w:w="0" w:type="dxa"/>
              <w:left w:w="108" w:type="dxa"/>
              <w:bottom w:w="0" w:type="dxa"/>
              <w:right w:w="108" w:type="dxa"/>
            </w:tcMar>
            <w:vAlign w:val="bottom"/>
            <w:hideMark/>
          </w:tcPr>
          <w:p w:rsidR="006720DC" w:rsidRPr="00AD2807" w:rsidRDefault="006720DC" w:rsidP="00950C75">
            <w:pPr>
              <w:rPr>
                <w:rFonts w:ascii="Calibri" w:eastAsiaTheme="minorHAnsi" w:hAnsi="Calibri" w:cs="Calibri"/>
                <w:szCs w:val="22"/>
                <w:lang w:val="en-AU"/>
              </w:rPr>
            </w:pPr>
            <w:r w:rsidRPr="00AD2807">
              <w:rPr>
                <w:rFonts w:eastAsiaTheme="minorHAnsi" w:cs="Times New Roman"/>
                <w:lang w:val="en-AU"/>
              </w:rPr>
              <w:t>Chemical</w:t>
            </w:r>
          </w:p>
        </w:tc>
        <w:tc>
          <w:tcPr>
            <w:tcW w:w="1276"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8,881</w:t>
            </w:r>
          </w:p>
        </w:tc>
        <w:tc>
          <w:tcPr>
            <w:tcW w:w="1276"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10,144</w:t>
            </w:r>
          </w:p>
        </w:tc>
        <w:tc>
          <w:tcPr>
            <w:tcW w:w="1276"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8,395</w:t>
            </w:r>
          </w:p>
        </w:tc>
        <w:tc>
          <w:tcPr>
            <w:tcW w:w="1275"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9,354</w:t>
            </w:r>
          </w:p>
        </w:tc>
        <w:tc>
          <w:tcPr>
            <w:tcW w:w="993"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9,205</w:t>
            </w:r>
          </w:p>
        </w:tc>
      </w:tr>
      <w:tr w:rsidR="00AD2807" w:rsidRPr="00AD2807" w:rsidTr="00950C75">
        <w:trPr>
          <w:trHeight w:val="292"/>
        </w:trPr>
        <w:tc>
          <w:tcPr>
            <w:tcW w:w="2283" w:type="dxa"/>
            <w:noWrap/>
            <w:tcMar>
              <w:top w:w="0" w:type="dxa"/>
              <w:left w:w="108" w:type="dxa"/>
              <w:bottom w:w="0" w:type="dxa"/>
              <w:right w:w="108" w:type="dxa"/>
            </w:tcMar>
            <w:vAlign w:val="bottom"/>
            <w:hideMark/>
          </w:tcPr>
          <w:p w:rsidR="006720DC" w:rsidRPr="00AD2807" w:rsidRDefault="006720DC" w:rsidP="00950C75">
            <w:pPr>
              <w:rPr>
                <w:rFonts w:ascii="Calibri" w:eastAsiaTheme="minorHAnsi" w:hAnsi="Calibri" w:cs="Calibri"/>
                <w:szCs w:val="22"/>
                <w:lang w:val="en-AU"/>
              </w:rPr>
            </w:pPr>
            <w:r w:rsidRPr="00AD2807">
              <w:rPr>
                <w:rFonts w:eastAsiaTheme="minorHAnsi" w:cs="Times New Roman"/>
                <w:lang w:val="en-AU"/>
              </w:rPr>
              <w:t>Electrical</w:t>
            </w:r>
          </w:p>
        </w:tc>
        <w:tc>
          <w:tcPr>
            <w:tcW w:w="1276"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6,977</w:t>
            </w:r>
          </w:p>
        </w:tc>
        <w:tc>
          <w:tcPr>
            <w:tcW w:w="1276"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7,625</w:t>
            </w:r>
          </w:p>
        </w:tc>
        <w:tc>
          <w:tcPr>
            <w:tcW w:w="1276"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7,071</w:t>
            </w:r>
          </w:p>
        </w:tc>
        <w:tc>
          <w:tcPr>
            <w:tcW w:w="1275"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7,943</w:t>
            </w:r>
          </w:p>
        </w:tc>
        <w:tc>
          <w:tcPr>
            <w:tcW w:w="993"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7,979</w:t>
            </w:r>
          </w:p>
        </w:tc>
      </w:tr>
      <w:tr w:rsidR="00AD2807" w:rsidRPr="00AD2807" w:rsidTr="00950C75">
        <w:trPr>
          <w:trHeight w:val="292"/>
        </w:trPr>
        <w:tc>
          <w:tcPr>
            <w:tcW w:w="2283" w:type="dxa"/>
            <w:noWrap/>
            <w:tcMar>
              <w:top w:w="0" w:type="dxa"/>
              <w:left w:w="108" w:type="dxa"/>
              <w:bottom w:w="0" w:type="dxa"/>
              <w:right w:w="108" w:type="dxa"/>
            </w:tcMar>
            <w:vAlign w:val="bottom"/>
            <w:hideMark/>
          </w:tcPr>
          <w:p w:rsidR="006720DC" w:rsidRPr="00AD2807" w:rsidRDefault="006720DC" w:rsidP="00950C75">
            <w:pPr>
              <w:rPr>
                <w:rFonts w:ascii="Calibri" w:eastAsiaTheme="minorHAnsi" w:hAnsi="Calibri" w:cs="Calibri"/>
                <w:szCs w:val="22"/>
                <w:lang w:val="en-AU"/>
              </w:rPr>
            </w:pPr>
            <w:r w:rsidRPr="00AD2807">
              <w:rPr>
                <w:rFonts w:eastAsiaTheme="minorHAnsi" w:cs="Times New Roman"/>
                <w:lang w:val="en-AU"/>
              </w:rPr>
              <w:t>Mechanical</w:t>
            </w:r>
          </w:p>
        </w:tc>
        <w:tc>
          <w:tcPr>
            <w:tcW w:w="1276"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10,477</w:t>
            </w:r>
          </w:p>
        </w:tc>
        <w:tc>
          <w:tcPr>
            <w:tcW w:w="1276"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11,883</w:t>
            </w:r>
          </w:p>
        </w:tc>
        <w:tc>
          <w:tcPr>
            <w:tcW w:w="1276"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10,469</w:t>
            </w:r>
          </w:p>
        </w:tc>
        <w:tc>
          <w:tcPr>
            <w:tcW w:w="1275"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11,326</w:t>
            </w:r>
          </w:p>
        </w:tc>
        <w:tc>
          <w:tcPr>
            <w:tcW w:w="993"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11,227</w:t>
            </w:r>
          </w:p>
        </w:tc>
      </w:tr>
      <w:tr w:rsidR="00AD2807" w:rsidRPr="00AD2807" w:rsidTr="00950C75">
        <w:trPr>
          <w:trHeight w:val="292"/>
        </w:trPr>
        <w:tc>
          <w:tcPr>
            <w:tcW w:w="2283" w:type="dxa"/>
            <w:noWrap/>
            <w:tcMar>
              <w:top w:w="0" w:type="dxa"/>
              <w:left w:w="108" w:type="dxa"/>
              <w:bottom w:w="0" w:type="dxa"/>
              <w:right w:w="108" w:type="dxa"/>
            </w:tcMar>
            <w:vAlign w:val="bottom"/>
          </w:tcPr>
          <w:p w:rsidR="006720DC" w:rsidRPr="00AD2807" w:rsidRDefault="006720DC" w:rsidP="00950C75">
            <w:pPr>
              <w:rPr>
                <w:rFonts w:eastAsiaTheme="minorHAnsi" w:cs="Times New Roman"/>
                <w:lang w:val="en-AU"/>
              </w:rPr>
            </w:pPr>
            <w:r w:rsidRPr="00AD2807">
              <w:rPr>
                <w:rFonts w:eastAsiaTheme="minorHAnsi" w:cs="Times New Roman"/>
                <w:lang w:val="en-AU"/>
              </w:rPr>
              <w:t>Total</w:t>
            </w:r>
          </w:p>
        </w:tc>
        <w:tc>
          <w:tcPr>
            <w:tcW w:w="1276" w:type="dxa"/>
            <w:noWrap/>
            <w:tcMar>
              <w:top w:w="0" w:type="dxa"/>
              <w:left w:w="108" w:type="dxa"/>
              <w:bottom w:w="0" w:type="dxa"/>
              <w:right w:w="108" w:type="dxa"/>
            </w:tcMar>
            <w:vAlign w:val="bottom"/>
          </w:tcPr>
          <w:p w:rsidR="006720DC" w:rsidRPr="00AD2807" w:rsidRDefault="006720DC" w:rsidP="00950C75">
            <w:pPr>
              <w:jc w:val="right"/>
              <w:rPr>
                <w:rFonts w:eastAsiaTheme="minorHAnsi" w:cs="Times New Roman"/>
                <w:lang w:val="en-AU"/>
              </w:rPr>
            </w:pPr>
            <w:r w:rsidRPr="00AD2807">
              <w:rPr>
                <w:rFonts w:eastAsiaTheme="minorHAnsi" w:cs="Times New Roman"/>
                <w:lang w:val="en-AU"/>
              </w:rPr>
              <w:t>26,339</w:t>
            </w:r>
          </w:p>
        </w:tc>
        <w:tc>
          <w:tcPr>
            <w:tcW w:w="1276" w:type="dxa"/>
            <w:noWrap/>
            <w:tcMar>
              <w:top w:w="0" w:type="dxa"/>
              <w:left w:w="108" w:type="dxa"/>
              <w:bottom w:w="0" w:type="dxa"/>
              <w:right w:w="108" w:type="dxa"/>
            </w:tcMar>
            <w:vAlign w:val="bottom"/>
          </w:tcPr>
          <w:p w:rsidR="006720DC" w:rsidRPr="00AD2807" w:rsidRDefault="006720DC" w:rsidP="00950C75">
            <w:pPr>
              <w:jc w:val="right"/>
              <w:rPr>
                <w:rFonts w:eastAsiaTheme="minorHAnsi" w:cs="Times New Roman"/>
                <w:lang w:val="en-AU"/>
              </w:rPr>
            </w:pPr>
            <w:r w:rsidRPr="00AD2807">
              <w:rPr>
                <w:rFonts w:eastAsiaTheme="minorHAnsi" w:cs="Times New Roman"/>
                <w:lang w:val="en-AU"/>
              </w:rPr>
              <w:t>29,656</w:t>
            </w:r>
          </w:p>
        </w:tc>
        <w:tc>
          <w:tcPr>
            <w:tcW w:w="1276" w:type="dxa"/>
            <w:noWrap/>
            <w:tcMar>
              <w:top w:w="0" w:type="dxa"/>
              <w:left w:w="108" w:type="dxa"/>
              <w:bottom w:w="0" w:type="dxa"/>
              <w:right w:w="108" w:type="dxa"/>
            </w:tcMar>
            <w:vAlign w:val="bottom"/>
          </w:tcPr>
          <w:p w:rsidR="006720DC" w:rsidRPr="00AD2807" w:rsidRDefault="006720DC" w:rsidP="00950C75">
            <w:pPr>
              <w:jc w:val="right"/>
              <w:rPr>
                <w:rFonts w:eastAsiaTheme="minorHAnsi" w:cs="Times New Roman"/>
                <w:lang w:val="en-AU"/>
              </w:rPr>
            </w:pPr>
            <w:r w:rsidRPr="00AD2807">
              <w:rPr>
                <w:rFonts w:eastAsiaTheme="minorHAnsi" w:cs="Times New Roman"/>
                <w:lang w:val="en-AU"/>
              </w:rPr>
              <w:t>25,937</w:t>
            </w:r>
          </w:p>
        </w:tc>
        <w:tc>
          <w:tcPr>
            <w:tcW w:w="1275" w:type="dxa"/>
            <w:noWrap/>
            <w:tcMar>
              <w:top w:w="0" w:type="dxa"/>
              <w:left w:w="108" w:type="dxa"/>
              <w:bottom w:w="0" w:type="dxa"/>
              <w:right w:w="108" w:type="dxa"/>
            </w:tcMar>
            <w:vAlign w:val="bottom"/>
          </w:tcPr>
          <w:p w:rsidR="006720DC" w:rsidRPr="00AD2807" w:rsidRDefault="006720DC" w:rsidP="00950C75">
            <w:pPr>
              <w:jc w:val="right"/>
              <w:rPr>
                <w:rFonts w:eastAsiaTheme="minorHAnsi" w:cs="Times New Roman"/>
                <w:lang w:val="en-AU"/>
              </w:rPr>
            </w:pPr>
            <w:r w:rsidRPr="00AD2807">
              <w:rPr>
                <w:rFonts w:eastAsiaTheme="minorHAnsi" w:cs="Times New Roman"/>
                <w:lang w:val="en-AU"/>
              </w:rPr>
              <w:t>28,628</w:t>
            </w:r>
          </w:p>
        </w:tc>
        <w:tc>
          <w:tcPr>
            <w:tcW w:w="993" w:type="dxa"/>
            <w:noWrap/>
            <w:tcMar>
              <w:top w:w="0" w:type="dxa"/>
              <w:left w:w="108" w:type="dxa"/>
              <w:bottom w:w="0" w:type="dxa"/>
              <w:right w:w="108" w:type="dxa"/>
            </w:tcMar>
            <w:vAlign w:val="bottom"/>
          </w:tcPr>
          <w:p w:rsidR="006720DC" w:rsidRPr="00AD2807" w:rsidRDefault="006720DC" w:rsidP="00950C75">
            <w:pPr>
              <w:jc w:val="right"/>
              <w:rPr>
                <w:rFonts w:eastAsiaTheme="minorHAnsi" w:cs="Times New Roman"/>
                <w:lang w:val="en-AU"/>
              </w:rPr>
            </w:pPr>
            <w:r w:rsidRPr="00AD2807">
              <w:rPr>
                <w:rFonts w:eastAsiaTheme="minorHAnsi" w:cs="Times New Roman"/>
                <w:lang w:val="en-AU"/>
              </w:rPr>
              <w:t>28,423</w:t>
            </w:r>
          </w:p>
        </w:tc>
      </w:tr>
    </w:tbl>
    <w:p w:rsidR="006720DC" w:rsidRPr="00AD2807" w:rsidRDefault="006720DC" w:rsidP="006720DC">
      <w:pPr>
        <w:rPr>
          <w:rFonts w:eastAsiaTheme="minorHAnsi" w:cs="Times New Roman"/>
          <w:lang w:val="en-AU" w:eastAsia="en-US"/>
        </w:rPr>
      </w:pPr>
    </w:p>
    <w:p w:rsidR="006720DC" w:rsidRPr="00AD2807" w:rsidRDefault="006720DC" w:rsidP="006720DC">
      <w:pPr>
        <w:rPr>
          <w:rFonts w:eastAsiaTheme="minorHAnsi" w:cs="Times New Roman"/>
          <w:b/>
          <w:bCs/>
          <w:lang w:val="en-AU" w:eastAsia="en-US"/>
        </w:rPr>
      </w:pPr>
      <w:r w:rsidRPr="00AD2807">
        <w:rPr>
          <w:rFonts w:eastAsiaTheme="minorHAnsi" w:cs="Times New Roman"/>
          <w:b/>
          <w:bCs/>
          <w:lang w:val="en-AU" w:eastAsia="en-US"/>
        </w:rPr>
        <w:t>Number of national applications received – by route</w:t>
      </w:r>
    </w:p>
    <w:tbl>
      <w:tblPr>
        <w:tblW w:w="83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50"/>
        <w:gridCol w:w="1134"/>
        <w:gridCol w:w="1134"/>
        <w:gridCol w:w="993"/>
        <w:gridCol w:w="1134"/>
        <w:gridCol w:w="1134"/>
      </w:tblGrid>
      <w:tr w:rsidR="00AD2807" w:rsidRPr="00AD2807" w:rsidTr="00950C75">
        <w:trPr>
          <w:trHeight w:val="312"/>
        </w:trPr>
        <w:tc>
          <w:tcPr>
            <w:tcW w:w="2850" w:type="dxa"/>
            <w:noWrap/>
            <w:tcMar>
              <w:top w:w="0" w:type="dxa"/>
              <w:left w:w="108" w:type="dxa"/>
              <w:bottom w:w="0" w:type="dxa"/>
              <w:right w:w="108" w:type="dxa"/>
            </w:tcMar>
            <w:vAlign w:val="bottom"/>
            <w:hideMark/>
          </w:tcPr>
          <w:p w:rsidR="006720DC" w:rsidRPr="00AD2807" w:rsidRDefault="006720DC" w:rsidP="00950C75">
            <w:pPr>
              <w:rPr>
                <w:rFonts w:ascii="Times New Roman" w:eastAsia="Times New Roman" w:hAnsi="Times New Roman" w:cs="Times New Roman"/>
                <w:sz w:val="20"/>
                <w:lang w:val="en-AU" w:eastAsia="en-AU"/>
              </w:rPr>
            </w:pPr>
          </w:p>
        </w:tc>
        <w:tc>
          <w:tcPr>
            <w:tcW w:w="1134"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2012</w:t>
            </w:r>
          </w:p>
        </w:tc>
        <w:tc>
          <w:tcPr>
            <w:tcW w:w="1134"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2013</w:t>
            </w:r>
          </w:p>
        </w:tc>
        <w:tc>
          <w:tcPr>
            <w:tcW w:w="993"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2014</w:t>
            </w:r>
          </w:p>
        </w:tc>
        <w:tc>
          <w:tcPr>
            <w:tcW w:w="1134"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2015</w:t>
            </w:r>
          </w:p>
        </w:tc>
        <w:tc>
          <w:tcPr>
            <w:tcW w:w="1134"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2016</w:t>
            </w:r>
          </w:p>
        </w:tc>
      </w:tr>
      <w:tr w:rsidR="00AD2807" w:rsidRPr="00AD2807" w:rsidTr="00950C75">
        <w:trPr>
          <w:trHeight w:val="312"/>
        </w:trPr>
        <w:tc>
          <w:tcPr>
            <w:tcW w:w="2850" w:type="dxa"/>
            <w:noWrap/>
            <w:tcMar>
              <w:top w:w="0" w:type="dxa"/>
              <w:left w:w="108" w:type="dxa"/>
              <w:bottom w:w="0" w:type="dxa"/>
              <w:right w:w="108" w:type="dxa"/>
            </w:tcMar>
            <w:vAlign w:val="bottom"/>
            <w:hideMark/>
          </w:tcPr>
          <w:p w:rsidR="006720DC" w:rsidRPr="00AD2807" w:rsidRDefault="006720DC" w:rsidP="00950C75">
            <w:pPr>
              <w:rPr>
                <w:rFonts w:eastAsiaTheme="minorHAnsi" w:cs="Times New Roman"/>
                <w:lang w:val="en-AU"/>
              </w:rPr>
            </w:pPr>
            <w:r w:rsidRPr="00AD2807">
              <w:rPr>
                <w:rFonts w:eastAsiaTheme="minorHAnsi" w:cs="Times New Roman"/>
                <w:lang w:val="en-AU"/>
              </w:rPr>
              <w:t>Standard direct (AU)</w:t>
            </w:r>
          </w:p>
        </w:tc>
        <w:tc>
          <w:tcPr>
            <w:tcW w:w="1134" w:type="dxa"/>
            <w:noWrap/>
            <w:tcMar>
              <w:top w:w="0" w:type="dxa"/>
              <w:left w:w="108" w:type="dxa"/>
              <w:bottom w:w="0" w:type="dxa"/>
              <w:right w:w="108" w:type="dxa"/>
            </w:tcMar>
            <w:hideMark/>
          </w:tcPr>
          <w:p w:rsidR="006720DC" w:rsidRPr="00AD2807" w:rsidRDefault="006720DC" w:rsidP="00950C75">
            <w:pPr>
              <w:jc w:val="right"/>
              <w:rPr>
                <w:rFonts w:eastAsiaTheme="minorHAnsi" w:cs="Times New Roman"/>
                <w:lang w:val="en-AU"/>
              </w:rPr>
            </w:pPr>
            <w:r w:rsidRPr="00AD2807">
              <w:rPr>
                <w:rFonts w:eastAsiaTheme="minorHAnsi" w:cs="Times New Roman"/>
                <w:lang w:val="en-AU"/>
              </w:rPr>
              <w:t>1,553</w:t>
            </w:r>
          </w:p>
        </w:tc>
        <w:tc>
          <w:tcPr>
            <w:tcW w:w="1134" w:type="dxa"/>
            <w:noWrap/>
            <w:tcMar>
              <w:top w:w="0" w:type="dxa"/>
              <w:left w:w="108" w:type="dxa"/>
              <w:bottom w:w="0" w:type="dxa"/>
              <w:right w:w="108" w:type="dxa"/>
            </w:tcMar>
            <w:hideMark/>
          </w:tcPr>
          <w:p w:rsidR="006720DC" w:rsidRPr="00AD2807" w:rsidRDefault="006720DC" w:rsidP="00950C75">
            <w:pPr>
              <w:jc w:val="right"/>
              <w:rPr>
                <w:rFonts w:eastAsiaTheme="minorHAnsi" w:cs="Times New Roman"/>
                <w:lang w:val="en-AU"/>
              </w:rPr>
            </w:pPr>
            <w:r w:rsidRPr="00AD2807">
              <w:rPr>
                <w:rFonts w:eastAsiaTheme="minorHAnsi" w:cs="Times New Roman"/>
                <w:lang w:val="en-AU"/>
              </w:rPr>
              <w:t>1,776</w:t>
            </w:r>
          </w:p>
        </w:tc>
        <w:tc>
          <w:tcPr>
            <w:tcW w:w="993" w:type="dxa"/>
            <w:noWrap/>
            <w:tcMar>
              <w:top w:w="0" w:type="dxa"/>
              <w:left w:w="108" w:type="dxa"/>
              <w:bottom w:w="0" w:type="dxa"/>
              <w:right w:w="108" w:type="dxa"/>
            </w:tcMar>
            <w:hideMark/>
          </w:tcPr>
          <w:p w:rsidR="006720DC" w:rsidRPr="00AD2807" w:rsidRDefault="006720DC" w:rsidP="00950C75">
            <w:pPr>
              <w:jc w:val="right"/>
              <w:rPr>
                <w:rFonts w:eastAsiaTheme="minorHAnsi" w:cs="Times New Roman"/>
                <w:lang w:val="en-AU"/>
              </w:rPr>
            </w:pPr>
            <w:r w:rsidRPr="00AD2807">
              <w:rPr>
                <w:rFonts w:eastAsiaTheme="minorHAnsi" w:cs="Times New Roman"/>
                <w:lang w:val="en-AU"/>
              </w:rPr>
              <w:t>1,223</w:t>
            </w:r>
          </w:p>
        </w:tc>
        <w:tc>
          <w:tcPr>
            <w:tcW w:w="1134" w:type="dxa"/>
            <w:noWrap/>
            <w:tcMar>
              <w:top w:w="0" w:type="dxa"/>
              <w:left w:w="108" w:type="dxa"/>
              <w:bottom w:w="0" w:type="dxa"/>
              <w:right w:w="108" w:type="dxa"/>
            </w:tcMar>
            <w:hideMark/>
          </w:tcPr>
          <w:p w:rsidR="006720DC" w:rsidRPr="00AD2807" w:rsidRDefault="006720DC" w:rsidP="00950C75">
            <w:pPr>
              <w:jc w:val="right"/>
              <w:rPr>
                <w:rFonts w:eastAsiaTheme="minorHAnsi" w:cs="Times New Roman"/>
                <w:lang w:val="en-AU"/>
              </w:rPr>
            </w:pPr>
            <w:r w:rsidRPr="00AD2807">
              <w:rPr>
                <w:rFonts w:eastAsiaTheme="minorHAnsi" w:cs="Times New Roman"/>
                <w:lang w:val="en-AU"/>
              </w:rPr>
              <w:t>1,371</w:t>
            </w:r>
          </w:p>
        </w:tc>
        <w:tc>
          <w:tcPr>
            <w:tcW w:w="1134" w:type="dxa"/>
            <w:noWrap/>
            <w:tcMar>
              <w:top w:w="0" w:type="dxa"/>
              <w:left w:w="108" w:type="dxa"/>
              <w:bottom w:w="0" w:type="dxa"/>
              <w:right w:w="108" w:type="dxa"/>
            </w:tcMar>
            <w:hideMark/>
          </w:tcPr>
          <w:p w:rsidR="006720DC" w:rsidRPr="00AD2807" w:rsidRDefault="006720DC" w:rsidP="00950C75">
            <w:pPr>
              <w:jc w:val="right"/>
              <w:rPr>
                <w:rFonts w:eastAsiaTheme="minorHAnsi" w:cs="Times New Roman"/>
                <w:lang w:val="en-AU"/>
              </w:rPr>
            </w:pPr>
            <w:r w:rsidRPr="00AD2807">
              <w:rPr>
                <w:rFonts w:eastAsiaTheme="minorHAnsi" w:cs="Times New Roman"/>
                <w:lang w:val="en-AU"/>
              </w:rPr>
              <w:t>1,620</w:t>
            </w:r>
          </w:p>
        </w:tc>
      </w:tr>
      <w:tr w:rsidR="00AD2807" w:rsidRPr="00AD2807" w:rsidTr="00950C75">
        <w:trPr>
          <w:trHeight w:val="312"/>
        </w:trPr>
        <w:tc>
          <w:tcPr>
            <w:tcW w:w="2850" w:type="dxa"/>
            <w:noWrap/>
            <w:tcMar>
              <w:top w:w="0" w:type="dxa"/>
              <w:left w:w="108" w:type="dxa"/>
              <w:bottom w:w="0" w:type="dxa"/>
              <w:right w:w="108" w:type="dxa"/>
            </w:tcMar>
            <w:vAlign w:val="bottom"/>
            <w:hideMark/>
          </w:tcPr>
          <w:p w:rsidR="006720DC" w:rsidRPr="00AD2807" w:rsidRDefault="006720DC" w:rsidP="00950C75">
            <w:pPr>
              <w:rPr>
                <w:rFonts w:eastAsiaTheme="minorHAnsi" w:cs="Times New Roman"/>
                <w:lang w:val="en-AU"/>
              </w:rPr>
            </w:pPr>
            <w:r w:rsidRPr="00AD2807">
              <w:rPr>
                <w:rFonts w:eastAsiaTheme="minorHAnsi" w:cs="Times New Roman"/>
                <w:lang w:val="en-AU"/>
              </w:rPr>
              <w:t>Standard direct (NON AU)</w:t>
            </w:r>
          </w:p>
        </w:tc>
        <w:tc>
          <w:tcPr>
            <w:tcW w:w="1134" w:type="dxa"/>
            <w:noWrap/>
            <w:tcMar>
              <w:top w:w="0" w:type="dxa"/>
              <w:left w:w="108" w:type="dxa"/>
              <w:bottom w:w="0" w:type="dxa"/>
              <w:right w:w="108" w:type="dxa"/>
            </w:tcMar>
            <w:hideMark/>
          </w:tcPr>
          <w:p w:rsidR="006720DC" w:rsidRPr="00AD2807" w:rsidRDefault="006720DC" w:rsidP="00950C75">
            <w:pPr>
              <w:jc w:val="right"/>
              <w:rPr>
                <w:rFonts w:eastAsiaTheme="minorHAnsi" w:cs="Times New Roman"/>
                <w:lang w:val="en-AU"/>
              </w:rPr>
            </w:pPr>
            <w:r w:rsidRPr="00AD2807">
              <w:rPr>
                <w:rFonts w:eastAsiaTheme="minorHAnsi" w:cs="Times New Roman"/>
                <w:lang w:val="en-AU"/>
              </w:rPr>
              <w:t>5,678</w:t>
            </w:r>
          </w:p>
        </w:tc>
        <w:tc>
          <w:tcPr>
            <w:tcW w:w="1134" w:type="dxa"/>
            <w:noWrap/>
            <w:tcMar>
              <w:top w:w="0" w:type="dxa"/>
              <w:left w:w="108" w:type="dxa"/>
              <w:bottom w:w="0" w:type="dxa"/>
              <w:right w:w="108" w:type="dxa"/>
            </w:tcMar>
            <w:hideMark/>
          </w:tcPr>
          <w:p w:rsidR="006720DC" w:rsidRPr="00AD2807" w:rsidRDefault="006720DC" w:rsidP="00950C75">
            <w:pPr>
              <w:jc w:val="right"/>
              <w:rPr>
                <w:rFonts w:eastAsiaTheme="minorHAnsi" w:cs="Times New Roman"/>
                <w:lang w:val="en-AU"/>
              </w:rPr>
            </w:pPr>
            <w:r w:rsidRPr="00AD2807">
              <w:rPr>
                <w:rFonts w:eastAsiaTheme="minorHAnsi" w:cs="Times New Roman"/>
                <w:lang w:val="en-AU"/>
              </w:rPr>
              <w:t>7,179</w:t>
            </w:r>
          </w:p>
        </w:tc>
        <w:tc>
          <w:tcPr>
            <w:tcW w:w="993" w:type="dxa"/>
            <w:noWrap/>
            <w:tcMar>
              <w:top w:w="0" w:type="dxa"/>
              <w:left w:w="108" w:type="dxa"/>
              <w:bottom w:w="0" w:type="dxa"/>
              <w:right w:w="108" w:type="dxa"/>
            </w:tcMar>
            <w:hideMark/>
          </w:tcPr>
          <w:p w:rsidR="006720DC" w:rsidRPr="00AD2807" w:rsidRDefault="006720DC" w:rsidP="00950C75">
            <w:pPr>
              <w:jc w:val="right"/>
              <w:rPr>
                <w:rFonts w:eastAsiaTheme="minorHAnsi" w:cs="Times New Roman"/>
                <w:lang w:val="en-AU"/>
              </w:rPr>
            </w:pPr>
            <w:r w:rsidRPr="00AD2807">
              <w:rPr>
                <w:rFonts w:eastAsiaTheme="minorHAnsi" w:cs="Times New Roman"/>
                <w:lang w:val="en-AU"/>
              </w:rPr>
              <w:t>5,520</w:t>
            </w:r>
          </w:p>
        </w:tc>
        <w:tc>
          <w:tcPr>
            <w:tcW w:w="1134" w:type="dxa"/>
            <w:noWrap/>
            <w:tcMar>
              <w:top w:w="0" w:type="dxa"/>
              <w:left w:w="108" w:type="dxa"/>
              <w:bottom w:w="0" w:type="dxa"/>
              <w:right w:w="108" w:type="dxa"/>
            </w:tcMar>
            <w:hideMark/>
          </w:tcPr>
          <w:p w:rsidR="006720DC" w:rsidRPr="00AD2807" w:rsidRDefault="006720DC" w:rsidP="00950C75">
            <w:pPr>
              <w:jc w:val="right"/>
              <w:rPr>
                <w:rFonts w:eastAsiaTheme="minorHAnsi" w:cs="Times New Roman"/>
                <w:lang w:val="en-AU"/>
              </w:rPr>
            </w:pPr>
            <w:r w:rsidRPr="00AD2807">
              <w:rPr>
                <w:rFonts w:eastAsiaTheme="minorHAnsi" w:cs="Times New Roman"/>
                <w:lang w:val="en-AU"/>
              </w:rPr>
              <w:t>6,193</w:t>
            </w:r>
          </w:p>
        </w:tc>
        <w:tc>
          <w:tcPr>
            <w:tcW w:w="1134" w:type="dxa"/>
            <w:noWrap/>
            <w:tcMar>
              <w:top w:w="0" w:type="dxa"/>
              <w:left w:w="108" w:type="dxa"/>
              <w:bottom w:w="0" w:type="dxa"/>
              <w:right w:w="108" w:type="dxa"/>
            </w:tcMar>
            <w:hideMark/>
          </w:tcPr>
          <w:p w:rsidR="006720DC" w:rsidRPr="00AD2807" w:rsidRDefault="006720DC" w:rsidP="00950C75">
            <w:pPr>
              <w:jc w:val="right"/>
              <w:rPr>
                <w:rFonts w:eastAsiaTheme="minorHAnsi" w:cs="Times New Roman"/>
                <w:lang w:val="en-AU"/>
              </w:rPr>
            </w:pPr>
            <w:r w:rsidRPr="00AD2807">
              <w:rPr>
                <w:rFonts w:eastAsiaTheme="minorHAnsi" w:cs="Times New Roman"/>
                <w:lang w:val="en-AU"/>
              </w:rPr>
              <w:t>7,400</w:t>
            </w:r>
          </w:p>
        </w:tc>
      </w:tr>
      <w:tr w:rsidR="00AD2807" w:rsidRPr="00AD2807" w:rsidTr="00950C75">
        <w:trPr>
          <w:trHeight w:val="312"/>
        </w:trPr>
        <w:tc>
          <w:tcPr>
            <w:tcW w:w="2850" w:type="dxa"/>
            <w:noWrap/>
            <w:tcMar>
              <w:top w:w="0" w:type="dxa"/>
              <w:left w:w="108" w:type="dxa"/>
              <w:bottom w:w="0" w:type="dxa"/>
              <w:right w:w="108" w:type="dxa"/>
            </w:tcMar>
            <w:vAlign w:val="bottom"/>
            <w:hideMark/>
          </w:tcPr>
          <w:p w:rsidR="006720DC" w:rsidRPr="00AD2807" w:rsidRDefault="006720DC" w:rsidP="00950C75">
            <w:pPr>
              <w:rPr>
                <w:rFonts w:eastAsiaTheme="minorHAnsi" w:cs="Times New Roman"/>
                <w:lang w:val="en-AU"/>
              </w:rPr>
            </w:pPr>
            <w:r w:rsidRPr="00AD2807">
              <w:rPr>
                <w:rFonts w:eastAsiaTheme="minorHAnsi" w:cs="Times New Roman"/>
                <w:lang w:val="en-AU"/>
              </w:rPr>
              <w:t>National Phase Entry</w:t>
            </w:r>
          </w:p>
        </w:tc>
        <w:tc>
          <w:tcPr>
            <w:tcW w:w="1134" w:type="dxa"/>
            <w:noWrap/>
            <w:tcMar>
              <w:top w:w="0" w:type="dxa"/>
              <w:left w:w="108" w:type="dxa"/>
              <w:bottom w:w="0" w:type="dxa"/>
              <w:right w:w="108" w:type="dxa"/>
            </w:tcMar>
            <w:vAlign w:val="bottom"/>
            <w:hideMark/>
          </w:tcPr>
          <w:p w:rsidR="006720DC" w:rsidRPr="00AD2807" w:rsidRDefault="006720DC" w:rsidP="00950C75">
            <w:pPr>
              <w:jc w:val="right"/>
              <w:rPr>
                <w:rFonts w:eastAsiaTheme="minorHAnsi" w:cs="Times New Roman"/>
                <w:lang w:val="en-AU"/>
              </w:rPr>
            </w:pPr>
            <w:r w:rsidRPr="00AD2807">
              <w:rPr>
                <w:rFonts w:eastAsiaTheme="minorHAnsi" w:cs="Times New Roman"/>
                <w:lang w:val="en-AU"/>
              </w:rPr>
              <w:t>19,108</w:t>
            </w:r>
          </w:p>
        </w:tc>
        <w:tc>
          <w:tcPr>
            <w:tcW w:w="1134" w:type="dxa"/>
            <w:noWrap/>
            <w:tcMar>
              <w:top w:w="0" w:type="dxa"/>
              <w:left w:w="108" w:type="dxa"/>
              <w:bottom w:w="0" w:type="dxa"/>
              <w:right w:w="108" w:type="dxa"/>
            </w:tcMar>
            <w:vAlign w:val="bottom"/>
            <w:hideMark/>
          </w:tcPr>
          <w:p w:rsidR="006720DC" w:rsidRPr="00AD2807" w:rsidRDefault="006720DC" w:rsidP="00950C75">
            <w:pPr>
              <w:jc w:val="right"/>
              <w:rPr>
                <w:rFonts w:eastAsiaTheme="minorHAnsi" w:cs="Times New Roman"/>
                <w:lang w:val="en-AU"/>
              </w:rPr>
            </w:pPr>
            <w:r w:rsidRPr="00AD2807">
              <w:rPr>
                <w:rFonts w:eastAsiaTheme="minorHAnsi" w:cs="Times New Roman"/>
                <w:lang w:val="en-AU"/>
              </w:rPr>
              <w:t>20,701</w:t>
            </w:r>
          </w:p>
        </w:tc>
        <w:tc>
          <w:tcPr>
            <w:tcW w:w="993" w:type="dxa"/>
            <w:noWrap/>
            <w:tcMar>
              <w:top w:w="0" w:type="dxa"/>
              <w:left w:w="108" w:type="dxa"/>
              <w:bottom w:w="0" w:type="dxa"/>
              <w:right w:w="108" w:type="dxa"/>
            </w:tcMar>
            <w:vAlign w:val="bottom"/>
            <w:hideMark/>
          </w:tcPr>
          <w:p w:rsidR="006720DC" w:rsidRPr="00AD2807" w:rsidRDefault="006720DC" w:rsidP="00950C75">
            <w:pPr>
              <w:jc w:val="right"/>
              <w:rPr>
                <w:rFonts w:eastAsiaTheme="minorHAnsi" w:cs="Times New Roman"/>
                <w:lang w:val="en-AU"/>
              </w:rPr>
            </w:pPr>
            <w:r w:rsidRPr="00AD2807">
              <w:rPr>
                <w:rFonts w:eastAsiaTheme="minorHAnsi" w:cs="Times New Roman"/>
                <w:lang w:val="en-AU"/>
              </w:rPr>
              <w:t>19,194</w:t>
            </w:r>
          </w:p>
        </w:tc>
        <w:tc>
          <w:tcPr>
            <w:tcW w:w="1134" w:type="dxa"/>
            <w:noWrap/>
            <w:tcMar>
              <w:top w:w="0" w:type="dxa"/>
              <w:left w:w="108" w:type="dxa"/>
              <w:bottom w:w="0" w:type="dxa"/>
              <w:right w:w="108" w:type="dxa"/>
            </w:tcMar>
            <w:vAlign w:val="bottom"/>
            <w:hideMark/>
          </w:tcPr>
          <w:p w:rsidR="006720DC" w:rsidRPr="00AD2807" w:rsidRDefault="006720DC" w:rsidP="00950C75">
            <w:pPr>
              <w:jc w:val="right"/>
              <w:rPr>
                <w:rFonts w:eastAsiaTheme="minorHAnsi" w:cs="Times New Roman"/>
                <w:lang w:val="en-AU"/>
              </w:rPr>
            </w:pPr>
            <w:r w:rsidRPr="00AD2807">
              <w:rPr>
                <w:rFonts w:eastAsiaTheme="minorHAnsi" w:cs="Times New Roman"/>
                <w:lang w:val="en-AU"/>
              </w:rPr>
              <w:t>21,064</w:t>
            </w:r>
          </w:p>
        </w:tc>
        <w:tc>
          <w:tcPr>
            <w:tcW w:w="1134" w:type="dxa"/>
            <w:noWrap/>
            <w:tcMar>
              <w:top w:w="0" w:type="dxa"/>
              <w:left w:w="108" w:type="dxa"/>
              <w:bottom w:w="0" w:type="dxa"/>
              <w:right w:w="108" w:type="dxa"/>
            </w:tcMar>
            <w:vAlign w:val="bottom"/>
            <w:hideMark/>
          </w:tcPr>
          <w:p w:rsidR="006720DC" w:rsidRPr="00AD2807" w:rsidRDefault="006720DC" w:rsidP="00950C75">
            <w:pPr>
              <w:jc w:val="right"/>
              <w:rPr>
                <w:rFonts w:eastAsiaTheme="minorHAnsi" w:cs="Times New Roman"/>
                <w:lang w:val="en-AU"/>
              </w:rPr>
            </w:pPr>
            <w:r w:rsidRPr="00AD2807">
              <w:rPr>
                <w:rFonts w:eastAsiaTheme="minorHAnsi" w:cs="Times New Roman"/>
                <w:lang w:val="en-AU"/>
              </w:rPr>
              <w:t>19,403</w:t>
            </w:r>
          </w:p>
        </w:tc>
      </w:tr>
      <w:tr w:rsidR="00AD2807" w:rsidRPr="00AD2807" w:rsidTr="00950C75">
        <w:trPr>
          <w:trHeight w:val="312"/>
        </w:trPr>
        <w:tc>
          <w:tcPr>
            <w:tcW w:w="2850" w:type="dxa"/>
            <w:noWrap/>
            <w:tcMar>
              <w:top w:w="0" w:type="dxa"/>
              <w:left w:w="108" w:type="dxa"/>
              <w:bottom w:w="0" w:type="dxa"/>
              <w:right w:w="108" w:type="dxa"/>
            </w:tcMar>
            <w:vAlign w:val="bottom"/>
          </w:tcPr>
          <w:p w:rsidR="006720DC" w:rsidRPr="00AD2807" w:rsidRDefault="006720DC" w:rsidP="00950C75">
            <w:pPr>
              <w:rPr>
                <w:rFonts w:eastAsiaTheme="minorHAnsi" w:cs="Times New Roman"/>
                <w:lang w:val="en-AU"/>
              </w:rPr>
            </w:pPr>
            <w:r w:rsidRPr="00AD2807">
              <w:rPr>
                <w:rFonts w:eastAsiaTheme="minorHAnsi" w:cs="Times New Roman"/>
                <w:lang w:val="en-AU"/>
              </w:rPr>
              <w:t>Total</w:t>
            </w:r>
          </w:p>
        </w:tc>
        <w:tc>
          <w:tcPr>
            <w:tcW w:w="1134" w:type="dxa"/>
            <w:noWrap/>
            <w:tcMar>
              <w:top w:w="0" w:type="dxa"/>
              <w:left w:w="108" w:type="dxa"/>
              <w:bottom w:w="0" w:type="dxa"/>
              <w:right w:w="108" w:type="dxa"/>
            </w:tcMar>
            <w:vAlign w:val="bottom"/>
          </w:tcPr>
          <w:p w:rsidR="006720DC" w:rsidRPr="00AD2807" w:rsidRDefault="006720DC" w:rsidP="00950C75">
            <w:pPr>
              <w:jc w:val="right"/>
              <w:rPr>
                <w:rFonts w:eastAsiaTheme="minorHAnsi" w:cs="Times New Roman"/>
                <w:lang w:val="en-AU"/>
              </w:rPr>
            </w:pPr>
            <w:r w:rsidRPr="00AD2807">
              <w:rPr>
                <w:rFonts w:eastAsiaTheme="minorHAnsi" w:cs="Times New Roman"/>
                <w:lang w:val="en-AU"/>
              </w:rPr>
              <w:t>26,339</w:t>
            </w:r>
          </w:p>
        </w:tc>
        <w:tc>
          <w:tcPr>
            <w:tcW w:w="1134" w:type="dxa"/>
            <w:noWrap/>
            <w:tcMar>
              <w:top w:w="0" w:type="dxa"/>
              <w:left w:w="108" w:type="dxa"/>
              <w:bottom w:w="0" w:type="dxa"/>
              <w:right w:w="108" w:type="dxa"/>
            </w:tcMar>
            <w:vAlign w:val="bottom"/>
          </w:tcPr>
          <w:p w:rsidR="006720DC" w:rsidRPr="00AD2807" w:rsidRDefault="006720DC" w:rsidP="00950C75">
            <w:pPr>
              <w:jc w:val="right"/>
              <w:rPr>
                <w:rFonts w:eastAsiaTheme="minorHAnsi" w:cs="Times New Roman"/>
                <w:lang w:val="en-AU"/>
              </w:rPr>
            </w:pPr>
            <w:r w:rsidRPr="00AD2807">
              <w:rPr>
                <w:rFonts w:eastAsiaTheme="minorHAnsi" w:cs="Times New Roman"/>
                <w:lang w:val="en-AU"/>
              </w:rPr>
              <w:t>29,656</w:t>
            </w:r>
          </w:p>
        </w:tc>
        <w:tc>
          <w:tcPr>
            <w:tcW w:w="993" w:type="dxa"/>
            <w:noWrap/>
            <w:tcMar>
              <w:top w:w="0" w:type="dxa"/>
              <w:left w:w="108" w:type="dxa"/>
              <w:bottom w:w="0" w:type="dxa"/>
              <w:right w:w="108" w:type="dxa"/>
            </w:tcMar>
            <w:vAlign w:val="bottom"/>
          </w:tcPr>
          <w:p w:rsidR="006720DC" w:rsidRPr="00AD2807" w:rsidRDefault="006720DC" w:rsidP="00950C75">
            <w:pPr>
              <w:jc w:val="right"/>
              <w:rPr>
                <w:rFonts w:eastAsiaTheme="minorHAnsi" w:cs="Times New Roman"/>
                <w:lang w:val="en-AU"/>
              </w:rPr>
            </w:pPr>
            <w:r w:rsidRPr="00AD2807">
              <w:rPr>
                <w:rFonts w:eastAsiaTheme="minorHAnsi" w:cs="Times New Roman"/>
                <w:lang w:val="en-AU"/>
              </w:rPr>
              <w:t>25,937</w:t>
            </w:r>
          </w:p>
        </w:tc>
        <w:tc>
          <w:tcPr>
            <w:tcW w:w="1134" w:type="dxa"/>
            <w:noWrap/>
            <w:tcMar>
              <w:top w:w="0" w:type="dxa"/>
              <w:left w:w="108" w:type="dxa"/>
              <w:bottom w:w="0" w:type="dxa"/>
              <w:right w:w="108" w:type="dxa"/>
            </w:tcMar>
            <w:vAlign w:val="bottom"/>
          </w:tcPr>
          <w:p w:rsidR="006720DC" w:rsidRPr="00AD2807" w:rsidRDefault="006720DC" w:rsidP="00950C75">
            <w:pPr>
              <w:jc w:val="right"/>
              <w:rPr>
                <w:rFonts w:eastAsiaTheme="minorHAnsi" w:cs="Times New Roman"/>
                <w:lang w:val="en-AU"/>
              </w:rPr>
            </w:pPr>
            <w:r w:rsidRPr="00AD2807">
              <w:rPr>
                <w:rFonts w:eastAsiaTheme="minorHAnsi" w:cs="Times New Roman"/>
                <w:lang w:val="en-AU"/>
              </w:rPr>
              <w:t>28,628</w:t>
            </w:r>
          </w:p>
        </w:tc>
        <w:tc>
          <w:tcPr>
            <w:tcW w:w="1134" w:type="dxa"/>
            <w:noWrap/>
            <w:tcMar>
              <w:top w:w="0" w:type="dxa"/>
              <w:left w:w="108" w:type="dxa"/>
              <w:bottom w:w="0" w:type="dxa"/>
              <w:right w:w="108" w:type="dxa"/>
            </w:tcMar>
            <w:vAlign w:val="bottom"/>
          </w:tcPr>
          <w:p w:rsidR="006720DC" w:rsidRPr="00AD2807" w:rsidRDefault="006720DC" w:rsidP="00950C75">
            <w:pPr>
              <w:jc w:val="right"/>
              <w:rPr>
                <w:rFonts w:eastAsiaTheme="minorHAnsi" w:cs="Times New Roman"/>
                <w:lang w:val="en-AU"/>
              </w:rPr>
            </w:pPr>
            <w:r w:rsidRPr="00AD2807">
              <w:rPr>
                <w:rFonts w:eastAsiaTheme="minorHAnsi" w:cs="Times New Roman"/>
                <w:lang w:val="en-AU"/>
              </w:rPr>
              <w:t>28,423</w:t>
            </w:r>
          </w:p>
        </w:tc>
      </w:tr>
    </w:tbl>
    <w:p w:rsidR="006720DC" w:rsidRPr="00AD2807" w:rsidRDefault="006720DC" w:rsidP="006720DC">
      <w:pPr>
        <w:rPr>
          <w:rFonts w:eastAsiaTheme="minorHAnsi" w:cs="Times New Roman"/>
          <w:lang w:val="en-AU" w:eastAsia="en-US"/>
        </w:rPr>
      </w:pPr>
    </w:p>
    <w:p w:rsidR="006720DC" w:rsidRPr="00AD2807" w:rsidRDefault="006720DC" w:rsidP="006720DC">
      <w:pPr>
        <w:rPr>
          <w:rFonts w:eastAsiaTheme="minorHAnsi" w:cs="Times New Roman"/>
          <w:b/>
          <w:bCs/>
          <w:lang w:val="en-AU" w:eastAsia="en-US"/>
        </w:rPr>
      </w:pPr>
      <w:r w:rsidRPr="00AD2807">
        <w:rPr>
          <w:rFonts w:eastAsiaTheme="minorHAnsi" w:cs="Times New Roman"/>
          <w:b/>
          <w:bCs/>
          <w:lang w:val="en-AU" w:eastAsia="en-US"/>
        </w:rPr>
        <w:t>Number of international applications received as RO</w:t>
      </w:r>
    </w:p>
    <w:tbl>
      <w:tblPr>
        <w:tblW w:w="83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58"/>
        <w:gridCol w:w="1418"/>
        <w:gridCol w:w="1417"/>
        <w:gridCol w:w="1276"/>
        <w:gridCol w:w="1134"/>
        <w:gridCol w:w="1276"/>
      </w:tblGrid>
      <w:tr w:rsidR="00AD2807" w:rsidRPr="00AD2807" w:rsidTr="00950C75">
        <w:trPr>
          <w:trHeight w:val="305"/>
        </w:trPr>
        <w:tc>
          <w:tcPr>
            <w:tcW w:w="1858" w:type="dxa"/>
            <w:noWrap/>
            <w:tcMar>
              <w:top w:w="0" w:type="dxa"/>
              <w:left w:w="108" w:type="dxa"/>
              <w:bottom w:w="0" w:type="dxa"/>
              <w:right w:w="108" w:type="dxa"/>
            </w:tcMar>
            <w:vAlign w:val="bottom"/>
            <w:hideMark/>
          </w:tcPr>
          <w:p w:rsidR="006720DC" w:rsidRPr="00AD2807" w:rsidRDefault="006720DC" w:rsidP="00950C75">
            <w:pPr>
              <w:rPr>
                <w:rFonts w:ascii="Times New Roman" w:eastAsia="Times New Roman" w:hAnsi="Times New Roman" w:cs="Times New Roman"/>
                <w:sz w:val="20"/>
                <w:lang w:val="en-AU" w:eastAsia="en-AU"/>
              </w:rPr>
            </w:pPr>
          </w:p>
        </w:tc>
        <w:tc>
          <w:tcPr>
            <w:tcW w:w="1418"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2012</w:t>
            </w:r>
          </w:p>
        </w:tc>
        <w:tc>
          <w:tcPr>
            <w:tcW w:w="1417"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2013</w:t>
            </w:r>
          </w:p>
        </w:tc>
        <w:tc>
          <w:tcPr>
            <w:tcW w:w="1276"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2014</w:t>
            </w:r>
          </w:p>
        </w:tc>
        <w:tc>
          <w:tcPr>
            <w:tcW w:w="1134"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2015</w:t>
            </w:r>
          </w:p>
        </w:tc>
        <w:tc>
          <w:tcPr>
            <w:tcW w:w="1276"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2016</w:t>
            </w:r>
          </w:p>
        </w:tc>
      </w:tr>
      <w:tr w:rsidR="00AD2807" w:rsidRPr="00AD2807" w:rsidTr="00950C75">
        <w:trPr>
          <w:trHeight w:val="305"/>
        </w:trPr>
        <w:tc>
          <w:tcPr>
            <w:tcW w:w="1858" w:type="dxa"/>
            <w:noWrap/>
            <w:tcMar>
              <w:top w:w="0" w:type="dxa"/>
              <w:left w:w="108" w:type="dxa"/>
              <w:bottom w:w="0" w:type="dxa"/>
              <w:right w:w="108" w:type="dxa"/>
            </w:tcMar>
            <w:vAlign w:val="bottom"/>
            <w:hideMark/>
          </w:tcPr>
          <w:p w:rsidR="006720DC" w:rsidRPr="00AD2807" w:rsidRDefault="006720DC" w:rsidP="00950C75">
            <w:pPr>
              <w:rPr>
                <w:rFonts w:ascii="Calibri" w:eastAsiaTheme="minorHAnsi" w:hAnsi="Calibri" w:cs="Calibri"/>
                <w:szCs w:val="22"/>
                <w:lang w:val="en-AU"/>
              </w:rPr>
            </w:pPr>
            <w:r w:rsidRPr="00AD2807">
              <w:rPr>
                <w:rFonts w:eastAsiaTheme="minorHAnsi" w:cs="Times New Roman"/>
                <w:lang w:val="en-AU"/>
              </w:rPr>
              <w:t>Not Recorded</w:t>
            </w:r>
          </w:p>
        </w:tc>
        <w:tc>
          <w:tcPr>
            <w:tcW w:w="1418"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32</w:t>
            </w:r>
          </w:p>
        </w:tc>
        <w:tc>
          <w:tcPr>
            <w:tcW w:w="1417"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2</w:t>
            </w:r>
          </w:p>
        </w:tc>
        <w:tc>
          <w:tcPr>
            <w:tcW w:w="1276" w:type="dxa"/>
            <w:noWrap/>
            <w:tcMar>
              <w:top w:w="0" w:type="dxa"/>
              <w:left w:w="108" w:type="dxa"/>
              <w:bottom w:w="0" w:type="dxa"/>
              <w:right w:w="108" w:type="dxa"/>
            </w:tcMar>
            <w:vAlign w:val="bottom"/>
            <w:hideMark/>
          </w:tcPr>
          <w:p w:rsidR="006720DC" w:rsidRPr="00AD2807" w:rsidRDefault="006720DC" w:rsidP="00950C75">
            <w:pPr>
              <w:rPr>
                <w:rFonts w:ascii="Times New Roman" w:eastAsia="Times New Roman" w:hAnsi="Times New Roman" w:cs="Times New Roman"/>
                <w:sz w:val="20"/>
                <w:lang w:val="en-AU" w:eastAsia="en-AU"/>
              </w:rPr>
            </w:pPr>
          </w:p>
        </w:tc>
        <w:tc>
          <w:tcPr>
            <w:tcW w:w="1134"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1</w:t>
            </w:r>
          </w:p>
        </w:tc>
        <w:tc>
          <w:tcPr>
            <w:tcW w:w="1276"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6</w:t>
            </w:r>
          </w:p>
        </w:tc>
      </w:tr>
      <w:tr w:rsidR="00AD2807" w:rsidRPr="00AD2807" w:rsidTr="00950C75">
        <w:trPr>
          <w:trHeight w:val="305"/>
        </w:trPr>
        <w:tc>
          <w:tcPr>
            <w:tcW w:w="1858" w:type="dxa"/>
            <w:noWrap/>
            <w:tcMar>
              <w:top w:w="0" w:type="dxa"/>
              <w:left w:w="108" w:type="dxa"/>
              <w:bottom w:w="0" w:type="dxa"/>
              <w:right w:w="108" w:type="dxa"/>
            </w:tcMar>
            <w:vAlign w:val="bottom"/>
            <w:hideMark/>
          </w:tcPr>
          <w:p w:rsidR="006720DC" w:rsidRPr="00AD2807" w:rsidRDefault="006720DC" w:rsidP="00950C75">
            <w:pPr>
              <w:rPr>
                <w:rFonts w:ascii="Calibri" w:eastAsiaTheme="minorHAnsi" w:hAnsi="Calibri" w:cs="Calibri"/>
                <w:szCs w:val="22"/>
                <w:lang w:val="en-AU"/>
              </w:rPr>
            </w:pPr>
            <w:r w:rsidRPr="00AD2807">
              <w:rPr>
                <w:rFonts w:eastAsiaTheme="minorHAnsi" w:cs="Times New Roman"/>
                <w:lang w:val="en-AU"/>
              </w:rPr>
              <w:t>Chemical</w:t>
            </w:r>
          </w:p>
        </w:tc>
        <w:tc>
          <w:tcPr>
            <w:tcW w:w="1418"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753</w:t>
            </w:r>
          </w:p>
        </w:tc>
        <w:tc>
          <w:tcPr>
            <w:tcW w:w="1417"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744</w:t>
            </w:r>
          </w:p>
        </w:tc>
        <w:tc>
          <w:tcPr>
            <w:tcW w:w="1276"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744</w:t>
            </w:r>
          </w:p>
        </w:tc>
        <w:tc>
          <w:tcPr>
            <w:tcW w:w="1134"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669</w:t>
            </w:r>
          </w:p>
        </w:tc>
        <w:tc>
          <w:tcPr>
            <w:tcW w:w="1276"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595</w:t>
            </w:r>
          </w:p>
        </w:tc>
      </w:tr>
      <w:tr w:rsidR="00AD2807" w:rsidRPr="00AD2807" w:rsidTr="00950C75">
        <w:trPr>
          <w:trHeight w:val="305"/>
        </w:trPr>
        <w:tc>
          <w:tcPr>
            <w:tcW w:w="1858" w:type="dxa"/>
            <w:noWrap/>
            <w:tcMar>
              <w:top w:w="0" w:type="dxa"/>
              <w:left w:w="108" w:type="dxa"/>
              <w:bottom w:w="0" w:type="dxa"/>
              <w:right w:w="108" w:type="dxa"/>
            </w:tcMar>
            <w:vAlign w:val="bottom"/>
            <w:hideMark/>
          </w:tcPr>
          <w:p w:rsidR="006720DC" w:rsidRPr="00AD2807" w:rsidRDefault="006720DC" w:rsidP="00950C75">
            <w:pPr>
              <w:rPr>
                <w:rFonts w:ascii="Calibri" w:eastAsiaTheme="minorHAnsi" w:hAnsi="Calibri" w:cs="Calibri"/>
                <w:szCs w:val="22"/>
                <w:lang w:val="en-AU"/>
              </w:rPr>
            </w:pPr>
            <w:r w:rsidRPr="00AD2807">
              <w:rPr>
                <w:rFonts w:eastAsiaTheme="minorHAnsi" w:cs="Times New Roman"/>
                <w:lang w:val="en-AU"/>
              </w:rPr>
              <w:t>Electrical</w:t>
            </w:r>
          </w:p>
        </w:tc>
        <w:tc>
          <w:tcPr>
            <w:tcW w:w="1418"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920</w:t>
            </w:r>
          </w:p>
        </w:tc>
        <w:tc>
          <w:tcPr>
            <w:tcW w:w="1417"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828</w:t>
            </w:r>
          </w:p>
        </w:tc>
        <w:tc>
          <w:tcPr>
            <w:tcW w:w="1276"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832</w:t>
            </w:r>
          </w:p>
        </w:tc>
        <w:tc>
          <w:tcPr>
            <w:tcW w:w="1134"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877</w:t>
            </w:r>
          </w:p>
        </w:tc>
        <w:tc>
          <w:tcPr>
            <w:tcW w:w="1276"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774</w:t>
            </w:r>
          </w:p>
        </w:tc>
      </w:tr>
      <w:tr w:rsidR="00AD2807" w:rsidRPr="00AD2807" w:rsidTr="00950C75">
        <w:trPr>
          <w:trHeight w:val="305"/>
        </w:trPr>
        <w:tc>
          <w:tcPr>
            <w:tcW w:w="1858" w:type="dxa"/>
            <w:noWrap/>
            <w:tcMar>
              <w:top w:w="0" w:type="dxa"/>
              <w:left w:w="108" w:type="dxa"/>
              <w:bottom w:w="0" w:type="dxa"/>
              <w:right w:w="108" w:type="dxa"/>
            </w:tcMar>
            <w:vAlign w:val="bottom"/>
            <w:hideMark/>
          </w:tcPr>
          <w:p w:rsidR="006720DC" w:rsidRPr="00AD2807" w:rsidRDefault="006720DC" w:rsidP="00950C75">
            <w:pPr>
              <w:rPr>
                <w:rFonts w:ascii="Calibri" w:eastAsiaTheme="minorHAnsi" w:hAnsi="Calibri" w:cs="Calibri"/>
                <w:szCs w:val="22"/>
                <w:lang w:val="en-AU"/>
              </w:rPr>
            </w:pPr>
            <w:r w:rsidRPr="00AD2807">
              <w:rPr>
                <w:rFonts w:eastAsiaTheme="minorHAnsi" w:cs="Times New Roman"/>
                <w:lang w:val="en-AU"/>
              </w:rPr>
              <w:t>Mechanical</w:t>
            </w:r>
          </w:p>
        </w:tc>
        <w:tc>
          <w:tcPr>
            <w:tcW w:w="1418"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1,208</w:t>
            </w:r>
          </w:p>
        </w:tc>
        <w:tc>
          <w:tcPr>
            <w:tcW w:w="1417"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1,113</w:t>
            </w:r>
          </w:p>
        </w:tc>
        <w:tc>
          <w:tcPr>
            <w:tcW w:w="1276"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1,167</w:t>
            </w:r>
          </w:p>
        </w:tc>
        <w:tc>
          <w:tcPr>
            <w:tcW w:w="1134"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1,120</w:t>
            </w:r>
          </w:p>
        </w:tc>
        <w:tc>
          <w:tcPr>
            <w:tcW w:w="1276" w:type="dxa"/>
            <w:noWrap/>
            <w:tcMar>
              <w:top w:w="0" w:type="dxa"/>
              <w:left w:w="108" w:type="dxa"/>
              <w:bottom w:w="0" w:type="dxa"/>
              <w:right w:w="108" w:type="dxa"/>
            </w:tcMar>
            <w:vAlign w:val="bottom"/>
            <w:hideMark/>
          </w:tcPr>
          <w:p w:rsidR="006720DC" w:rsidRPr="00AD2807" w:rsidRDefault="006720DC" w:rsidP="00950C75">
            <w:pPr>
              <w:jc w:val="right"/>
              <w:rPr>
                <w:rFonts w:ascii="Calibri" w:eastAsiaTheme="minorHAnsi" w:hAnsi="Calibri" w:cs="Calibri"/>
                <w:szCs w:val="22"/>
                <w:lang w:val="en-AU"/>
              </w:rPr>
            </w:pPr>
            <w:r w:rsidRPr="00AD2807">
              <w:rPr>
                <w:rFonts w:eastAsiaTheme="minorHAnsi" w:cs="Times New Roman"/>
                <w:lang w:val="en-AU"/>
              </w:rPr>
              <w:t>1,081</w:t>
            </w:r>
          </w:p>
        </w:tc>
      </w:tr>
      <w:tr w:rsidR="00AD2807" w:rsidRPr="00AD2807" w:rsidTr="00950C75">
        <w:trPr>
          <w:trHeight w:val="305"/>
        </w:trPr>
        <w:tc>
          <w:tcPr>
            <w:tcW w:w="1858" w:type="dxa"/>
            <w:noWrap/>
            <w:tcMar>
              <w:top w:w="0" w:type="dxa"/>
              <w:left w:w="108" w:type="dxa"/>
              <w:bottom w:w="0" w:type="dxa"/>
              <w:right w:w="108" w:type="dxa"/>
            </w:tcMar>
            <w:vAlign w:val="bottom"/>
          </w:tcPr>
          <w:p w:rsidR="006720DC" w:rsidRPr="00AD2807" w:rsidRDefault="006720DC" w:rsidP="00950C75">
            <w:pPr>
              <w:rPr>
                <w:rFonts w:eastAsiaTheme="minorHAnsi" w:cs="Times New Roman"/>
                <w:lang w:val="en-AU"/>
              </w:rPr>
            </w:pPr>
            <w:r w:rsidRPr="00AD2807">
              <w:rPr>
                <w:rFonts w:eastAsiaTheme="minorHAnsi" w:cs="Times New Roman"/>
                <w:lang w:val="en-AU"/>
              </w:rPr>
              <w:t>Total</w:t>
            </w:r>
          </w:p>
        </w:tc>
        <w:tc>
          <w:tcPr>
            <w:tcW w:w="1418" w:type="dxa"/>
            <w:noWrap/>
            <w:tcMar>
              <w:top w:w="0" w:type="dxa"/>
              <w:left w:w="108" w:type="dxa"/>
              <w:bottom w:w="0" w:type="dxa"/>
              <w:right w:w="108" w:type="dxa"/>
            </w:tcMar>
            <w:vAlign w:val="bottom"/>
          </w:tcPr>
          <w:p w:rsidR="006720DC" w:rsidRPr="00AD2807" w:rsidRDefault="006720DC" w:rsidP="00950C75">
            <w:pPr>
              <w:jc w:val="right"/>
              <w:rPr>
                <w:rFonts w:eastAsiaTheme="minorHAnsi" w:cs="Times New Roman"/>
                <w:lang w:val="en-AU"/>
              </w:rPr>
            </w:pPr>
            <w:r w:rsidRPr="00AD2807">
              <w:rPr>
                <w:rFonts w:eastAsiaTheme="minorHAnsi" w:cs="Times New Roman"/>
                <w:lang w:val="en-AU"/>
              </w:rPr>
              <w:t>2,913</w:t>
            </w:r>
          </w:p>
        </w:tc>
        <w:tc>
          <w:tcPr>
            <w:tcW w:w="1417" w:type="dxa"/>
            <w:noWrap/>
            <w:tcMar>
              <w:top w:w="0" w:type="dxa"/>
              <w:left w:w="108" w:type="dxa"/>
              <w:bottom w:w="0" w:type="dxa"/>
              <w:right w:w="108" w:type="dxa"/>
            </w:tcMar>
            <w:vAlign w:val="bottom"/>
          </w:tcPr>
          <w:p w:rsidR="006720DC" w:rsidRPr="00AD2807" w:rsidRDefault="006720DC" w:rsidP="00950C75">
            <w:pPr>
              <w:jc w:val="right"/>
              <w:rPr>
                <w:rFonts w:eastAsiaTheme="minorHAnsi" w:cs="Times New Roman"/>
                <w:lang w:val="en-AU"/>
              </w:rPr>
            </w:pPr>
            <w:r w:rsidRPr="00AD2807">
              <w:rPr>
                <w:rFonts w:eastAsiaTheme="minorHAnsi" w:cs="Times New Roman"/>
                <w:lang w:val="en-AU"/>
              </w:rPr>
              <w:t>2,687</w:t>
            </w:r>
          </w:p>
        </w:tc>
        <w:tc>
          <w:tcPr>
            <w:tcW w:w="1276" w:type="dxa"/>
            <w:noWrap/>
            <w:tcMar>
              <w:top w:w="0" w:type="dxa"/>
              <w:left w:w="108" w:type="dxa"/>
              <w:bottom w:w="0" w:type="dxa"/>
              <w:right w:w="108" w:type="dxa"/>
            </w:tcMar>
            <w:vAlign w:val="bottom"/>
          </w:tcPr>
          <w:p w:rsidR="006720DC" w:rsidRPr="00AD2807" w:rsidRDefault="006720DC" w:rsidP="00950C75">
            <w:pPr>
              <w:jc w:val="right"/>
              <w:rPr>
                <w:rFonts w:eastAsiaTheme="minorHAnsi" w:cs="Times New Roman"/>
                <w:lang w:val="en-AU"/>
              </w:rPr>
            </w:pPr>
            <w:r w:rsidRPr="00AD2807">
              <w:rPr>
                <w:rFonts w:eastAsiaTheme="minorHAnsi" w:cs="Times New Roman"/>
                <w:lang w:val="en-AU"/>
              </w:rPr>
              <w:t>2,743</w:t>
            </w:r>
          </w:p>
        </w:tc>
        <w:tc>
          <w:tcPr>
            <w:tcW w:w="1134" w:type="dxa"/>
            <w:noWrap/>
            <w:tcMar>
              <w:top w:w="0" w:type="dxa"/>
              <w:left w:w="108" w:type="dxa"/>
              <w:bottom w:w="0" w:type="dxa"/>
              <w:right w:w="108" w:type="dxa"/>
            </w:tcMar>
            <w:vAlign w:val="bottom"/>
          </w:tcPr>
          <w:p w:rsidR="006720DC" w:rsidRPr="00AD2807" w:rsidRDefault="006720DC" w:rsidP="00950C75">
            <w:pPr>
              <w:jc w:val="right"/>
              <w:rPr>
                <w:rFonts w:eastAsiaTheme="minorHAnsi" w:cs="Times New Roman"/>
                <w:lang w:val="en-AU"/>
              </w:rPr>
            </w:pPr>
            <w:r w:rsidRPr="00AD2807">
              <w:rPr>
                <w:rFonts w:eastAsiaTheme="minorHAnsi" w:cs="Times New Roman"/>
                <w:lang w:val="en-AU"/>
              </w:rPr>
              <w:t>2,667</w:t>
            </w:r>
          </w:p>
        </w:tc>
        <w:tc>
          <w:tcPr>
            <w:tcW w:w="1276" w:type="dxa"/>
            <w:noWrap/>
            <w:tcMar>
              <w:top w:w="0" w:type="dxa"/>
              <w:left w:w="108" w:type="dxa"/>
              <w:bottom w:w="0" w:type="dxa"/>
              <w:right w:w="108" w:type="dxa"/>
            </w:tcMar>
            <w:vAlign w:val="bottom"/>
          </w:tcPr>
          <w:p w:rsidR="006720DC" w:rsidRPr="00AD2807" w:rsidRDefault="006720DC" w:rsidP="00950C75">
            <w:pPr>
              <w:jc w:val="right"/>
              <w:rPr>
                <w:rFonts w:eastAsiaTheme="minorHAnsi" w:cs="Times New Roman"/>
                <w:lang w:val="en-AU"/>
              </w:rPr>
            </w:pPr>
            <w:r w:rsidRPr="00AD2807">
              <w:rPr>
                <w:rFonts w:eastAsiaTheme="minorHAnsi" w:cs="Times New Roman"/>
                <w:lang w:val="en-AU"/>
              </w:rPr>
              <w:t>2,456</w:t>
            </w:r>
          </w:p>
        </w:tc>
      </w:tr>
    </w:tbl>
    <w:p w:rsidR="006720DC" w:rsidRPr="00AD2807" w:rsidRDefault="006720DC" w:rsidP="006720DC">
      <w:pPr>
        <w:rPr>
          <w:szCs w:val="22"/>
          <w:lang w:val="en-AU"/>
        </w:rPr>
      </w:pPr>
    </w:p>
    <w:p w:rsidR="006720DC" w:rsidRPr="00AD2807" w:rsidRDefault="006720DC" w:rsidP="001D0D5B">
      <w:pPr>
        <w:keepNext/>
        <w:rPr>
          <w:b/>
          <w:lang w:val="en-AU"/>
        </w:rPr>
      </w:pPr>
      <w:r w:rsidRPr="00AD2807">
        <w:rPr>
          <w:b/>
          <w:lang w:val="en-AU"/>
        </w:rPr>
        <w:t>Top 10 originating nations, filing or Nation Phase Entry in calendar year 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D2807" w:rsidRPr="00AD2807" w:rsidTr="00950C75">
        <w:tc>
          <w:tcPr>
            <w:tcW w:w="4261" w:type="dxa"/>
            <w:shd w:val="clear" w:color="auto" w:fill="auto"/>
          </w:tcPr>
          <w:p w:rsidR="006720DC" w:rsidRPr="00AD2807" w:rsidRDefault="006720DC" w:rsidP="001D0D5B">
            <w:pPr>
              <w:keepNext/>
              <w:rPr>
                <w:lang w:val="en-AU"/>
              </w:rPr>
            </w:pPr>
            <w:r w:rsidRPr="00AD2807">
              <w:rPr>
                <w:lang w:val="en-AU"/>
              </w:rPr>
              <w:t>United States of America</w:t>
            </w:r>
          </w:p>
        </w:tc>
        <w:tc>
          <w:tcPr>
            <w:tcW w:w="4261" w:type="dxa"/>
            <w:shd w:val="clear" w:color="auto" w:fill="auto"/>
          </w:tcPr>
          <w:p w:rsidR="006720DC" w:rsidRPr="00AD2807" w:rsidRDefault="006720DC" w:rsidP="001D0D5B">
            <w:pPr>
              <w:keepNext/>
              <w:rPr>
                <w:lang w:val="en-AU"/>
              </w:rPr>
            </w:pPr>
            <w:r w:rsidRPr="00AD2807">
              <w:rPr>
                <w:lang w:val="en-AU"/>
              </w:rPr>
              <w:t>12,922</w:t>
            </w:r>
          </w:p>
        </w:tc>
      </w:tr>
      <w:tr w:rsidR="00AD2807" w:rsidRPr="00AD2807" w:rsidTr="00950C75">
        <w:tc>
          <w:tcPr>
            <w:tcW w:w="4261" w:type="dxa"/>
            <w:shd w:val="clear" w:color="auto" w:fill="auto"/>
          </w:tcPr>
          <w:p w:rsidR="006720DC" w:rsidRPr="00AD2807" w:rsidRDefault="006720DC" w:rsidP="001D0D5B">
            <w:pPr>
              <w:keepNext/>
              <w:rPr>
                <w:lang w:val="en-AU"/>
              </w:rPr>
            </w:pPr>
            <w:r w:rsidRPr="00AD2807">
              <w:rPr>
                <w:lang w:val="en-AU"/>
              </w:rPr>
              <w:t>Australia</w:t>
            </w:r>
          </w:p>
        </w:tc>
        <w:tc>
          <w:tcPr>
            <w:tcW w:w="4261" w:type="dxa"/>
            <w:shd w:val="clear" w:color="auto" w:fill="auto"/>
          </w:tcPr>
          <w:p w:rsidR="006720DC" w:rsidRPr="00AD2807" w:rsidRDefault="006720DC" w:rsidP="001D0D5B">
            <w:pPr>
              <w:keepNext/>
              <w:rPr>
                <w:lang w:val="en-AU"/>
              </w:rPr>
            </w:pPr>
            <w:r w:rsidRPr="00AD2807">
              <w:rPr>
                <w:lang w:val="en-AU"/>
              </w:rPr>
              <w:t>2,620</w:t>
            </w:r>
          </w:p>
        </w:tc>
      </w:tr>
      <w:tr w:rsidR="00AD2807" w:rsidRPr="00AD2807" w:rsidTr="00950C75">
        <w:tc>
          <w:tcPr>
            <w:tcW w:w="4261" w:type="dxa"/>
            <w:shd w:val="clear" w:color="auto" w:fill="auto"/>
          </w:tcPr>
          <w:p w:rsidR="006720DC" w:rsidRPr="00AD2807" w:rsidRDefault="006720DC" w:rsidP="001D0D5B">
            <w:pPr>
              <w:keepNext/>
              <w:rPr>
                <w:lang w:val="en-AU"/>
              </w:rPr>
            </w:pPr>
            <w:r w:rsidRPr="00AD2807">
              <w:rPr>
                <w:lang w:val="en-AU"/>
              </w:rPr>
              <w:t>Japan</w:t>
            </w:r>
          </w:p>
        </w:tc>
        <w:tc>
          <w:tcPr>
            <w:tcW w:w="4261" w:type="dxa"/>
            <w:shd w:val="clear" w:color="auto" w:fill="auto"/>
          </w:tcPr>
          <w:p w:rsidR="006720DC" w:rsidRPr="00AD2807" w:rsidRDefault="006720DC" w:rsidP="001D0D5B">
            <w:pPr>
              <w:keepNext/>
              <w:rPr>
                <w:lang w:val="en-AU"/>
              </w:rPr>
            </w:pPr>
            <w:r w:rsidRPr="00AD2807">
              <w:rPr>
                <w:lang w:val="en-AU"/>
              </w:rPr>
              <w:t>1,610</w:t>
            </w:r>
          </w:p>
        </w:tc>
      </w:tr>
      <w:tr w:rsidR="00AD2807" w:rsidRPr="00AD2807" w:rsidTr="00950C75">
        <w:tc>
          <w:tcPr>
            <w:tcW w:w="4261" w:type="dxa"/>
            <w:shd w:val="clear" w:color="auto" w:fill="auto"/>
          </w:tcPr>
          <w:p w:rsidR="006720DC" w:rsidRPr="00AD2807" w:rsidRDefault="006720DC" w:rsidP="001D0D5B">
            <w:pPr>
              <w:keepNext/>
              <w:rPr>
                <w:lang w:val="en-AU"/>
              </w:rPr>
            </w:pPr>
            <w:r w:rsidRPr="00AD2807">
              <w:rPr>
                <w:lang w:val="en-AU"/>
              </w:rPr>
              <w:t>Germany</w:t>
            </w:r>
          </w:p>
        </w:tc>
        <w:tc>
          <w:tcPr>
            <w:tcW w:w="4261" w:type="dxa"/>
            <w:shd w:val="clear" w:color="auto" w:fill="auto"/>
          </w:tcPr>
          <w:p w:rsidR="006720DC" w:rsidRPr="00AD2807" w:rsidRDefault="006720DC" w:rsidP="001D0D5B">
            <w:pPr>
              <w:keepNext/>
              <w:rPr>
                <w:lang w:val="en-AU"/>
              </w:rPr>
            </w:pPr>
            <w:r w:rsidRPr="00AD2807">
              <w:rPr>
                <w:lang w:val="en-AU"/>
              </w:rPr>
              <w:t>1,395</w:t>
            </w:r>
          </w:p>
        </w:tc>
      </w:tr>
      <w:tr w:rsidR="00AD2807" w:rsidRPr="00AD2807" w:rsidTr="00950C75">
        <w:tc>
          <w:tcPr>
            <w:tcW w:w="4261" w:type="dxa"/>
            <w:shd w:val="clear" w:color="auto" w:fill="auto"/>
          </w:tcPr>
          <w:p w:rsidR="006720DC" w:rsidRPr="00AD2807" w:rsidRDefault="006720DC" w:rsidP="001D0D5B">
            <w:pPr>
              <w:keepNext/>
              <w:rPr>
                <w:lang w:val="en-AU"/>
              </w:rPr>
            </w:pPr>
            <w:r w:rsidRPr="00AD2807">
              <w:rPr>
                <w:lang w:val="en-AU"/>
              </w:rPr>
              <w:t>United Kingdom</w:t>
            </w:r>
          </w:p>
        </w:tc>
        <w:tc>
          <w:tcPr>
            <w:tcW w:w="4261" w:type="dxa"/>
            <w:shd w:val="clear" w:color="auto" w:fill="auto"/>
          </w:tcPr>
          <w:p w:rsidR="006720DC" w:rsidRPr="00AD2807" w:rsidRDefault="006720DC" w:rsidP="001D0D5B">
            <w:pPr>
              <w:keepNext/>
              <w:rPr>
                <w:lang w:val="en-AU"/>
              </w:rPr>
            </w:pPr>
            <w:r w:rsidRPr="00AD2807">
              <w:rPr>
                <w:lang w:val="en-AU"/>
              </w:rPr>
              <w:t>1,180</w:t>
            </w:r>
          </w:p>
        </w:tc>
      </w:tr>
      <w:tr w:rsidR="00AD2807" w:rsidRPr="00AD2807" w:rsidTr="00950C75">
        <w:tc>
          <w:tcPr>
            <w:tcW w:w="4261" w:type="dxa"/>
            <w:shd w:val="clear" w:color="auto" w:fill="auto"/>
          </w:tcPr>
          <w:p w:rsidR="006720DC" w:rsidRPr="00AD2807" w:rsidRDefault="006720DC" w:rsidP="001D0D5B">
            <w:pPr>
              <w:keepNext/>
              <w:rPr>
                <w:lang w:val="en-AU"/>
              </w:rPr>
            </w:pPr>
            <w:r w:rsidRPr="00AD2807">
              <w:rPr>
                <w:lang w:val="en-AU"/>
              </w:rPr>
              <w:t>Switzerland</w:t>
            </w:r>
          </w:p>
        </w:tc>
        <w:tc>
          <w:tcPr>
            <w:tcW w:w="4261" w:type="dxa"/>
            <w:shd w:val="clear" w:color="auto" w:fill="auto"/>
          </w:tcPr>
          <w:p w:rsidR="006720DC" w:rsidRPr="00AD2807" w:rsidRDefault="006720DC" w:rsidP="001D0D5B">
            <w:pPr>
              <w:keepNext/>
              <w:rPr>
                <w:lang w:val="en-AU"/>
              </w:rPr>
            </w:pPr>
            <w:r w:rsidRPr="00AD2807">
              <w:rPr>
                <w:lang w:val="en-AU"/>
              </w:rPr>
              <w:t>1,149</w:t>
            </w:r>
          </w:p>
        </w:tc>
      </w:tr>
      <w:tr w:rsidR="00AD2807" w:rsidRPr="00AD2807" w:rsidTr="00950C75">
        <w:tc>
          <w:tcPr>
            <w:tcW w:w="4261" w:type="dxa"/>
            <w:shd w:val="clear" w:color="auto" w:fill="auto"/>
          </w:tcPr>
          <w:p w:rsidR="006720DC" w:rsidRPr="00AD2807" w:rsidRDefault="006720DC" w:rsidP="001D0D5B">
            <w:pPr>
              <w:keepNext/>
              <w:rPr>
                <w:lang w:val="en-AU"/>
              </w:rPr>
            </w:pPr>
            <w:r w:rsidRPr="00AD2807">
              <w:rPr>
                <w:lang w:val="en-AU"/>
              </w:rPr>
              <w:t>China</w:t>
            </w:r>
          </w:p>
        </w:tc>
        <w:tc>
          <w:tcPr>
            <w:tcW w:w="4261" w:type="dxa"/>
            <w:shd w:val="clear" w:color="auto" w:fill="auto"/>
          </w:tcPr>
          <w:p w:rsidR="006720DC" w:rsidRPr="00AD2807" w:rsidRDefault="006720DC" w:rsidP="001D0D5B">
            <w:pPr>
              <w:keepNext/>
              <w:rPr>
                <w:lang w:val="en-AU"/>
              </w:rPr>
            </w:pPr>
            <w:r w:rsidRPr="00AD2807">
              <w:rPr>
                <w:lang w:val="en-AU"/>
              </w:rPr>
              <w:t>892</w:t>
            </w:r>
          </w:p>
        </w:tc>
      </w:tr>
      <w:tr w:rsidR="00AD2807" w:rsidRPr="00AD2807" w:rsidTr="00950C75">
        <w:tc>
          <w:tcPr>
            <w:tcW w:w="4261" w:type="dxa"/>
            <w:shd w:val="clear" w:color="auto" w:fill="auto"/>
          </w:tcPr>
          <w:p w:rsidR="006720DC" w:rsidRPr="00AD2807" w:rsidRDefault="006720DC" w:rsidP="001D0D5B">
            <w:pPr>
              <w:keepNext/>
              <w:rPr>
                <w:lang w:val="en-AU"/>
              </w:rPr>
            </w:pPr>
            <w:r w:rsidRPr="00AD2807">
              <w:rPr>
                <w:lang w:val="en-AU"/>
              </w:rPr>
              <w:t>France</w:t>
            </w:r>
          </w:p>
        </w:tc>
        <w:tc>
          <w:tcPr>
            <w:tcW w:w="4261" w:type="dxa"/>
            <w:shd w:val="clear" w:color="auto" w:fill="auto"/>
          </w:tcPr>
          <w:p w:rsidR="006720DC" w:rsidRPr="00AD2807" w:rsidRDefault="006720DC" w:rsidP="001D0D5B">
            <w:pPr>
              <w:keepNext/>
              <w:rPr>
                <w:lang w:val="en-AU"/>
              </w:rPr>
            </w:pPr>
            <w:r w:rsidRPr="00AD2807">
              <w:rPr>
                <w:lang w:val="en-AU"/>
              </w:rPr>
              <w:t>808</w:t>
            </w:r>
          </w:p>
        </w:tc>
      </w:tr>
      <w:tr w:rsidR="00AD2807" w:rsidRPr="00AD2807" w:rsidTr="00950C75">
        <w:tc>
          <w:tcPr>
            <w:tcW w:w="4261" w:type="dxa"/>
            <w:shd w:val="clear" w:color="auto" w:fill="auto"/>
          </w:tcPr>
          <w:p w:rsidR="006720DC" w:rsidRPr="00AD2807" w:rsidRDefault="006720DC" w:rsidP="001D0D5B">
            <w:pPr>
              <w:keepNext/>
              <w:rPr>
                <w:lang w:val="en-AU"/>
              </w:rPr>
            </w:pPr>
            <w:r w:rsidRPr="00AD2807">
              <w:rPr>
                <w:lang w:val="en-AU"/>
              </w:rPr>
              <w:t>Netherlands</w:t>
            </w:r>
          </w:p>
        </w:tc>
        <w:tc>
          <w:tcPr>
            <w:tcW w:w="4261" w:type="dxa"/>
            <w:shd w:val="clear" w:color="auto" w:fill="auto"/>
          </w:tcPr>
          <w:p w:rsidR="006720DC" w:rsidRPr="00AD2807" w:rsidRDefault="006720DC" w:rsidP="001D0D5B">
            <w:pPr>
              <w:keepNext/>
              <w:rPr>
                <w:lang w:val="en-AU"/>
              </w:rPr>
            </w:pPr>
            <w:r w:rsidRPr="00AD2807">
              <w:rPr>
                <w:lang w:val="en-AU"/>
              </w:rPr>
              <w:t>609</w:t>
            </w:r>
          </w:p>
        </w:tc>
      </w:tr>
      <w:tr w:rsidR="00AD2807" w:rsidRPr="00AD2807" w:rsidTr="00950C75">
        <w:tc>
          <w:tcPr>
            <w:tcW w:w="4261" w:type="dxa"/>
            <w:shd w:val="clear" w:color="auto" w:fill="auto"/>
          </w:tcPr>
          <w:p w:rsidR="006720DC" w:rsidRPr="00AD2807" w:rsidRDefault="006720DC" w:rsidP="00950C75">
            <w:pPr>
              <w:rPr>
                <w:lang w:val="en-AU"/>
              </w:rPr>
            </w:pPr>
            <w:r w:rsidRPr="00AD2807">
              <w:rPr>
                <w:lang w:val="en-AU"/>
              </w:rPr>
              <w:t>Canada</w:t>
            </w:r>
          </w:p>
        </w:tc>
        <w:tc>
          <w:tcPr>
            <w:tcW w:w="4261" w:type="dxa"/>
            <w:shd w:val="clear" w:color="auto" w:fill="auto"/>
          </w:tcPr>
          <w:p w:rsidR="006720DC" w:rsidRPr="00AD2807" w:rsidRDefault="006720DC" w:rsidP="00950C75">
            <w:pPr>
              <w:rPr>
                <w:lang w:val="en-AU"/>
              </w:rPr>
            </w:pPr>
            <w:r w:rsidRPr="00AD2807">
              <w:rPr>
                <w:lang w:val="en-AU"/>
              </w:rPr>
              <w:t>547</w:t>
            </w:r>
          </w:p>
        </w:tc>
      </w:tr>
    </w:tbl>
    <w:p w:rsidR="006720DC" w:rsidRPr="00AD2807" w:rsidRDefault="006720DC" w:rsidP="006720DC">
      <w:pPr>
        <w:rPr>
          <w:szCs w:val="22"/>
          <w:lang w:val="en-AU"/>
        </w:rPr>
      </w:pPr>
    </w:p>
    <w:p w:rsidR="006720DC" w:rsidRPr="001D0D5B" w:rsidRDefault="006720DC" w:rsidP="001D0D5B">
      <w:pPr>
        <w:rPr>
          <w:lang w:val="en-AU"/>
        </w:rPr>
      </w:pPr>
      <w:r w:rsidRPr="00AD2807">
        <w:rPr>
          <w:b/>
          <w:bCs/>
          <w:szCs w:val="22"/>
          <w:lang w:val="en-AU"/>
        </w:rPr>
        <w:t>Average time taken for national patent processing (</w:t>
      </w:r>
      <w:r w:rsidRPr="00AD2807">
        <w:rPr>
          <w:lang w:val="en-AU"/>
        </w:rPr>
        <w:t>first report/granting date in calendar year 2016)</w:t>
      </w:r>
    </w:p>
    <w:tbl>
      <w:tblPr>
        <w:tblW w:w="0" w:type="auto"/>
        <w:tblCellMar>
          <w:left w:w="0" w:type="dxa"/>
          <w:right w:w="0" w:type="dxa"/>
        </w:tblCellMar>
        <w:tblLook w:val="04A0" w:firstRow="1" w:lastRow="0" w:firstColumn="1" w:lastColumn="0" w:noHBand="0" w:noVBand="1"/>
      </w:tblPr>
      <w:tblGrid>
        <w:gridCol w:w="1952"/>
        <w:gridCol w:w="2384"/>
        <w:gridCol w:w="2442"/>
        <w:gridCol w:w="1744"/>
      </w:tblGrid>
      <w:tr w:rsidR="00AD2807" w:rsidRPr="00AD2807" w:rsidTr="00950C75">
        <w:trPr>
          <w:cantSplit/>
        </w:trPr>
        <w:tc>
          <w:tcPr>
            <w:tcW w:w="1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720DC" w:rsidRPr="00AD2807" w:rsidRDefault="006720DC" w:rsidP="00950C75">
            <w:pPr>
              <w:rPr>
                <w:b/>
                <w:bCs/>
                <w:lang w:val="en-AU"/>
              </w:rPr>
            </w:pPr>
            <w:r w:rsidRPr="00AD2807">
              <w:rPr>
                <w:b/>
                <w:bCs/>
                <w:lang w:val="en-AU"/>
              </w:rPr>
              <w:t>Indicator</w:t>
            </w:r>
          </w:p>
        </w:tc>
        <w:tc>
          <w:tcPr>
            <w:tcW w:w="23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720DC" w:rsidRPr="00AD2807" w:rsidRDefault="006720DC" w:rsidP="00950C75">
            <w:pPr>
              <w:rPr>
                <w:b/>
                <w:bCs/>
                <w:lang w:val="en-AU"/>
              </w:rPr>
            </w:pPr>
            <w:r w:rsidRPr="00AD2807">
              <w:rPr>
                <w:b/>
                <w:bCs/>
                <w:lang w:val="en-AU"/>
              </w:rPr>
              <w:t>Measured from</w:t>
            </w:r>
          </w:p>
        </w:tc>
        <w:tc>
          <w:tcPr>
            <w:tcW w:w="418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720DC" w:rsidRPr="00AD2807" w:rsidRDefault="006720DC" w:rsidP="00950C75">
            <w:pPr>
              <w:rPr>
                <w:b/>
                <w:bCs/>
                <w:lang w:val="en-AU"/>
              </w:rPr>
            </w:pPr>
            <w:r w:rsidRPr="00AD2807">
              <w:rPr>
                <w:b/>
                <w:bCs/>
                <w:lang w:val="en-AU"/>
              </w:rPr>
              <w:t xml:space="preserve">Time (months) </w:t>
            </w:r>
          </w:p>
        </w:tc>
      </w:tr>
      <w:tr w:rsidR="00AD2807" w:rsidRPr="00AD2807" w:rsidTr="00950C75">
        <w:trPr>
          <w:cantSplit/>
        </w:trPr>
        <w:tc>
          <w:tcPr>
            <w:tcW w:w="1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20DC" w:rsidRPr="00AD2807" w:rsidRDefault="006720DC" w:rsidP="00950C75">
            <w:pPr>
              <w:rPr>
                <w:lang w:val="en-AU"/>
              </w:rPr>
            </w:pPr>
            <w:r w:rsidRPr="00AD2807">
              <w:rPr>
                <w:lang w:val="en-AU"/>
              </w:rPr>
              <w:t>To search</w:t>
            </w:r>
          </w:p>
        </w:tc>
        <w:tc>
          <w:tcPr>
            <w:tcW w:w="2384" w:type="dxa"/>
            <w:tcBorders>
              <w:top w:val="nil"/>
              <w:left w:val="nil"/>
              <w:bottom w:val="single" w:sz="8" w:space="0" w:color="auto"/>
              <w:right w:val="single" w:sz="8" w:space="0" w:color="auto"/>
            </w:tcBorders>
            <w:tcMar>
              <w:top w:w="0" w:type="dxa"/>
              <w:left w:w="108" w:type="dxa"/>
              <w:bottom w:w="0" w:type="dxa"/>
              <w:right w:w="108" w:type="dxa"/>
            </w:tcMar>
            <w:hideMark/>
          </w:tcPr>
          <w:p w:rsidR="006720DC" w:rsidRPr="00AD2807" w:rsidRDefault="006720DC" w:rsidP="00950C75">
            <w:pPr>
              <w:rPr>
                <w:lang w:val="en-AU"/>
              </w:rPr>
            </w:pPr>
            <w:r w:rsidRPr="00AD2807">
              <w:rPr>
                <w:lang w:val="en-AU"/>
              </w:rPr>
              <w:t>n/a</w:t>
            </w:r>
          </w:p>
        </w:tc>
        <w:tc>
          <w:tcPr>
            <w:tcW w:w="418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720DC" w:rsidRPr="00AD2807" w:rsidRDefault="006720DC" w:rsidP="00950C75">
            <w:pPr>
              <w:rPr>
                <w:lang w:val="en-AU"/>
              </w:rPr>
            </w:pPr>
            <w:r w:rsidRPr="00AD2807">
              <w:rPr>
                <w:lang w:val="en-AU"/>
              </w:rPr>
              <w:t>Search and examination tasks are undertaken by the same examiner at the time the examiner starts examining.</w:t>
            </w:r>
          </w:p>
        </w:tc>
      </w:tr>
      <w:tr w:rsidR="00AD2807" w:rsidRPr="00AD2807" w:rsidTr="00950C75">
        <w:trPr>
          <w:cantSplit/>
          <w:trHeight w:val="123"/>
        </w:trPr>
        <w:tc>
          <w:tcPr>
            <w:tcW w:w="1952" w:type="dxa"/>
            <w:vMerge w:val="restar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720DC" w:rsidRPr="00AD2807" w:rsidRDefault="006720DC" w:rsidP="00950C75">
            <w:pPr>
              <w:rPr>
                <w:lang w:val="en-AU"/>
              </w:rPr>
            </w:pPr>
            <w:r w:rsidRPr="00AD2807">
              <w:rPr>
                <w:lang w:val="en-AU"/>
              </w:rPr>
              <w:t>To first examination</w:t>
            </w:r>
          </w:p>
        </w:tc>
        <w:tc>
          <w:tcPr>
            <w:tcW w:w="2384" w:type="dxa"/>
            <w:vMerge w:val="restar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6720DC" w:rsidRPr="00AD2807" w:rsidRDefault="006720DC" w:rsidP="00950C75">
            <w:pPr>
              <w:rPr>
                <w:lang w:val="en-AU"/>
              </w:rPr>
            </w:pPr>
            <w:r w:rsidRPr="00AD2807">
              <w:rPr>
                <w:lang w:val="en-AU"/>
              </w:rPr>
              <w:t>Request for examination</w:t>
            </w:r>
          </w:p>
        </w:tc>
        <w:tc>
          <w:tcPr>
            <w:tcW w:w="24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0DC" w:rsidRPr="00AD2807" w:rsidRDefault="006720DC" w:rsidP="00950C75">
            <w:pPr>
              <w:rPr>
                <w:lang w:val="en-AU"/>
              </w:rPr>
            </w:pPr>
            <w:r w:rsidRPr="00AD2807">
              <w:rPr>
                <w:lang w:val="en-AU"/>
              </w:rPr>
              <w:t xml:space="preserve">Varies by discipline, but on average: </w:t>
            </w:r>
          </w:p>
        </w:tc>
        <w:tc>
          <w:tcPr>
            <w:tcW w:w="17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0DC" w:rsidRPr="00AD2807" w:rsidRDefault="006720DC" w:rsidP="00950C75">
            <w:pPr>
              <w:rPr>
                <w:lang w:val="en-AU"/>
              </w:rPr>
            </w:pPr>
            <w:r w:rsidRPr="00AD2807">
              <w:rPr>
                <w:lang w:val="en-AU"/>
              </w:rPr>
              <w:t>6.9</w:t>
            </w:r>
          </w:p>
        </w:tc>
      </w:tr>
      <w:tr w:rsidR="00AD2807" w:rsidRPr="00AD2807" w:rsidTr="00950C75">
        <w:trPr>
          <w:cantSplit/>
          <w:trHeight w:val="123"/>
        </w:trPr>
        <w:tc>
          <w:tcPr>
            <w:tcW w:w="0" w:type="auto"/>
            <w:vMerge/>
            <w:tcBorders>
              <w:top w:val="single" w:sz="8" w:space="0" w:color="auto"/>
              <w:left w:val="single" w:sz="8" w:space="0" w:color="auto"/>
              <w:bottom w:val="single" w:sz="4" w:space="0" w:color="auto"/>
              <w:right w:val="single" w:sz="8" w:space="0" w:color="auto"/>
            </w:tcBorders>
            <w:vAlign w:val="center"/>
            <w:hideMark/>
          </w:tcPr>
          <w:p w:rsidR="006720DC" w:rsidRPr="00AD2807" w:rsidRDefault="006720DC" w:rsidP="00950C75">
            <w:pPr>
              <w:rPr>
                <w:lang w:val="en-AU"/>
              </w:rPr>
            </w:pPr>
          </w:p>
        </w:tc>
        <w:tc>
          <w:tcPr>
            <w:tcW w:w="0" w:type="auto"/>
            <w:vMerge/>
            <w:tcBorders>
              <w:top w:val="single" w:sz="8" w:space="0" w:color="auto"/>
              <w:left w:val="nil"/>
              <w:bottom w:val="single" w:sz="4" w:space="0" w:color="auto"/>
              <w:right w:val="single" w:sz="8" w:space="0" w:color="auto"/>
            </w:tcBorders>
            <w:vAlign w:val="center"/>
            <w:hideMark/>
          </w:tcPr>
          <w:p w:rsidR="006720DC" w:rsidRPr="00AD2807" w:rsidRDefault="006720DC" w:rsidP="00950C75">
            <w:pPr>
              <w:rPr>
                <w:lang w:val="en-AU"/>
              </w:rPr>
            </w:pPr>
          </w:p>
        </w:tc>
        <w:tc>
          <w:tcPr>
            <w:tcW w:w="24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0DC" w:rsidRPr="00AD2807" w:rsidRDefault="006720DC" w:rsidP="00950C75">
            <w:pPr>
              <w:rPr>
                <w:lang w:val="en-AU"/>
              </w:rPr>
            </w:pPr>
            <w:r w:rsidRPr="00AD2807">
              <w:rPr>
                <w:lang w:val="en-AU"/>
              </w:rPr>
              <w:t>Mechanical</w:t>
            </w:r>
          </w:p>
        </w:tc>
        <w:tc>
          <w:tcPr>
            <w:tcW w:w="17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0DC" w:rsidRPr="00AD2807" w:rsidRDefault="006720DC" w:rsidP="00950C75">
            <w:pPr>
              <w:rPr>
                <w:lang w:val="en-AU"/>
              </w:rPr>
            </w:pPr>
            <w:r w:rsidRPr="00AD2807">
              <w:rPr>
                <w:lang w:val="en-AU"/>
              </w:rPr>
              <w:t>6.1</w:t>
            </w:r>
          </w:p>
        </w:tc>
      </w:tr>
      <w:tr w:rsidR="00AD2807" w:rsidRPr="00AD2807" w:rsidTr="00950C75">
        <w:trPr>
          <w:cantSplit/>
          <w:trHeight w:val="123"/>
        </w:trPr>
        <w:tc>
          <w:tcPr>
            <w:tcW w:w="0" w:type="auto"/>
            <w:vMerge/>
            <w:tcBorders>
              <w:top w:val="single" w:sz="8" w:space="0" w:color="auto"/>
              <w:left w:val="single" w:sz="8" w:space="0" w:color="auto"/>
              <w:bottom w:val="single" w:sz="4" w:space="0" w:color="auto"/>
              <w:right w:val="single" w:sz="8" w:space="0" w:color="auto"/>
            </w:tcBorders>
            <w:vAlign w:val="center"/>
            <w:hideMark/>
          </w:tcPr>
          <w:p w:rsidR="006720DC" w:rsidRPr="00AD2807" w:rsidRDefault="006720DC" w:rsidP="00950C75">
            <w:pPr>
              <w:rPr>
                <w:lang w:val="en-AU"/>
              </w:rPr>
            </w:pPr>
          </w:p>
        </w:tc>
        <w:tc>
          <w:tcPr>
            <w:tcW w:w="0" w:type="auto"/>
            <w:vMerge/>
            <w:tcBorders>
              <w:top w:val="single" w:sz="8" w:space="0" w:color="auto"/>
              <w:left w:val="nil"/>
              <w:bottom w:val="single" w:sz="4" w:space="0" w:color="auto"/>
              <w:right w:val="single" w:sz="8" w:space="0" w:color="auto"/>
            </w:tcBorders>
            <w:vAlign w:val="center"/>
            <w:hideMark/>
          </w:tcPr>
          <w:p w:rsidR="006720DC" w:rsidRPr="00AD2807" w:rsidRDefault="006720DC" w:rsidP="00950C75">
            <w:pPr>
              <w:rPr>
                <w:lang w:val="en-AU"/>
              </w:rPr>
            </w:pPr>
          </w:p>
        </w:tc>
        <w:tc>
          <w:tcPr>
            <w:tcW w:w="24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0DC" w:rsidRPr="00AD2807" w:rsidRDefault="006720DC" w:rsidP="00950C75">
            <w:pPr>
              <w:rPr>
                <w:lang w:val="en-AU"/>
              </w:rPr>
            </w:pPr>
            <w:r w:rsidRPr="00AD2807">
              <w:rPr>
                <w:lang w:val="en-AU"/>
              </w:rPr>
              <w:t>Electrical/electronic</w:t>
            </w:r>
          </w:p>
        </w:tc>
        <w:tc>
          <w:tcPr>
            <w:tcW w:w="17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0DC" w:rsidRPr="00AD2807" w:rsidRDefault="006720DC" w:rsidP="00950C75">
            <w:pPr>
              <w:rPr>
                <w:lang w:val="en-AU"/>
              </w:rPr>
            </w:pPr>
            <w:r w:rsidRPr="00AD2807">
              <w:rPr>
                <w:lang w:val="en-AU"/>
              </w:rPr>
              <w:t>7.9</w:t>
            </w:r>
          </w:p>
        </w:tc>
      </w:tr>
      <w:tr w:rsidR="00AD2807" w:rsidRPr="00AD2807" w:rsidTr="00950C75">
        <w:trPr>
          <w:cantSplit/>
          <w:trHeight w:val="123"/>
        </w:trPr>
        <w:tc>
          <w:tcPr>
            <w:tcW w:w="0" w:type="auto"/>
            <w:vMerge/>
            <w:tcBorders>
              <w:top w:val="single" w:sz="8" w:space="0" w:color="auto"/>
              <w:left w:val="single" w:sz="8" w:space="0" w:color="auto"/>
              <w:bottom w:val="single" w:sz="4" w:space="0" w:color="auto"/>
              <w:right w:val="single" w:sz="8" w:space="0" w:color="auto"/>
            </w:tcBorders>
            <w:vAlign w:val="center"/>
            <w:hideMark/>
          </w:tcPr>
          <w:p w:rsidR="006720DC" w:rsidRPr="00AD2807" w:rsidRDefault="006720DC" w:rsidP="00950C75">
            <w:pPr>
              <w:rPr>
                <w:lang w:val="en-AU"/>
              </w:rPr>
            </w:pPr>
          </w:p>
        </w:tc>
        <w:tc>
          <w:tcPr>
            <w:tcW w:w="0" w:type="auto"/>
            <w:vMerge/>
            <w:tcBorders>
              <w:top w:val="single" w:sz="8" w:space="0" w:color="auto"/>
              <w:left w:val="nil"/>
              <w:bottom w:val="single" w:sz="4" w:space="0" w:color="auto"/>
              <w:right w:val="single" w:sz="8" w:space="0" w:color="auto"/>
            </w:tcBorders>
            <w:vAlign w:val="center"/>
            <w:hideMark/>
          </w:tcPr>
          <w:p w:rsidR="006720DC" w:rsidRPr="00AD2807" w:rsidRDefault="006720DC" w:rsidP="00950C75">
            <w:pPr>
              <w:rPr>
                <w:lang w:val="en-AU"/>
              </w:rPr>
            </w:pPr>
          </w:p>
        </w:tc>
        <w:tc>
          <w:tcPr>
            <w:tcW w:w="24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0DC" w:rsidRPr="00AD2807" w:rsidRDefault="006720DC" w:rsidP="00950C75">
            <w:pPr>
              <w:rPr>
                <w:lang w:val="en-AU"/>
              </w:rPr>
            </w:pPr>
            <w:r w:rsidRPr="00AD2807">
              <w:rPr>
                <w:lang w:val="en-AU"/>
              </w:rPr>
              <w:t>Chemistry</w:t>
            </w:r>
          </w:p>
        </w:tc>
        <w:tc>
          <w:tcPr>
            <w:tcW w:w="1744" w:type="dxa"/>
            <w:tcBorders>
              <w:top w:val="nil"/>
              <w:left w:val="nil"/>
              <w:bottom w:val="single" w:sz="8" w:space="0" w:color="auto"/>
              <w:right w:val="single" w:sz="8" w:space="0" w:color="auto"/>
            </w:tcBorders>
            <w:tcMar>
              <w:top w:w="0" w:type="dxa"/>
              <w:left w:w="108" w:type="dxa"/>
              <w:bottom w:w="0" w:type="dxa"/>
              <w:right w:w="108" w:type="dxa"/>
            </w:tcMar>
            <w:vAlign w:val="center"/>
          </w:tcPr>
          <w:p w:rsidR="006720DC" w:rsidRPr="00AD2807" w:rsidRDefault="006720DC" w:rsidP="00950C75">
            <w:pPr>
              <w:rPr>
                <w:lang w:val="en-AU"/>
              </w:rPr>
            </w:pPr>
            <w:r w:rsidRPr="00AD2807">
              <w:rPr>
                <w:lang w:val="en-AU"/>
              </w:rPr>
              <w:t>7.3</w:t>
            </w:r>
          </w:p>
        </w:tc>
      </w:tr>
      <w:tr w:rsidR="00AD2807" w:rsidRPr="00AD2807" w:rsidTr="00950C75">
        <w:trPr>
          <w:cantSplit/>
          <w:trHeight w:val="123"/>
        </w:trPr>
        <w:tc>
          <w:tcPr>
            <w:tcW w:w="1952" w:type="dxa"/>
            <w:vMerge w:val="restart"/>
            <w:tcBorders>
              <w:top w:val="single" w:sz="4" w:space="0" w:color="auto"/>
              <w:left w:val="single" w:sz="8" w:space="0" w:color="auto"/>
              <w:bottom w:val="nil"/>
              <w:right w:val="single" w:sz="8" w:space="0" w:color="auto"/>
            </w:tcBorders>
            <w:tcMar>
              <w:top w:w="0" w:type="dxa"/>
              <w:left w:w="108" w:type="dxa"/>
              <w:bottom w:w="0" w:type="dxa"/>
              <w:right w:w="108" w:type="dxa"/>
            </w:tcMar>
            <w:hideMark/>
          </w:tcPr>
          <w:p w:rsidR="006720DC" w:rsidRPr="00AD2807" w:rsidRDefault="006720DC" w:rsidP="00950C75">
            <w:pPr>
              <w:rPr>
                <w:lang w:val="en-AU"/>
              </w:rPr>
            </w:pPr>
            <w:r w:rsidRPr="00AD2807">
              <w:rPr>
                <w:lang w:val="en-AU"/>
              </w:rPr>
              <w:t>To grant</w:t>
            </w:r>
          </w:p>
        </w:tc>
        <w:tc>
          <w:tcPr>
            <w:tcW w:w="2384" w:type="dxa"/>
            <w:vMerge w:val="restart"/>
            <w:tcBorders>
              <w:top w:val="single" w:sz="4" w:space="0" w:color="auto"/>
              <w:left w:val="nil"/>
              <w:bottom w:val="nil"/>
              <w:right w:val="single" w:sz="8" w:space="0" w:color="auto"/>
            </w:tcBorders>
            <w:tcMar>
              <w:top w:w="0" w:type="dxa"/>
              <w:left w:w="108" w:type="dxa"/>
              <w:bottom w:w="0" w:type="dxa"/>
              <w:right w:w="108" w:type="dxa"/>
            </w:tcMar>
            <w:hideMark/>
          </w:tcPr>
          <w:p w:rsidR="006720DC" w:rsidRPr="00AD2807" w:rsidRDefault="006720DC" w:rsidP="00950C75">
            <w:pPr>
              <w:rPr>
                <w:lang w:val="en-AU"/>
              </w:rPr>
            </w:pPr>
            <w:r w:rsidRPr="00AD2807">
              <w:rPr>
                <w:lang w:val="en-AU"/>
              </w:rPr>
              <w:t>Request for examination</w:t>
            </w:r>
          </w:p>
        </w:tc>
        <w:tc>
          <w:tcPr>
            <w:tcW w:w="24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0DC" w:rsidRPr="00AD2807" w:rsidRDefault="006720DC" w:rsidP="00950C75">
            <w:pPr>
              <w:rPr>
                <w:lang w:val="en-AU"/>
              </w:rPr>
            </w:pPr>
            <w:r w:rsidRPr="00AD2807">
              <w:rPr>
                <w:lang w:val="en-AU"/>
              </w:rPr>
              <w:t xml:space="preserve">Varies by discipline, but on average: </w:t>
            </w:r>
          </w:p>
        </w:tc>
        <w:tc>
          <w:tcPr>
            <w:tcW w:w="17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0DC" w:rsidRPr="00AD2807" w:rsidRDefault="006720DC" w:rsidP="00950C75">
            <w:pPr>
              <w:rPr>
                <w:lang w:val="en-AU"/>
              </w:rPr>
            </w:pPr>
            <w:r w:rsidRPr="00AD2807">
              <w:rPr>
                <w:lang w:val="en-AU"/>
              </w:rPr>
              <w:t>23.0</w:t>
            </w:r>
          </w:p>
        </w:tc>
      </w:tr>
      <w:tr w:rsidR="00AD2807" w:rsidRPr="00AD2807" w:rsidTr="00950C75">
        <w:trPr>
          <w:cantSplit/>
          <w:trHeight w:val="123"/>
        </w:trPr>
        <w:tc>
          <w:tcPr>
            <w:tcW w:w="0" w:type="auto"/>
            <w:vMerge/>
            <w:tcBorders>
              <w:top w:val="nil"/>
              <w:left w:val="single" w:sz="8" w:space="0" w:color="auto"/>
              <w:bottom w:val="nil"/>
              <w:right w:val="single" w:sz="8" w:space="0" w:color="auto"/>
            </w:tcBorders>
            <w:vAlign w:val="center"/>
            <w:hideMark/>
          </w:tcPr>
          <w:p w:rsidR="006720DC" w:rsidRPr="00AD2807" w:rsidRDefault="006720DC" w:rsidP="00950C75">
            <w:pPr>
              <w:rPr>
                <w:lang w:val="en-AU"/>
              </w:rPr>
            </w:pPr>
          </w:p>
        </w:tc>
        <w:tc>
          <w:tcPr>
            <w:tcW w:w="0" w:type="auto"/>
            <w:vMerge/>
            <w:tcBorders>
              <w:top w:val="nil"/>
              <w:left w:val="nil"/>
              <w:bottom w:val="nil"/>
              <w:right w:val="single" w:sz="8" w:space="0" w:color="auto"/>
            </w:tcBorders>
            <w:vAlign w:val="center"/>
            <w:hideMark/>
          </w:tcPr>
          <w:p w:rsidR="006720DC" w:rsidRPr="00AD2807" w:rsidRDefault="006720DC" w:rsidP="00950C75">
            <w:pPr>
              <w:rPr>
                <w:lang w:val="en-AU"/>
              </w:rPr>
            </w:pPr>
          </w:p>
        </w:tc>
        <w:tc>
          <w:tcPr>
            <w:tcW w:w="24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0DC" w:rsidRPr="00AD2807" w:rsidRDefault="006720DC" w:rsidP="00950C75">
            <w:pPr>
              <w:rPr>
                <w:lang w:val="en-AU"/>
              </w:rPr>
            </w:pPr>
            <w:r w:rsidRPr="00AD2807">
              <w:rPr>
                <w:lang w:val="en-AU"/>
              </w:rPr>
              <w:t>Mechanical</w:t>
            </w:r>
          </w:p>
        </w:tc>
        <w:tc>
          <w:tcPr>
            <w:tcW w:w="17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0DC" w:rsidRPr="00AD2807" w:rsidRDefault="006720DC" w:rsidP="00950C75">
            <w:pPr>
              <w:rPr>
                <w:lang w:val="en-AU"/>
              </w:rPr>
            </w:pPr>
            <w:r w:rsidRPr="00AD2807">
              <w:rPr>
                <w:lang w:val="en-AU"/>
              </w:rPr>
              <w:t>22.7</w:t>
            </w:r>
          </w:p>
        </w:tc>
      </w:tr>
      <w:tr w:rsidR="00AD2807" w:rsidRPr="00AD2807" w:rsidTr="00950C75">
        <w:trPr>
          <w:cantSplit/>
          <w:trHeight w:val="123"/>
        </w:trPr>
        <w:tc>
          <w:tcPr>
            <w:tcW w:w="0" w:type="auto"/>
            <w:vMerge/>
            <w:tcBorders>
              <w:top w:val="nil"/>
              <w:left w:val="single" w:sz="8" w:space="0" w:color="auto"/>
              <w:bottom w:val="nil"/>
              <w:right w:val="single" w:sz="8" w:space="0" w:color="auto"/>
            </w:tcBorders>
            <w:vAlign w:val="center"/>
            <w:hideMark/>
          </w:tcPr>
          <w:p w:rsidR="006720DC" w:rsidRPr="00AD2807" w:rsidRDefault="006720DC" w:rsidP="00950C75">
            <w:pPr>
              <w:rPr>
                <w:lang w:val="en-AU"/>
              </w:rPr>
            </w:pPr>
          </w:p>
        </w:tc>
        <w:tc>
          <w:tcPr>
            <w:tcW w:w="0" w:type="auto"/>
            <w:vMerge/>
            <w:tcBorders>
              <w:top w:val="nil"/>
              <w:left w:val="nil"/>
              <w:bottom w:val="nil"/>
              <w:right w:val="single" w:sz="8" w:space="0" w:color="auto"/>
            </w:tcBorders>
            <w:vAlign w:val="center"/>
            <w:hideMark/>
          </w:tcPr>
          <w:p w:rsidR="006720DC" w:rsidRPr="00AD2807" w:rsidRDefault="006720DC" w:rsidP="00950C75">
            <w:pPr>
              <w:rPr>
                <w:lang w:val="en-AU"/>
              </w:rPr>
            </w:pPr>
          </w:p>
        </w:tc>
        <w:tc>
          <w:tcPr>
            <w:tcW w:w="24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0DC" w:rsidRPr="00AD2807" w:rsidRDefault="006720DC" w:rsidP="00950C75">
            <w:pPr>
              <w:rPr>
                <w:lang w:val="en-AU"/>
              </w:rPr>
            </w:pPr>
            <w:r w:rsidRPr="00AD2807">
              <w:rPr>
                <w:lang w:val="en-AU"/>
              </w:rPr>
              <w:t>Electrical/electronic</w:t>
            </w:r>
          </w:p>
        </w:tc>
        <w:tc>
          <w:tcPr>
            <w:tcW w:w="17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0DC" w:rsidRPr="00AD2807" w:rsidRDefault="006720DC" w:rsidP="00950C75">
            <w:pPr>
              <w:rPr>
                <w:lang w:val="en-AU"/>
              </w:rPr>
            </w:pPr>
            <w:r w:rsidRPr="00AD2807">
              <w:rPr>
                <w:lang w:val="en-AU"/>
              </w:rPr>
              <w:t>21.6</w:t>
            </w:r>
          </w:p>
        </w:tc>
      </w:tr>
      <w:tr w:rsidR="00AD2807" w:rsidRPr="00AD2807" w:rsidTr="00950C75">
        <w:trPr>
          <w:cantSplit/>
          <w:trHeight w:val="123"/>
        </w:trPr>
        <w:tc>
          <w:tcPr>
            <w:tcW w:w="0" w:type="auto"/>
            <w:vMerge/>
            <w:tcBorders>
              <w:top w:val="nil"/>
              <w:left w:val="single" w:sz="8" w:space="0" w:color="auto"/>
              <w:bottom w:val="single" w:sz="4" w:space="0" w:color="auto"/>
              <w:right w:val="single" w:sz="8" w:space="0" w:color="auto"/>
            </w:tcBorders>
            <w:vAlign w:val="center"/>
            <w:hideMark/>
          </w:tcPr>
          <w:p w:rsidR="006720DC" w:rsidRPr="00AD2807" w:rsidRDefault="006720DC" w:rsidP="00950C75">
            <w:pPr>
              <w:rPr>
                <w:lang w:val="en-AU"/>
              </w:rPr>
            </w:pPr>
          </w:p>
        </w:tc>
        <w:tc>
          <w:tcPr>
            <w:tcW w:w="0" w:type="auto"/>
            <w:vMerge/>
            <w:tcBorders>
              <w:top w:val="nil"/>
              <w:left w:val="nil"/>
              <w:bottom w:val="single" w:sz="4" w:space="0" w:color="auto"/>
              <w:right w:val="single" w:sz="8" w:space="0" w:color="auto"/>
            </w:tcBorders>
            <w:vAlign w:val="center"/>
            <w:hideMark/>
          </w:tcPr>
          <w:p w:rsidR="006720DC" w:rsidRPr="00AD2807" w:rsidRDefault="006720DC" w:rsidP="00950C75">
            <w:pPr>
              <w:rPr>
                <w:lang w:val="en-AU"/>
              </w:rPr>
            </w:pPr>
          </w:p>
        </w:tc>
        <w:tc>
          <w:tcPr>
            <w:tcW w:w="244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6720DC" w:rsidRPr="00AD2807" w:rsidRDefault="006720DC" w:rsidP="00950C75">
            <w:pPr>
              <w:rPr>
                <w:lang w:val="en-AU"/>
              </w:rPr>
            </w:pPr>
            <w:r w:rsidRPr="00AD2807">
              <w:rPr>
                <w:lang w:val="en-AU"/>
              </w:rPr>
              <w:t>Chemistry</w:t>
            </w:r>
          </w:p>
        </w:tc>
        <w:tc>
          <w:tcPr>
            <w:tcW w:w="1744" w:type="dxa"/>
            <w:tcBorders>
              <w:top w:val="nil"/>
              <w:left w:val="nil"/>
              <w:bottom w:val="single" w:sz="4" w:space="0" w:color="auto"/>
              <w:right w:val="single" w:sz="8" w:space="0" w:color="auto"/>
            </w:tcBorders>
            <w:tcMar>
              <w:top w:w="0" w:type="dxa"/>
              <w:left w:w="108" w:type="dxa"/>
              <w:bottom w:w="0" w:type="dxa"/>
              <w:right w:w="108" w:type="dxa"/>
            </w:tcMar>
            <w:vAlign w:val="center"/>
          </w:tcPr>
          <w:p w:rsidR="006720DC" w:rsidRPr="00AD2807" w:rsidRDefault="006720DC" w:rsidP="00950C75">
            <w:pPr>
              <w:rPr>
                <w:lang w:val="en-AU"/>
              </w:rPr>
            </w:pPr>
            <w:r w:rsidRPr="00AD2807">
              <w:rPr>
                <w:lang w:val="en-AU"/>
              </w:rPr>
              <w:t>24.5</w:t>
            </w:r>
          </w:p>
        </w:tc>
      </w:tr>
    </w:tbl>
    <w:p w:rsidR="006720DC" w:rsidRPr="00AD2807" w:rsidRDefault="006720DC" w:rsidP="006720DC">
      <w:pPr>
        <w:keepNext/>
        <w:keepLines/>
        <w:rPr>
          <w:b/>
          <w:bCs/>
          <w:szCs w:val="22"/>
          <w:lang w:val="en-AU"/>
        </w:rPr>
      </w:pPr>
    </w:p>
    <w:p w:rsidR="006720DC" w:rsidRPr="001D0D5B" w:rsidRDefault="006720DC" w:rsidP="006720DC">
      <w:pPr>
        <w:rPr>
          <w:lang w:val="en-AU"/>
        </w:rPr>
      </w:pPr>
      <w:r w:rsidRPr="00AD2807">
        <w:rPr>
          <w:b/>
          <w:bCs/>
          <w:lang w:val="en-AU"/>
        </w:rPr>
        <w:t xml:space="preserve">Past Data: </w:t>
      </w:r>
      <w:r w:rsidRPr="00AD2807">
        <w:rPr>
          <w:lang w:val="en-AU"/>
        </w:rPr>
        <w:t>(to demonstrate the reduction in turnaround times and the fluctuations in outputs)</w:t>
      </w:r>
    </w:p>
    <w:tbl>
      <w:tblPr>
        <w:tblW w:w="8379" w:type="dxa"/>
        <w:tblInd w:w="93" w:type="dxa"/>
        <w:tblLayout w:type="fixed"/>
        <w:tblCellMar>
          <w:left w:w="0" w:type="dxa"/>
          <w:right w:w="0" w:type="dxa"/>
        </w:tblCellMar>
        <w:tblLook w:val="04A0" w:firstRow="1" w:lastRow="0" w:firstColumn="1" w:lastColumn="0" w:noHBand="0" w:noVBand="1"/>
      </w:tblPr>
      <w:tblGrid>
        <w:gridCol w:w="5544"/>
        <w:gridCol w:w="708"/>
        <w:gridCol w:w="709"/>
        <w:gridCol w:w="709"/>
        <w:gridCol w:w="709"/>
      </w:tblGrid>
      <w:tr w:rsidR="00AD2807" w:rsidRPr="00AD2807" w:rsidTr="00950C75">
        <w:trPr>
          <w:trHeight w:val="530"/>
        </w:trPr>
        <w:tc>
          <w:tcPr>
            <w:tcW w:w="8379"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20DC" w:rsidRPr="00AD2807" w:rsidRDefault="006720DC" w:rsidP="00950C75">
            <w:pPr>
              <w:rPr>
                <w:b/>
                <w:bCs/>
                <w:lang w:val="en-AU"/>
              </w:rPr>
            </w:pPr>
            <w:r w:rsidRPr="00AD2807">
              <w:rPr>
                <w:b/>
                <w:bCs/>
                <w:lang w:val="en-AU"/>
              </w:rPr>
              <w:t>Patent turnaround times</w:t>
            </w:r>
          </w:p>
        </w:tc>
      </w:tr>
      <w:tr w:rsidR="00AD2807" w:rsidRPr="00AD2807" w:rsidTr="00950C75">
        <w:trPr>
          <w:trHeight w:val="1029"/>
        </w:trPr>
        <w:tc>
          <w:tcPr>
            <w:tcW w:w="55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20DC" w:rsidRPr="00AD2807" w:rsidRDefault="006720DC" w:rsidP="00950C75">
            <w:pPr>
              <w:rPr>
                <w:b/>
                <w:bCs/>
                <w:lang w:val="en-AU"/>
              </w:rPr>
            </w:pPr>
            <w:r w:rsidRPr="00AD2807">
              <w:rPr>
                <w:b/>
                <w:bCs/>
                <w:lang w:val="en-AU"/>
              </w:rPr>
              <w:t>Turnaround times</w:t>
            </w:r>
          </w:p>
          <w:p w:rsidR="006720DC" w:rsidRPr="00AD2807" w:rsidRDefault="006720DC" w:rsidP="00950C75">
            <w:pPr>
              <w:rPr>
                <w:b/>
                <w:bCs/>
                <w:lang w:val="en-AU"/>
              </w:rPr>
            </w:pPr>
            <w:r w:rsidRPr="00AD2807">
              <w:rPr>
                <w:b/>
                <w:bCs/>
                <w:lang w:val="en-AU"/>
              </w:rPr>
              <w:t>(From request for examination to grant in months)</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0DC" w:rsidRPr="00AD2807" w:rsidRDefault="006720DC" w:rsidP="00950C75">
            <w:pPr>
              <w:rPr>
                <w:b/>
                <w:bCs/>
                <w:lang w:val="en-AU"/>
              </w:rPr>
            </w:pPr>
            <w:r w:rsidRPr="00AD2807">
              <w:rPr>
                <w:b/>
                <w:bCs/>
                <w:lang w:val="en-AU"/>
              </w:rPr>
              <w:t>2013</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0DC" w:rsidRPr="00AD2807" w:rsidRDefault="006720DC" w:rsidP="00950C75">
            <w:pPr>
              <w:rPr>
                <w:b/>
                <w:bCs/>
                <w:lang w:val="en-AU"/>
              </w:rPr>
            </w:pPr>
            <w:r w:rsidRPr="00AD2807">
              <w:rPr>
                <w:b/>
                <w:bCs/>
                <w:lang w:val="en-AU"/>
              </w:rPr>
              <w:t>2014</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0DC" w:rsidRPr="00AD2807" w:rsidRDefault="006720DC" w:rsidP="00950C75">
            <w:pPr>
              <w:rPr>
                <w:b/>
                <w:bCs/>
                <w:lang w:val="en-AU"/>
              </w:rPr>
            </w:pPr>
            <w:r w:rsidRPr="00AD2807">
              <w:rPr>
                <w:b/>
                <w:bCs/>
                <w:lang w:val="en-AU"/>
              </w:rPr>
              <w:t>2015</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0DC" w:rsidRPr="00AD2807" w:rsidRDefault="006720DC" w:rsidP="00950C75">
            <w:pPr>
              <w:rPr>
                <w:b/>
                <w:bCs/>
                <w:lang w:val="en-AU"/>
              </w:rPr>
            </w:pPr>
            <w:r w:rsidRPr="00AD2807">
              <w:rPr>
                <w:b/>
                <w:bCs/>
                <w:lang w:val="en-AU"/>
              </w:rPr>
              <w:t>2016</w:t>
            </w:r>
          </w:p>
        </w:tc>
      </w:tr>
      <w:tr w:rsidR="00AD2807" w:rsidRPr="00AD2807" w:rsidTr="00950C75">
        <w:trPr>
          <w:trHeight w:val="471"/>
        </w:trPr>
        <w:tc>
          <w:tcPr>
            <w:tcW w:w="55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20DC" w:rsidRPr="00AD2807" w:rsidRDefault="006720DC" w:rsidP="00950C75">
            <w:pPr>
              <w:rPr>
                <w:lang w:val="en-AU"/>
              </w:rPr>
            </w:pP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0DC" w:rsidRPr="00AD2807" w:rsidRDefault="006720DC" w:rsidP="00950C75">
            <w:pPr>
              <w:rPr>
                <w:lang w:val="en-AU"/>
              </w:rPr>
            </w:pPr>
            <w:r w:rsidRPr="00AD2807">
              <w:rPr>
                <w:lang w:val="en-AU"/>
              </w:rPr>
              <w:t>24.6</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0DC" w:rsidRPr="00AD2807" w:rsidRDefault="006720DC" w:rsidP="00950C75">
            <w:pPr>
              <w:rPr>
                <w:lang w:val="en-AU"/>
              </w:rPr>
            </w:pPr>
            <w:r w:rsidRPr="00AD2807">
              <w:rPr>
                <w:lang w:val="en-AU"/>
              </w:rPr>
              <w:t>23.8</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0DC" w:rsidRPr="00AD2807" w:rsidRDefault="006720DC" w:rsidP="00950C75">
            <w:pPr>
              <w:rPr>
                <w:lang w:val="en-AU"/>
              </w:rPr>
            </w:pPr>
            <w:r w:rsidRPr="00AD2807">
              <w:rPr>
                <w:lang w:val="en-AU"/>
              </w:rPr>
              <w:t>24.7</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0DC" w:rsidRPr="00AD2807" w:rsidRDefault="006720DC" w:rsidP="00950C75">
            <w:pPr>
              <w:rPr>
                <w:lang w:val="en-AU"/>
              </w:rPr>
            </w:pPr>
            <w:r w:rsidRPr="00AD2807">
              <w:rPr>
                <w:lang w:val="en-AU"/>
              </w:rPr>
              <w:t>23.0</w:t>
            </w:r>
          </w:p>
        </w:tc>
      </w:tr>
    </w:tbl>
    <w:p w:rsidR="006720DC" w:rsidRPr="00AD2807" w:rsidRDefault="006720DC" w:rsidP="006720DC">
      <w:pPr>
        <w:keepNext/>
        <w:keepLines/>
        <w:rPr>
          <w:b/>
          <w:bCs/>
          <w:szCs w:val="22"/>
          <w:lang w:val="en-AU"/>
        </w:rPr>
      </w:pPr>
    </w:p>
    <w:p w:rsidR="006720DC" w:rsidRPr="001D0D5B" w:rsidRDefault="006720DC" w:rsidP="006720DC">
      <w:pPr>
        <w:keepNext/>
        <w:keepLines/>
        <w:rPr>
          <w:b/>
          <w:bCs/>
          <w:szCs w:val="22"/>
          <w:lang w:val="en-AU"/>
        </w:rPr>
      </w:pPr>
      <w:r w:rsidRPr="00AD2807">
        <w:rPr>
          <w:b/>
          <w:bCs/>
          <w:szCs w:val="22"/>
          <w:lang w:val="en-AU"/>
        </w:rPr>
        <w:t>National backlogs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4536"/>
      </w:tblGrid>
      <w:tr w:rsidR="00AD2807" w:rsidRPr="00AD2807" w:rsidTr="00950C75">
        <w:trPr>
          <w:cantSplit/>
        </w:trPr>
        <w:tc>
          <w:tcPr>
            <w:tcW w:w="3936" w:type="dxa"/>
            <w:shd w:val="clear" w:color="auto" w:fill="auto"/>
          </w:tcPr>
          <w:p w:rsidR="006720DC" w:rsidRPr="00AD2807" w:rsidRDefault="006720DC" w:rsidP="00950C75">
            <w:pPr>
              <w:rPr>
                <w:b/>
                <w:bCs/>
                <w:lang w:val="en-AU"/>
              </w:rPr>
            </w:pPr>
            <w:r w:rsidRPr="00AD2807">
              <w:rPr>
                <w:b/>
                <w:bCs/>
                <w:lang w:val="en-AU"/>
              </w:rPr>
              <w:t>Measure</w:t>
            </w:r>
          </w:p>
        </w:tc>
        <w:tc>
          <w:tcPr>
            <w:tcW w:w="4536" w:type="dxa"/>
            <w:shd w:val="clear" w:color="auto" w:fill="auto"/>
          </w:tcPr>
          <w:p w:rsidR="006720DC" w:rsidRPr="00AD2807" w:rsidRDefault="006720DC" w:rsidP="00950C75">
            <w:pPr>
              <w:rPr>
                <w:b/>
                <w:bCs/>
                <w:lang w:val="en-AU"/>
              </w:rPr>
            </w:pPr>
            <w:r w:rsidRPr="00AD2807">
              <w:rPr>
                <w:b/>
                <w:bCs/>
                <w:lang w:val="en-AU"/>
              </w:rPr>
              <w:t>Number of applications (as of 2017-2-14)</w:t>
            </w:r>
          </w:p>
        </w:tc>
      </w:tr>
      <w:tr w:rsidR="00AD2807" w:rsidRPr="00AD2807" w:rsidTr="00950C75">
        <w:trPr>
          <w:cantSplit/>
        </w:trPr>
        <w:tc>
          <w:tcPr>
            <w:tcW w:w="3936" w:type="dxa"/>
            <w:shd w:val="clear" w:color="auto" w:fill="auto"/>
          </w:tcPr>
          <w:p w:rsidR="006720DC" w:rsidRPr="00AD2807" w:rsidRDefault="006720DC" w:rsidP="00950C75">
            <w:pPr>
              <w:rPr>
                <w:lang w:val="en-AU"/>
              </w:rPr>
            </w:pPr>
            <w:r w:rsidRPr="00AD2807">
              <w:rPr>
                <w:lang w:val="en-AU"/>
              </w:rPr>
              <w:t>All pending applications</w:t>
            </w:r>
          </w:p>
        </w:tc>
        <w:tc>
          <w:tcPr>
            <w:tcW w:w="4536" w:type="dxa"/>
            <w:shd w:val="clear" w:color="auto" w:fill="auto"/>
          </w:tcPr>
          <w:p w:rsidR="006720DC" w:rsidRPr="00AD2807" w:rsidRDefault="006720DC" w:rsidP="00950C75">
            <w:pPr>
              <w:rPr>
                <w:lang w:val="en-AU"/>
              </w:rPr>
            </w:pPr>
            <w:r w:rsidRPr="00AD2807">
              <w:rPr>
                <w:lang w:val="en-AU"/>
              </w:rPr>
              <w:t>42,082</w:t>
            </w:r>
          </w:p>
        </w:tc>
      </w:tr>
      <w:tr w:rsidR="00AD2807" w:rsidRPr="00AD2807" w:rsidTr="00950C75">
        <w:trPr>
          <w:cantSplit/>
        </w:trPr>
        <w:tc>
          <w:tcPr>
            <w:tcW w:w="3936" w:type="dxa"/>
            <w:shd w:val="clear" w:color="auto" w:fill="auto"/>
          </w:tcPr>
          <w:p w:rsidR="006720DC" w:rsidRPr="00AD2807" w:rsidRDefault="006720DC" w:rsidP="00950C75">
            <w:pPr>
              <w:rPr>
                <w:lang w:val="en-AU"/>
              </w:rPr>
            </w:pPr>
            <w:r w:rsidRPr="00AD2807">
              <w:rPr>
                <w:lang w:val="en-AU"/>
              </w:rPr>
              <w:t>Applications awaiting search (where relevant fees paid)</w:t>
            </w:r>
          </w:p>
        </w:tc>
        <w:tc>
          <w:tcPr>
            <w:tcW w:w="4536" w:type="dxa"/>
            <w:shd w:val="clear" w:color="auto" w:fill="auto"/>
          </w:tcPr>
          <w:p w:rsidR="006720DC" w:rsidRPr="00AD2807" w:rsidRDefault="006720DC" w:rsidP="00950C75">
            <w:pPr>
              <w:rPr>
                <w:lang w:val="en-AU"/>
              </w:rPr>
            </w:pPr>
            <w:r w:rsidRPr="00AD2807">
              <w:rPr>
                <w:lang w:val="en-AU"/>
              </w:rPr>
              <w:t>As search and examination tasks are undertaken by the same examiner at the same time there is no separate and specific data.</w:t>
            </w:r>
          </w:p>
        </w:tc>
      </w:tr>
      <w:tr w:rsidR="00AD2807" w:rsidRPr="00AD2807" w:rsidTr="00950C75">
        <w:trPr>
          <w:cantSplit/>
        </w:trPr>
        <w:tc>
          <w:tcPr>
            <w:tcW w:w="3936" w:type="dxa"/>
            <w:shd w:val="clear" w:color="auto" w:fill="auto"/>
          </w:tcPr>
          <w:p w:rsidR="006720DC" w:rsidRPr="00AD2807" w:rsidRDefault="006720DC" w:rsidP="00950C75">
            <w:pPr>
              <w:rPr>
                <w:lang w:val="en-AU"/>
              </w:rPr>
            </w:pPr>
            <w:r w:rsidRPr="00AD2807">
              <w:rPr>
                <w:lang w:val="en-AU"/>
              </w:rPr>
              <w:t>Applications awaiting first examination (where relevant fees paid)</w:t>
            </w:r>
          </w:p>
        </w:tc>
        <w:tc>
          <w:tcPr>
            <w:tcW w:w="4536" w:type="dxa"/>
            <w:shd w:val="clear" w:color="auto" w:fill="auto"/>
            <w:vAlign w:val="center"/>
          </w:tcPr>
          <w:p w:rsidR="006720DC" w:rsidRPr="00AD2807" w:rsidRDefault="006720DC" w:rsidP="00950C75">
            <w:pPr>
              <w:rPr>
                <w:lang w:val="en-AU"/>
              </w:rPr>
            </w:pPr>
            <w:r w:rsidRPr="00AD2807">
              <w:rPr>
                <w:lang w:val="en-AU"/>
              </w:rPr>
              <w:t>18,031</w:t>
            </w:r>
          </w:p>
        </w:tc>
      </w:tr>
    </w:tbl>
    <w:p w:rsidR="006720DC" w:rsidRPr="00AD2807" w:rsidRDefault="006720DC" w:rsidP="006720DC">
      <w:pPr>
        <w:rPr>
          <w:lang w:val="en-AU"/>
        </w:rPr>
      </w:pPr>
    </w:p>
    <w:p w:rsidR="006720DC" w:rsidRPr="00AD2807" w:rsidRDefault="006720DC" w:rsidP="001D0D5B">
      <w:pPr>
        <w:keepNext/>
        <w:rPr>
          <w:b/>
          <w:bCs/>
          <w:lang w:val="en-AU"/>
        </w:rPr>
      </w:pPr>
      <w:r w:rsidRPr="00AD2807">
        <w:rPr>
          <w:b/>
          <w:bCs/>
          <w:lang w:val="en-AU"/>
        </w:rPr>
        <w:t>Past data:</w:t>
      </w:r>
    </w:p>
    <w:tbl>
      <w:tblPr>
        <w:tblW w:w="8379" w:type="dxa"/>
        <w:tblInd w:w="93" w:type="dxa"/>
        <w:tblLayout w:type="fixed"/>
        <w:tblCellMar>
          <w:left w:w="0" w:type="dxa"/>
          <w:right w:w="0" w:type="dxa"/>
        </w:tblCellMar>
        <w:tblLook w:val="04A0" w:firstRow="1" w:lastRow="0" w:firstColumn="1" w:lastColumn="0" w:noHBand="0" w:noVBand="1"/>
      </w:tblPr>
      <w:tblGrid>
        <w:gridCol w:w="4410"/>
        <w:gridCol w:w="992"/>
        <w:gridCol w:w="992"/>
        <w:gridCol w:w="992"/>
        <w:gridCol w:w="993"/>
      </w:tblGrid>
      <w:tr w:rsidR="00AD2807" w:rsidRPr="00AD2807" w:rsidTr="00950C75">
        <w:trPr>
          <w:trHeight w:val="530"/>
        </w:trPr>
        <w:tc>
          <w:tcPr>
            <w:tcW w:w="8379"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20DC" w:rsidRPr="00AD2807" w:rsidRDefault="006720DC" w:rsidP="001D0D5B">
            <w:pPr>
              <w:keepNext/>
              <w:rPr>
                <w:b/>
                <w:bCs/>
                <w:lang w:val="en-AU"/>
              </w:rPr>
            </w:pPr>
            <w:r w:rsidRPr="00AD2807">
              <w:rPr>
                <w:b/>
                <w:bCs/>
                <w:lang w:val="en-AU"/>
              </w:rPr>
              <w:t>Patent Inventory (taken at December 2016)</w:t>
            </w:r>
          </w:p>
        </w:tc>
      </w:tr>
      <w:tr w:rsidR="00AD2807" w:rsidRPr="00AD2807" w:rsidTr="00950C75">
        <w:trPr>
          <w:trHeight w:val="901"/>
        </w:trPr>
        <w:tc>
          <w:tcPr>
            <w:tcW w:w="4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20DC" w:rsidRPr="00AD2807" w:rsidRDefault="006720DC" w:rsidP="001D0D5B">
            <w:pPr>
              <w:keepNext/>
              <w:rPr>
                <w:b/>
                <w:bCs/>
                <w:lang w:val="en-AU"/>
              </w:rPr>
            </w:pPr>
            <w:r w:rsidRPr="00AD2807">
              <w:rPr>
                <w:b/>
                <w:bCs/>
                <w:lang w:val="en-AU"/>
              </w:rPr>
              <w:t xml:space="preserve">Inventory </w:t>
            </w:r>
          </w:p>
          <w:p w:rsidR="006720DC" w:rsidRPr="00AD2807" w:rsidRDefault="006720DC" w:rsidP="001D0D5B">
            <w:pPr>
              <w:keepNext/>
              <w:rPr>
                <w:b/>
                <w:bCs/>
                <w:lang w:val="en-AU"/>
              </w:rPr>
            </w:pPr>
            <w:r w:rsidRPr="00AD2807">
              <w:rPr>
                <w:b/>
                <w:bCs/>
                <w:lang w:val="en-AU"/>
              </w:rPr>
              <w:t>(Number of applications awaiting first action)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0DC" w:rsidRPr="00AD2807" w:rsidRDefault="006720DC" w:rsidP="001D0D5B">
            <w:pPr>
              <w:keepNext/>
              <w:rPr>
                <w:b/>
                <w:bCs/>
                <w:lang w:val="en-AU"/>
              </w:rPr>
            </w:pPr>
            <w:r w:rsidRPr="00AD2807">
              <w:rPr>
                <w:b/>
                <w:bCs/>
                <w:lang w:val="en-AU"/>
              </w:rPr>
              <w:t>2013</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0DC" w:rsidRPr="00AD2807" w:rsidRDefault="006720DC" w:rsidP="001D0D5B">
            <w:pPr>
              <w:keepNext/>
              <w:rPr>
                <w:b/>
                <w:bCs/>
                <w:lang w:val="en-AU"/>
              </w:rPr>
            </w:pPr>
            <w:r w:rsidRPr="00AD2807">
              <w:rPr>
                <w:b/>
                <w:bCs/>
                <w:lang w:val="en-AU"/>
              </w:rPr>
              <w:t>2014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0DC" w:rsidRPr="00AD2807" w:rsidRDefault="006720DC" w:rsidP="001D0D5B">
            <w:pPr>
              <w:keepNext/>
              <w:rPr>
                <w:b/>
                <w:bCs/>
                <w:lang w:val="en-AU"/>
              </w:rPr>
            </w:pPr>
            <w:r w:rsidRPr="00AD2807">
              <w:rPr>
                <w:b/>
                <w:bCs/>
                <w:lang w:val="en-AU"/>
              </w:rPr>
              <w:t>2015</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0DC" w:rsidRPr="00AD2807" w:rsidRDefault="006720DC" w:rsidP="001D0D5B">
            <w:pPr>
              <w:keepNext/>
              <w:rPr>
                <w:b/>
                <w:bCs/>
                <w:lang w:val="en-AU"/>
              </w:rPr>
            </w:pPr>
            <w:r w:rsidRPr="00AD2807">
              <w:rPr>
                <w:b/>
                <w:bCs/>
                <w:lang w:val="en-AU"/>
              </w:rPr>
              <w:t>2016</w:t>
            </w:r>
          </w:p>
        </w:tc>
      </w:tr>
      <w:tr w:rsidR="00AD2807" w:rsidRPr="00AD2807" w:rsidTr="00950C75">
        <w:trPr>
          <w:trHeight w:val="471"/>
        </w:trPr>
        <w:tc>
          <w:tcPr>
            <w:tcW w:w="4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20DC" w:rsidRPr="00AD2807" w:rsidRDefault="006720DC" w:rsidP="00950C75">
            <w:pPr>
              <w:rPr>
                <w:lang w:val="en-AU"/>
              </w:rPr>
            </w:pP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0DC" w:rsidRPr="00AD2807" w:rsidRDefault="006720DC" w:rsidP="00950C75">
            <w:pPr>
              <w:rPr>
                <w:lang w:val="en-AU"/>
              </w:rPr>
            </w:pPr>
            <w:r w:rsidRPr="00AD2807">
              <w:rPr>
                <w:lang w:val="en-AU"/>
              </w:rPr>
              <w:t>59,123</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0DC" w:rsidRPr="00AD2807" w:rsidRDefault="006720DC" w:rsidP="00950C75">
            <w:pPr>
              <w:rPr>
                <w:lang w:val="en-AU"/>
              </w:rPr>
            </w:pPr>
            <w:r w:rsidRPr="00AD2807">
              <w:rPr>
                <w:lang w:val="en-AU"/>
              </w:rPr>
              <w:t>51,798</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0DC" w:rsidRPr="00AD2807" w:rsidRDefault="006720DC" w:rsidP="00950C75">
            <w:pPr>
              <w:rPr>
                <w:lang w:val="en-AU"/>
              </w:rPr>
            </w:pPr>
            <w:r w:rsidRPr="00AD2807">
              <w:rPr>
                <w:lang w:val="en-AU"/>
              </w:rPr>
              <w:t>47,672</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0DC" w:rsidRPr="00AD2807" w:rsidRDefault="006720DC" w:rsidP="00950C75">
            <w:pPr>
              <w:rPr>
                <w:lang w:val="en-AU"/>
              </w:rPr>
            </w:pPr>
            <w:r w:rsidRPr="00AD2807">
              <w:rPr>
                <w:lang w:val="en-AU"/>
              </w:rPr>
              <w:t>42,206</w:t>
            </w:r>
          </w:p>
        </w:tc>
      </w:tr>
    </w:tbl>
    <w:p w:rsidR="006720DC" w:rsidRPr="001D0D5B" w:rsidRDefault="006720DC" w:rsidP="001D0D5B">
      <w:pPr>
        <w:pStyle w:val="SectionHeading"/>
      </w:pPr>
      <w:r w:rsidRPr="001D0D5B">
        <w:t>6 – Support Required</w:t>
      </w:r>
    </w:p>
    <w:p w:rsidR="006720DC" w:rsidRPr="00AD2807" w:rsidRDefault="006720DC" w:rsidP="006720DC">
      <w:pPr>
        <w:rPr>
          <w:lang w:val="en-AU"/>
        </w:rPr>
      </w:pPr>
      <w:r w:rsidRPr="00AD2807">
        <w:rPr>
          <w:lang w:val="en-AU"/>
        </w:rPr>
        <w:t>The APO will need nominal ongoing support from the International Bureau.</w:t>
      </w:r>
    </w:p>
    <w:p w:rsidR="006720DC" w:rsidRPr="00AD2807" w:rsidRDefault="006720DC" w:rsidP="006720DC">
      <w:pPr>
        <w:pStyle w:val="SectionHeading"/>
        <w:rPr>
          <w:lang w:val="en-AU"/>
        </w:rPr>
      </w:pPr>
      <w:r w:rsidRPr="00AD2807">
        <w:rPr>
          <w:lang w:val="en-AU"/>
        </w:rPr>
        <w:t>7 – Other</w:t>
      </w:r>
    </w:p>
    <w:p w:rsidR="006720DC" w:rsidRPr="00AD2807" w:rsidRDefault="006720DC" w:rsidP="006720DC">
      <w:pPr>
        <w:rPr>
          <w:i/>
          <w:szCs w:val="22"/>
          <w:lang w:val="en-AU"/>
        </w:rPr>
      </w:pPr>
      <w:r w:rsidRPr="00AD2807">
        <w:rPr>
          <w:i/>
          <w:szCs w:val="22"/>
          <w:lang w:val="en-AU"/>
        </w:rPr>
        <w:t>National Innovation and Science Agenda (NISA)</w:t>
      </w:r>
    </w:p>
    <w:p w:rsidR="006720DC" w:rsidRPr="00AD2807" w:rsidRDefault="006720DC" w:rsidP="006720DC">
      <w:pPr>
        <w:rPr>
          <w:i/>
          <w:szCs w:val="22"/>
          <w:lang w:val="en-AU"/>
        </w:rPr>
      </w:pPr>
    </w:p>
    <w:p w:rsidR="006720DC" w:rsidRPr="00AD2807" w:rsidRDefault="006720DC" w:rsidP="006720DC">
      <w:pPr>
        <w:spacing w:after="120"/>
        <w:rPr>
          <w:rFonts w:eastAsiaTheme="minorHAnsi" w:cs="Times New Roman"/>
          <w:lang w:val="en-AU" w:eastAsia="en-AU"/>
        </w:rPr>
      </w:pPr>
      <w:r w:rsidRPr="00AD2807">
        <w:rPr>
          <w:rFonts w:eastAsiaTheme="minorHAnsi" w:cs="Times New Roman"/>
          <w:lang w:val="en-AU" w:eastAsia="en-AU"/>
        </w:rPr>
        <w:t>On 7 December 2015, the Australian Government released its NISA</w:t>
      </w:r>
      <w:r w:rsidR="001D0D5B">
        <w:rPr>
          <w:rFonts w:eastAsiaTheme="minorHAnsi" w:cs="Times New Roman"/>
          <w:lang w:val="en-AU" w:eastAsia="en-AU"/>
        </w:rPr>
        <w:t xml:space="preserve">.  </w:t>
      </w:r>
      <w:r w:rsidRPr="00AD2807">
        <w:rPr>
          <w:rFonts w:eastAsiaTheme="minorHAnsi" w:cs="Times New Roman"/>
          <w:lang w:val="en-AU" w:eastAsia="en-AU"/>
        </w:rPr>
        <w:t>The NISA is part of the Government’s commitment to establishing Australia as a leading innovative nation</w:t>
      </w:r>
      <w:r w:rsidR="001D0D5B">
        <w:rPr>
          <w:rFonts w:eastAsiaTheme="minorHAnsi" w:cs="Times New Roman"/>
          <w:lang w:val="en-AU" w:eastAsia="en-AU"/>
        </w:rPr>
        <w:t xml:space="preserve">.  </w:t>
      </w:r>
      <w:r w:rsidRPr="00AD2807">
        <w:rPr>
          <w:rFonts w:eastAsiaTheme="minorHAnsi" w:cs="Times New Roman"/>
          <w:lang w:val="en-AU" w:eastAsia="en-AU"/>
        </w:rPr>
        <w:t xml:space="preserve">IP Australia is well placed to support relevant changes under the NISA, including those related to data sharing. </w:t>
      </w:r>
    </w:p>
    <w:p w:rsidR="006720DC" w:rsidRPr="00AD2807" w:rsidRDefault="006720DC" w:rsidP="006720DC">
      <w:pPr>
        <w:spacing w:after="120"/>
        <w:rPr>
          <w:rFonts w:eastAsiaTheme="minorHAnsi" w:cs="Times New Roman"/>
          <w:lang w:val="en-AU" w:eastAsia="en-AU"/>
        </w:rPr>
      </w:pPr>
      <w:r w:rsidRPr="00AD2807">
        <w:rPr>
          <w:rFonts w:eastAsiaTheme="minorHAnsi" w:cs="Times New Roman"/>
          <w:lang w:val="en-AU" w:eastAsia="en-AU"/>
        </w:rPr>
        <w:t>The NISA is focused on creating an environment that provides clear pathways and incentives for people and business to innovate</w:t>
      </w:r>
      <w:r w:rsidR="001D0D5B">
        <w:rPr>
          <w:rFonts w:eastAsiaTheme="minorHAnsi" w:cs="Times New Roman"/>
          <w:lang w:val="en-AU" w:eastAsia="en-AU"/>
        </w:rPr>
        <w:t xml:space="preserve">.  </w:t>
      </w:r>
      <w:r w:rsidRPr="00AD2807">
        <w:rPr>
          <w:rFonts w:eastAsiaTheme="minorHAnsi" w:cs="Times New Roman"/>
          <w:lang w:val="en-AU" w:eastAsia="en-AU"/>
        </w:rPr>
        <w:t>This includes investing in key enablers of innovation like science, research, education and infrastructure; as well as providing the right financial, regulatory, and tax settings to enable businesses to experiment, test and market new ideas.</w:t>
      </w:r>
    </w:p>
    <w:p w:rsidR="006720DC" w:rsidRPr="00AD2807" w:rsidRDefault="006720DC" w:rsidP="006720DC">
      <w:pPr>
        <w:rPr>
          <w:rFonts w:eastAsiaTheme="minorHAnsi" w:cs="Times New Roman"/>
          <w:lang w:val="en-AU" w:eastAsia="en-AU"/>
        </w:rPr>
      </w:pPr>
      <w:r w:rsidRPr="00AD2807">
        <w:rPr>
          <w:rFonts w:eastAsiaTheme="minorHAnsi" w:cs="Times New Roman"/>
          <w:lang w:val="en-AU" w:eastAsia="en-AU"/>
        </w:rPr>
        <w:t>IP Australia currently offers a number of services that support the NISA</w:t>
      </w:r>
      <w:r w:rsidR="001D0D5B">
        <w:rPr>
          <w:rFonts w:eastAsiaTheme="minorHAnsi" w:cs="Times New Roman"/>
          <w:lang w:val="en-AU" w:eastAsia="en-AU"/>
        </w:rPr>
        <w:t xml:space="preserve">.  </w:t>
      </w:r>
      <w:r w:rsidRPr="00AD2807">
        <w:rPr>
          <w:rFonts w:eastAsiaTheme="minorHAnsi" w:cs="Times New Roman"/>
          <w:lang w:val="en-AU" w:eastAsia="en-AU"/>
        </w:rPr>
        <w:t>These are primarily aimed at bolstering the commercialisation of public sector research, and collaboration between the research and business community, where intellectual property (IP) can be a contentious issue</w:t>
      </w:r>
      <w:r w:rsidR="001D0D5B">
        <w:rPr>
          <w:rFonts w:eastAsiaTheme="minorHAnsi" w:cs="Times New Roman"/>
          <w:lang w:val="en-AU" w:eastAsia="en-AU"/>
        </w:rPr>
        <w:t xml:space="preserve">.  </w:t>
      </w:r>
      <w:r w:rsidRPr="00AD2807">
        <w:rPr>
          <w:rFonts w:eastAsiaTheme="minorHAnsi" w:cs="Times New Roman"/>
          <w:lang w:val="en-AU" w:eastAsia="en-AU"/>
        </w:rPr>
        <w:t>These services include:</w:t>
      </w:r>
    </w:p>
    <w:p w:rsidR="006720DC" w:rsidRPr="00AD2807" w:rsidRDefault="006720DC" w:rsidP="006720DC">
      <w:pPr>
        <w:pStyle w:val="ListParagraph"/>
        <w:numPr>
          <w:ilvl w:val="0"/>
          <w:numId w:val="13"/>
        </w:numPr>
        <w:rPr>
          <w:rFonts w:eastAsiaTheme="minorHAnsi" w:cs="Times New Roman"/>
          <w:lang w:val="en-AU" w:eastAsia="en-AU"/>
        </w:rPr>
      </w:pPr>
      <w:r w:rsidRPr="00AD2807">
        <w:rPr>
          <w:rFonts w:eastAsiaTheme="minorHAnsi" w:cs="Times New Roman"/>
          <w:lang w:val="en-AU" w:eastAsia="en-AU"/>
        </w:rPr>
        <w:t>The IP Toolkit for Collaboration developed jointly with the Department of Industry, Innovation and Science (DIIS) and launched on 10 September 2015, is an online resource intended to improve collaboration between researchers and the business community</w:t>
      </w:r>
      <w:r w:rsidR="001D0D5B">
        <w:rPr>
          <w:rFonts w:eastAsiaTheme="minorHAnsi" w:cs="Times New Roman"/>
          <w:lang w:val="en-AU" w:eastAsia="en-AU"/>
        </w:rPr>
        <w:t xml:space="preserve">.  </w:t>
      </w:r>
      <w:r w:rsidRPr="00AD2807">
        <w:rPr>
          <w:rFonts w:eastAsiaTheme="minorHAnsi" w:cs="Times New Roman"/>
          <w:lang w:val="en-AU" w:eastAsia="en-AU"/>
        </w:rPr>
        <w:t>IP Australia engaged consultants to review the current IP Toolkit and consider possible enhancements to its accessibility and functionality</w:t>
      </w:r>
      <w:r w:rsidR="001D0D5B">
        <w:rPr>
          <w:rFonts w:eastAsiaTheme="minorHAnsi" w:cs="Times New Roman"/>
          <w:lang w:val="en-AU" w:eastAsia="en-AU"/>
        </w:rPr>
        <w:t xml:space="preserve">.  </w:t>
      </w:r>
      <w:r w:rsidRPr="00AD2807">
        <w:rPr>
          <w:rFonts w:eastAsiaTheme="minorHAnsi" w:cs="Times New Roman"/>
          <w:lang w:val="en-AU" w:eastAsia="en-AU"/>
        </w:rPr>
        <w:t>IP Australia and DIIS are now working together towards a beta launch of the enhanced IP Toolkit in the first half of 2017.</w:t>
      </w:r>
    </w:p>
    <w:p w:rsidR="006720DC" w:rsidRPr="00AD2807" w:rsidRDefault="006720DC" w:rsidP="006720DC">
      <w:pPr>
        <w:pStyle w:val="ListParagraph"/>
        <w:numPr>
          <w:ilvl w:val="0"/>
          <w:numId w:val="13"/>
        </w:numPr>
        <w:rPr>
          <w:rFonts w:eastAsiaTheme="minorHAnsi" w:cs="Times New Roman"/>
          <w:lang w:val="en-AU" w:eastAsia="en-AU"/>
        </w:rPr>
      </w:pPr>
      <w:r w:rsidRPr="00AD2807">
        <w:rPr>
          <w:rFonts w:eastAsiaTheme="minorHAnsi" w:cs="Times New Roman"/>
          <w:lang w:val="en-AU" w:eastAsia="en-AU"/>
        </w:rPr>
        <w:t>Source IP (launched on 23 November 2015) provides an online marketplace to connect the business community with IP generated from public sector research agencies and universities in Australia</w:t>
      </w:r>
      <w:r w:rsidR="001D0D5B">
        <w:rPr>
          <w:rFonts w:eastAsiaTheme="minorHAnsi" w:cs="Times New Roman"/>
          <w:lang w:val="en-AU" w:eastAsia="en-AU"/>
        </w:rPr>
        <w:t xml:space="preserve">.  </w:t>
      </w:r>
      <w:r w:rsidRPr="00AD2807">
        <w:rPr>
          <w:rFonts w:eastAsiaTheme="minorHAnsi" w:cs="Times New Roman"/>
          <w:lang w:val="en-AU" w:eastAsia="en-AU"/>
        </w:rPr>
        <w:t>Recent developments have enhanced the user experience and better highlight the commercial relevance of the site.</w:t>
      </w:r>
    </w:p>
    <w:p w:rsidR="006720DC" w:rsidRPr="00AD2807" w:rsidRDefault="006720DC" w:rsidP="006720DC">
      <w:pPr>
        <w:pStyle w:val="ListParagraph"/>
        <w:numPr>
          <w:ilvl w:val="0"/>
          <w:numId w:val="13"/>
        </w:numPr>
        <w:rPr>
          <w:rFonts w:eastAsiaTheme="minorHAnsi" w:cs="Times New Roman"/>
          <w:lang w:val="en-AU" w:eastAsia="en-AU"/>
        </w:rPr>
      </w:pPr>
      <w:r w:rsidRPr="00AD2807">
        <w:rPr>
          <w:rFonts w:eastAsiaTheme="minorHAnsi" w:cs="Times New Roman"/>
          <w:lang w:val="en-AU" w:eastAsia="en-AU"/>
        </w:rPr>
        <w:t>The Intellectual Property Neural Open-data Visualisation and Analysis (IP NOVA) tool was launched on 22 October 2016 and was developed from a partnership between IP Australia and small to medium sized enterprises (SMEs)</w:t>
      </w:r>
      <w:r w:rsidR="001D0D5B">
        <w:rPr>
          <w:rFonts w:eastAsiaTheme="minorHAnsi" w:cs="Times New Roman"/>
          <w:lang w:val="en-AU" w:eastAsia="en-AU"/>
        </w:rPr>
        <w:t xml:space="preserve">.  </w:t>
      </w:r>
      <w:r w:rsidRPr="00AD2807">
        <w:rPr>
          <w:rFonts w:eastAsiaTheme="minorHAnsi" w:cs="Times New Roman"/>
          <w:lang w:val="en-AU" w:eastAsia="en-AU"/>
        </w:rPr>
        <w:t xml:space="preserve">It is a free cloud-based data visualisation tool that enables anyone to explore the IP landscape by searching for IP rights by technology, electorate, location or company names. </w:t>
      </w:r>
    </w:p>
    <w:p w:rsidR="006720DC" w:rsidRPr="00AD2807" w:rsidRDefault="006720DC" w:rsidP="006720DC">
      <w:pPr>
        <w:pStyle w:val="ListParagraph"/>
        <w:numPr>
          <w:ilvl w:val="0"/>
          <w:numId w:val="13"/>
        </w:numPr>
        <w:rPr>
          <w:rFonts w:eastAsiaTheme="minorHAnsi" w:cs="Times New Roman"/>
          <w:lang w:val="en-AU" w:eastAsia="en-AU"/>
        </w:rPr>
      </w:pPr>
      <w:r w:rsidRPr="00AD2807">
        <w:rPr>
          <w:rFonts w:eastAsiaTheme="minorHAnsi" w:cs="Times New Roman"/>
          <w:lang w:val="en-AU" w:eastAsia="en-AU"/>
        </w:rPr>
        <w:t>The Patent Analytics Hub provides services which can measure the impact of research and identify opportunities for collaboration and partnerships</w:t>
      </w:r>
      <w:r w:rsidR="001D0D5B">
        <w:rPr>
          <w:rFonts w:eastAsiaTheme="minorHAnsi" w:cs="Times New Roman"/>
          <w:lang w:val="en-AU" w:eastAsia="en-AU"/>
        </w:rPr>
        <w:t xml:space="preserve">.  </w:t>
      </w:r>
      <w:r w:rsidRPr="00AD2807">
        <w:rPr>
          <w:rFonts w:eastAsiaTheme="minorHAnsi" w:cs="Times New Roman"/>
          <w:lang w:val="en-AU" w:eastAsia="en-AU"/>
        </w:rPr>
        <w:t>IP Australia has expanded its range of services to provide increased support for universities and publicly-funded research organisations.</w:t>
      </w:r>
    </w:p>
    <w:p w:rsidR="006720DC" w:rsidRPr="00AD2807" w:rsidRDefault="006720DC" w:rsidP="006720DC">
      <w:pPr>
        <w:pStyle w:val="ListParagraph"/>
        <w:numPr>
          <w:ilvl w:val="0"/>
          <w:numId w:val="13"/>
        </w:numPr>
        <w:rPr>
          <w:rFonts w:eastAsiaTheme="minorHAnsi" w:cs="Times New Roman"/>
          <w:lang w:val="en-AU" w:eastAsia="en-AU"/>
        </w:rPr>
      </w:pPr>
      <w:r w:rsidRPr="00AD2807">
        <w:rPr>
          <w:rFonts w:eastAsiaTheme="minorHAnsi" w:cs="Times New Roman"/>
          <w:lang w:val="en-AU" w:eastAsia="en-AU"/>
        </w:rPr>
        <w:t>IP Government Open Data (IPGOD) is a resource containing 100 years of Australian IP data linked to broader business datasets to support evidence-based policy</w:t>
      </w:r>
      <w:r w:rsidR="001D0D5B">
        <w:rPr>
          <w:rFonts w:eastAsiaTheme="minorHAnsi" w:cs="Times New Roman"/>
          <w:lang w:val="en-AU" w:eastAsia="en-AU"/>
        </w:rPr>
        <w:t xml:space="preserve">.  </w:t>
      </w:r>
      <w:r w:rsidRPr="00AD2807">
        <w:rPr>
          <w:rFonts w:eastAsiaTheme="minorHAnsi" w:cs="Times New Roman"/>
          <w:lang w:val="en-AU" w:eastAsia="en-AU"/>
        </w:rPr>
        <w:t>IP Australia has launched a live version (IPGOLD) to reflect the most current data and to meet the requirements of the Australian Government’s Public Data Policy Statement.</w:t>
      </w:r>
    </w:p>
    <w:p w:rsidR="006720DC" w:rsidRPr="00AD2807" w:rsidRDefault="006720DC" w:rsidP="006720DC">
      <w:pPr>
        <w:rPr>
          <w:szCs w:val="22"/>
          <w:lang w:val="en-AU"/>
        </w:rPr>
      </w:pPr>
    </w:p>
    <w:p w:rsidR="006720DC" w:rsidRPr="00AD2807" w:rsidRDefault="006720DC" w:rsidP="006720DC">
      <w:pPr>
        <w:rPr>
          <w:i/>
          <w:szCs w:val="22"/>
          <w:lang w:val="en-AU"/>
        </w:rPr>
      </w:pPr>
      <w:r w:rsidRPr="00AD2807">
        <w:rPr>
          <w:i/>
          <w:szCs w:val="22"/>
          <w:lang w:val="en-AU"/>
        </w:rPr>
        <w:t>Collaboration with other Authorities</w:t>
      </w:r>
    </w:p>
    <w:p w:rsidR="006720DC" w:rsidRPr="00AD2807" w:rsidRDefault="006720DC" w:rsidP="006720DC">
      <w:pPr>
        <w:rPr>
          <w:i/>
          <w:szCs w:val="22"/>
          <w:lang w:val="en-AU"/>
        </w:rPr>
      </w:pPr>
    </w:p>
    <w:p w:rsidR="006720DC" w:rsidRPr="00AD2807" w:rsidRDefault="006720DC" w:rsidP="006720DC">
      <w:pPr>
        <w:autoSpaceDE w:val="0"/>
        <w:autoSpaceDN w:val="0"/>
        <w:adjustRightInd w:val="0"/>
        <w:rPr>
          <w:rFonts w:eastAsiaTheme="minorHAnsi" w:cs="Times New Roman"/>
          <w:iCs/>
          <w:lang w:val="en-AU" w:eastAsia="en-US"/>
        </w:rPr>
      </w:pPr>
      <w:r w:rsidRPr="00AD2807">
        <w:rPr>
          <w:rFonts w:eastAsiaTheme="minorHAnsi" w:cs="Times New Roman"/>
          <w:iCs/>
          <w:lang w:val="en-AU" w:eastAsia="en-US"/>
        </w:rPr>
        <w:t>IP Australia is committed to continual improvement and continues to pursue avenues for collaboration on good practice between International Authorities.  Current formal initiatives in this area are:</w:t>
      </w:r>
    </w:p>
    <w:p w:rsidR="006720DC" w:rsidRPr="00AD2807" w:rsidRDefault="006720DC" w:rsidP="006720DC">
      <w:pPr>
        <w:autoSpaceDE w:val="0"/>
        <w:autoSpaceDN w:val="0"/>
        <w:adjustRightInd w:val="0"/>
        <w:rPr>
          <w:rFonts w:eastAsiaTheme="minorHAnsi" w:cs="Times New Roman"/>
          <w:i/>
          <w:iCs/>
          <w:lang w:val="en-AU" w:eastAsia="en-US"/>
        </w:rPr>
      </w:pPr>
    </w:p>
    <w:p w:rsidR="006720DC" w:rsidRPr="00AD2807" w:rsidRDefault="006720DC" w:rsidP="006720DC">
      <w:pPr>
        <w:rPr>
          <w:rFonts w:eastAsiaTheme="minorHAnsi" w:cs="Times New Roman"/>
          <w:i/>
          <w:lang w:val="en-AU" w:eastAsia="en-US"/>
        </w:rPr>
      </w:pPr>
      <w:r w:rsidRPr="00AD2807">
        <w:rPr>
          <w:rFonts w:eastAsiaTheme="minorHAnsi" w:cs="Times New Roman"/>
          <w:lang w:val="en-AU" w:eastAsia="en-US"/>
        </w:rPr>
        <w:t>Vancouver Group Initiatives</w:t>
      </w:r>
      <w:r w:rsidRPr="00AD2807">
        <w:rPr>
          <w:rFonts w:eastAsiaTheme="minorHAnsi" w:cs="Times New Roman"/>
          <w:i/>
          <w:lang w:val="en-AU" w:eastAsia="en-US"/>
        </w:rPr>
        <w:t>:</w:t>
      </w:r>
    </w:p>
    <w:p w:rsidR="006720DC" w:rsidRPr="00AD2807" w:rsidRDefault="006720DC" w:rsidP="006720DC">
      <w:pPr>
        <w:rPr>
          <w:rFonts w:eastAsiaTheme="minorHAnsi" w:cs="Times New Roman"/>
          <w:lang w:val="en-AU" w:eastAsia="en-AU"/>
        </w:rPr>
      </w:pPr>
    </w:p>
    <w:p w:rsidR="006720DC" w:rsidRPr="00AD2807" w:rsidRDefault="006720DC" w:rsidP="006720DC">
      <w:pPr>
        <w:rPr>
          <w:rFonts w:eastAsiaTheme="minorHAnsi" w:cs="Times New Roman"/>
          <w:lang w:val="en-AU" w:eastAsia="en-AU"/>
        </w:rPr>
      </w:pPr>
      <w:r w:rsidRPr="00AD2807">
        <w:rPr>
          <w:rFonts w:eastAsiaTheme="minorHAnsi" w:cs="Times New Roman"/>
          <w:lang w:val="en-AU" w:eastAsia="en-AU"/>
        </w:rPr>
        <w:t>The Vancouver Group was established in 2008 and is made up of the IP Offices of Australia, Canada and the United Kingdom</w:t>
      </w:r>
      <w:r w:rsidR="001D0D5B">
        <w:rPr>
          <w:rFonts w:eastAsiaTheme="minorHAnsi" w:cs="Times New Roman"/>
          <w:lang w:val="en-AU" w:eastAsia="en-AU"/>
        </w:rPr>
        <w:t xml:space="preserve">.  </w:t>
      </w:r>
      <w:r w:rsidRPr="00AD2807">
        <w:rPr>
          <w:rFonts w:eastAsiaTheme="minorHAnsi"/>
          <w:szCs w:val="22"/>
          <w:lang w:val="en-AU" w:eastAsia="en-AU"/>
        </w:rPr>
        <w:t>The Vancouver Group aims to:</w:t>
      </w:r>
    </w:p>
    <w:p w:rsidR="006720DC" w:rsidRPr="00AD2807" w:rsidRDefault="006720DC" w:rsidP="006720DC">
      <w:pPr>
        <w:pStyle w:val="ListParagraph"/>
        <w:numPr>
          <w:ilvl w:val="0"/>
          <w:numId w:val="14"/>
        </w:numPr>
        <w:rPr>
          <w:rFonts w:eastAsiaTheme="minorHAnsi" w:cs="Times New Roman"/>
          <w:lang w:val="en-AU" w:eastAsia="en-AU"/>
        </w:rPr>
      </w:pPr>
      <w:r w:rsidRPr="00AD2807">
        <w:rPr>
          <w:rFonts w:eastAsia="Times New Roman"/>
          <w:szCs w:val="22"/>
          <w:lang w:val="en-AU" w:eastAsia="en-AU"/>
        </w:rPr>
        <w:t>share information and experiences on common issues and areas relevant to managing a mid-sized national IP office, and</w:t>
      </w:r>
    </w:p>
    <w:p w:rsidR="006720DC" w:rsidRPr="00AD2807" w:rsidRDefault="006720DC" w:rsidP="006720DC">
      <w:pPr>
        <w:pStyle w:val="ListParagraph"/>
        <w:numPr>
          <w:ilvl w:val="0"/>
          <w:numId w:val="14"/>
        </w:numPr>
        <w:rPr>
          <w:rFonts w:eastAsiaTheme="minorHAnsi" w:cs="Times New Roman"/>
          <w:lang w:val="en-AU" w:eastAsia="en-AU"/>
        </w:rPr>
      </w:pPr>
      <w:proofErr w:type="gramStart"/>
      <w:r w:rsidRPr="00AD2807">
        <w:rPr>
          <w:rFonts w:eastAsia="Times New Roman"/>
          <w:szCs w:val="22"/>
          <w:lang w:val="en-AU" w:eastAsia="en-AU"/>
        </w:rPr>
        <w:t>contribute</w:t>
      </w:r>
      <w:proofErr w:type="gramEnd"/>
      <w:r w:rsidRPr="00AD2807">
        <w:rPr>
          <w:rFonts w:eastAsia="Times New Roman"/>
          <w:szCs w:val="22"/>
          <w:lang w:val="en-AU" w:eastAsia="en-AU"/>
        </w:rPr>
        <w:t xml:space="preserve"> to a more effective multilateral approach to work sharing in a manner that supports the principles of the Patent Cooperation Treaty.</w:t>
      </w:r>
    </w:p>
    <w:p w:rsidR="006720DC" w:rsidRPr="00AD2807" w:rsidRDefault="006720DC" w:rsidP="006720DC">
      <w:pPr>
        <w:rPr>
          <w:rFonts w:eastAsiaTheme="minorHAnsi" w:cs="Times New Roman"/>
          <w:lang w:val="en-AU" w:eastAsia="en-AU"/>
        </w:rPr>
      </w:pPr>
    </w:p>
    <w:p w:rsidR="006720DC" w:rsidRPr="00AD2807" w:rsidRDefault="006720DC" w:rsidP="006720DC">
      <w:pPr>
        <w:rPr>
          <w:rFonts w:eastAsiaTheme="minorHAnsi" w:cs="Times New Roman"/>
          <w:lang w:val="en-AU" w:eastAsia="en-AU"/>
        </w:rPr>
      </w:pPr>
      <w:r w:rsidRPr="00AD2807">
        <w:rPr>
          <w:rFonts w:eastAsiaTheme="minorHAnsi" w:cs="Times New Roman"/>
          <w:lang w:val="en-AU" w:eastAsia="en-AU"/>
        </w:rPr>
        <w:t>There are four areas of focus for the Vancouver Group (or initiatives) and a lead office has been assigned to coordinate planning and activities under each initiative.</w:t>
      </w:r>
    </w:p>
    <w:p w:rsidR="006720DC" w:rsidRPr="00AD2807" w:rsidRDefault="006720DC" w:rsidP="006720DC">
      <w:pPr>
        <w:numPr>
          <w:ilvl w:val="0"/>
          <w:numId w:val="10"/>
        </w:numPr>
        <w:rPr>
          <w:rFonts w:eastAsiaTheme="minorHAnsi" w:cs="Times New Roman"/>
          <w:lang w:val="en-AU" w:eastAsia="en-AU"/>
        </w:rPr>
      </w:pPr>
      <w:r w:rsidRPr="00AD2807">
        <w:rPr>
          <w:rFonts w:eastAsiaTheme="minorHAnsi" w:cs="Times New Roman"/>
          <w:lang w:val="en-AU" w:eastAsia="en-AU"/>
        </w:rPr>
        <w:t>Mutual Exploitation (led by IP Australia)</w:t>
      </w:r>
    </w:p>
    <w:p w:rsidR="006720DC" w:rsidRPr="00AD2807" w:rsidRDefault="006720DC" w:rsidP="006720DC">
      <w:pPr>
        <w:numPr>
          <w:ilvl w:val="0"/>
          <w:numId w:val="10"/>
        </w:numPr>
        <w:rPr>
          <w:rFonts w:eastAsiaTheme="minorHAnsi" w:cs="Times New Roman"/>
          <w:lang w:val="en-AU" w:eastAsia="en-AU"/>
        </w:rPr>
      </w:pPr>
      <w:r w:rsidRPr="00AD2807">
        <w:rPr>
          <w:rFonts w:eastAsiaTheme="minorHAnsi" w:cs="Times New Roman"/>
          <w:lang w:val="en-AU" w:eastAsia="en-AU"/>
        </w:rPr>
        <w:t>Business Performance Reporting (led by CIPO)</w:t>
      </w:r>
    </w:p>
    <w:p w:rsidR="006720DC" w:rsidRPr="00AD2807" w:rsidRDefault="006720DC" w:rsidP="006720DC">
      <w:pPr>
        <w:numPr>
          <w:ilvl w:val="0"/>
          <w:numId w:val="10"/>
        </w:numPr>
        <w:rPr>
          <w:rFonts w:eastAsiaTheme="minorHAnsi" w:cs="Times New Roman"/>
          <w:lang w:val="en-AU" w:eastAsia="en-AU"/>
        </w:rPr>
      </w:pPr>
      <w:r w:rsidRPr="00AD2807">
        <w:rPr>
          <w:rFonts w:eastAsiaTheme="minorHAnsi" w:cs="Times New Roman"/>
          <w:lang w:val="en-AU" w:eastAsia="en-AU"/>
        </w:rPr>
        <w:t>Trade Marks Business Processes (led by IP Australia)</w:t>
      </w:r>
    </w:p>
    <w:p w:rsidR="006720DC" w:rsidRPr="00AD2807" w:rsidRDefault="006720DC" w:rsidP="006720DC">
      <w:pPr>
        <w:numPr>
          <w:ilvl w:val="0"/>
          <w:numId w:val="10"/>
        </w:numPr>
        <w:rPr>
          <w:rFonts w:eastAsiaTheme="minorHAnsi" w:cs="Times New Roman"/>
          <w:lang w:val="en-AU" w:eastAsia="en-AU"/>
        </w:rPr>
      </w:pPr>
      <w:r w:rsidRPr="00AD2807">
        <w:rPr>
          <w:rFonts w:eastAsiaTheme="minorHAnsi" w:cs="Times New Roman"/>
          <w:lang w:val="en-AU" w:eastAsia="en-AU"/>
        </w:rPr>
        <w:t>Economic Research (led by UKIPO).</w:t>
      </w:r>
    </w:p>
    <w:p w:rsidR="006720DC" w:rsidRPr="00AD2807" w:rsidRDefault="006720DC" w:rsidP="006720DC">
      <w:pPr>
        <w:autoSpaceDE w:val="0"/>
        <w:autoSpaceDN w:val="0"/>
        <w:adjustRightInd w:val="0"/>
        <w:rPr>
          <w:rFonts w:eastAsiaTheme="minorHAnsi" w:cs="Times New Roman"/>
          <w:i/>
          <w:iCs/>
          <w:lang w:val="en-AU" w:eastAsia="en-US"/>
        </w:rPr>
      </w:pPr>
    </w:p>
    <w:p w:rsidR="006720DC" w:rsidRPr="00AD2807" w:rsidRDefault="006720DC" w:rsidP="006720DC">
      <w:pPr>
        <w:autoSpaceDE w:val="0"/>
        <w:autoSpaceDN w:val="0"/>
        <w:adjustRightInd w:val="0"/>
        <w:rPr>
          <w:rFonts w:eastAsiaTheme="minorHAnsi" w:cs="Times New Roman"/>
          <w:lang w:val="en-AU" w:eastAsia="en-US"/>
        </w:rPr>
      </w:pPr>
      <w:r w:rsidRPr="00AD2807">
        <w:rPr>
          <w:rFonts w:eastAsiaTheme="minorHAnsi" w:cs="Times New Roman"/>
          <w:lang w:val="en-AU" w:eastAsia="en-US"/>
        </w:rPr>
        <w:t>Global Patent Prosecution Highway (GPPH) Pilot</w:t>
      </w:r>
    </w:p>
    <w:p w:rsidR="006720DC" w:rsidRPr="00AD2807" w:rsidRDefault="006720DC" w:rsidP="006720DC">
      <w:pPr>
        <w:autoSpaceDE w:val="0"/>
        <w:autoSpaceDN w:val="0"/>
        <w:adjustRightInd w:val="0"/>
        <w:rPr>
          <w:rFonts w:eastAsiaTheme="minorHAnsi" w:cs="Times New Roman"/>
          <w:lang w:val="en-AU" w:eastAsia="en-US"/>
        </w:rPr>
      </w:pPr>
    </w:p>
    <w:p w:rsidR="006720DC" w:rsidRPr="00AD2807" w:rsidRDefault="006720DC" w:rsidP="006720DC">
      <w:pPr>
        <w:autoSpaceDE w:val="0"/>
        <w:autoSpaceDN w:val="0"/>
        <w:adjustRightInd w:val="0"/>
        <w:rPr>
          <w:rFonts w:eastAsiaTheme="minorHAnsi" w:cs="Times New Roman"/>
          <w:lang w:val="en-AU" w:eastAsia="en-US"/>
        </w:rPr>
      </w:pPr>
      <w:r w:rsidRPr="00AD2807">
        <w:rPr>
          <w:rFonts w:eastAsiaTheme="minorHAnsi" w:cs="Times New Roman"/>
          <w:lang w:val="en-AU" w:eastAsia="en-US"/>
        </w:rPr>
        <w:t>IP Australia participates in the GPPH which is an arrangement between 22 IP offices</w:t>
      </w:r>
      <w:r w:rsidR="001D0D5B">
        <w:rPr>
          <w:rFonts w:eastAsiaTheme="minorHAnsi" w:cs="Times New Roman"/>
          <w:lang w:val="en-AU" w:eastAsia="en-US"/>
        </w:rPr>
        <w:t xml:space="preserve">.  </w:t>
      </w:r>
      <w:r w:rsidRPr="00AD2807">
        <w:rPr>
          <w:rFonts w:eastAsiaTheme="minorHAnsi" w:cs="Times New Roman"/>
          <w:lang w:val="en-AU" w:eastAsia="en-US"/>
        </w:rPr>
        <w:t>Under the GPPH, accelerated processing of patent applications is available in any participating office based on positive assessment of at least one patent claim for the same invention in another participating office</w:t>
      </w:r>
      <w:r w:rsidR="001D0D5B">
        <w:rPr>
          <w:rFonts w:eastAsiaTheme="minorHAnsi" w:cs="Times New Roman"/>
          <w:lang w:val="en-AU" w:eastAsia="en-US"/>
        </w:rPr>
        <w:t xml:space="preserve">.  </w:t>
      </w:r>
      <w:r w:rsidRPr="00AD2807">
        <w:rPr>
          <w:rFonts w:eastAsiaTheme="minorHAnsi" w:cs="Times New Roman"/>
          <w:lang w:val="en-AU" w:eastAsia="en-US"/>
        </w:rPr>
        <w:t>The GPPH uses the same agreement and formal requirements for each office which simplifies the process for applicants</w:t>
      </w:r>
      <w:r w:rsidR="001D0D5B">
        <w:rPr>
          <w:rFonts w:eastAsiaTheme="minorHAnsi" w:cs="Times New Roman"/>
          <w:lang w:val="en-AU" w:eastAsia="en-US"/>
        </w:rPr>
        <w:t xml:space="preserve">.  </w:t>
      </w:r>
      <w:r w:rsidRPr="00AD2807">
        <w:rPr>
          <w:rFonts w:eastAsiaTheme="minorHAnsi" w:cs="Times New Roman"/>
          <w:lang w:val="en-AU" w:eastAsia="en-US"/>
        </w:rPr>
        <w:t>IP Australia has participated in the pilot since its launch in January 2014 and has seen strong, steady growth in the number of GPPH requests filed.</w:t>
      </w:r>
    </w:p>
    <w:p w:rsidR="006720DC" w:rsidRPr="00AD2807" w:rsidRDefault="006720DC" w:rsidP="006720DC">
      <w:pPr>
        <w:autoSpaceDE w:val="0"/>
        <w:autoSpaceDN w:val="0"/>
        <w:adjustRightInd w:val="0"/>
        <w:rPr>
          <w:rFonts w:eastAsiaTheme="minorHAnsi" w:cs="Times New Roman"/>
          <w:lang w:val="en-AU" w:eastAsia="en-US"/>
        </w:rPr>
      </w:pPr>
    </w:p>
    <w:p w:rsidR="006720DC" w:rsidRPr="00AD2807" w:rsidRDefault="006720DC" w:rsidP="006720DC">
      <w:pPr>
        <w:autoSpaceDE w:val="0"/>
        <w:autoSpaceDN w:val="0"/>
        <w:adjustRightInd w:val="0"/>
        <w:rPr>
          <w:rFonts w:eastAsiaTheme="minorHAnsi" w:cs="Times New Roman"/>
          <w:iCs/>
          <w:lang w:val="en-AU" w:eastAsia="en-US"/>
        </w:rPr>
      </w:pPr>
      <w:r w:rsidRPr="00AD2807">
        <w:rPr>
          <w:rFonts w:eastAsiaTheme="minorHAnsi" w:cs="Times New Roman"/>
          <w:lang w:val="en-AU" w:eastAsia="en-US"/>
        </w:rPr>
        <w:t xml:space="preserve">Memorandum of Understanding (MOU) </w:t>
      </w:r>
      <w:r w:rsidRPr="00AD2807">
        <w:rPr>
          <w:rFonts w:eastAsiaTheme="minorHAnsi" w:cs="Times New Roman"/>
          <w:iCs/>
          <w:lang w:val="en-AU" w:eastAsia="en-US"/>
        </w:rPr>
        <w:t>with the EPO:</w:t>
      </w:r>
    </w:p>
    <w:p w:rsidR="006720DC" w:rsidRPr="00AD2807" w:rsidRDefault="006720DC" w:rsidP="006720DC">
      <w:pPr>
        <w:autoSpaceDE w:val="0"/>
        <w:autoSpaceDN w:val="0"/>
        <w:adjustRightInd w:val="0"/>
        <w:rPr>
          <w:rFonts w:eastAsiaTheme="minorHAnsi" w:cs="Times New Roman"/>
          <w:lang w:val="en-AU" w:eastAsia="en-US"/>
        </w:rPr>
      </w:pPr>
    </w:p>
    <w:p w:rsidR="006720DC" w:rsidRPr="00AD2807" w:rsidRDefault="006720DC" w:rsidP="006720DC">
      <w:pPr>
        <w:autoSpaceDE w:val="0"/>
        <w:autoSpaceDN w:val="0"/>
        <w:adjustRightInd w:val="0"/>
        <w:rPr>
          <w:rFonts w:eastAsiaTheme="minorHAnsi" w:cs="Times New Roman"/>
          <w:lang w:val="en-AU" w:eastAsia="en-US"/>
        </w:rPr>
      </w:pPr>
      <w:r w:rsidRPr="00AD2807">
        <w:rPr>
          <w:rFonts w:eastAsiaTheme="minorHAnsi" w:cs="Times New Roman"/>
          <w:lang w:val="en-AU" w:eastAsia="en-US"/>
        </w:rPr>
        <w:t>IP Australia and the EPO signed a Memorandum of Understanding (MOU) on the sidelines of the 2015 WIPO General Assemblies</w:t>
      </w:r>
      <w:r w:rsidR="001D0D5B">
        <w:rPr>
          <w:rFonts w:eastAsiaTheme="minorHAnsi" w:cs="Times New Roman"/>
          <w:lang w:val="en-AU" w:eastAsia="en-US"/>
        </w:rPr>
        <w:t xml:space="preserve">.  </w:t>
      </w:r>
      <w:r w:rsidRPr="00AD2807">
        <w:rPr>
          <w:rFonts w:eastAsiaTheme="minorHAnsi" w:cs="Times New Roman"/>
          <w:lang w:val="en-AU" w:eastAsia="en-US"/>
        </w:rPr>
        <w:t>The areas for co-operation are wide-ranging and include reciprocal access to patent information and the establishment of a Patent Prosecution Highway (PPH) pilot programme between the two offices</w:t>
      </w:r>
      <w:r w:rsidR="001D0D5B">
        <w:rPr>
          <w:rFonts w:eastAsiaTheme="minorHAnsi" w:cs="Times New Roman"/>
          <w:lang w:val="en-AU" w:eastAsia="en-US"/>
        </w:rPr>
        <w:t xml:space="preserve">.  </w:t>
      </w:r>
      <w:r w:rsidRPr="00AD2807">
        <w:rPr>
          <w:rFonts w:eastAsiaTheme="minorHAnsi" w:cs="Times New Roman"/>
          <w:lang w:val="en-AU" w:eastAsia="en-US"/>
        </w:rPr>
        <w:t>These activities are aimed at improving the global IP system to support applicants and encourage innovation</w:t>
      </w:r>
      <w:r w:rsidR="001D0D5B">
        <w:rPr>
          <w:rFonts w:eastAsiaTheme="minorHAnsi" w:cs="Times New Roman"/>
          <w:lang w:val="en-AU" w:eastAsia="en-US"/>
        </w:rPr>
        <w:t xml:space="preserve">.  </w:t>
      </w:r>
      <w:r w:rsidRPr="00AD2807">
        <w:rPr>
          <w:rFonts w:eastAsiaTheme="minorHAnsi" w:cs="Times New Roman"/>
          <w:lang w:val="en-AU" w:eastAsia="en-US"/>
        </w:rPr>
        <w:t>Under the PPH, applicants whose claims have been examined by the EPO or the APO may ask for accelerated processing of their corresponding application at the other office, while the Offices will share existing work results, speeding up the process and reducing costs for applicants.</w:t>
      </w:r>
    </w:p>
    <w:p w:rsidR="006720DC" w:rsidRPr="00AD2807" w:rsidRDefault="006720DC" w:rsidP="006720DC">
      <w:pPr>
        <w:autoSpaceDE w:val="0"/>
        <w:autoSpaceDN w:val="0"/>
        <w:adjustRightInd w:val="0"/>
        <w:rPr>
          <w:rFonts w:eastAsiaTheme="minorHAnsi" w:cs="Times New Roman"/>
          <w:lang w:val="en-AU" w:eastAsia="en-US"/>
        </w:rPr>
      </w:pPr>
    </w:p>
    <w:p w:rsidR="006720DC" w:rsidRPr="00AD2807" w:rsidRDefault="006720DC" w:rsidP="006720DC">
      <w:pPr>
        <w:rPr>
          <w:rFonts w:eastAsiaTheme="minorHAnsi" w:cs="Times New Roman"/>
          <w:lang w:val="en-AU" w:eastAsia="en-US"/>
        </w:rPr>
      </w:pPr>
      <w:r w:rsidRPr="00AD2807">
        <w:rPr>
          <w:rFonts w:eastAsiaTheme="minorHAnsi" w:cs="Times New Roman"/>
          <w:lang w:val="en-AU" w:eastAsia="en-US"/>
        </w:rPr>
        <w:t>The MOU also encompasses a pilot project for the APO to gain experience in the Cooperative Patent Classification (CPC)</w:t>
      </w:r>
      <w:r w:rsidR="001D0D5B">
        <w:rPr>
          <w:rFonts w:eastAsiaTheme="minorHAnsi" w:cs="Times New Roman"/>
          <w:lang w:val="en-AU" w:eastAsia="en-US"/>
        </w:rPr>
        <w:t xml:space="preserve">.  </w:t>
      </w:r>
      <w:r w:rsidRPr="00AD2807">
        <w:rPr>
          <w:rFonts w:eastAsiaTheme="minorHAnsi" w:cs="Times New Roman"/>
          <w:lang w:val="en-AU" w:eastAsia="en-US"/>
        </w:rPr>
        <w:t>This could pave the way for future cooperation in the technical harmonisation endeavour the CPC represents, which already has 19 participating patent offices around the world</w:t>
      </w:r>
      <w:r w:rsidR="001D0D5B">
        <w:rPr>
          <w:rFonts w:eastAsiaTheme="minorHAnsi" w:cs="Times New Roman"/>
          <w:lang w:val="en-AU" w:eastAsia="en-US"/>
        </w:rPr>
        <w:t xml:space="preserve">.  </w:t>
      </w:r>
      <w:r w:rsidRPr="00AD2807">
        <w:rPr>
          <w:rFonts w:eastAsiaTheme="minorHAnsi" w:cs="Times New Roman"/>
          <w:lang w:val="en-AU" w:eastAsia="en-US"/>
        </w:rPr>
        <w:t>The EPO and the APO will also cooperate to ensure the interconnectivity of Global Dossier and WIPO CASE to allow reciprocal access to patent related dossier information.</w:t>
      </w:r>
    </w:p>
    <w:p w:rsidR="006720DC" w:rsidRPr="00AD2807" w:rsidRDefault="006720DC" w:rsidP="006720DC">
      <w:pPr>
        <w:rPr>
          <w:rFonts w:eastAsiaTheme="minorHAnsi" w:cs="Times New Roman"/>
          <w:lang w:val="en-AU" w:eastAsia="en-US"/>
        </w:rPr>
      </w:pPr>
    </w:p>
    <w:p w:rsidR="006720DC" w:rsidRPr="00AD2807" w:rsidRDefault="006720DC" w:rsidP="006720DC">
      <w:pPr>
        <w:rPr>
          <w:rFonts w:eastAsiaTheme="minorHAnsi" w:cs="Times New Roman"/>
          <w:i/>
          <w:lang w:val="en-AU" w:eastAsia="en-US"/>
        </w:rPr>
      </w:pPr>
      <w:r w:rsidRPr="00AD2807">
        <w:rPr>
          <w:rFonts w:eastAsiaTheme="minorHAnsi" w:cs="Times New Roman"/>
          <w:i/>
          <w:lang w:val="en-AU" w:eastAsia="en-US"/>
        </w:rPr>
        <w:t>Organisational Chart</w:t>
      </w:r>
    </w:p>
    <w:p w:rsidR="006720DC" w:rsidRPr="00AD2807" w:rsidRDefault="006720DC" w:rsidP="006720DC">
      <w:pPr>
        <w:rPr>
          <w:rFonts w:eastAsiaTheme="minorHAnsi" w:cs="Times New Roman"/>
          <w:i/>
          <w:lang w:val="en-AU" w:eastAsia="en-US"/>
        </w:rPr>
      </w:pPr>
    </w:p>
    <w:p w:rsidR="006720DC" w:rsidRPr="00AD2807" w:rsidRDefault="006720DC" w:rsidP="006720DC">
      <w:pPr>
        <w:rPr>
          <w:szCs w:val="22"/>
          <w:lang w:val="en-AU"/>
        </w:rPr>
      </w:pPr>
      <w:r w:rsidRPr="00AD2807">
        <w:rPr>
          <w:szCs w:val="22"/>
          <w:lang w:val="en-AU"/>
        </w:rPr>
        <w:t>IP Australia’s organisational chart (below) shows recent changes to its structure that increases its capacity to deliver robust IP rights.  The move to split the Patents group into two groups provides for an increased capacity to handle future workloads and the increasing complexities of the intellectual property landscape</w:t>
      </w:r>
      <w:r w:rsidR="001D0D5B">
        <w:rPr>
          <w:szCs w:val="22"/>
          <w:lang w:val="en-AU"/>
        </w:rPr>
        <w:t xml:space="preserve">.  </w:t>
      </w:r>
      <w:r w:rsidRPr="00AD2807">
        <w:rPr>
          <w:szCs w:val="22"/>
          <w:lang w:val="en-AU"/>
        </w:rPr>
        <w:t>The addition of a second Deputy Director General (Policy and Corporate Division) also increases capacity in the areas of policy evaluation and development as well as domestic and international policy collaboration.</w:t>
      </w:r>
    </w:p>
    <w:p w:rsidR="006720DC" w:rsidRPr="00AD2807" w:rsidRDefault="006720DC" w:rsidP="006720DC">
      <w:pPr>
        <w:rPr>
          <w:rFonts w:eastAsiaTheme="minorHAnsi" w:cs="Times New Roman"/>
          <w:lang w:val="en-AU" w:eastAsia="en-US"/>
        </w:rPr>
      </w:pPr>
    </w:p>
    <w:p w:rsidR="006720DC" w:rsidRPr="00AD2807" w:rsidRDefault="006720DC" w:rsidP="006720DC">
      <w:pPr>
        <w:rPr>
          <w:rFonts w:eastAsiaTheme="minorHAnsi" w:cs="Times New Roman"/>
          <w:i/>
          <w:lang w:val="en-AU" w:eastAsia="en-US"/>
        </w:rPr>
      </w:pPr>
      <w:r w:rsidRPr="00AD2807">
        <w:rPr>
          <w:i/>
          <w:iCs/>
          <w:noProof/>
          <w:lang w:val="en-GB" w:eastAsia="en-GB"/>
        </w:rPr>
        <w:drawing>
          <wp:inline distT="0" distB="0" distL="0" distR="0" wp14:anchorId="03A72F2A" wp14:editId="3FC900A6">
            <wp:extent cx="4710400" cy="5934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11588" cy="5935571"/>
                    </a:xfrm>
                    <a:prstGeom prst="rect">
                      <a:avLst/>
                    </a:prstGeom>
                    <a:noFill/>
                    <a:ln>
                      <a:noFill/>
                    </a:ln>
                  </pic:spPr>
                </pic:pic>
              </a:graphicData>
            </a:graphic>
          </wp:inline>
        </w:drawing>
      </w:r>
    </w:p>
    <w:p w:rsidR="006720DC" w:rsidRPr="00AD2807" w:rsidRDefault="006720DC" w:rsidP="006720DC">
      <w:pPr>
        <w:pStyle w:val="SectionHeading"/>
        <w:rPr>
          <w:lang w:val="en-AU"/>
        </w:rPr>
      </w:pPr>
      <w:r w:rsidRPr="00AD2807">
        <w:rPr>
          <w:lang w:val="en-AU"/>
        </w:rPr>
        <w:t>8 – Assessment by other Authorities</w:t>
      </w:r>
    </w:p>
    <w:p w:rsidR="006720DC" w:rsidRPr="00AD2807" w:rsidRDefault="006720DC" w:rsidP="00B40E5F">
      <w:pPr>
        <w:keepNext/>
        <w:keepLines/>
        <w:autoSpaceDE w:val="0"/>
        <w:autoSpaceDN w:val="0"/>
        <w:rPr>
          <w:lang w:eastAsia="en-US"/>
        </w:rPr>
      </w:pPr>
      <w:r w:rsidRPr="00AD2807">
        <w:rPr>
          <w:lang w:eastAsia="en-US"/>
        </w:rPr>
        <w:t>IP Australia’s certification under ISO 9001:2008 provides external validation of the robustness of IP Australia’s approach to quality.</w:t>
      </w:r>
    </w:p>
    <w:p w:rsidR="006720DC" w:rsidRPr="00AD2807" w:rsidRDefault="006720DC" w:rsidP="00B40E5F">
      <w:pPr>
        <w:keepNext/>
        <w:keepLines/>
        <w:autoSpaceDE w:val="0"/>
        <w:autoSpaceDN w:val="0"/>
        <w:rPr>
          <w:lang w:eastAsia="en-US"/>
        </w:rPr>
      </w:pPr>
    </w:p>
    <w:p w:rsidR="006720DC" w:rsidRPr="00AD2807" w:rsidRDefault="006720DC" w:rsidP="006720DC">
      <w:pPr>
        <w:autoSpaceDE w:val="0"/>
        <w:autoSpaceDN w:val="0"/>
        <w:adjustRightInd w:val="0"/>
        <w:rPr>
          <w:lang w:eastAsia="en-US"/>
        </w:rPr>
      </w:pPr>
      <w:r w:rsidRPr="00AD2807">
        <w:rPr>
          <w:lang w:eastAsia="en-US"/>
        </w:rPr>
        <w:t>The APO recently participated in a pilot of a Paired Review of our Chapter 21 Quality Management System requirements at the recent PCT-MIA Quality Subgroup meeting</w:t>
      </w:r>
      <w:r w:rsidR="001D0D5B">
        <w:rPr>
          <w:lang w:eastAsia="en-US"/>
        </w:rPr>
        <w:t xml:space="preserve">.  </w:t>
      </w:r>
      <w:r w:rsidRPr="00AD2807">
        <w:rPr>
          <w:lang w:eastAsia="en-US"/>
        </w:rPr>
        <w:t>The Paired Review allowed for the APO’s QMS to be considered by another office (Spain) and provided an opportunity to answer any questions</w:t>
      </w:r>
      <w:r w:rsidR="001D0D5B">
        <w:rPr>
          <w:lang w:eastAsia="en-US"/>
        </w:rPr>
        <w:t xml:space="preserve">.  </w:t>
      </w:r>
      <w:r w:rsidRPr="00AD2807">
        <w:rPr>
          <w:lang w:eastAsia="en-US"/>
        </w:rPr>
        <w:t>Feedback on the APO’s QMS was positive</w:t>
      </w:r>
      <w:r w:rsidR="001D0D5B">
        <w:rPr>
          <w:lang w:eastAsia="en-US"/>
        </w:rPr>
        <w:t xml:space="preserve">.  </w:t>
      </w:r>
      <w:r w:rsidRPr="00AD2807">
        <w:rPr>
          <w:lang w:eastAsia="en-US"/>
        </w:rPr>
        <w:t>This review process from other offices has validated the APO’s approach to the various aspects of the QMS and demonstrated consistency in this approach with many aspects of quality systems other offices have in place.</w:t>
      </w:r>
    </w:p>
    <w:p w:rsidR="00AA5F79" w:rsidRPr="00AD2807" w:rsidRDefault="00AA5F79" w:rsidP="00AA5F79">
      <w:pPr>
        <w:pStyle w:val="ONUME"/>
        <w:numPr>
          <w:ilvl w:val="0"/>
          <w:numId w:val="0"/>
        </w:numPr>
      </w:pPr>
    </w:p>
    <w:p w:rsidR="00AA5F79" w:rsidRPr="00AD2807" w:rsidRDefault="00FA4CE0" w:rsidP="00FA4CE0">
      <w:pPr>
        <w:pStyle w:val="Endofdocument-Annex"/>
      </w:pPr>
      <w:r w:rsidRPr="00AD2807">
        <w:t>[End of Annex and of document]</w:t>
      </w:r>
    </w:p>
    <w:sectPr w:rsidR="00AA5F79" w:rsidRPr="00AD2807" w:rsidSect="00B40E5F">
      <w:headerReference w:type="default" r:id="rId14"/>
      <w:headerReference w:type="first" r:id="rId15"/>
      <w:endnotePr>
        <w:numFmt w:val="decimal"/>
      </w:endnotePr>
      <w:pgSz w:w="11907" w:h="16840" w:code="9"/>
      <w:pgMar w:top="567" w:right="1134" w:bottom="1077"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0A4" w:rsidRDefault="00C650A4">
      <w:r>
        <w:separator/>
      </w:r>
    </w:p>
  </w:endnote>
  <w:endnote w:type="continuationSeparator" w:id="0">
    <w:p w:rsidR="00C650A4" w:rsidRDefault="00C650A4" w:rsidP="003B38C1">
      <w:r>
        <w:separator/>
      </w:r>
    </w:p>
    <w:p w:rsidR="00C650A4" w:rsidRPr="003B38C1" w:rsidRDefault="00C650A4" w:rsidP="003B38C1">
      <w:pPr>
        <w:spacing w:after="60"/>
        <w:rPr>
          <w:sz w:val="17"/>
        </w:rPr>
      </w:pPr>
      <w:r>
        <w:rPr>
          <w:sz w:val="17"/>
        </w:rPr>
        <w:t>[Endnote continued from previous page]</w:t>
      </w:r>
    </w:p>
  </w:endnote>
  <w:endnote w:type="continuationNotice" w:id="1">
    <w:p w:rsidR="00C650A4" w:rsidRPr="003B38C1" w:rsidRDefault="00C650A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0A4" w:rsidRDefault="00C650A4">
      <w:r>
        <w:separator/>
      </w:r>
    </w:p>
  </w:footnote>
  <w:footnote w:type="continuationSeparator" w:id="0">
    <w:p w:rsidR="00C650A4" w:rsidRDefault="00C650A4" w:rsidP="008B60B2">
      <w:r>
        <w:separator/>
      </w:r>
    </w:p>
    <w:p w:rsidR="00C650A4" w:rsidRPr="00ED77FB" w:rsidRDefault="00C650A4" w:rsidP="008B60B2">
      <w:pPr>
        <w:spacing w:after="60"/>
        <w:rPr>
          <w:sz w:val="17"/>
          <w:szCs w:val="17"/>
        </w:rPr>
      </w:pPr>
      <w:r w:rsidRPr="00ED77FB">
        <w:rPr>
          <w:sz w:val="17"/>
          <w:szCs w:val="17"/>
        </w:rPr>
        <w:t>[Footnote continued from previous page]</w:t>
      </w:r>
    </w:p>
  </w:footnote>
  <w:footnote w:type="continuationNotice" w:id="1">
    <w:p w:rsidR="00C650A4" w:rsidRPr="00ED77FB" w:rsidRDefault="00C650A4" w:rsidP="008B60B2">
      <w:pPr>
        <w:spacing w:before="60"/>
        <w:jc w:val="right"/>
        <w:rPr>
          <w:sz w:val="17"/>
          <w:szCs w:val="17"/>
        </w:rPr>
      </w:pPr>
      <w:r w:rsidRPr="00ED77FB">
        <w:rPr>
          <w:sz w:val="17"/>
          <w:szCs w:val="17"/>
        </w:rPr>
        <w:t>[Footnote continued on next page]</w:t>
      </w:r>
    </w:p>
  </w:footnote>
  <w:footnote w:id="2">
    <w:p w:rsidR="006720DC" w:rsidRPr="00AD2807" w:rsidRDefault="006720DC" w:rsidP="006720DC">
      <w:pPr>
        <w:pStyle w:val="FootnoteText"/>
        <w:rPr>
          <w:rFonts w:eastAsiaTheme="minorHAnsi" w:cs="Times New Roman"/>
          <w:lang w:eastAsia="en-US"/>
        </w:rPr>
      </w:pPr>
      <w:r w:rsidRPr="00AD2807">
        <w:rPr>
          <w:rStyle w:val="FootnoteReference"/>
        </w:rPr>
        <w:footnoteRef/>
      </w:r>
      <w:r w:rsidRPr="00AD2807">
        <w:t xml:space="preserve"> </w:t>
      </w:r>
      <w:r w:rsidRPr="00AD2807">
        <w:tab/>
      </w:r>
      <w:r w:rsidRPr="00AD2807">
        <w:rPr>
          <w:rFonts w:eastAsiaTheme="minorHAnsi" w:cs="Times New Roman"/>
          <w:lang w:eastAsia="en-US"/>
        </w:rPr>
        <w:t>The Australian Patent Office seeks to continue its appointment without break. However, due to Australia’s domestic treaty processes, it may be necessary to seek a 1 year extension of the current agreement. This would be followed by the adoption of a new agreement once the updated model under discussion with other Authorities has been released.</w:t>
      </w:r>
    </w:p>
  </w:footnote>
  <w:footnote w:id="3">
    <w:p w:rsidR="006720DC" w:rsidRPr="00AD2807" w:rsidRDefault="006720DC" w:rsidP="006720DC">
      <w:pPr>
        <w:pStyle w:val="FootnoteText"/>
        <w:rPr>
          <w:lang w:val="en-AU"/>
        </w:rPr>
      </w:pPr>
      <w:r w:rsidRPr="00AD2807">
        <w:rPr>
          <w:rStyle w:val="FootnoteReference"/>
        </w:rPr>
        <w:footnoteRef/>
      </w:r>
      <w:r w:rsidRPr="00AD2807">
        <w:t xml:space="preserve"> </w:t>
      </w:r>
      <w:r w:rsidR="00B40E5F">
        <w:tab/>
      </w:r>
      <w:r w:rsidRPr="00AD2807">
        <w:rPr>
          <w:bCs/>
        </w:rPr>
        <w:t xml:space="preserve">See, for example: </w:t>
      </w:r>
      <w:r w:rsidR="001D0D5B">
        <w:rPr>
          <w:bCs/>
        </w:rPr>
        <w:t xml:space="preserve"> </w:t>
      </w:r>
      <w:hyperlink r:id="rId1" w:history="1">
        <w:r w:rsidRPr="00AD2807">
          <w:rPr>
            <w:rStyle w:val="Hyperlink"/>
            <w:bCs/>
          </w:rPr>
          <w:t>https://www.ipaustralia.gov.au/tools-resources/publications---reports</w:t>
        </w:r>
      </w:hyperlink>
      <w:r w:rsidRPr="00AD2807">
        <w:rPr>
          <w:b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C650A4" w:rsidP="00477D6B">
    <w:pPr>
      <w:jc w:val="right"/>
    </w:pPr>
    <w:bookmarkStart w:id="6" w:name="Code2"/>
    <w:bookmarkEnd w:id="6"/>
    <w:r>
      <w:t>PCT/CTC/30</w:t>
    </w:r>
    <w:r w:rsidR="0099692E">
      <w:t>/4</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FA4CE0">
      <w:rPr>
        <w:noProof/>
      </w:rPr>
      <w:t>2</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F79" w:rsidRPr="00AA5F79" w:rsidRDefault="00AA5F79" w:rsidP="00477D6B">
    <w:pPr>
      <w:jc w:val="right"/>
      <w:rPr>
        <w:lang w:val="fr-FR"/>
      </w:rPr>
    </w:pPr>
    <w:r w:rsidRPr="00AA5F79">
      <w:rPr>
        <w:lang w:val="fr-FR"/>
      </w:rPr>
      <w:t>PCT/CTC/30</w:t>
    </w:r>
    <w:r w:rsidR="0099692E">
      <w:rPr>
        <w:lang w:val="fr-FR"/>
      </w:rPr>
      <w:t>/4</w:t>
    </w:r>
  </w:p>
  <w:p w:rsidR="00AA5F79" w:rsidRPr="00AA5F79" w:rsidRDefault="00AA5F79" w:rsidP="00477D6B">
    <w:pPr>
      <w:jc w:val="right"/>
      <w:rPr>
        <w:lang w:val="fr-FR"/>
      </w:rPr>
    </w:pPr>
    <w:proofErr w:type="spellStart"/>
    <w:r w:rsidRPr="00AA5F79">
      <w:rPr>
        <w:lang w:val="fr-FR"/>
      </w:rPr>
      <w:t>Annex</w:t>
    </w:r>
    <w:proofErr w:type="spellEnd"/>
    <w:r w:rsidRPr="00AA5F79">
      <w:rPr>
        <w:lang w:val="fr-FR"/>
      </w:rPr>
      <w:t xml:space="preserve">, page </w:t>
    </w:r>
    <w:r>
      <w:fldChar w:fldCharType="begin"/>
    </w:r>
    <w:r w:rsidRPr="00AA5F79">
      <w:rPr>
        <w:lang w:val="fr-FR"/>
      </w:rPr>
      <w:instrText xml:space="preserve"> PAGE  \* MERGEFORMAT </w:instrText>
    </w:r>
    <w:r>
      <w:fldChar w:fldCharType="separate"/>
    </w:r>
    <w:r w:rsidR="00C30E83">
      <w:rPr>
        <w:noProof/>
        <w:lang w:val="fr-FR"/>
      </w:rPr>
      <w:t>8</w:t>
    </w:r>
    <w:r>
      <w:fldChar w:fldCharType="end"/>
    </w:r>
  </w:p>
  <w:p w:rsidR="00AA5F79" w:rsidRPr="00AA5F79" w:rsidRDefault="00AA5F79"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F79" w:rsidRDefault="00AA5F79" w:rsidP="00AA5F79">
    <w:pPr>
      <w:pStyle w:val="Header"/>
      <w:jc w:val="right"/>
    </w:pPr>
    <w:r>
      <w:t>PCT/CTC/30</w:t>
    </w:r>
    <w:r w:rsidR="0099692E">
      <w:t>/4</w:t>
    </w:r>
  </w:p>
  <w:p w:rsidR="00AA5F79" w:rsidRDefault="00AA5F79" w:rsidP="00AA5F79">
    <w:pPr>
      <w:pStyle w:val="Header"/>
      <w:jc w:val="right"/>
    </w:pPr>
    <w:r>
      <w:t>ANNEX</w:t>
    </w:r>
  </w:p>
  <w:p w:rsidR="00AA5F79" w:rsidRDefault="00AA5F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7045BBE"/>
    <w:multiLevelType w:val="hybridMultilevel"/>
    <w:tmpl w:val="9B3A6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4C45C73"/>
    <w:multiLevelType w:val="hybridMultilevel"/>
    <w:tmpl w:val="FA38FB9C"/>
    <w:lvl w:ilvl="0" w:tplc="F70ABB6E">
      <w:start w:val="9"/>
      <w:numFmt w:val="bullet"/>
      <w:lvlText w:val="-"/>
      <w:lvlJc w:val="left"/>
      <w:pPr>
        <w:ind w:left="720" w:hanging="360"/>
      </w:pPr>
      <w:rPr>
        <w:rFonts w:ascii="Arial" w:eastAsia="SimSu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BBC24C4"/>
    <w:multiLevelType w:val="hybridMultilevel"/>
    <w:tmpl w:val="55727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352E74E9"/>
    <w:multiLevelType w:val="hybridMultilevel"/>
    <w:tmpl w:val="A2681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29B0425"/>
    <w:multiLevelType w:val="hybridMultilevel"/>
    <w:tmpl w:val="4C0012F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4B04DB2"/>
    <w:multiLevelType w:val="hybridMultilevel"/>
    <w:tmpl w:val="DC8C7F8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11029D1"/>
    <w:multiLevelType w:val="hybridMultilevel"/>
    <w:tmpl w:val="E9421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DB825B9"/>
    <w:multiLevelType w:val="hybridMultilevel"/>
    <w:tmpl w:val="DB4CA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0C46903"/>
    <w:multiLevelType w:val="multilevel"/>
    <w:tmpl w:val="C4CEA0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75F204FE"/>
    <w:multiLevelType w:val="hybridMultilevel"/>
    <w:tmpl w:val="851C0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88A130D"/>
    <w:multiLevelType w:val="hybridMultilevel"/>
    <w:tmpl w:val="0784A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BC0538A"/>
    <w:multiLevelType w:val="hybridMultilevel"/>
    <w:tmpl w:val="5B680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11"/>
  </w:num>
  <w:num w:numId="5">
    <w:abstractNumId w:val="1"/>
  </w:num>
  <w:num w:numId="6">
    <w:abstractNumId w:val="6"/>
  </w:num>
  <w:num w:numId="7">
    <w:abstractNumId w:val="10"/>
  </w:num>
  <w:num w:numId="8">
    <w:abstractNumId w:val="3"/>
  </w:num>
  <w:num w:numId="9">
    <w:abstractNumId w:val="14"/>
  </w:num>
  <w:num w:numId="10">
    <w:abstractNumId w:val="8"/>
  </w:num>
  <w:num w:numId="11">
    <w:abstractNumId w:val="16"/>
  </w:num>
  <w:num w:numId="12">
    <w:abstractNumId w:val="15"/>
  </w:num>
  <w:num w:numId="13">
    <w:abstractNumId w:val="13"/>
  </w:num>
  <w:num w:numId="14">
    <w:abstractNumId w:val="17"/>
  </w:num>
  <w:num w:numId="15">
    <w:abstractNumId w:val="12"/>
  </w:num>
  <w:num w:numId="16">
    <w:abstractNumId w:val="5"/>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0A4"/>
    <w:rsid w:val="00043CAA"/>
    <w:rsid w:val="00075432"/>
    <w:rsid w:val="00084891"/>
    <w:rsid w:val="000968ED"/>
    <w:rsid w:val="000F5E56"/>
    <w:rsid w:val="001362EE"/>
    <w:rsid w:val="001832A6"/>
    <w:rsid w:val="001D0D5B"/>
    <w:rsid w:val="0021217E"/>
    <w:rsid w:val="002634C4"/>
    <w:rsid w:val="002928D3"/>
    <w:rsid w:val="002F1FE6"/>
    <w:rsid w:val="002F4E68"/>
    <w:rsid w:val="00312F7F"/>
    <w:rsid w:val="0035027E"/>
    <w:rsid w:val="00361450"/>
    <w:rsid w:val="003673CF"/>
    <w:rsid w:val="003845C1"/>
    <w:rsid w:val="003A6F89"/>
    <w:rsid w:val="003B38C1"/>
    <w:rsid w:val="00423E3E"/>
    <w:rsid w:val="00427AF4"/>
    <w:rsid w:val="004647DA"/>
    <w:rsid w:val="00474062"/>
    <w:rsid w:val="00477D6B"/>
    <w:rsid w:val="004F74E6"/>
    <w:rsid w:val="005019FF"/>
    <w:rsid w:val="0053057A"/>
    <w:rsid w:val="00534264"/>
    <w:rsid w:val="00560A29"/>
    <w:rsid w:val="005C40A3"/>
    <w:rsid w:val="005C6649"/>
    <w:rsid w:val="00605827"/>
    <w:rsid w:val="00621DF1"/>
    <w:rsid w:val="00646050"/>
    <w:rsid w:val="006713CA"/>
    <w:rsid w:val="006720DC"/>
    <w:rsid w:val="00676C5C"/>
    <w:rsid w:val="006A7C05"/>
    <w:rsid w:val="007C2F0F"/>
    <w:rsid w:val="007D1613"/>
    <w:rsid w:val="007E4C0E"/>
    <w:rsid w:val="00837953"/>
    <w:rsid w:val="008B2CC1"/>
    <w:rsid w:val="008B50A2"/>
    <w:rsid w:val="008B60B2"/>
    <w:rsid w:val="0090731E"/>
    <w:rsid w:val="00916EE2"/>
    <w:rsid w:val="00966A22"/>
    <w:rsid w:val="0096722F"/>
    <w:rsid w:val="00980843"/>
    <w:rsid w:val="00993A3A"/>
    <w:rsid w:val="0099692E"/>
    <w:rsid w:val="009E2791"/>
    <w:rsid w:val="009E3F6F"/>
    <w:rsid w:val="009F499F"/>
    <w:rsid w:val="00A42DAF"/>
    <w:rsid w:val="00A45BD8"/>
    <w:rsid w:val="00A869B7"/>
    <w:rsid w:val="00A87415"/>
    <w:rsid w:val="00A93FC2"/>
    <w:rsid w:val="00AA5F79"/>
    <w:rsid w:val="00AC205C"/>
    <w:rsid w:val="00AD2807"/>
    <w:rsid w:val="00AF0A6B"/>
    <w:rsid w:val="00B05A69"/>
    <w:rsid w:val="00B40E5F"/>
    <w:rsid w:val="00B9734B"/>
    <w:rsid w:val="00BA30E2"/>
    <w:rsid w:val="00BD078D"/>
    <w:rsid w:val="00C11BFE"/>
    <w:rsid w:val="00C30E83"/>
    <w:rsid w:val="00C5068F"/>
    <w:rsid w:val="00C650A4"/>
    <w:rsid w:val="00CD04F1"/>
    <w:rsid w:val="00D45252"/>
    <w:rsid w:val="00D71B4D"/>
    <w:rsid w:val="00D93D55"/>
    <w:rsid w:val="00E15015"/>
    <w:rsid w:val="00E335FE"/>
    <w:rsid w:val="00E82D0C"/>
    <w:rsid w:val="00EC4E49"/>
    <w:rsid w:val="00ED77FB"/>
    <w:rsid w:val="00EE45FA"/>
    <w:rsid w:val="00F66152"/>
    <w:rsid w:val="00FA4CE0"/>
    <w:rsid w:val="00FD0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0E5F"/>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B40E5F"/>
    <w:rPr>
      <w:sz w:val="20"/>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customStyle="1" w:styleId="FootnoteTextChar">
    <w:name w:val="Footnote Text Char"/>
    <w:basedOn w:val="DefaultParagraphFont"/>
    <w:link w:val="FootnoteText"/>
    <w:semiHidden/>
    <w:rsid w:val="00B40E5F"/>
    <w:rPr>
      <w:rFonts w:ascii="Arial" w:eastAsia="SimSun" w:hAnsi="Arial" w:cs="Arial"/>
      <w:lang w:eastAsia="zh-CN"/>
    </w:rPr>
  </w:style>
  <w:style w:type="character" w:styleId="Hyperlink">
    <w:name w:val="Hyperlink"/>
    <w:basedOn w:val="DefaultParagraphFont"/>
    <w:uiPriority w:val="99"/>
    <w:rsid w:val="00621DF1"/>
    <w:rPr>
      <w:rFonts w:eastAsiaTheme="minorHAnsi" w:cs="Times New Roman"/>
      <w:lang w:val="en-AU" w:eastAsia="en-US"/>
    </w:rPr>
  </w:style>
  <w:style w:type="character" w:styleId="FootnoteReference">
    <w:name w:val="footnote reference"/>
    <w:basedOn w:val="DefaultParagraphFont"/>
    <w:rsid w:val="006720DC"/>
    <w:rPr>
      <w:vertAlign w:val="superscript"/>
    </w:rPr>
  </w:style>
  <w:style w:type="character" w:customStyle="1" w:styleId="InsertedText">
    <w:name w:val="Inserted Text"/>
    <w:qFormat/>
    <w:rsid w:val="006720DC"/>
    <w:rPr>
      <w:color w:val="0000FF"/>
      <w:u w:val="single"/>
    </w:rPr>
  </w:style>
  <w:style w:type="paragraph" w:customStyle="1" w:styleId="SectionHeading">
    <w:name w:val="Section Heading"/>
    <w:basedOn w:val="Heading1"/>
    <w:link w:val="SectionHeadingChar"/>
    <w:qFormat/>
    <w:rsid w:val="006720DC"/>
    <w:pPr>
      <w:pBdr>
        <w:top w:val="single" w:sz="4" w:space="1" w:color="auto"/>
        <w:bottom w:val="single" w:sz="4" w:space="1" w:color="auto"/>
      </w:pBdr>
      <w:spacing w:before="360" w:after="200"/>
    </w:pPr>
  </w:style>
  <w:style w:type="character" w:customStyle="1" w:styleId="SectionHeadingChar">
    <w:name w:val="Section Heading Char"/>
    <w:basedOn w:val="DefaultParagraphFont"/>
    <w:link w:val="SectionHeading"/>
    <w:rsid w:val="006720DC"/>
    <w:rPr>
      <w:rFonts w:ascii="Arial" w:eastAsia="SimSun" w:hAnsi="Arial" w:cs="Arial"/>
      <w:b/>
      <w:bCs/>
      <w:caps/>
      <w:kern w:val="32"/>
      <w:sz w:val="22"/>
      <w:szCs w:val="32"/>
      <w:lang w:eastAsia="zh-CN"/>
    </w:rPr>
  </w:style>
  <w:style w:type="paragraph" w:styleId="ListParagraph">
    <w:name w:val="List Paragraph"/>
    <w:basedOn w:val="Normal"/>
    <w:uiPriority w:val="34"/>
    <w:qFormat/>
    <w:rsid w:val="006720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0E5F"/>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B40E5F"/>
    <w:rPr>
      <w:sz w:val="20"/>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customStyle="1" w:styleId="FootnoteTextChar">
    <w:name w:val="Footnote Text Char"/>
    <w:basedOn w:val="DefaultParagraphFont"/>
    <w:link w:val="FootnoteText"/>
    <w:semiHidden/>
    <w:rsid w:val="00B40E5F"/>
    <w:rPr>
      <w:rFonts w:ascii="Arial" w:eastAsia="SimSun" w:hAnsi="Arial" w:cs="Arial"/>
      <w:lang w:eastAsia="zh-CN"/>
    </w:rPr>
  </w:style>
  <w:style w:type="character" w:styleId="Hyperlink">
    <w:name w:val="Hyperlink"/>
    <w:basedOn w:val="DefaultParagraphFont"/>
    <w:uiPriority w:val="99"/>
    <w:rsid w:val="00621DF1"/>
    <w:rPr>
      <w:rFonts w:eastAsiaTheme="minorHAnsi" w:cs="Times New Roman"/>
      <w:lang w:val="en-AU" w:eastAsia="en-US"/>
    </w:rPr>
  </w:style>
  <w:style w:type="character" w:styleId="FootnoteReference">
    <w:name w:val="footnote reference"/>
    <w:basedOn w:val="DefaultParagraphFont"/>
    <w:rsid w:val="006720DC"/>
    <w:rPr>
      <w:vertAlign w:val="superscript"/>
    </w:rPr>
  </w:style>
  <w:style w:type="character" w:customStyle="1" w:styleId="InsertedText">
    <w:name w:val="Inserted Text"/>
    <w:qFormat/>
    <w:rsid w:val="006720DC"/>
    <w:rPr>
      <w:color w:val="0000FF"/>
      <w:u w:val="single"/>
    </w:rPr>
  </w:style>
  <w:style w:type="paragraph" w:customStyle="1" w:styleId="SectionHeading">
    <w:name w:val="Section Heading"/>
    <w:basedOn w:val="Heading1"/>
    <w:link w:val="SectionHeadingChar"/>
    <w:qFormat/>
    <w:rsid w:val="006720DC"/>
    <w:pPr>
      <w:pBdr>
        <w:top w:val="single" w:sz="4" w:space="1" w:color="auto"/>
        <w:bottom w:val="single" w:sz="4" w:space="1" w:color="auto"/>
      </w:pBdr>
      <w:spacing w:before="360" w:after="200"/>
    </w:pPr>
  </w:style>
  <w:style w:type="character" w:customStyle="1" w:styleId="SectionHeadingChar">
    <w:name w:val="Section Heading Char"/>
    <w:basedOn w:val="DefaultParagraphFont"/>
    <w:link w:val="SectionHeading"/>
    <w:rsid w:val="006720DC"/>
    <w:rPr>
      <w:rFonts w:ascii="Arial" w:eastAsia="SimSun" w:hAnsi="Arial" w:cs="Arial"/>
      <w:b/>
      <w:bCs/>
      <w:caps/>
      <w:kern w:val="32"/>
      <w:sz w:val="22"/>
      <w:szCs w:val="32"/>
      <w:lang w:eastAsia="zh-CN"/>
    </w:rPr>
  </w:style>
  <w:style w:type="paragraph" w:styleId="ListParagraph">
    <w:name w:val="List Paragraph"/>
    <w:basedOn w:val="Normal"/>
    <w:uiPriority w:val="34"/>
    <w:qFormat/>
    <w:rsid w:val="006720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pct/en/quality/authoritie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tin.devlin@ipaustralia.gov.au"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ipaustralia.gov.au/tools-resources/publications---repo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CTC%203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FE8F8-94E6-4AEE-8AC4-B7E766742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CTC 30 (E).dotm</Template>
  <TotalTime>98</TotalTime>
  <Pages>11</Pages>
  <Words>3963</Words>
  <Characters>23428</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PCT/CTC/30/</vt:lpstr>
    </vt:vector>
  </TitlesOfParts>
  <Company>WIPO</Company>
  <LinksUpToDate>false</LinksUpToDate>
  <CharactersWithSpaces>27337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PCT/CTC/30/4</dc:title>
  <dc:subject>Extension of Appointment of the Australian Patent Office as an International Searching and Preliminary Examining Authority Under the PCT</dc:subject>
  <dc:creator>MARLOW Thomas</dc:creator>
  <cp:lastModifiedBy>RICHARDSON Michael</cp:lastModifiedBy>
  <cp:revision>16</cp:revision>
  <cp:lastPrinted>2017-02-28T14:25:00Z</cp:lastPrinted>
  <dcterms:created xsi:type="dcterms:W3CDTF">2017-03-07T08:47:00Z</dcterms:created>
  <dcterms:modified xsi:type="dcterms:W3CDTF">2017-03-16T15:52:00Z</dcterms:modified>
</cp:coreProperties>
</file>