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BD078D" w:rsidP="00916EE2">
            <w:r>
              <w:rPr>
                <w:noProof/>
                <w:lang w:val="en-GB" w:eastAsia="en-GB"/>
              </w:rPr>
              <w:drawing>
                <wp:inline distT="0" distB="0" distL="0" distR="0" wp14:anchorId="4812CBB6" wp14:editId="141DCE66">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r w:rsidR="005C0868">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E5980">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60519C">
              <w:rPr>
                <w:rFonts w:ascii="Arial Black" w:hAnsi="Arial Black"/>
                <w:caps/>
                <w:sz w:val="15"/>
              </w:rPr>
              <w:t>1</w:t>
            </w:r>
            <w:r w:rsidR="001E5980">
              <w:rPr>
                <w:rFonts w:ascii="Arial Black" w:hAnsi="Arial Black"/>
                <w:caps/>
                <w:sz w:val="15"/>
              </w:rPr>
              <w:t>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60519C">
        <w:rPr>
          <w:caps/>
          <w:sz w:val="24"/>
        </w:rPr>
        <w:t xml:space="preserve">the </w:t>
      </w:r>
      <w:r w:rsidR="0060519C" w:rsidRPr="0060519C">
        <w:rPr>
          <w:caps/>
          <w:sz w:val="24"/>
        </w:rPr>
        <w:t>Austrian Patent Office</w:t>
      </w:r>
      <w:r w:rsidR="0060519C">
        <w:rPr>
          <w:caps/>
          <w:sz w:val="24"/>
        </w:rPr>
        <w:t xml:space="preserve"> as an </w:t>
      </w:r>
      <w:r>
        <w:rPr>
          <w:caps/>
          <w:sz w:val="24"/>
        </w:rPr>
        <w:t>Internat</w:t>
      </w:r>
      <w:r w:rsidR="0060519C">
        <w:rPr>
          <w:caps/>
          <w:sz w:val="24"/>
        </w:rPr>
        <w:t>ional Searching and Preliminary Examining Authority </w:t>
      </w:r>
      <w:r>
        <w:rPr>
          <w:caps/>
          <w:sz w:val="24"/>
        </w:rPr>
        <w:t>Under the 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AA5F79" w:rsidP="0060519C">
      <w:pPr>
        <w:pStyle w:val="ONUME"/>
      </w:pPr>
      <w:r>
        <w:t>On March </w:t>
      </w:r>
      <w:r w:rsidR="0060519C">
        <w:t>6</w:t>
      </w:r>
      <w:r>
        <w:t>, 2017, t</w:t>
      </w:r>
      <w:r w:rsidR="005C40A3">
        <w:t xml:space="preserve">he </w:t>
      </w:r>
      <w:r w:rsidR="0060519C" w:rsidRPr="0060519C">
        <w:t>Austrian Patent Office</w:t>
      </w:r>
      <w:r w:rsidR="005C40A3">
        <w:t xml:space="preserve"> submitted its application </w:t>
      </w:r>
      <w:r>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5C0868"/>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60519C">
        <w:rPr>
          <w:caps/>
        </w:rPr>
        <w:t xml:space="preserve">the </w:t>
      </w:r>
      <w:r w:rsidR="0060519C" w:rsidRPr="0060519C">
        <w:rPr>
          <w:caps/>
        </w:rPr>
        <w:t xml:space="preserve">Austrian Patent Office </w:t>
      </w:r>
      <w:r w:rsidR="0060519C">
        <w:rPr>
          <w:caps/>
        </w:rPr>
        <w:br/>
        <w:t>for Extension of </w:t>
      </w:r>
      <w:r w:rsidRPr="00AA5F79">
        <w:rPr>
          <w:caps/>
        </w:rPr>
        <w:t>Appointment</w:t>
      </w:r>
      <w:r>
        <w:rPr>
          <w:caps/>
        </w:rPr>
        <w:t xml:space="preserve"> </w:t>
      </w:r>
      <w:r>
        <w:rPr>
          <w:caps/>
        </w:rPr>
        <w:br/>
      </w:r>
      <w:r w:rsidR="0060519C">
        <w:rPr>
          <w:caps/>
        </w:rPr>
        <w:t>as an International Searching </w:t>
      </w:r>
      <w:r>
        <w:rPr>
          <w:caps/>
        </w:rPr>
        <w:t xml:space="preserve">and </w:t>
      </w:r>
      <w:r w:rsidR="0060519C">
        <w:rPr>
          <w:caps/>
        </w:rPr>
        <w:t>Preliminary Examining </w:t>
      </w:r>
      <w:r w:rsidRPr="00AA5F79">
        <w:rPr>
          <w:caps/>
        </w:rPr>
        <w:t>Authority</w:t>
      </w:r>
      <w:r w:rsidR="0060519C">
        <w:rPr>
          <w:caps/>
        </w:rPr>
        <w:t> Under the </w:t>
      </w:r>
      <w:r w:rsidRPr="00AA5F79">
        <w:rPr>
          <w:caps/>
        </w:rPr>
        <w:t>PCT</w:t>
      </w:r>
    </w:p>
    <w:p w:rsidR="00AA5F79" w:rsidRDefault="00AA5F79" w:rsidP="00AA5F79">
      <w:pPr>
        <w:pStyle w:val="ONUME"/>
        <w:numPr>
          <w:ilvl w:val="0"/>
          <w:numId w:val="0"/>
        </w:numPr>
      </w:pPr>
    </w:p>
    <w:p w:rsidR="00135CEA" w:rsidRPr="006C3110" w:rsidRDefault="00135CEA" w:rsidP="00135CEA">
      <w:pPr>
        <w:pStyle w:val="SectionHeading"/>
      </w:pPr>
      <w:r w:rsidRPr="006C3110">
        <w:t>1 – General</w:t>
      </w:r>
    </w:p>
    <w:p w:rsidR="0060519C" w:rsidRDefault="0060519C" w:rsidP="0060519C">
      <w:pPr>
        <w:rPr>
          <w:lang w:val="en-GB"/>
        </w:rPr>
      </w:pPr>
      <w:r>
        <w:rPr>
          <w:b/>
          <w:bCs/>
          <w:lang w:val="en-GB"/>
        </w:rPr>
        <w:t>Name of national Office</w:t>
      </w:r>
      <w:r>
        <w:rPr>
          <w:b/>
          <w:bCs/>
          <w:color w:val="1F497D"/>
          <w:lang w:val="en-GB"/>
        </w:rPr>
        <w:t xml:space="preserve">:  </w:t>
      </w:r>
      <w:r>
        <w:rPr>
          <w:lang w:val="en-GB"/>
        </w:rPr>
        <w:t>Austrian Patent Office (APO)</w:t>
      </w:r>
    </w:p>
    <w:p w:rsidR="0060519C" w:rsidRDefault="0060519C" w:rsidP="0060519C">
      <w:pPr>
        <w:rPr>
          <w:b/>
          <w:bCs/>
          <w:lang w:val="en-GB"/>
        </w:rPr>
      </w:pPr>
    </w:p>
    <w:p w:rsidR="0060519C" w:rsidRDefault="0060519C" w:rsidP="0060519C">
      <w:pPr>
        <w:rPr>
          <w:lang w:val="en-GB"/>
        </w:rPr>
      </w:pPr>
      <w:r>
        <w:rPr>
          <w:b/>
          <w:bCs/>
          <w:lang w:val="en-GB"/>
        </w:rPr>
        <w:t xml:space="preserve">Session of the Assembly at which appointment is to be sought: </w:t>
      </w:r>
      <w:r w:rsidRPr="0060519C">
        <w:rPr>
          <w:bCs/>
          <w:lang w:val="en-GB"/>
        </w:rPr>
        <w:t xml:space="preserve"> F</w:t>
      </w:r>
      <w:r>
        <w:rPr>
          <w:lang w:val="en-GB"/>
        </w:rPr>
        <w:t>orty-ninth session.</w:t>
      </w:r>
    </w:p>
    <w:p w:rsidR="0060519C" w:rsidRPr="0060519C" w:rsidRDefault="0060519C" w:rsidP="0060519C">
      <w:pPr>
        <w:rPr>
          <w:b/>
          <w:bCs/>
          <w:lang w:val="en-GB"/>
        </w:rPr>
      </w:pPr>
    </w:p>
    <w:p w:rsidR="0060519C" w:rsidRPr="0060519C" w:rsidRDefault="0060519C" w:rsidP="0060519C">
      <w:r w:rsidRPr="0060519C">
        <w:t>The Austrian Patent Office (APO) was established in 1899 as the government body responsible for examining, granting and administrating industrial property rights, now under the Ministry of Transport, Innovation and Technology</w:t>
      </w:r>
      <w:r w:rsidR="002826E0">
        <w:t xml:space="preserve">.  </w:t>
      </w:r>
      <w:r w:rsidRPr="0060519C">
        <w:t>From 1978 onwards, the APO has been acting as an International Authority under the PCT</w:t>
      </w:r>
      <w:r w:rsidR="002826E0">
        <w:t xml:space="preserve">.  </w:t>
      </w:r>
      <w:r w:rsidRPr="0060519C">
        <w:t>The APO also offers Supplementary Searches under the PCT.</w:t>
      </w:r>
    </w:p>
    <w:p w:rsidR="0060519C" w:rsidRPr="0060519C" w:rsidRDefault="0060519C" w:rsidP="0060519C"/>
    <w:p w:rsidR="0060519C" w:rsidRPr="0060519C" w:rsidRDefault="0060519C" w:rsidP="0060519C">
      <w:r w:rsidRPr="0060519C">
        <w:t>The APO prepares search and examination reports for national and international patent applications in all technical fields</w:t>
      </w:r>
      <w:r w:rsidR="002826E0">
        <w:t xml:space="preserve">.  </w:t>
      </w:r>
      <w:r w:rsidRPr="0060519C">
        <w:t>The number of substantial search and examination reports for patents and utility model prepared by the APO in 2016 was more than 3500.</w:t>
      </w:r>
    </w:p>
    <w:p w:rsidR="0060519C" w:rsidRPr="0060519C" w:rsidRDefault="0060519C" w:rsidP="0060519C"/>
    <w:p w:rsidR="0060519C" w:rsidRPr="00135CEA" w:rsidRDefault="0060519C" w:rsidP="0060519C">
      <w:r w:rsidRPr="0060519C">
        <w:t>The Austrian Patent Office has been appointed as ISA/IPEA during the first session of the PCT Assembly in 1978 and currently acts as ISA/IPEA/SISA for applications from 37 different Receiving Offices</w:t>
      </w:r>
      <w:r w:rsidR="002826E0">
        <w:t xml:space="preserve">.  </w:t>
      </w:r>
      <w:r w:rsidRPr="0060519C">
        <w:t>The number of PCT-Searches and Examination Reports is now around 200 per year.</w:t>
      </w:r>
    </w:p>
    <w:p w:rsidR="0060519C" w:rsidRDefault="0060519C" w:rsidP="00135CEA">
      <w:pPr>
        <w:pStyle w:val="SectionHeading"/>
        <w:rPr>
          <w:lang w:val="en-GB"/>
        </w:rPr>
      </w:pPr>
      <w:r>
        <w:rPr>
          <w:lang w:val="en-GB"/>
        </w:rPr>
        <w:t>2 – SUBSTANTIVE CRITERIA</w:t>
      </w:r>
      <w:r w:rsidR="002826E0">
        <w:rPr>
          <w:lang w:val="en-GB"/>
        </w:rPr>
        <w:t xml:space="preserve">:  </w:t>
      </w:r>
      <w:r>
        <w:rPr>
          <w:lang w:val="en-GB"/>
        </w:rPr>
        <w:t>MINIMUM REQUIREMENTS FOR isa/IPEA</w:t>
      </w:r>
    </w:p>
    <w:p w:rsidR="0060519C" w:rsidRDefault="0060519C" w:rsidP="00135CEA">
      <w:r>
        <w:t>As described below, the Austrian Patent Office meets the minimum requirements which are demanded in Rule 36.1(</w:t>
      </w:r>
      <w:proofErr w:type="spellStart"/>
      <w:r>
        <w:t>i</w:t>
      </w:r>
      <w:proofErr w:type="spellEnd"/>
      <w:r>
        <w:t>) to 36.1(v) for reappointment as an International Searching Authority, and Rule 63.1(</w:t>
      </w:r>
      <w:proofErr w:type="spellStart"/>
      <w:r>
        <w:t>i</w:t>
      </w:r>
      <w:proofErr w:type="spellEnd"/>
      <w:r>
        <w:t xml:space="preserve">) to 63.1(v) for reappointment as an International Preliminary Examination Authority. </w:t>
      </w:r>
    </w:p>
    <w:p w:rsidR="0060519C" w:rsidRDefault="0060519C" w:rsidP="00135CEA">
      <w:pPr>
        <w:pStyle w:val="SectionHeading"/>
        <w:rPr>
          <w:lang w:val="en-GB"/>
        </w:rPr>
      </w:pPr>
      <w:r>
        <w:rPr>
          <w:lang w:val="en-GB"/>
        </w:rPr>
        <w:t>2.1 – Search and Examination Capacity</w:t>
      </w:r>
    </w:p>
    <w:p w:rsidR="0060519C" w:rsidRPr="00351532" w:rsidRDefault="001E5980" w:rsidP="00351532">
      <w:pPr>
        <w:rPr>
          <w:b/>
          <w:i/>
        </w:rPr>
      </w:pPr>
      <w:r>
        <w:rPr>
          <w:b/>
          <w:i/>
        </w:rPr>
        <w:t>Rule 36.1</w:t>
      </w:r>
      <w:r w:rsidR="0060519C" w:rsidRPr="00351532">
        <w:rPr>
          <w:b/>
          <w:i/>
        </w:rPr>
        <w:t>(</w:t>
      </w:r>
      <w:proofErr w:type="spellStart"/>
      <w:r w:rsidR="0060519C" w:rsidRPr="00351532">
        <w:rPr>
          <w:b/>
          <w:i/>
        </w:rPr>
        <w:t>i</w:t>
      </w:r>
      <w:proofErr w:type="spellEnd"/>
      <w:r w:rsidR="0060519C" w:rsidRPr="00351532">
        <w:rPr>
          <w:b/>
          <w:i/>
        </w:rPr>
        <w:t>) [63.1(</w:t>
      </w:r>
      <w:proofErr w:type="spellStart"/>
      <w:r w:rsidR="0060519C" w:rsidRPr="00351532">
        <w:rPr>
          <w:b/>
          <w:i/>
        </w:rPr>
        <w:t>i</w:t>
      </w:r>
      <w:proofErr w:type="spellEnd"/>
      <w:r w:rsidR="0060519C" w:rsidRPr="00351532">
        <w:rPr>
          <w:b/>
          <w:i/>
        </w:rPr>
        <w:t>) for IPEA] the national Office or intergovernmental organization must have at least 100 full-time employees with sufficient technical qualifications to ca</w:t>
      </w:r>
      <w:r w:rsidR="00351532">
        <w:rPr>
          <w:b/>
          <w:i/>
        </w:rPr>
        <w:t>rry out searches [examinations].</w:t>
      </w:r>
    </w:p>
    <w:p w:rsidR="0060519C" w:rsidRPr="00135CEA" w:rsidRDefault="0060519C" w:rsidP="00135CEA">
      <w:pPr>
        <w:pStyle w:val="Sub-heading"/>
      </w:pPr>
      <w:r w:rsidRPr="00135CEA">
        <w:t xml:space="preserve">Employees qualified to carry out search and examination:  </w:t>
      </w:r>
    </w:p>
    <w:p w:rsidR="0060519C" w:rsidRDefault="0060519C" w:rsidP="00135CEA">
      <w:r>
        <w:t>The APO has a staff of around 100 full-time employees with sufficient technical skills to conduct searches</w:t>
      </w:r>
      <w:r w:rsidR="002826E0">
        <w:t xml:space="preserve">.  </w:t>
      </w:r>
      <w:r>
        <w:t xml:space="preserve">The employment requirements (university degree, at least equivalent to Master's degree) guarantee the technical </w:t>
      </w:r>
      <w:r w:rsidRPr="00135CEA">
        <w:t>qualification</w:t>
      </w:r>
      <w:r>
        <w:t xml:space="preserve"> for the search and examination in all technical areas</w:t>
      </w:r>
      <w:r w:rsidR="002826E0">
        <w:t xml:space="preserve">.  </w:t>
      </w:r>
      <w:r>
        <w:t xml:space="preserve">The examiners have access to translation tools via the Internet and </w:t>
      </w:r>
      <w:proofErr w:type="spellStart"/>
      <w:r>
        <w:t>E</w:t>
      </w:r>
      <w:r w:rsidR="00932455">
        <w:t>PO</w:t>
      </w:r>
      <w:r>
        <w:t>Q</w:t>
      </w:r>
      <w:r w:rsidR="00932455">
        <w:t>UE</w:t>
      </w:r>
      <w:r>
        <w:t>Net</w:t>
      </w:r>
      <w:proofErr w:type="spellEnd"/>
      <w:r>
        <w:t>.</w:t>
      </w:r>
    </w:p>
    <w:tbl>
      <w:tblPr>
        <w:tblpPr w:leftFromText="141" w:rightFromText="141" w:vertAnchor="text" w:horzAnchor="margin" w:tblpXSpec="center" w:tblpY="239"/>
        <w:tblW w:w="8613" w:type="dxa"/>
        <w:tblBorders>
          <w:insideH w:val="single" w:sz="4" w:space="0" w:color="auto"/>
          <w:insideV w:val="single" w:sz="4" w:space="0" w:color="auto"/>
        </w:tblBorders>
        <w:tblCellMar>
          <w:left w:w="170" w:type="dxa"/>
        </w:tblCellMar>
        <w:tblLook w:val="04A0" w:firstRow="1" w:lastRow="0" w:firstColumn="1" w:lastColumn="0" w:noHBand="0" w:noVBand="1"/>
      </w:tblPr>
      <w:tblGrid>
        <w:gridCol w:w="4361"/>
        <w:gridCol w:w="4252"/>
      </w:tblGrid>
      <w:tr w:rsidR="0060519C" w:rsidRPr="00CD649E" w:rsidTr="00F732EE">
        <w:trPr>
          <w:cantSplit/>
          <w:trHeight w:hRule="exact" w:val="284"/>
        </w:trPr>
        <w:tc>
          <w:tcPr>
            <w:tcW w:w="4361" w:type="dxa"/>
            <w:tcBorders>
              <w:top w:val="nil"/>
              <w:left w:val="nil"/>
              <w:bottom w:val="single" w:sz="4" w:space="0" w:color="auto"/>
              <w:right w:val="single" w:sz="4" w:space="0" w:color="auto"/>
            </w:tcBorders>
          </w:tcPr>
          <w:p w:rsidR="0060519C" w:rsidRDefault="0060519C" w:rsidP="00135CEA">
            <w:pPr>
              <w:keepNext/>
              <w:keepLines/>
              <w:rPr>
                <w:b/>
                <w:bCs/>
                <w:sz w:val="24"/>
                <w:szCs w:val="24"/>
                <w:lang w:val="de-DE" w:eastAsia="de-DE"/>
              </w:rPr>
            </w:pPr>
            <w:r>
              <w:rPr>
                <w:b/>
                <w:bCs/>
              </w:rPr>
              <w:t>Technical field</w:t>
            </w:r>
          </w:p>
        </w:tc>
        <w:tc>
          <w:tcPr>
            <w:tcW w:w="4252" w:type="dxa"/>
            <w:tcBorders>
              <w:top w:val="nil"/>
              <w:left w:val="single" w:sz="4" w:space="0" w:color="auto"/>
              <w:bottom w:val="single" w:sz="4" w:space="0" w:color="auto"/>
              <w:right w:val="nil"/>
            </w:tcBorders>
          </w:tcPr>
          <w:p w:rsidR="0060519C" w:rsidRDefault="0060519C" w:rsidP="00135CEA">
            <w:pPr>
              <w:keepNext/>
              <w:keepLines/>
              <w:rPr>
                <w:b/>
                <w:bCs/>
                <w:sz w:val="24"/>
                <w:szCs w:val="24"/>
                <w:lang w:val="en-GB" w:eastAsia="de-DE"/>
              </w:rPr>
            </w:pPr>
            <w:r>
              <w:rPr>
                <w:b/>
                <w:bCs/>
                <w:lang w:val="en-GB"/>
              </w:rPr>
              <w:t>Number (in full-time equivalent)</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de-DE" w:eastAsia="de-DE"/>
              </w:rPr>
            </w:pPr>
            <w:r>
              <w:rPr>
                <w:lang w:val="en-GB"/>
              </w:rPr>
              <w:t xml:space="preserve">  </w:t>
            </w:r>
            <w:proofErr w:type="spellStart"/>
            <w:r>
              <w:t>Constuction</w:t>
            </w:r>
            <w:proofErr w:type="spellEnd"/>
            <w:r>
              <w:t xml:space="preserve"> / Physics</w:t>
            </w:r>
          </w:p>
        </w:tc>
        <w:tc>
          <w:tcPr>
            <w:tcW w:w="4252" w:type="dxa"/>
            <w:tcBorders>
              <w:top w:val="single" w:sz="4" w:space="0" w:color="auto"/>
              <w:left w:val="single" w:sz="4" w:space="0" w:color="auto"/>
              <w:bottom w:val="single" w:sz="4" w:space="0" w:color="auto"/>
              <w:right w:val="nil"/>
            </w:tcBorders>
          </w:tcPr>
          <w:p w:rsidR="0060519C" w:rsidRDefault="0060519C" w:rsidP="00135CEA">
            <w:pPr>
              <w:keepNext/>
              <w:keepLines/>
              <w:jc w:val="center"/>
              <w:rPr>
                <w:sz w:val="24"/>
                <w:szCs w:val="24"/>
                <w:lang w:val="de-DE" w:eastAsia="de-DE"/>
              </w:rPr>
            </w:pPr>
            <w:r>
              <w:t>21</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de-DE" w:eastAsia="de-DE"/>
              </w:rPr>
            </w:pPr>
            <w:r>
              <w:t xml:space="preserve">  Mechanical</w:t>
            </w:r>
          </w:p>
        </w:tc>
        <w:tc>
          <w:tcPr>
            <w:tcW w:w="4252" w:type="dxa"/>
            <w:tcBorders>
              <w:top w:val="single" w:sz="4" w:space="0" w:color="auto"/>
              <w:left w:val="single" w:sz="4" w:space="0" w:color="auto"/>
              <w:bottom w:val="single" w:sz="4" w:space="0" w:color="auto"/>
              <w:right w:val="nil"/>
            </w:tcBorders>
          </w:tcPr>
          <w:p w:rsidR="0060519C" w:rsidRDefault="0060519C" w:rsidP="00135CEA">
            <w:pPr>
              <w:keepNext/>
              <w:keepLines/>
              <w:jc w:val="center"/>
              <w:rPr>
                <w:sz w:val="24"/>
                <w:szCs w:val="24"/>
                <w:lang w:val="de-DE" w:eastAsia="de-DE"/>
              </w:rPr>
            </w:pPr>
            <w:r>
              <w:t>27</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de-DE" w:eastAsia="de-DE"/>
              </w:rPr>
            </w:pPr>
            <w:r>
              <w:t xml:space="preserve">  Electrical/electronic</w:t>
            </w:r>
          </w:p>
        </w:tc>
        <w:tc>
          <w:tcPr>
            <w:tcW w:w="4252" w:type="dxa"/>
            <w:tcBorders>
              <w:top w:val="single" w:sz="4" w:space="0" w:color="auto"/>
              <w:left w:val="single" w:sz="4" w:space="0" w:color="auto"/>
              <w:bottom w:val="single" w:sz="4" w:space="0" w:color="auto"/>
              <w:right w:val="nil"/>
            </w:tcBorders>
          </w:tcPr>
          <w:p w:rsidR="0060519C" w:rsidRDefault="0060519C" w:rsidP="00135CEA">
            <w:pPr>
              <w:keepNext/>
              <w:keepLines/>
              <w:jc w:val="center"/>
              <w:rPr>
                <w:sz w:val="24"/>
                <w:szCs w:val="24"/>
                <w:lang w:val="de-DE" w:eastAsia="de-DE"/>
              </w:rPr>
            </w:pPr>
            <w:r>
              <w:t>29</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de-DE" w:eastAsia="de-DE"/>
              </w:rPr>
            </w:pPr>
            <w:r>
              <w:t xml:space="preserve">  Chemistry / Biotech</w:t>
            </w:r>
          </w:p>
        </w:tc>
        <w:tc>
          <w:tcPr>
            <w:tcW w:w="4252" w:type="dxa"/>
            <w:tcBorders>
              <w:top w:val="single" w:sz="4" w:space="0" w:color="auto"/>
              <w:left w:val="single" w:sz="4" w:space="0" w:color="auto"/>
              <w:bottom w:val="single" w:sz="4" w:space="0" w:color="auto"/>
              <w:right w:val="nil"/>
            </w:tcBorders>
          </w:tcPr>
          <w:p w:rsidR="0060519C" w:rsidRDefault="0060519C" w:rsidP="00135CEA">
            <w:pPr>
              <w:keepNext/>
              <w:keepLines/>
              <w:jc w:val="center"/>
              <w:rPr>
                <w:sz w:val="24"/>
                <w:szCs w:val="24"/>
                <w:lang w:val="de-DE" w:eastAsia="de-DE"/>
              </w:rPr>
            </w:pPr>
            <w:r>
              <w:t>24</w:t>
            </w:r>
          </w:p>
        </w:tc>
      </w:tr>
      <w:tr w:rsidR="0060519C" w:rsidTr="00F732EE">
        <w:trPr>
          <w:cantSplit/>
          <w:trHeight w:hRule="exact" w:val="284"/>
        </w:trPr>
        <w:tc>
          <w:tcPr>
            <w:tcW w:w="4361" w:type="dxa"/>
            <w:tcBorders>
              <w:top w:val="single" w:sz="4" w:space="0" w:color="auto"/>
              <w:left w:val="nil"/>
              <w:bottom w:val="nil"/>
              <w:right w:val="single" w:sz="4" w:space="0" w:color="auto"/>
            </w:tcBorders>
          </w:tcPr>
          <w:p w:rsidR="0060519C" w:rsidRDefault="0060519C" w:rsidP="00F732EE">
            <w:pPr>
              <w:rPr>
                <w:b/>
                <w:i/>
                <w:iCs/>
                <w:sz w:val="24"/>
                <w:szCs w:val="24"/>
                <w:lang w:val="de-DE" w:eastAsia="de-DE"/>
              </w:rPr>
            </w:pPr>
            <w:r>
              <w:rPr>
                <w:b/>
                <w:i/>
                <w:iCs/>
              </w:rPr>
              <w:t>Total</w:t>
            </w:r>
          </w:p>
        </w:tc>
        <w:tc>
          <w:tcPr>
            <w:tcW w:w="4252" w:type="dxa"/>
            <w:tcBorders>
              <w:top w:val="single" w:sz="4" w:space="0" w:color="auto"/>
              <w:left w:val="single" w:sz="4" w:space="0" w:color="auto"/>
              <w:bottom w:val="nil"/>
              <w:right w:val="nil"/>
            </w:tcBorders>
          </w:tcPr>
          <w:p w:rsidR="0060519C" w:rsidRDefault="0060519C" w:rsidP="00F732EE">
            <w:pPr>
              <w:jc w:val="center"/>
              <w:rPr>
                <w:b/>
                <w:i/>
                <w:iCs/>
                <w:sz w:val="24"/>
                <w:szCs w:val="24"/>
                <w:lang w:val="de-DE" w:eastAsia="de-DE"/>
              </w:rPr>
            </w:pPr>
            <w:r>
              <w:rPr>
                <w:b/>
                <w:i/>
                <w:iCs/>
              </w:rPr>
              <w:t>101</w:t>
            </w:r>
          </w:p>
        </w:tc>
      </w:tr>
    </w:tbl>
    <w:p w:rsidR="0060519C" w:rsidRPr="00135CEA" w:rsidRDefault="0060519C" w:rsidP="00135CEA"/>
    <w:p w:rsidR="0060519C" w:rsidRPr="00135CEA" w:rsidRDefault="0060519C" w:rsidP="00135CEA">
      <w:r>
        <w:t xml:space="preserve">New employees have to complete a training program which covers 2-4 years, whereby the training </w:t>
      </w:r>
      <w:r w:rsidRPr="00135CEA">
        <w:t>consists of close supervision by an experienced examiner as well as a teaching program followed by written and oral exam</w:t>
      </w:r>
      <w:r w:rsidR="002826E0">
        <w:t xml:space="preserve">.  </w:t>
      </w:r>
      <w:r w:rsidRPr="00135CEA">
        <w:t>After this training phase and this exam, the examiner becomes fully competent and works with minimal supervision</w:t>
      </w:r>
      <w:r w:rsidR="002826E0">
        <w:t xml:space="preserve">.  </w:t>
      </w:r>
      <w:r w:rsidRPr="00135CEA">
        <w:t>Search and examination is then expected to be carried out according to the PCT guidelines and also under national law.</w:t>
      </w:r>
    </w:p>
    <w:p w:rsidR="00135CEA" w:rsidRDefault="00135CEA" w:rsidP="00135CEA"/>
    <w:p w:rsidR="0060519C" w:rsidRPr="00135CEA" w:rsidRDefault="0060519C" w:rsidP="00135CEA">
      <w:r w:rsidRPr="00135CEA">
        <w:t>Examiners in training also act as recording clerks in nullity proceedings</w:t>
      </w:r>
      <w:r w:rsidR="002826E0">
        <w:t xml:space="preserve">.  </w:t>
      </w:r>
      <w:r w:rsidRPr="00135CEA">
        <w:t>This makes them familiar with the exact assessment of a patent</w:t>
      </w:r>
      <w:r w:rsidR="002826E0">
        <w:t xml:space="preserve">.  </w:t>
      </w:r>
      <w:r w:rsidRPr="00135CEA">
        <w:t>Examiners after passing their exam get an important additional qualification through active participation in the opposition- and nullity senates</w:t>
      </w:r>
      <w:r w:rsidR="002826E0">
        <w:t xml:space="preserve">.  </w:t>
      </w:r>
      <w:r w:rsidRPr="00135CEA">
        <w:t>The experience gained in this context has a significantly positive effect on the understanding of the procedure during the search and examination activities.</w:t>
      </w:r>
    </w:p>
    <w:p w:rsidR="00135CEA" w:rsidRDefault="00135CEA" w:rsidP="00135CEA"/>
    <w:p w:rsidR="0060519C" w:rsidRPr="00135CEA" w:rsidRDefault="0060519C" w:rsidP="00135CEA">
      <w:r w:rsidRPr="00135CEA">
        <w:t xml:space="preserve">Examiners also participate in </w:t>
      </w:r>
      <w:proofErr w:type="spellStart"/>
      <w:r w:rsidR="00932455">
        <w:t>EPOQUE</w:t>
      </w:r>
      <w:r w:rsidRPr="00135CEA">
        <w:t>Net</w:t>
      </w:r>
      <w:proofErr w:type="spellEnd"/>
      <w:r w:rsidRPr="00135CEA">
        <w:t xml:space="preserve"> and other training courses offered by EPO, as well as seminars and other on-line training activities regarding search and examination, organized by EPO and WIPO</w:t>
      </w:r>
      <w:r w:rsidR="002826E0">
        <w:t xml:space="preserve">.  </w:t>
      </w:r>
      <w:r w:rsidRPr="00135CEA">
        <w:t>In addition, training activities involve the sharing of experience and best practice in search and examination between patent offices.</w:t>
      </w:r>
    </w:p>
    <w:p w:rsidR="00135CEA" w:rsidRDefault="00135CEA" w:rsidP="00135CEA"/>
    <w:p w:rsidR="0060519C" w:rsidRPr="00135CEA" w:rsidRDefault="0060519C" w:rsidP="00135CEA">
      <w:r w:rsidRPr="00135CEA">
        <w:t>During the permanent training and development activities the examiners acquire an awareness of the importance of complying with the quality criteria and standards.</w:t>
      </w:r>
    </w:p>
    <w:p w:rsidR="0060519C" w:rsidRDefault="0060519C" w:rsidP="00135CEA">
      <w:pPr>
        <w:rPr>
          <w:color w:val="3B3B3B"/>
        </w:rPr>
      </w:pPr>
      <w:r w:rsidRPr="00135CEA">
        <w:t>For more details</w:t>
      </w:r>
      <w:r>
        <w:t xml:space="preserve"> please refer to our </w:t>
      </w:r>
      <w:r>
        <w:rPr>
          <w:color w:val="3B3B3B"/>
        </w:rPr>
        <w:t xml:space="preserve">PCT International Authority Quality Reports since 2006 published on </w:t>
      </w:r>
      <w:hyperlink r:id="rId11" w:history="1">
        <w:r w:rsidRPr="002060B4">
          <w:rPr>
            <w:rStyle w:val="Hyperlink"/>
          </w:rPr>
          <w:t>http://www.wipo.int/pct/en/quality/authorities.html</w:t>
        </w:r>
      </w:hyperlink>
      <w:r>
        <w:rPr>
          <w:color w:val="3B3B3B"/>
        </w:rPr>
        <w:t>.</w:t>
      </w:r>
    </w:p>
    <w:p w:rsidR="00135CEA" w:rsidRDefault="00135CEA" w:rsidP="00135CEA"/>
    <w:p w:rsidR="0060519C" w:rsidRPr="00135CEA" w:rsidRDefault="0060519C" w:rsidP="00135CEA">
      <w:pPr>
        <w:rPr>
          <w:i/>
        </w:rPr>
      </w:pPr>
      <w:r w:rsidRPr="00135CEA">
        <w:rPr>
          <w:i/>
        </w:rPr>
        <w:t>As a result, APO meets the requirement set out in PCT Rules 36.1(</w:t>
      </w:r>
      <w:proofErr w:type="spellStart"/>
      <w:r w:rsidRPr="00135CEA">
        <w:rPr>
          <w:i/>
        </w:rPr>
        <w:t>i</w:t>
      </w:r>
      <w:proofErr w:type="spellEnd"/>
      <w:r w:rsidRPr="00135CEA">
        <w:rPr>
          <w:i/>
        </w:rPr>
        <w:t>) and 63.1(</w:t>
      </w:r>
      <w:proofErr w:type="spellStart"/>
      <w:r w:rsidRPr="00135CEA">
        <w:rPr>
          <w:i/>
        </w:rPr>
        <w:t>i</w:t>
      </w:r>
      <w:proofErr w:type="spellEnd"/>
      <w:r w:rsidRPr="00135CEA">
        <w:rPr>
          <w:i/>
        </w:rPr>
        <w:t>).</w:t>
      </w:r>
    </w:p>
    <w:p w:rsidR="00135CEA" w:rsidRDefault="00135CEA" w:rsidP="0060519C">
      <w:pPr>
        <w:pStyle w:val="22Standard"/>
        <w:ind w:left="0"/>
        <w:jc w:val="both"/>
        <w:rPr>
          <w:i/>
        </w:rPr>
      </w:pPr>
    </w:p>
    <w:p w:rsidR="0060519C" w:rsidRPr="00351532" w:rsidRDefault="001E5980" w:rsidP="00351532">
      <w:pPr>
        <w:rPr>
          <w:b/>
          <w:i/>
        </w:rPr>
      </w:pPr>
      <w:r>
        <w:rPr>
          <w:b/>
          <w:i/>
        </w:rPr>
        <w:t>Rule 36.1(ii) [63.1</w:t>
      </w:r>
      <w:r w:rsidR="0060519C" w:rsidRPr="00351532">
        <w:rPr>
          <w:b/>
          <w:i/>
        </w:rPr>
        <w:t>(ii) for IPEA] that Office or organization must have in its possession, or have access to, at least the minimum documentation referred to in Rule 34, properly arranged for search [examination] purposes, on paper, in microform or stored</w:t>
      </w:r>
      <w:r w:rsidR="00351532">
        <w:rPr>
          <w:b/>
          <w:i/>
        </w:rPr>
        <w:t xml:space="preserve"> on electronic media.</w:t>
      </w:r>
    </w:p>
    <w:p w:rsidR="0060519C" w:rsidRDefault="0060519C" w:rsidP="00135CEA">
      <w:pPr>
        <w:pStyle w:val="Sub-heading"/>
      </w:pPr>
      <w:r>
        <w:t xml:space="preserve">Access to the minimum documentation for search purposes:  </w:t>
      </w:r>
    </w:p>
    <w:p w:rsidR="0060519C" w:rsidRPr="00135CEA" w:rsidRDefault="0060519C" w:rsidP="00135CEA">
      <w:r w:rsidRPr="00135CEA">
        <w:t>A computer aided search and examination process has been established</w:t>
      </w:r>
      <w:r w:rsidR="002826E0">
        <w:t xml:space="preserve">.  </w:t>
      </w:r>
      <w:r w:rsidRPr="00135CEA">
        <w:t xml:space="preserve">Each examiner has access to </w:t>
      </w:r>
      <w:proofErr w:type="spellStart"/>
      <w:r w:rsidR="00932455">
        <w:t>EPOQUE</w:t>
      </w:r>
      <w:r w:rsidRPr="00135CEA">
        <w:t>Net</w:t>
      </w:r>
      <w:proofErr w:type="spellEnd"/>
      <w:r w:rsidRPr="00135CEA">
        <w:t>, to the internet and to a plurality of other databases</w:t>
      </w:r>
      <w:r w:rsidR="002826E0">
        <w:t xml:space="preserve">.  </w:t>
      </w:r>
      <w:r w:rsidRPr="00135CEA">
        <w:t>This gives the examiners many possibilities for enhancing and completing their State of the Art search beside the search in the PCT minimum documentation.</w:t>
      </w:r>
    </w:p>
    <w:p w:rsidR="00135CEA" w:rsidRDefault="00135CEA" w:rsidP="00135CEA"/>
    <w:p w:rsidR="0060519C" w:rsidRPr="00135CEA" w:rsidRDefault="0060519C" w:rsidP="00135CEA">
      <w:r w:rsidRPr="00135CEA">
        <w:t>In addition extensive documentation on paper, microfiche and CD-ROMs provided from many countries is available and managed by the library of the Austrian Patent Office.</w:t>
      </w:r>
    </w:p>
    <w:p w:rsidR="00135CEA" w:rsidRDefault="00135CEA" w:rsidP="00135CEA"/>
    <w:p w:rsidR="0060519C" w:rsidRPr="00135CEA" w:rsidRDefault="0060519C" w:rsidP="00135CEA">
      <w:r w:rsidRPr="00135CEA">
        <w:t xml:space="preserve">For more details please refer to our PCT International Authority Quality Reports since 2006 published on </w:t>
      </w:r>
      <w:hyperlink r:id="rId12" w:history="1">
        <w:r w:rsidRPr="00135CEA">
          <w:rPr>
            <w:rStyle w:val="Hyperlink"/>
          </w:rPr>
          <w:t>http://www.wipo.int/pct/en/quality/authorities.html</w:t>
        </w:r>
      </w:hyperlink>
      <w:r w:rsidRPr="00135CEA">
        <w:t xml:space="preserve"> </w:t>
      </w:r>
    </w:p>
    <w:p w:rsidR="0060519C" w:rsidRPr="00135CEA" w:rsidRDefault="0060519C" w:rsidP="00135CEA"/>
    <w:p w:rsidR="0060519C" w:rsidRPr="00135CEA" w:rsidRDefault="0060519C" w:rsidP="00135CEA">
      <w:pPr>
        <w:rPr>
          <w:i/>
        </w:rPr>
      </w:pPr>
      <w:r w:rsidRPr="00135CEA">
        <w:rPr>
          <w:i/>
        </w:rPr>
        <w:t>As a result, Austrian Patent Office meets the requirement se</w:t>
      </w:r>
      <w:r w:rsidR="00135CEA" w:rsidRPr="00135CEA">
        <w:rPr>
          <w:i/>
        </w:rPr>
        <w:t>t out in PCT Rules 36.1(ii) and </w:t>
      </w:r>
      <w:r w:rsidRPr="00135CEA">
        <w:rPr>
          <w:i/>
        </w:rPr>
        <w:t>63.1(ii).</w:t>
      </w:r>
    </w:p>
    <w:p w:rsidR="0060519C" w:rsidRDefault="0060519C" w:rsidP="00135CEA">
      <w:r>
        <w:t xml:space="preserve"> </w:t>
      </w:r>
    </w:p>
    <w:p w:rsidR="0060519C" w:rsidRDefault="0060519C" w:rsidP="00351532">
      <w:r w:rsidRPr="00351532">
        <w:rPr>
          <w:b/>
          <w:i/>
        </w:rPr>
        <w:t>Rule 36.1(iii) [63.1(iii) for IPEA] that Office or organization must have a staff which is capable of searching [examination] the required technical fields and which has the language facilities to understand at least those languages in which the minimum documentation referred to in Rule</w:t>
      </w:r>
      <w:r w:rsidR="00351532">
        <w:rPr>
          <w:b/>
          <w:i/>
        </w:rPr>
        <w:t xml:space="preserve"> 34 is written or is translated.</w:t>
      </w:r>
    </w:p>
    <w:p w:rsidR="00351532" w:rsidRPr="00351532" w:rsidRDefault="00351532" w:rsidP="00351532"/>
    <w:p w:rsidR="0060519C" w:rsidRPr="00135CEA" w:rsidRDefault="0060519C" w:rsidP="0060519C">
      <w:r>
        <w:t>In addition to the main working language German, also English and basic French skills are one of the conditions for recruitment of new staff</w:t>
      </w:r>
      <w:r w:rsidR="002826E0">
        <w:t xml:space="preserve">.  </w:t>
      </w:r>
      <w:r>
        <w:t>Language training for English and French is offered to the examiners to constantly improve their skills in these languages.</w:t>
      </w:r>
    </w:p>
    <w:p w:rsidR="0060519C" w:rsidRDefault="0060519C" w:rsidP="00135CEA">
      <w:pPr>
        <w:pStyle w:val="Sub-heading"/>
      </w:pPr>
      <w:r>
        <w:lastRenderedPageBreak/>
        <w:t xml:space="preserve">Language(s) in which national applications may be filed and processed:  </w:t>
      </w:r>
    </w:p>
    <w:p w:rsidR="0060519C" w:rsidRDefault="0060519C" w:rsidP="00135CEA">
      <w:r>
        <w:t>National applications can be filed in German, English or French</w:t>
      </w:r>
      <w:r w:rsidR="002826E0">
        <w:t xml:space="preserve">.  </w:t>
      </w:r>
      <w:r>
        <w:t>If the application is not in German, the applicant receives a first written opinion including search results based on this English or French version</w:t>
      </w:r>
      <w:r w:rsidR="002826E0">
        <w:t xml:space="preserve">.  </w:t>
      </w:r>
      <w:r>
        <w:t xml:space="preserve">To further continue his application, the applicant has to file a translation of the complete application in German. </w:t>
      </w:r>
    </w:p>
    <w:p w:rsidR="00135CEA" w:rsidRDefault="00135CEA" w:rsidP="00135CEA"/>
    <w:p w:rsidR="0060519C" w:rsidRDefault="0060519C" w:rsidP="00135CEA">
      <w:r>
        <w:t xml:space="preserve">The examiners of the APO use translation tools in </w:t>
      </w:r>
      <w:proofErr w:type="spellStart"/>
      <w:r w:rsidR="00932455">
        <w:t>EPOQUE</w:t>
      </w:r>
      <w:r>
        <w:t>Net</w:t>
      </w:r>
      <w:proofErr w:type="spellEnd"/>
      <w:r>
        <w:t xml:space="preserve"> and other databases.</w:t>
      </w:r>
    </w:p>
    <w:p w:rsidR="0060519C" w:rsidRPr="00135CEA" w:rsidRDefault="0060519C" w:rsidP="00135CEA"/>
    <w:p w:rsidR="0060519C" w:rsidRPr="00135CEA" w:rsidRDefault="0060519C" w:rsidP="00135CEA">
      <w:pPr>
        <w:rPr>
          <w:i/>
          <w:lang w:val="en-GB"/>
        </w:rPr>
      </w:pPr>
      <w:r w:rsidRPr="00135CEA">
        <w:rPr>
          <w:i/>
          <w:lang w:val="en-GB"/>
        </w:rPr>
        <w:t>Therefore, APO meets the requirements set out in the PCT Rules 36.1(iii) and 63.1(iii).</w:t>
      </w:r>
    </w:p>
    <w:p w:rsidR="0060519C" w:rsidRDefault="0060519C" w:rsidP="00135CEA">
      <w:pPr>
        <w:pStyle w:val="SectionHeading"/>
        <w:rPr>
          <w:lang w:val="en-GB"/>
        </w:rPr>
      </w:pPr>
      <w:r>
        <w:rPr>
          <w:lang w:val="en-GB"/>
        </w:rPr>
        <w:t>2.2 – Quality Management</w:t>
      </w:r>
    </w:p>
    <w:p w:rsidR="00135CEA" w:rsidRPr="00351532" w:rsidRDefault="0060519C" w:rsidP="00351532">
      <w:pPr>
        <w:rPr>
          <w:b/>
          <w:i/>
        </w:rPr>
      </w:pPr>
      <w:r w:rsidRPr="00351532">
        <w:rPr>
          <w:b/>
          <w:i/>
        </w:rPr>
        <w:t>Rule 36.1(iv) [63.1(iv) for IPEA] that Office or organization must have in place a quality management system and internal review arrangements in accordance with the common rules of international search [preliminary examination]</w:t>
      </w:r>
    </w:p>
    <w:p w:rsidR="00135CEA" w:rsidRPr="00135CEA" w:rsidRDefault="00135CEA" w:rsidP="00135CEA"/>
    <w:p w:rsidR="0060519C" w:rsidRDefault="0060519C" w:rsidP="00135CEA">
      <w:r>
        <w:t xml:space="preserve">For details please refer to our PCT International Authority Quality Reports since 2006 published on </w:t>
      </w:r>
      <w:hyperlink r:id="rId13" w:history="1">
        <w:r>
          <w:rPr>
            <w:rStyle w:val="Hyperlink"/>
          </w:rPr>
          <w:t>http://www.wipo.int/pct/en/quality/authorities.html</w:t>
        </w:r>
      </w:hyperlink>
      <w:r>
        <w:rPr>
          <w:rStyle w:val="Hyperlink"/>
        </w:rPr>
        <w:t>.</w:t>
      </w:r>
    </w:p>
    <w:p w:rsidR="00135CEA" w:rsidRPr="00135CEA" w:rsidRDefault="00135CEA" w:rsidP="00135CEA"/>
    <w:p w:rsidR="0060519C" w:rsidRDefault="0060519C" w:rsidP="00135CEA">
      <w:r>
        <w:t xml:space="preserve">With </w:t>
      </w:r>
      <w:r w:rsidR="00135CEA">
        <w:t>its</w:t>
      </w:r>
      <w:r>
        <w:t xml:space="preserve"> Quality Management System (QMS), the APO continually improves its performance according to the QMS requirements and is able to review the effectiveness of its QMS.</w:t>
      </w:r>
    </w:p>
    <w:p w:rsidR="00135CEA" w:rsidRDefault="00135CEA" w:rsidP="00135CEA"/>
    <w:p w:rsidR="0060519C" w:rsidRPr="00135CEA" w:rsidRDefault="0060519C" w:rsidP="00135CEA">
      <w:r w:rsidRPr="00135CEA">
        <w:t>The management of the APO can identify and promptly take corrective action to eliminate the cause of any failure to comply with the QMS requirements and the PCT Search and Examination Guidelines.</w:t>
      </w:r>
    </w:p>
    <w:p w:rsidR="00135CEA" w:rsidRDefault="00135CEA" w:rsidP="00135CEA"/>
    <w:p w:rsidR="0060519C" w:rsidRPr="00135CEA" w:rsidRDefault="0060519C" w:rsidP="00135CEA">
      <w:r w:rsidRPr="00135CEA">
        <w:t>Since 2015 the APO also uses the CAF (Common Assessment Framework) to assess the quality of the Austrian Patent Office</w:t>
      </w:r>
      <w:r w:rsidR="002826E0">
        <w:t xml:space="preserve">.  </w:t>
      </w:r>
      <w:r w:rsidRPr="00135CEA">
        <w:t>“The Common Assessment Framework (CAF) is the common European quality management instrument for the public sector</w:t>
      </w:r>
      <w:r w:rsidR="002826E0">
        <w:t xml:space="preserve">.  </w:t>
      </w:r>
      <w:r w:rsidRPr="00135CEA">
        <w:t xml:space="preserve">For more about CAF please refer to the Website of the CAF Center EU </w:t>
      </w:r>
      <w:hyperlink r:id="rId14" w:history="1">
        <w:r w:rsidRPr="00135CEA">
          <w:rPr>
            <w:rStyle w:val="Hyperlink"/>
          </w:rPr>
          <w:t>http://www.caf-zentrum.at/de/CAF-Center-EU</w:t>
        </w:r>
      </w:hyperlink>
      <w:r w:rsidRPr="00135CEA">
        <w:t>.</w:t>
      </w:r>
    </w:p>
    <w:p w:rsidR="0060519C" w:rsidRPr="00135CEA" w:rsidRDefault="0060519C" w:rsidP="00135CEA"/>
    <w:p w:rsidR="0060519C" w:rsidRPr="00135CEA" w:rsidRDefault="0060519C" w:rsidP="00135CEA">
      <w:pPr>
        <w:rPr>
          <w:i/>
        </w:rPr>
      </w:pPr>
      <w:r w:rsidRPr="00135CEA">
        <w:rPr>
          <w:i/>
        </w:rPr>
        <w:t>As a result, APO meets the requirement set out in PCT Rules 36.1(iv) and 63.1(iv).</w:t>
      </w:r>
    </w:p>
    <w:p w:rsidR="0060519C" w:rsidRDefault="0060519C" w:rsidP="00135CEA">
      <w:pPr>
        <w:pStyle w:val="SectionHeading"/>
        <w:rPr>
          <w:lang w:val="en-GB"/>
        </w:rPr>
      </w:pPr>
      <w:r>
        <w:rPr>
          <w:lang w:val="en-GB"/>
        </w:rPr>
        <w:t>3 – Assessment by other Authorities</w:t>
      </w:r>
    </w:p>
    <w:p w:rsidR="0060519C" w:rsidRDefault="0060519C" w:rsidP="00135CEA">
      <w:pPr>
        <w:pStyle w:val="Sub-heading"/>
      </w:pPr>
      <w:r>
        <w:t xml:space="preserve">Existing ISA/IPEA(s) assisting in assessment of extent to which criteria met: </w:t>
      </w:r>
    </w:p>
    <w:p w:rsidR="0060519C" w:rsidRPr="008F6650" w:rsidRDefault="0060519C" w:rsidP="00135CEA">
      <w:pPr>
        <w:rPr>
          <w:lang w:val="en-GB"/>
        </w:rPr>
      </w:pPr>
      <w:r w:rsidRPr="008F6650">
        <w:rPr>
          <w:lang w:val="en-GB"/>
        </w:rPr>
        <w:t>A formal assessment of the Office by other International Authorities is not expected in the context of extension of an existing appointment</w:t>
      </w:r>
      <w:r w:rsidR="002826E0">
        <w:rPr>
          <w:lang w:val="en-GB"/>
        </w:rPr>
        <w:t xml:space="preserve">. </w:t>
      </w:r>
      <w:r w:rsidRPr="008F6650">
        <w:rPr>
          <w:lang w:val="en-GB"/>
        </w:rPr>
        <w:t xml:space="preserve"> However, the Office is keen to work with other Authorities and receive fee</w:t>
      </w:r>
      <w:r>
        <w:rPr>
          <w:lang w:val="en-GB"/>
        </w:rPr>
        <w:t>dback to improve its services</w:t>
      </w:r>
      <w:r w:rsidR="002826E0">
        <w:rPr>
          <w:lang w:val="en-GB"/>
        </w:rPr>
        <w:t xml:space="preserve">.  </w:t>
      </w:r>
      <w:r w:rsidRPr="008F6650">
        <w:rPr>
          <w:lang w:val="en-GB"/>
        </w:rPr>
        <w:t>In this context, it participated in the “paired review” pilot exercise in the meeting of the Quality Subgroup held in the context of the twenty-fourth session of the Meeting of International Authoritie</w:t>
      </w:r>
      <w:r w:rsidR="00135CEA">
        <w:rPr>
          <w:lang w:val="en-GB"/>
        </w:rPr>
        <w:t xml:space="preserve">s </w:t>
      </w:r>
      <w:proofErr w:type="gramStart"/>
      <w:r w:rsidR="00135CEA">
        <w:rPr>
          <w:lang w:val="en-GB"/>
        </w:rPr>
        <w:t>Under</w:t>
      </w:r>
      <w:proofErr w:type="gramEnd"/>
      <w:r w:rsidR="00135CEA">
        <w:rPr>
          <w:lang w:val="en-GB"/>
        </w:rPr>
        <w:t xml:space="preserve"> the PCT (see paragraphs </w:t>
      </w:r>
      <w:r w:rsidRPr="008F6650">
        <w:rPr>
          <w:lang w:val="en-GB"/>
        </w:rPr>
        <w:t>9 to 12 of document PCT/MIA/24/15) and intends to participate in similar exercises in the future.</w:t>
      </w:r>
    </w:p>
    <w:p w:rsidR="00135CEA" w:rsidRPr="00135CEA" w:rsidRDefault="00135CEA" w:rsidP="00135CEA"/>
    <w:p w:rsidR="0060519C" w:rsidRDefault="0060519C" w:rsidP="00135CEA">
      <w:r>
        <w:t>Furthermore in 2016 two professionals at INAPI’s Patent Division from Chile visited the APO to share experience in view of continuously improving the quality of work of both offices in their PCT role.</w:t>
      </w:r>
    </w:p>
    <w:p w:rsidR="0060519C" w:rsidRDefault="0060519C" w:rsidP="00135CEA">
      <w:pPr>
        <w:pStyle w:val="SectionHeading"/>
        <w:rPr>
          <w:lang w:val="en-GB"/>
        </w:rPr>
      </w:pPr>
      <w:r>
        <w:rPr>
          <w:lang w:val="en-GB"/>
        </w:rPr>
        <w:t>4 – Statement of Motivation</w:t>
      </w:r>
    </w:p>
    <w:p w:rsidR="0060519C" w:rsidRDefault="0060519C" w:rsidP="00135CEA">
      <w:pPr>
        <w:rPr>
          <w:color w:val="000000"/>
          <w:lang w:eastAsia="fr-FR"/>
        </w:rPr>
      </w:pPr>
      <w:r>
        <w:t>The Austrian Patent Office (APO) was established in 1899 as the government body responsible for examining, granting and administrating industrial property rights</w:t>
      </w:r>
      <w:r w:rsidR="002826E0">
        <w:t xml:space="preserve">.  </w:t>
      </w:r>
      <w:r>
        <w:t xml:space="preserve">As of 1978 we act </w:t>
      </w:r>
      <w:r>
        <w:rPr>
          <w:color w:val="000000"/>
          <w:lang w:eastAsia="fr-FR"/>
        </w:rPr>
        <w:t xml:space="preserve">as an International Authority under the PCT. </w:t>
      </w:r>
    </w:p>
    <w:p w:rsidR="00135CEA" w:rsidRDefault="00135CEA" w:rsidP="00135CEA">
      <w:pPr>
        <w:rPr>
          <w:color w:val="000000"/>
          <w:lang w:eastAsia="fr-FR"/>
        </w:rPr>
      </w:pPr>
    </w:p>
    <w:p w:rsidR="00135CEA" w:rsidRDefault="00135CEA" w:rsidP="00135CEA">
      <w:pPr>
        <w:ind w:left="567" w:hanging="567"/>
      </w:pPr>
      <w:r>
        <w:rPr>
          <w:color w:val="000000"/>
          <w:lang w:eastAsia="fr-FR"/>
        </w:rPr>
        <w:t>(</w:t>
      </w:r>
      <w:proofErr w:type="spellStart"/>
      <w:r>
        <w:rPr>
          <w:color w:val="000000"/>
          <w:lang w:eastAsia="fr-FR"/>
        </w:rPr>
        <w:t>i</w:t>
      </w:r>
      <w:proofErr w:type="spellEnd"/>
      <w:r>
        <w:rPr>
          <w:color w:val="000000"/>
          <w:lang w:eastAsia="fr-FR"/>
        </w:rPr>
        <w:t>)</w:t>
      </w:r>
      <w:r>
        <w:rPr>
          <w:color w:val="000000"/>
          <w:lang w:eastAsia="fr-FR"/>
        </w:rPr>
        <w:tab/>
      </w:r>
      <w:r w:rsidR="0060519C">
        <w:rPr>
          <w:color w:val="000000"/>
          <w:lang w:eastAsia="fr-FR"/>
        </w:rPr>
        <w:t>APO acts as ISA/IPEA/SISA for 37 different Receiving Offices</w:t>
      </w:r>
      <w:r w:rsidR="002826E0">
        <w:rPr>
          <w:color w:val="000000"/>
          <w:lang w:eastAsia="fr-FR"/>
        </w:rPr>
        <w:t xml:space="preserve">.  </w:t>
      </w:r>
      <w:r w:rsidR="0060519C">
        <w:t>The regulation limits the ability of the Austrian Patent Office to conclude ISA/IPEA agreements to the Offices from developing countries only, which sometimes forces us to refuse new agreements</w:t>
      </w:r>
      <w:r w:rsidR="002826E0">
        <w:t xml:space="preserve">.  </w:t>
      </w:r>
      <w:r w:rsidR="0060519C">
        <w:rPr>
          <w:color w:val="000000"/>
          <w:lang w:eastAsia="fr-FR"/>
        </w:rPr>
        <w:t>In our work as an International Authority, we are happy to share our long-term (</w:t>
      </w:r>
      <w:r w:rsidR="001E5980">
        <w:t>more than 100 </w:t>
      </w:r>
      <w:r w:rsidR="0060519C">
        <w:t>years) experience in granting national patents as well as providing search and examination, with</w:t>
      </w:r>
      <w:r w:rsidR="0060519C">
        <w:rPr>
          <w:color w:val="000000"/>
          <w:lang w:eastAsia="fr-FR"/>
        </w:rPr>
        <w:t xml:space="preserve"> offices and applicants from other countries, with the focus on the developing </w:t>
      </w:r>
      <w:r w:rsidR="0060519C" w:rsidRPr="008F6650">
        <w:rPr>
          <w:lang w:eastAsia="fr-FR"/>
        </w:rPr>
        <w:t>states</w:t>
      </w:r>
      <w:r w:rsidR="002826E0">
        <w:rPr>
          <w:lang w:eastAsia="fr-FR"/>
        </w:rPr>
        <w:t xml:space="preserve">.  </w:t>
      </w:r>
      <w:r w:rsidR="0060519C">
        <w:rPr>
          <w:lang w:eastAsia="fr-FR"/>
        </w:rPr>
        <w:t xml:space="preserve">Most of the applicants can </w:t>
      </w:r>
      <w:r w:rsidR="0060519C" w:rsidRPr="00A03139">
        <w:rPr>
          <w:lang w:eastAsia="fr-FR"/>
        </w:rPr>
        <w:t xml:space="preserve">benefit from a </w:t>
      </w:r>
      <w:r w:rsidR="0060519C">
        <w:rPr>
          <w:lang w:eastAsia="fr-FR"/>
        </w:rPr>
        <w:t>special</w:t>
      </w:r>
      <w:r w:rsidR="0060519C" w:rsidRPr="00A03139">
        <w:rPr>
          <w:lang w:eastAsia="fr-FR"/>
        </w:rPr>
        <w:t xml:space="preserve"> discount on the standard search fee</w:t>
      </w:r>
      <w:r w:rsidR="0060519C">
        <w:rPr>
          <w:lang w:eastAsia="fr-FR"/>
        </w:rPr>
        <w:t xml:space="preserve"> for</w:t>
      </w:r>
      <w:r w:rsidR="0060519C" w:rsidRPr="00A03139">
        <w:rPr>
          <w:lang w:eastAsia="fr-FR"/>
        </w:rPr>
        <w:t xml:space="preserve"> natural persons</w:t>
      </w:r>
      <w:r w:rsidR="002826E0">
        <w:t xml:space="preserve">.  </w:t>
      </w:r>
      <w:r w:rsidR="0060519C">
        <w:t>For applicants not eligible for this discount, the search fee can be partially refunded, provided that</w:t>
      </w:r>
      <w:r w:rsidR="0060519C" w:rsidRPr="006E1850">
        <w:t xml:space="preserve"> we can benefit from </w:t>
      </w:r>
      <w:r w:rsidR="0060519C">
        <w:t>an earlier search</w:t>
      </w:r>
      <w:r w:rsidR="002826E0">
        <w:t xml:space="preserve">.  </w:t>
      </w:r>
      <w:r w:rsidR="0060519C">
        <w:t xml:space="preserve">For details please see the PCT Applicants guide </w:t>
      </w:r>
      <w:hyperlink r:id="rId15" w:history="1">
        <w:r w:rsidR="0060519C" w:rsidRPr="0029754A">
          <w:rPr>
            <w:rStyle w:val="Hyperlink"/>
          </w:rPr>
          <w:t>http://www.wipo.int/pct/guide/en/gdvol1/annexes/annexd/ax_d_at.pdf</w:t>
        </w:r>
      </w:hyperlink>
      <w:r w:rsidR="0060519C">
        <w:t>.</w:t>
      </w:r>
    </w:p>
    <w:p w:rsidR="00135CEA" w:rsidRDefault="00135CEA" w:rsidP="00135CEA"/>
    <w:p w:rsidR="0060519C" w:rsidRDefault="0060519C" w:rsidP="00135CEA">
      <w:pPr>
        <w:ind w:left="567"/>
        <w:rPr>
          <w:lang w:eastAsia="fr-FR"/>
        </w:rPr>
      </w:pPr>
      <w:r>
        <w:t>Together with WIPO we organize a yearly training course for examiners of the other offices</w:t>
      </w:r>
      <w:r w:rsidR="002826E0">
        <w:t xml:space="preserve">.  </w:t>
      </w:r>
      <w:r>
        <w:t xml:space="preserve">Following the special request of the participants, we put a special emphasis on database search. </w:t>
      </w:r>
    </w:p>
    <w:p w:rsidR="00135CEA" w:rsidRDefault="00135CEA" w:rsidP="00135CEA">
      <w:pPr>
        <w:rPr>
          <w:lang w:eastAsia="fr-FR"/>
        </w:rPr>
      </w:pPr>
    </w:p>
    <w:p w:rsidR="0060519C" w:rsidRDefault="0060519C" w:rsidP="00135CEA">
      <w:pPr>
        <w:ind w:left="567"/>
        <w:rPr>
          <w:lang w:eastAsia="fr-FR"/>
        </w:rPr>
      </w:pPr>
      <w:r>
        <w:rPr>
          <w:lang w:eastAsia="fr-FR"/>
        </w:rPr>
        <w:t>Our office also actively participates in the Global PPH, which includes PCT-PPH (see the Patent Prosecution Highway Portal Site</w:t>
      </w:r>
      <w:r w:rsidR="002826E0">
        <w:rPr>
          <w:lang w:eastAsia="fr-FR"/>
        </w:rPr>
        <w:t xml:space="preserve">:  </w:t>
      </w:r>
      <w:hyperlink r:id="rId16" w:history="1">
        <w:r>
          <w:rPr>
            <w:rStyle w:val="Hyperlink"/>
            <w:lang w:eastAsia="fr-FR"/>
          </w:rPr>
          <w:t>http://www.jpo.go.jp/ppph-portal/index.htm</w:t>
        </w:r>
      </w:hyperlink>
      <w:r>
        <w:rPr>
          <w:lang w:eastAsia="fr-FR"/>
        </w:rPr>
        <w:t>)</w:t>
      </w:r>
      <w:r w:rsidR="002826E0">
        <w:rPr>
          <w:lang w:eastAsia="fr-FR"/>
        </w:rPr>
        <w:t xml:space="preserve">.  </w:t>
      </w:r>
      <w:r>
        <w:rPr>
          <w:lang w:eastAsia="fr-FR"/>
        </w:rPr>
        <w:t xml:space="preserve">This enables applicants using APO as ISA or as Office of First Filing to request accelerated examination for subsequent filings in more than twenty offices. </w:t>
      </w:r>
    </w:p>
    <w:p w:rsidR="00135CEA" w:rsidRDefault="00135CEA" w:rsidP="00135CEA">
      <w:pPr>
        <w:rPr>
          <w:lang w:eastAsia="fr-FR"/>
        </w:rPr>
      </w:pPr>
    </w:p>
    <w:p w:rsidR="0060519C" w:rsidRPr="00135CEA" w:rsidRDefault="00135CEA" w:rsidP="00135CEA">
      <w:pPr>
        <w:ind w:left="567" w:hanging="567"/>
      </w:pPr>
      <w:r w:rsidRPr="00135CEA">
        <w:t>(ii)</w:t>
      </w:r>
      <w:r w:rsidRPr="00135CEA">
        <w:tab/>
      </w:r>
      <w:r w:rsidR="0060519C" w:rsidRPr="00135CEA">
        <w:t>Moreover, being an International Authority under the PCT allows the Austrian Patent Office to actively participate in the rapid evolution of the PCT</w:t>
      </w:r>
      <w:r w:rsidR="002826E0">
        <w:t xml:space="preserve">.  </w:t>
      </w:r>
      <w:r w:rsidR="0060519C" w:rsidRPr="00135CEA">
        <w:t>APO benefits from its status as ISA/IPEA/SISA as it is in regular contact and lively exchange of knowledge with other most developed patent offices</w:t>
      </w:r>
      <w:r w:rsidR="002826E0">
        <w:t xml:space="preserve">.  </w:t>
      </w:r>
      <w:r w:rsidR="0060519C" w:rsidRPr="00135CEA">
        <w:t>In this capacity APO takes part in the advancement and harmonization of the search and examination process</w:t>
      </w:r>
      <w:r w:rsidR="002826E0">
        <w:t xml:space="preserve">.  </w:t>
      </w:r>
      <w:r w:rsidR="0060519C" w:rsidRPr="00135CEA">
        <w:t>Being an International Authority means being strongly committed to the highest international search and examination standards and to constantly keeping our services and processes up to the state of art</w:t>
      </w:r>
      <w:r w:rsidR="002826E0">
        <w:t xml:space="preserve">.  </w:t>
      </w:r>
      <w:r w:rsidR="0060519C" w:rsidRPr="00135CEA">
        <w:t>This not only raises the self-esteem of our staff members but is also our “calling card” for the national and international innovation community.</w:t>
      </w:r>
    </w:p>
    <w:p w:rsidR="00135CEA" w:rsidRDefault="00135CEA" w:rsidP="00135CEA"/>
    <w:p w:rsidR="0060519C" w:rsidRPr="00135CEA" w:rsidRDefault="00135CEA" w:rsidP="00135CEA">
      <w:pPr>
        <w:ind w:left="567" w:hanging="567"/>
      </w:pPr>
      <w:r w:rsidRPr="00135CEA">
        <w:t>(iii)</w:t>
      </w:r>
      <w:r w:rsidRPr="00135CEA">
        <w:tab/>
      </w:r>
      <w:r w:rsidR="0060519C" w:rsidRPr="00135CEA">
        <w:t xml:space="preserve">Altogether, the Austrian Patent Office has been a reliable and a flexible partner in the PCT system for more than </w:t>
      </w:r>
      <w:r w:rsidR="00932455">
        <w:t>30</w:t>
      </w:r>
      <w:r w:rsidR="0060519C" w:rsidRPr="00135CEA">
        <w:t xml:space="preserve"> years now. </w:t>
      </w:r>
    </w:p>
    <w:p w:rsidR="00135CEA" w:rsidRDefault="00135CEA" w:rsidP="00135CEA"/>
    <w:p w:rsidR="0060519C" w:rsidRPr="00135CEA" w:rsidRDefault="0060519C" w:rsidP="00135CEA">
      <w:pPr>
        <w:ind w:left="567"/>
      </w:pPr>
      <w:r w:rsidRPr="00135CEA">
        <w:t>We had a chance to prove our flexibility in the course of implementing and testing new systems</w:t>
      </w:r>
      <w:r w:rsidR="002826E0">
        <w:t xml:space="preserve">.  </w:t>
      </w:r>
      <w:r w:rsidRPr="00135CEA">
        <w:t xml:space="preserve">In cooperation with WIPO we are also happy to contribute to the development of new systems such as ePCT or </w:t>
      </w:r>
      <w:proofErr w:type="spellStart"/>
      <w:r w:rsidRPr="00135CEA">
        <w:t>eSearchCopy</w:t>
      </w:r>
      <w:proofErr w:type="spellEnd"/>
      <w:r w:rsidRPr="00135CEA">
        <w:t xml:space="preserve"> for both of which we are early adopters and intensive users</w:t>
      </w:r>
      <w:r w:rsidR="002826E0">
        <w:t xml:space="preserve">.  </w:t>
      </w:r>
      <w:r w:rsidRPr="00135CEA">
        <w:t xml:space="preserve">We are now receiving </w:t>
      </w:r>
      <w:proofErr w:type="spellStart"/>
      <w:r w:rsidRPr="00135CEA">
        <w:t>eSearchCopies</w:t>
      </w:r>
      <w:proofErr w:type="spellEnd"/>
      <w:r w:rsidRPr="00135CEA">
        <w:t xml:space="preserve"> from currently 10 (out of the 37) Receiving Offices for which we act as ISA</w:t>
      </w:r>
      <w:r w:rsidR="002826E0">
        <w:t xml:space="preserve">.  </w:t>
      </w:r>
      <w:r w:rsidRPr="00135CEA">
        <w:t>We are proud being one of the offices with the most active use of ePCT for communication with applicants, with WIPO and with the other offices – both in our capacity as a Receiving Office (RO) and as ISA/IPEA</w:t>
      </w:r>
      <w:r w:rsidR="002826E0">
        <w:t xml:space="preserve">.  </w:t>
      </w:r>
      <w:r w:rsidRPr="00135CEA">
        <w:t>We are currently in the course of completely replacing our old database by ePCT.</w:t>
      </w:r>
    </w:p>
    <w:p w:rsidR="00135CEA" w:rsidRDefault="00135CEA" w:rsidP="00135CEA"/>
    <w:p w:rsidR="0060519C" w:rsidRPr="00135CEA" w:rsidRDefault="0060519C" w:rsidP="00135CEA">
      <w:pPr>
        <w:ind w:left="567"/>
      </w:pPr>
      <w:r w:rsidRPr="00135CEA">
        <w:t>We are looking very much forward to wid</w:t>
      </w:r>
      <w:r w:rsidR="00135CEA">
        <w:t>e</w:t>
      </w:r>
      <w:r w:rsidRPr="00135CEA">
        <w:t xml:space="preserve">ly sharing our respective experience, since we are convinced that the ePCT and </w:t>
      </w:r>
      <w:proofErr w:type="spellStart"/>
      <w:r w:rsidRPr="00135CEA">
        <w:t>eSearchCopy</w:t>
      </w:r>
      <w:proofErr w:type="spellEnd"/>
      <w:r w:rsidRPr="00135CEA">
        <w:t xml:space="preserve"> systems are a better alternative for the applicants, for the offices and therefore, for the whole of the PCT system.</w:t>
      </w:r>
    </w:p>
    <w:p w:rsidR="00135CEA" w:rsidRDefault="00135CEA" w:rsidP="00135CEA">
      <w:pPr>
        <w:rPr>
          <w:lang w:eastAsia="fr-FR"/>
        </w:rPr>
      </w:pPr>
    </w:p>
    <w:p w:rsidR="0060519C" w:rsidRPr="00135CEA" w:rsidRDefault="0060519C" w:rsidP="00135CEA">
      <w:r>
        <w:rPr>
          <w:lang w:eastAsia="fr-FR"/>
        </w:rPr>
        <w:t xml:space="preserve">We would be </w:t>
      </w:r>
      <w:proofErr w:type="spellStart"/>
      <w:r>
        <w:rPr>
          <w:lang w:eastAsia="fr-FR"/>
        </w:rPr>
        <w:t>honoured</w:t>
      </w:r>
      <w:proofErr w:type="spellEnd"/>
      <w:r>
        <w:rPr>
          <w:lang w:eastAsia="fr-FR"/>
        </w:rPr>
        <w:t xml:space="preserve"> to continue our contribution to the essential work of the PCT as one of its International Authorities.</w:t>
      </w:r>
    </w:p>
    <w:p w:rsidR="0060519C" w:rsidRDefault="0060519C" w:rsidP="00135CEA">
      <w:pPr>
        <w:pStyle w:val="SectionHeading"/>
        <w:rPr>
          <w:lang w:val="en-GB"/>
        </w:rPr>
      </w:pPr>
      <w:r>
        <w:rPr>
          <w:lang w:val="en-GB"/>
        </w:rPr>
        <w:t>5 – Applicant State(s)</w:t>
      </w:r>
    </w:p>
    <w:p w:rsidR="0060519C" w:rsidRPr="00135CEA" w:rsidRDefault="0060519C" w:rsidP="00135CEA">
      <w:r w:rsidRPr="00135CEA">
        <w:t>Austria is a federal republic state with a parliamentary democracy in </w:t>
      </w:r>
      <w:hyperlink r:id="rId17" w:tooltip="Central Europe" w:history="1">
        <w:r w:rsidRPr="00135CEA">
          <w:rPr>
            <w:rStyle w:val="Hyperlink"/>
          </w:rPr>
          <w:t>Central Europe</w:t>
        </w:r>
      </w:hyperlink>
      <w:r w:rsidR="002826E0">
        <w:t xml:space="preserve">.  </w:t>
      </w:r>
      <w:r w:rsidRPr="00135CEA">
        <w:t>The federal legislation is exercised by the national council (</w:t>
      </w:r>
      <w:proofErr w:type="spellStart"/>
      <w:r w:rsidRPr="00135CEA">
        <w:t>Nationalrat</w:t>
      </w:r>
      <w:proofErr w:type="spellEnd"/>
      <w:r w:rsidRPr="00135CEA">
        <w:t>) together with the Upper House of Parliament (Bundesrat) – the two chambers of Parliament</w:t>
      </w:r>
      <w:r w:rsidR="002826E0">
        <w:t xml:space="preserve">.  </w:t>
      </w:r>
      <w:r w:rsidRPr="00135CEA">
        <w:t>Austria is a member of the European Union, the United Nations as well as most UN organizations.</w:t>
      </w:r>
      <w:r w:rsidRPr="00135CEA">
        <w:br/>
      </w:r>
      <w:r w:rsidRPr="00135CEA">
        <w:br/>
        <w:t>Of the approximately</w:t>
      </w:r>
      <w:r w:rsidR="00135CEA" w:rsidRPr="00135CEA">
        <w:t xml:space="preserve"> </w:t>
      </w:r>
      <w:r w:rsidRPr="00135CEA">
        <w:t>8 million inhabitants of Austria, 98</w:t>
      </w:r>
      <w:r w:rsidR="00932455">
        <w:t xml:space="preserve"> per cent</w:t>
      </w:r>
      <w:r w:rsidRPr="00135CEA">
        <w:t xml:space="preserve"> speak German</w:t>
      </w:r>
      <w:r w:rsidR="002826E0">
        <w:t xml:space="preserve">.  </w:t>
      </w:r>
      <w:r w:rsidRPr="00135CEA">
        <w:t>The six ethnic groups officially recognized in Austria (</w:t>
      </w:r>
      <w:proofErr w:type="spellStart"/>
      <w:r w:rsidRPr="00135CEA">
        <w:t>Burgenlandic</w:t>
      </w:r>
      <w:proofErr w:type="spellEnd"/>
      <w:r w:rsidRPr="00135CEA">
        <w:t xml:space="preserve"> Croatians, Roma, Slovaks, Slovenians, Czechs and Hungarians) are concentrated in the east and south of the country.</w:t>
      </w:r>
    </w:p>
    <w:p w:rsidR="00135CEA" w:rsidRDefault="00135CEA" w:rsidP="00135CEA"/>
    <w:p w:rsidR="0060519C" w:rsidRPr="00135CEA" w:rsidRDefault="0060519C" w:rsidP="00135CEA">
      <w:r w:rsidRPr="00135CEA">
        <w:t>After starting a new year with the famous “</w:t>
      </w:r>
      <w:proofErr w:type="spellStart"/>
      <w:r w:rsidRPr="00135CEA">
        <w:t>Neujahrskonzert</w:t>
      </w:r>
      <w:proofErr w:type="spellEnd"/>
      <w:r w:rsidRPr="00135CEA">
        <w:t>”, now broadcasted in over 90 countries, Austrians contribute to a strong economy with machinery, metallurgical products and textiles being of particular importance</w:t>
      </w:r>
      <w:r w:rsidR="002826E0">
        <w:t xml:space="preserve">.  </w:t>
      </w:r>
      <w:r w:rsidRPr="00135CEA">
        <w:t>The country's most important industry however is tourism.</w:t>
      </w:r>
    </w:p>
    <w:p w:rsidR="00135CEA" w:rsidRDefault="00135CEA" w:rsidP="00135CEA"/>
    <w:p w:rsidR="0060519C" w:rsidRPr="00135CEA" w:rsidRDefault="0060519C" w:rsidP="00135CEA">
      <w:r w:rsidRPr="00135CEA">
        <w:t>Austria has for more than 100 years a well-functioning IP system with modern legislation, administrative body, institutionalized attorney system and other stakeholders</w:t>
      </w:r>
      <w:r w:rsidR="002826E0">
        <w:t xml:space="preserve">.  </w:t>
      </w:r>
      <w:r w:rsidRPr="00135CEA">
        <w:t>According to the IP indicators published by WIPO, in 2015 Austria ranked 18th in trademark (97.027) and 16th in patent filings (13.925) by residents.</w:t>
      </w:r>
    </w:p>
    <w:p w:rsidR="00135CEA" w:rsidRDefault="00135CEA" w:rsidP="00135CEA"/>
    <w:p w:rsidR="00135CEA" w:rsidRPr="00135CEA" w:rsidRDefault="0060519C" w:rsidP="00135CEA">
      <w:r w:rsidRPr="00135CEA">
        <w:t xml:space="preserve">For a “touristic” overview on Austria please visit </w:t>
      </w:r>
      <w:hyperlink r:id="rId18" w:history="1">
        <w:r w:rsidRPr="00135CEA">
          <w:rPr>
            <w:rStyle w:val="Hyperlink"/>
          </w:rPr>
          <w:t>http://www.austria.info/uk</w:t>
        </w:r>
      </w:hyperlink>
      <w:r w:rsidRPr="00135CEA">
        <w:t>, an overview on the Austrian economy is given here</w:t>
      </w:r>
      <w:r w:rsidR="002826E0">
        <w:t xml:space="preserve">:  </w:t>
      </w:r>
      <w:hyperlink r:id="rId19" w:history="1">
        <w:r w:rsidRPr="00135CEA">
          <w:rPr>
            <w:rStyle w:val="Hyperlink"/>
          </w:rPr>
          <w:t>http://www.austria-export.biz/en/</w:t>
        </w:r>
      </w:hyperlink>
      <w:r w:rsidRPr="00135CEA">
        <w:t>.</w:t>
      </w:r>
    </w:p>
    <w:p w:rsidR="0060519C" w:rsidRDefault="0060519C" w:rsidP="00135CEA">
      <w:pPr>
        <w:pStyle w:val="Sub-heading"/>
      </w:pPr>
      <w:r>
        <w:t xml:space="preserve">Regional location </w:t>
      </w:r>
    </w:p>
    <w:p w:rsidR="0060519C" w:rsidRDefault="0060519C" w:rsidP="0060519C">
      <w:pPr>
        <w:rPr>
          <w:lang w:val="tr-TR"/>
        </w:rPr>
      </w:pPr>
    </w:p>
    <w:p w:rsidR="0060519C" w:rsidRDefault="0060519C" w:rsidP="0060519C">
      <w:pPr>
        <w:jc w:val="center"/>
        <w:rPr>
          <w:lang w:val="tr-TR"/>
        </w:rPr>
      </w:pPr>
      <w:r>
        <w:rPr>
          <w:noProof/>
          <w:lang w:val="en-GB" w:eastAsia="en-GB"/>
        </w:rPr>
        <w:drawing>
          <wp:inline distT="0" distB="0" distL="0" distR="0" wp14:anchorId="7B03DEE4" wp14:editId="5E8ADCDE">
            <wp:extent cx="3545840" cy="2815590"/>
            <wp:effectExtent l="0" t="0" r="0" b="3810"/>
            <wp:docPr id="7" name="Grafik 116" descr="West und Mitteleuropa : Kostenlose Karten, kostenlose stumme Karte, kostenlose unausgefüllt Landkarte, kostenlose hochauflösende Umrisskarte : Länder, Namen, 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6" descr="West und Mitteleuropa : Kostenlose Karten, kostenlose stumme Karte, kostenlose unausgefüllt Landkarte, kostenlose hochauflösende Umrisskarte : Länder, Namen, Farb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45840" cy="2815590"/>
                    </a:xfrm>
                    <a:prstGeom prst="rect">
                      <a:avLst/>
                    </a:prstGeom>
                    <a:noFill/>
                    <a:ln>
                      <a:noFill/>
                    </a:ln>
                  </pic:spPr>
                </pic:pic>
              </a:graphicData>
            </a:graphic>
          </wp:inline>
        </w:drawing>
      </w:r>
    </w:p>
    <w:p w:rsidR="0060519C" w:rsidRDefault="0060519C" w:rsidP="0060519C">
      <w:pPr>
        <w:jc w:val="center"/>
        <w:rPr>
          <w:i/>
          <w:iCs/>
          <w:lang w:val="en-GB"/>
        </w:rPr>
      </w:pPr>
      <w:r>
        <w:rPr>
          <w:i/>
          <w:iCs/>
          <w:lang w:val="en-GB"/>
        </w:rPr>
        <w:t>Map showing State and neighbouring States</w:t>
      </w:r>
    </w:p>
    <w:p w:rsidR="0060519C" w:rsidRDefault="0060519C" w:rsidP="0060519C">
      <w:pPr>
        <w:rPr>
          <w:b/>
          <w:bCs/>
          <w:caps/>
          <w:szCs w:val="32"/>
          <w:lang w:val="en-GB"/>
        </w:rPr>
      </w:pPr>
    </w:p>
    <w:p w:rsidR="0060519C" w:rsidRDefault="0060519C" w:rsidP="0060519C">
      <w:pPr>
        <w:pStyle w:val="Heading1"/>
        <w:rPr>
          <w:lang w:val="en-GB"/>
        </w:rPr>
      </w:pPr>
    </w:p>
    <w:p w:rsidR="0060519C" w:rsidRDefault="0060519C" w:rsidP="00135CEA">
      <w:pPr>
        <w:pStyle w:val="Sub-heading"/>
      </w:pPr>
      <w:r>
        <w:t xml:space="preserve">5.1 Regional organisation memberships:  </w:t>
      </w:r>
    </w:p>
    <w:p w:rsidR="0060519C" w:rsidRDefault="0060519C" w:rsidP="00135CEA">
      <w:r>
        <w:t>Austria is a member of the United Nations as well as most UN organizations</w:t>
      </w:r>
      <w:r w:rsidR="002826E0">
        <w:t xml:space="preserve">.  </w:t>
      </w:r>
      <w:r>
        <w:t>Since 1995 Austria is a member of the European Union.</w:t>
      </w:r>
    </w:p>
    <w:p w:rsidR="00135CEA" w:rsidRDefault="00135CEA" w:rsidP="00135CEA"/>
    <w:p w:rsidR="0060519C" w:rsidRDefault="0060519C" w:rsidP="00135CEA">
      <w:r>
        <w:t>Since April 1979 Austria is a contracting state of the PCT and since May 1979, a member of the European Patent Organization.</w:t>
      </w:r>
    </w:p>
    <w:p w:rsidR="0060519C" w:rsidRDefault="0060519C" w:rsidP="00135CEA">
      <w:pPr>
        <w:pStyle w:val="Sub-heading"/>
      </w:pPr>
      <w:r>
        <w:t xml:space="preserve">5.2 Population:  </w:t>
      </w:r>
    </w:p>
    <w:p w:rsidR="0060519C" w:rsidRDefault="00227089" w:rsidP="0060519C">
      <w:pPr>
        <w:pStyle w:val="22Standard"/>
        <w:ind w:left="0"/>
      </w:pPr>
      <w:r>
        <w:t>2015</w:t>
      </w:r>
      <w:r>
        <w:tab/>
      </w:r>
      <w:r>
        <w:tab/>
        <w:t>8,</w:t>
      </w:r>
      <w:r w:rsidR="0060519C">
        <w:t>629</w:t>
      </w:r>
      <w:r>
        <w:t>,</w:t>
      </w:r>
      <w:r w:rsidR="0060519C">
        <w:t>519</w:t>
      </w:r>
      <w:r w:rsidR="0060519C">
        <w:tab/>
      </w:r>
      <w:r w:rsidR="0060519C">
        <w:tab/>
      </w:r>
      <w:r w:rsidR="0060519C">
        <w:tab/>
      </w:r>
      <w:r w:rsidR="0060519C">
        <w:tab/>
      </w:r>
      <w:r w:rsidR="0060519C">
        <w:tab/>
      </w:r>
      <w:r w:rsidR="0060519C">
        <w:tab/>
      </w:r>
      <w:r w:rsidR="0060519C" w:rsidRPr="00227089">
        <w:rPr>
          <w:i/>
        </w:rPr>
        <w:t xml:space="preserve">(Source: </w:t>
      </w:r>
      <w:r>
        <w:rPr>
          <w:i/>
        </w:rPr>
        <w:t xml:space="preserve"> </w:t>
      </w:r>
      <w:proofErr w:type="spellStart"/>
      <w:r w:rsidR="0060519C" w:rsidRPr="00227089">
        <w:rPr>
          <w:i/>
        </w:rPr>
        <w:t>Statistik</w:t>
      </w:r>
      <w:proofErr w:type="spellEnd"/>
      <w:r w:rsidR="0060519C" w:rsidRPr="00227089">
        <w:rPr>
          <w:i/>
        </w:rPr>
        <w:t xml:space="preserve"> Austria)</w:t>
      </w:r>
    </w:p>
    <w:p w:rsidR="0060519C" w:rsidRDefault="0060519C" w:rsidP="00135CEA">
      <w:pPr>
        <w:pStyle w:val="Sub-heading"/>
      </w:pPr>
      <w:r>
        <w:t xml:space="preserve">5.3 GDP per capita:  </w:t>
      </w:r>
    </w:p>
    <w:p w:rsidR="0060519C" w:rsidRDefault="0060519C" w:rsidP="0060519C">
      <w:pPr>
        <w:pStyle w:val="22Standard"/>
        <w:ind w:left="0"/>
        <w:rPr>
          <w:b/>
          <w:bCs/>
          <w:caps/>
          <w:szCs w:val="32"/>
        </w:rPr>
      </w:pPr>
      <w:r>
        <w:t>2015</w:t>
      </w:r>
      <w:r>
        <w:tab/>
      </w:r>
      <w:r>
        <w:tab/>
        <w:t>39.390</w:t>
      </w:r>
      <w:proofErr w:type="gramStart"/>
      <w:r>
        <w:t>.-</w:t>
      </w:r>
      <w:proofErr w:type="gramEnd"/>
      <w:r w:rsidR="00227089">
        <w:t xml:space="preserve"> euros</w:t>
      </w:r>
      <w:r>
        <w:tab/>
      </w:r>
      <w:r>
        <w:tab/>
      </w:r>
      <w:r>
        <w:tab/>
      </w:r>
      <w:r>
        <w:tab/>
      </w:r>
      <w:r>
        <w:tab/>
      </w:r>
      <w:r>
        <w:tab/>
      </w:r>
      <w:r w:rsidRPr="00227089">
        <w:rPr>
          <w:i/>
        </w:rPr>
        <w:t xml:space="preserve">(Source: </w:t>
      </w:r>
      <w:r w:rsidR="00227089">
        <w:rPr>
          <w:i/>
        </w:rPr>
        <w:t xml:space="preserve"> </w:t>
      </w:r>
      <w:proofErr w:type="spellStart"/>
      <w:r w:rsidRPr="00227089">
        <w:rPr>
          <w:i/>
        </w:rPr>
        <w:t>Statistik</w:t>
      </w:r>
      <w:proofErr w:type="spellEnd"/>
      <w:r w:rsidRPr="00227089">
        <w:rPr>
          <w:i/>
        </w:rPr>
        <w:t xml:space="preserve"> Austria)</w:t>
      </w:r>
    </w:p>
    <w:p w:rsidR="0060519C" w:rsidRDefault="0060519C" w:rsidP="00135CEA">
      <w:pPr>
        <w:pStyle w:val="Sub-heading"/>
      </w:pPr>
      <w:r>
        <w:t xml:space="preserve">5.4 Estimated national R&amp;D expenditure (% of GDP):  </w:t>
      </w:r>
    </w:p>
    <w:p w:rsidR="0060519C" w:rsidRPr="00415914" w:rsidRDefault="00227089" w:rsidP="0060519C">
      <w:pPr>
        <w:pStyle w:val="22Standard"/>
        <w:ind w:left="0"/>
        <w:rPr>
          <w:lang w:val="fr-FR"/>
        </w:rPr>
      </w:pPr>
      <w:r>
        <w:rPr>
          <w:lang w:val="fr-FR"/>
        </w:rPr>
        <w:t>2015</w:t>
      </w:r>
      <w:r>
        <w:rPr>
          <w:lang w:val="fr-FR"/>
        </w:rPr>
        <w:tab/>
      </w:r>
      <w:r>
        <w:rPr>
          <w:lang w:val="fr-FR"/>
        </w:rPr>
        <w:tab/>
        <w:t>3.</w:t>
      </w:r>
      <w:r w:rsidR="0060519C" w:rsidRPr="00415914">
        <w:rPr>
          <w:lang w:val="fr-FR"/>
        </w:rPr>
        <w:t xml:space="preserve">10 </w:t>
      </w:r>
      <w:r w:rsidR="00932455">
        <w:rPr>
          <w:lang w:val="fr-FR"/>
        </w:rPr>
        <w:t>per cent</w:t>
      </w:r>
      <w:r w:rsidR="0060519C" w:rsidRPr="00415914">
        <w:rPr>
          <w:lang w:val="fr-FR"/>
        </w:rPr>
        <w:tab/>
      </w:r>
      <w:r w:rsidR="0060519C" w:rsidRPr="00415914">
        <w:rPr>
          <w:lang w:val="fr-FR"/>
        </w:rPr>
        <w:tab/>
      </w:r>
      <w:r w:rsidR="0060519C" w:rsidRPr="00415914">
        <w:rPr>
          <w:lang w:val="fr-FR"/>
        </w:rPr>
        <w:tab/>
      </w:r>
      <w:r w:rsidR="0060519C" w:rsidRPr="00415914">
        <w:rPr>
          <w:lang w:val="fr-FR"/>
        </w:rPr>
        <w:tab/>
      </w:r>
      <w:r w:rsidR="0060519C" w:rsidRPr="00415914">
        <w:rPr>
          <w:lang w:val="fr-FR"/>
        </w:rPr>
        <w:tab/>
      </w:r>
      <w:r w:rsidR="0060519C" w:rsidRPr="00415914">
        <w:rPr>
          <w:lang w:val="fr-FR"/>
        </w:rPr>
        <w:tab/>
      </w:r>
      <w:r w:rsidR="0060519C" w:rsidRPr="00415914">
        <w:rPr>
          <w:lang w:val="fr-FR"/>
        </w:rPr>
        <w:tab/>
      </w:r>
      <w:r w:rsidR="0060519C" w:rsidRPr="00227089">
        <w:rPr>
          <w:i/>
          <w:lang w:val="fr-FR"/>
        </w:rPr>
        <w:t>(Source</w:t>
      </w:r>
      <w:proofErr w:type="gramStart"/>
      <w:r w:rsidR="0060519C" w:rsidRPr="00227089">
        <w:rPr>
          <w:i/>
          <w:lang w:val="fr-FR"/>
        </w:rPr>
        <w:t xml:space="preserve">: </w:t>
      </w:r>
      <w:r>
        <w:rPr>
          <w:i/>
          <w:lang w:val="fr-FR"/>
        </w:rPr>
        <w:t xml:space="preserve"> </w:t>
      </w:r>
      <w:proofErr w:type="spellStart"/>
      <w:r w:rsidR="0060519C" w:rsidRPr="00227089">
        <w:rPr>
          <w:i/>
          <w:lang w:val="fr-FR"/>
        </w:rPr>
        <w:t>Statistik</w:t>
      </w:r>
      <w:proofErr w:type="spellEnd"/>
      <w:proofErr w:type="gramEnd"/>
      <w:r w:rsidR="0060519C" w:rsidRPr="00227089">
        <w:rPr>
          <w:i/>
          <w:lang w:val="fr-FR"/>
        </w:rPr>
        <w:t xml:space="preserve"> </w:t>
      </w:r>
      <w:proofErr w:type="spellStart"/>
      <w:r w:rsidR="0060519C" w:rsidRPr="00227089">
        <w:rPr>
          <w:i/>
          <w:lang w:val="fr-FR"/>
        </w:rPr>
        <w:t>Austria</w:t>
      </w:r>
      <w:proofErr w:type="spellEnd"/>
      <w:r w:rsidR="0060519C" w:rsidRPr="00227089">
        <w:rPr>
          <w:i/>
          <w:lang w:val="fr-FR"/>
        </w:rPr>
        <w:t>)</w:t>
      </w:r>
    </w:p>
    <w:p w:rsidR="0060519C" w:rsidRPr="00135CEA" w:rsidRDefault="0060519C" w:rsidP="0060519C">
      <w:pPr>
        <w:pStyle w:val="22Standard"/>
        <w:ind w:left="0"/>
        <w:rPr>
          <w:i/>
          <w:lang w:val="fr-FR"/>
        </w:rPr>
      </w:pPr>
      <w:r w:rsidRPr="00135CEA">
        <w:rPr>
          <w:i/>
          <w:lang w:val="fr-FR"/>
        </w:rPr>
        <w:t>Source</w:t>
      </w:r>
      <w:proofErr w:type="gramStart"/>
      <w:r w:rsidR="002826E0">
        <w:rPr>
          <w:i/>
          <w:lang w:val="fr-FR"/>
        </w:rPr>
        <w:t xml:space="preserve">:  </w:t>
      </w:r>
      <w:proofErr w:type="spellStart"/>
      <w:r w:rsidRPr="00135CEA">
        <w:rPr>
          <w:i/>
          <w:lang w:val="fr-FR"/>
        </w:rPr>
        <w:t>Statistik</w:t>
      </w:r>
      <w:proofErr w:type="spellEnd"/>
      <w:proofErr w:type="gramEnd"/>
      <w:r w:rsidRPr="00135CEA">
        <w:rPr>
          <w:i/>
          <w:lang w:val="fr-FR"/>
        </w:rPr>
        <w:t xml:space="preserve"> </w:t>
      </w:r>
      <w:proofErr w:type="spellStart"/>
      <w:r w:rsidRPr="00135CEA">
        <w:rPr>
          <w:i/>
          <w:lang w:val="fr-FR"/>
        </w:rPr>
        <w:t>Austria</w:t>
      </w:r>
      <w:proofErr w:type="spellEnd"/>
      <w:r w:rsidRPr="00135CEA">
        <w:rPr>
          <w:i/>
          <w:lang w:val="fr-FR"/>
        </w:rPr>
        <w:t xml:space="preserve">  </w:t>
      </w:r>
      <w:hyperlink r:id="rId21" w:history="1">
        <w:r w:rsidRPr="00135CEA">
          <w:rPr>
            <w:rStyle w:val="Hyperlink"/>
            <w:i/>
            <w:lang w:val="fr-FR"/>
          </w:rPr>
          <w:t>http://www.statistik.at/web_en/statistics/index.html</w:t>
        </w:r>
      </w:hyperlink>
    </w:p>
    <w:p w:rsidR="0060519C" w:rsidRPr="00415914" w:rsidRDefault="0060519C" w:rsidP="0060519C">
      <w:pPr>
        <w:pStyle w:val="22Standard"/>
        <w:ind w:left="0"/>
        <w:rPr>
          <w:lang w:val="fr-FR"/>
        </w:rPr>
      </w:pPr>
    </w:p>
    <w:p w:rsidR="0060519C" w:rsidRDefault="0060519C" w:rsidP="0060519C">
      <w:pPr>
        <w:jc w:val="center"/>
        <w:rPr>
          <w:lang w:val="de-DE"/>
        </w:rPr>
      </w:pPr>
      <w:r>
        <w:rPr>
          <w:noProof/>
          <w:lang w:val="en-GB" w:eastAsia="en-GB"/>
        </w:rPr>
        <w:drawing>
          <wp:inline distT="0" distB="0" distL="0" distR="0" wp14:anchorId="10481D39" wp14:editId="3995CEC0">
            <wp:extent cx="5608955" cy="2893695"/>
            <wp:effectExtent l="0" t="0" r="0" b="1905"/>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8955" cy="2893695"/>
                    </a:xfrm>
                    <a:prstGeom prst="rect">
                      <a:avLst/>
                    </a:prstGeom>
                    <a:noFill/>
                    <a:ln>
                      <a:noFill/>
                    </a:ln>
                  </pic:spPr>
                </pic:pic>
              </a:graphicData>
            </a:graphic>
          </wp:inline>
        </w:drawing>
      </w:r>
    </w:p>
    <w:p w:rsidR="0060519C" w:rsidRDefault="0060519C" w:rsidP="0060519C"/>
    <w:p w:rsidR="0060519C" w:rsidRDefault="0060519C" w:rsidP="00135CEA">
      <w:pPr>
        <w:pStyle w:val="Sub-heading"/>
      </w:pPr>
      <w:r>
        <w:t xml:space="preserve">5.5 Number of research universities:  </w:t>
      </w:r>
    </w:p>
    <w:p w:rsidR="0060519C" w:rsidRDefault="0060519C" w:rsidP="0060519C">
      <w:pPr>
        <w:pStyle w:val="22Standard"/>
        <w:ind w:left="0"/>
      </w:pPr>
      <w:r>
        <w:t>2013    University units with R &amp; D</w:t>
      </w:r>
      <w:r w:rsidR="00227089">
        <w:t xml:space="preserve">:  </w:t>
      </w:r>
      <w:r>
        <w:t>1</w:t>
      </w:r>
      <w:r w:rsidR="00227089">
        <w:t>,</w:t>
      </w:r>
      <w:r>
        <w:t>273</w:t>
      </w:r>
      <w:r>
        <w:tab/>
      </w:r>
      <w:r>
        <w:tab/>
      </w:r>
      <w:r w:rsidRPr="00227089">
        <w:rPr>
          <w:i/>
        </w:rPr>
        <w:t>(Source:</w:t>
      </w:r>
      <w:r w:rsidR="00227089">
        <w:rPr>
          <w:i/>
        </w:rPr>
        <w:t xml:space="preserve"> </w:t>
      </w:r>
      <w:r w:rsidRPr="00227089">
        <w:rPr>
          <w:i/>
        </w:rPr>
        <w:t xml:space="preserve"> </w:t>
      </w:r>
      <w:proofErr w:type="spellStart"/>
      <w:r w:rsidRPr="00227089">
        <w:rPr>
          <w:i/>
        </w:rPr>
        <w:t>Statistik</w:t>
      </w:r>
      <w:proofErr w:type="spellEnd"/>
      <w:r w:rsidRPr="00227089">
        <w:rPr>
          <w:i/>
        </w:rPr>
        <w:t xml:space="preserve"> Austria)</w:t>
      </w:r>
    </w:p>
    <w:p w:rsidR="0060519C" w:rsidRDefault="0060519C" w:rsidP="00135CEA">
      <w:pPr>
        <w:pStyle w:val="Sub-heading"/>
      </w:pPr>
      <w:r>
        <w:t xml:space="preserve">5.6 Summary of national patent information network (for example patent libraries, technology and </w:t>
      </w:r>
      <w:r w:rsidRPr="00135CEA">
        <w:t>innovation</w:t>
      </w:r>
      <w:r>
        <w:t xml:space="preserve"> support </w:t>
      </w:r>
      <w:proofErr w:type="spellStart"/>
      <w:r>
        <w:t>centers</w:t>
      </w:r>
      <w:proofErr w:type="spellEnd"/>
      <w:r>
        <w:t xml:space="preserve">):  </w:t>
      </w:r>
    </w:p>
    <w:p w:rsidR="0060519C" w:rsidRPr="00135CEA" w:rsidRDefault="0060519C" w:rsidP="00135CEA">
      <w:pPr>
        <w:keepNext/>
      </w:pPr>
      <w:r>
        <w:rPr>
          <w:rStyle w:val="alt-edited"/>
        </w:rPr>
        <w:t xml:space="preserve">The APO as one of the national </w:t>
      </w:r>
      <w:proofErr w:type="spellStart"/>
      <w:r>
        <w:t>PatLib</w:t>
      </w:r>
      <w:proofErr w:type="spellEnd"/>
      <w:r>
        <w:t xml:space="preserve"> </w:t>
      </w:r>
      <w:r>
        <w:rPr>
          <w:rStyle w:val="alt-edited"/>
        </w:rPr>
        <w:t>Centers runs a helpdesk for customers.</w:t>
      </w:r>
      <w:r>
        <w:rPr>
          <w:noProof/>
          <w:lang w:val="en-GB" w:eastAsia="en-GB"/>
        </w:rPr>
        <w:drawing>
          <wp:anchor distT="0" distB="0" distL="114300" distR="114300" simplePos="0" relativeHeight="251660288" behindDoc="0" locked="0" layoutInCell="1" allowOverlap="1" wp14:anchorId="2C26CAF3" wp14:editId="67449C39">
            <wp:simplePos x="0" y="0"/>
            <wp:positionH relativeFrom="column">
              <wp:posOffset>1766570</wp:posOffset>
            </wp:positionH>
            <wp:positionV relativeFrom="paragraph">
              <wp:posOffset>203835</wp:posOffset>
            </wp:positionV>
            <wp:extent cx="2393950" cy="1461135"/>
            <wp:effectExtent l="0" t="0" r="6350" b="5715"/>
            <wp:wrapTopAndBottom/>
            <wp:docPr id="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93950" cy="14611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519C" w:rsidRDefault="0060519C" w:rsidP="00135CEA">
      <w:r>
        <w:t>The APO also supports small and medium-sized enterprises SMEs through a consulting service, which is carried out jointly with an economic agency (</w:t>
      </w:r>
      <w:proofErr w:type="spellStart"/>
      <w:r>
        <w:t>discover.IP</w:t>
      </w:r>
      <w:proofErr w:type="spellEnd"/>
      <w:r>
        <w:t>)</w:t>
      </w:r>
      <w:r w:rsidR="002826E0">
        <w:t xml:space="preserve">.  </w:t>
      </w:r>
      <w:r>
        <w:t>In addition, search and examination services are offered for inventions</w:t>
      </w:r>
      <w:r w:rsidR="002826E0">
        <w:t xml:space="preserve">.  </w:t>
      </w:r>
      <w:r>
        <w:t>Special trainings and searches are available for students</w:t>
      </w:r>
      <w:r w:rsidR="002826E0">
        <w:t xml:space="preserve">.  </w:t>
      </w:r>
      <w:r>
        <w:t>Regular lectures in-house and in the regions expand the range of information.</w:t>
      </w:r>
    </w:p>
    <w:p w:rsidR="00135CEA" w:rsidRDefault="00135CEA" w:rsidP="00135CEA"/>
    <w:p w:rsidR="0060519C" w:rsidRDefault="0060519C" w:rsidP="00135CEA">
      <w:pPr>
        <w:rPr>
          <w:highlight w:val="yellow"/>
        </w:rPr>
      </w:pPr>
      <w:r>
        <w:t xml:space="preserve">Beside APO there are 5 other </w:t>
      </w:r>
      <w:proofErr w:type="spellStart"/>
      <w:r>
        <w:t>PatLib</w:t>
      </w:r>
      <w:proofErr w:type="spellEnd"/>
      <w:r>
        <w:t xml:space="preserve"> Centers in Austria</w:t>
      </w:r>
      <w:r w:rsidR="002826E0">
        <w:t xml:space="preserve">.  </w:t>
      </w:r>
      <w:r>
        <w:t>In addition, all Regional Chambers of Commerce and their sub-organizations are advising in IP rights</w:t>
      </w:r>
      <w:r w:rsidR="002826E0">
        <w:t xml:space="preserve">.  </w:t>
      </w:r>
      <w:r>
        <w:t>They inform about funding for the implementation of innovations.</w:t>
      </w:r>
    </w:p>
    <w:p w:rsidR="0060519C" w:rsidRDefault="0060519C" w:rsidP="00135CEA">
      <w:pPr>
        <w:pStyle w:val="Sub-heading"/>
      </w:pPr>
      <w:r>
        <w:t xml:space="preserve">5.7 Major local industries:  </w:t>
      </w:r>
    </w:p>
    <w:p w:rsidR="0060519C" w:rsidRDefault="0060519C" w:rsidP="00135CEA">
      <w:r>
        <w:t>Austria is a highly developed industrialized country with an important service sector</w:t>
      </w:r>
      <w:r w:rsidR="002826E0">
        <w:t xml:space="preserve">.  </w:t>
      </w:r>
      <w:r>
        <w:t>The most important industries are food and luxury commodities, mechanical engineering and steel construction, chemicals, textiles and vehicle manufacturing.</w:t>
      </w:r>
    </w:p>
    <w:p w:rsidR="00135CEA" w:rsidRDefault="00135CEA" w:rsidP="00135CEA"/>
    <w:p w:rsidR="0060519C" w:rsidRPr="00135CEA" w:rsidRDefault="0060519C" w:rsidP="00135CEA">
      <w:r w:rsidRPr="00135CEA">
        <w:t>Austria's industrial and commercial sectors are characterized by a high proportion of medium-sized companies</w:t>
      </w:r>
      <w:r w:rsidR="002826E0">
        <w:t xml:space="preserve">.  </w:t>
      </w:r>
      <w:r w:rsidRPr="00135CEA">
        <w:t>Austrian industry covers every branch of manufacturing, from basic goods to the labor-intensive production of highly processed products</w:t>
      </w:r>
      <w:r w:rsidR="002826E0">
        <w:t xml:space="preserve">.  </w:t>
      </w:r>
      <w:r w:rsidRPr="00135CEA">
        <w:t>The construction of plants and systems (encompassing the planning, delivery, and assembly of turn-key production facilities, including the required know-how and operational expertise) is making up an increasingly important share</w:t>
      </w:r>
      <w:r w:rsidR="002826E0">
        <w:t xml:space="preserve">.  </w:t>
      </w:r>
      <w:r w:rsidRPr="00135CEA">
        <w:t>This field is strongly export-oriented, as is the electronics sector (including, for instance, the production of integrated circuits).</w:t>
      </w:r>
    </w:p>
    <w:p w:rsidR="00135CEA" w:rsidRDefault="00135CEA" w:rsidP="00135CEA"/>
    <w:p w:rsidR="0060519C" w:rsidRPr="00135CEA" w:rsidRDefault="0060519C" w:rsidP="00135CEA">
      <w:r w:rsidRPr="00135CEA">
        <w:t xml:space="preserve">For current economic statistics please visit the website of </w:t>
      </w:r>
      <w:proofErr w:type="spellStart"/>
      <w:r w:rsidRPr="00135CEA">
        <w:t>Statistik</w:t>
      </w:r>
      <w:proofErr w:type="spellEnd"/>
      <w:r w:rsidRPr="00135CEA">
        <w:t xml:space="preserve"> Austria:</w:t>
      </w:r>
    </w:p>
    <w:p w:rsidR="0060519C" w:rsidRPr="00135CEA" w:rsidRDefault="00632C64" w:rsidP="00135CEA">
      <w:hyperlink r:id="rId24" w:history="1">
        <w:r w:rsidR="0060519C" w:rsidRPr="00135CEA">
          <w:rPr>
            <w:rStyle w:val="Hyperlink"/>
          </w:rPr>
          <w:t>http://www.statistik.at/web_en</w:t>
        </w:r>
      </w:hyperlink>
      <w:r w:rsidR="0060519C" w:rsidRPr="00135CEA">
        <w:t xml:space="preserve"> </w:t>
      </w:r>
    </w:p>
    <w:p w:rsidR="0060519C" w:rsidRDefault="0060519C" w:rsidP="00135CEA">
      <w:pPr>
        <w:pStyle w:val="Sub-heading"/>
        <w:spacing w:after="0"/>
      </w:pPr>
      <w:r>
        <w:t xml:space="preserve">5.8 Major trading partner States:  </w:t>
      </w:r>
    </w:p>
    <w:tbl>
      <w:tblPr>
        <w:tblW w:w="8095" w:type="dxa"/>
        <w:tblInd w:w="55"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91"/>
        <w:gridCol w:w="1135"/>
        <w:gridCol w:w="2835"/>
        <w:gridCol w:w="1134"/>
      </w:tblGrid>
      <w:tr w:rsidR="0060519C" w:rsidTr="00F732EE">
        <w:trPr>
          <w:trHeight w:hRule="exact" w:val="284"/>
        </w:trPr>
        <w:tc>
          <w:tcPr>
            <w:tcW w:w="4126" w:type="dxa"/>
            <w:gridSpan w:val="2"/>
            <w:tcBorders>
              <w:top w:val="nil"/>
              <w:left w:val="nil"/>
              <w:bottom w:val="single" w:sz="4" w:space="0" w:color="auto"/>
              <w:right w:val="single" w:sz="4" w:space="0" w:color="auto"/>
            </w:tcBorders>
            <w:vAlign w:val="center"/>
          </w:tcPr>
          <w:p w:rsidR="0060519C" w:rsidRDefault="0060519C" w:rsidP="00F732EE">
            <w:pPr>
              <w:jc w:val="center"/>
              <w:rPr>
                <w:bCs/>
                <w:color w:val="000000"/>
                <w:sz w:val="24"/>
                <w:lang w:eastAsia="de-AT"/>
              </w:rPr>
            </w:pPr>
            <w:r>
              <w:rPr>
                <w:bCs/>
                <w:lang w:eastAsia="de-AT"/>
              </w:rPr>
              <w:t>Import 2015</w:t>
            </w:r>
          </w:p>
        </w:tc>
        <w:tc>
          <w:tcPr>
            <w:tcW w:w="3969" w:type="dxa"/>
            <w:gridSpan w:val="2"/>
            <w:tcBorders>
              <w:top w:val="nil"/>
              <w:left w:val="single" w:sz="4" w:space="0" w:color="auto"/>
              <w:bottom w:val="single" w:sz="4" w:space="0" w:color="auto"/>
              <w:right w:val="nil"/>
            </w:tcBorders>
            <w:vAlign w:val="center"/>
          </w:tcPr>
          <w:p w:rsidR="0060519C" w:rsidRDefault="0060519C" w:rsidP="00F732EE">
            <w:pPr>
              <w:jc w:val="center"/>
              <w:rPr>
                <w:bCs/>
                <w:color w:val="000000"/>
                <w:sz w:val="24"/>
                <w:lang w:eastAsia="de-AT"/>
              </w:rPr>
            </w:pPr>
            <w:r>
              <w:rPr>
                <w:bCs/>
                <w:color w:val="000000"/>
                <w:lang w:eastAsia="de-AT"/>
              </w:rPr>
              <w:t>Export 2015</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State</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bCs/>
                <w:color w:val="000000"/>
                <w:sz w:val="24"/>
                <w:lang w:eastAsia="de-AT"/>
              </w:rPr>
            </w:pPr>
            <w:r>
              <w:rPr>
                <w:bCs/>
                <w:color w:val="000000"/>
                <w:lang w:eastAsia="de-AT"/>
              </w:rPr>
              <w:t>in %</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State</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bCs/>
                <w:color w:val="000000"/>
                <w:sz w:val="24"/>
                <w:lang w:eastAsia="de-AT"/>
              </w:rPr>
            </w:pPr>
            <w:r>
              <w:rPr>
                <w:bCs/>
                <w:color w:val="000000"/>
                <w:lang w:eastAsia="de-AT"/>
              </w:rPr>
              <w:t>in %</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6"/>
                <w:lang w:eastAsia="de-AT"/>
              </w:rPr>
            </w:pP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bCs/>
                <w:color w:val="000000"/>
                <w:sz w:val="6"/>
                <w:lang w:eastAsia="de-AT"/>
              </w:rPr>
            </w:pP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6"/>
                <w:lang w:eastAsia="de-AT"/>
              </w:rPr>
            </w:pP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bCs/>
                <w:color w:val="000000"/>
                <w:sz w:val="6"/>
                <w:lang w:eastAsia="de-AT"/>
              </w:rPr>
            </w:pP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Germany</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36</w:t>
            </w:r>
            <w:r w:rsidR="00B306D4">
              <w:rPr>
                <w:color w:val="000000"/>
                <w:lang w:eastAsia="de-AT"/>
              </w:rPr>
              <w:t>.</w:t>
            </w:r>
            <w:r>
              <w:rPr>
                <w:color w:val="000000"/>
                <w:lang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Germany</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30</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Italy</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6</w:t>
            </w:r>
            <w:r w:rsidR="00B306D4">
              <w:rPr>
                <w:color w:val="000000"/>
                <w:lang w:eastAsia="de-AT"/>
              </w:rPr>
              <w:t>.</w:t>
            </w:r>
            <w:r>
              <w:rPr>
                <w:color w:val="000000"/>
                <w:lang w:eastAsia="de-AT"/>
              </w:rPr>
              <w:t>1</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United States</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6</w:t>
            </w:r>
            <w:r w:rsidR="00B306D4">
              <w:rPr>
                <w:color w:val="000000"/>
                <w:lang w:eastAsia="de-AT"/>
              </w:rPr>
              <w:t>.</w:t>
            </w:r>
            <w:r>
              <w:rPr>
                <w:color w:val="000000"/>
                <w:lang w:eastAsia="de-AT"/>
              </w:rPr>
              <w:t>9</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China</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Italy</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6</w:t>
            </w:r>
            <w:r w:rsidR="00B306D4">
              <w:rPr>
                <w:color w:val="000000"/>
                <w:lang w:eastAsia="de-AT"/>
              </w:rPr>
              <w:t>.</w:t>
            </w:r>
            <w:r>
              <w:rPr>
                <w:color w:val="000000"/>
                <w:lang w:eastAsia="de-AT"/>
              </w:rPr>
              <w:t>3</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Switzerland</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5</w:t>
            </w:r>
            <w:r w:rsidR="00B306D4">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Switzerland</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5</w:t>
            </w:r>
            <w:r w:rsidR="00B306D4">
              <w:rPr>
                <w:color w:val="000000"/>
                <w:lang w:eastAsia="de-AT"/>
              </w:rPr>
              <w:t>.</w:t>
            </w:r>
            <w:r>
              <w:rPr>
                <w:color w:val="000000"/>
                <w:lang w:eastAsia="de-AT"/>
              </w:rPr>
              <w:t>4</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proofErr w:type="spellStart"/>
            <w:r>
              <w:rPr>
                <w:bCs/>
                <w:color w:val="000000"/>
                <w:lang w:eastAsia="de-AT"/>
              </w:rPr>
              <w:t>Czechia</w:t>
            </w:r>
            <w:proofErr w:type="spellEnd"/>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4</w:t>
            </w:r>
            <w:r w:rsidR="00B306D4">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France</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4</w:t>
            </w:r>
            <w:r w:rsidR="00B306D4">
              <w:rPr>
                <w:color w:val="000000"/>
                <w:lang w:eastAsia="de-AT"/>
              </w:rPr>
              <w:t>.</w:t>
            </w:r>
            <w:r>
              <w:rPr>
                <w:color w:val="000000"/>
                <w:lang w:eastAsia="de-AT"/>
              </w:rPr>
              <w:t>5</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United States</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3</w:t>
            </w:r>
            <w:r w:rsidR="00B306D4">
              <w:rPr>
                <w:color w:val="000000"/>
                <w:lang w:eastAsia="de-AT"/>
              </w:rPr>
              <w:t>.</w:t>
            </w:r>
            <w:r>
              <w:rPr>
                <w:color w:val="000000"/>
                <w:lang w:eastAsia="de-AT"/>
              </w:rPr>
              <w:t>9</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proofErr w:type="spellStart"/>
            <w:r>
              <w:rPr>
                <w:bCs/>
                <w:color w:val="000000"/>
                <w:lang w:eastAsia="de-AT"/>
              </w:rPr>
              <w:t>Czechia</w:t>
            </w:r>
            <w:proofErr w:type="spellEnd"/>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3</w:t>
            </w:r>
            <w:r w:rsidR="00B306D4">
              <w:rPr>
                <w:color w:val="000000"/>
                <w:lang w:eastAsia="de-AT"/>
              </w:rPr>
              <w:t>.</w:t>
            </w:r>
            <w:r>
              <w:rPr>
                <w:color w:val="000000"/>
                <w:lang w:eastAsia="de-AT"/>
              </w:rPr>
              <w:t>6</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France</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7</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Hungary</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3</w:t>
            </w:r>
            <w:r w:rsidR="00B306D4">
              <w:rPr>
                <w:color w:val="000000"/>
                <w:lang w:eastAsia="de-AT"/>
              </w:rPr>
              <w:t>.</w:t>
            </w:r>
            <w:r>
              <w:rPr>
                <w:color w:val="000000"/>
                <w:lang w:eastAsia="de-AT"/>
              </w:rPr>
              <w:t>3</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Netherlands</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United Kingdom</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3</w:t>
            </w:r>
            <w:r w:rsidR="00B306D4">
              <w:rPr>
                <w:color w:val="000000"/>
                <w:lang w:eastAsia="de-AT"/>
              </w:rPr>
              <w:t>.</w:t>
            </w:r>
            <w:r>
              <w:rPr>
                <w:color w:val="000000"/>
                <w:lang w:eastAsia="de-AT"/>
              </w:rPr>
              <w:t>2</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Hungary</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6</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Poland</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3</w:t>
            </w:r>
            <w:r w:rsidR="00B306D4">
              <w:rPr>
                <w:color w:val="000000"/>
                <w:lang w:eastAsia="de-AT"/>
              </w:rPr>
              <w:t>.</w:t>
            </w:r>
            <w:r>
              <w:rPr>
                <w:color w:val="000000"/>
                <w:lang w:eastAsia="de-AT"/>
              </w:rPr>
              <w:t>2</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Poland</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China</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5</w:t>
            </w:r>
          </w:p>
        </w:tc>
      </w:tr>
      <w:tr w:rsidR="0060519C" w:rsidTr="00F732EE">
        <w:trPr>
          <w:trHeight w:hRule="exact" w:val="284"/>
        </w:trPr>
        <w:tc>
          <w:tcPr>
            <w:tcW w:w="2991" w:type="dxa"/>
            <w:tcBorders>
              <w:top w:val="single" w:sz="4" w:space="0" w:color="auto"/>
              <w:left w:val="nil"/>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Slovakia</w:t>
            </w:r>
          </w:p>
        </w:tc>
        <w:tc>
          <w:tcPr>
            <w:tcW w:w="11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2</w:t>
            </w:r>
          </w:p>
        </w:tc>
        <w:tc>
          <w:tcPr>
            <w:tcW w:w="283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rPr>
                <w:bCs/>
                <w:color w:val="000000"/>
                <w:sz w:val="24"/>
                <w:lang w:eastAsia="de-AT"/>
              </w:rPr>
            </w:pPr>
            <w:r>
              <w:rPr>
                <w:bCs/>
                <w:color w:val="000000"/>
                <w:lang w:eastAsia="de-AT"/>
              </w:rPr>
              <w:t>Slovakia</w:t>
            </w:r>
          </w:p>
        </w:tc>
        <w:tc>
          <w:tcPr>
            <w:tcW w:w="1134" w:type="dxa"/>
            <w:tcBorders>
              <w:top w:val="single" w:sz="4" w:space="0" w:color="auto"/>
              <w:left w:val="single" w:sz="4" w:space="0" w:color="auto"/>
              <w:bottom w:val="single" w:sz="4" w:space="0" w:color="auto"/>
              <w:right w:val="nil"/>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1</w:t>
            </w:r>
          </w:p>
        </w:tc>
      </w:tr>
      <w:tr w:rsidR="0060519C" w:rsidTr="00F732EE">
        <w:trPr>
          <w:trHeight w:hRule="exact" w:val="284"/>
        </w:trPr>
        <w:tc>
          <w:tcPr>
            <w:tcW w:w="2991" w:type="dxa"/>
            <w:tcBorders>
              <w:top w:val="single" w:sz="4" w:space="0" w:color="auto"/>
              <w:left w:val="nil"/>
              <w:bottom w:val="nil"/>
              <w:right w:val="single" w:sz="4" w:space="0" w:color="auto"/>
            </w:tcBorders>
            <w:vAlign w:val="center"/>
          </w:tcPr>
          <w:p w:rsidR="0060519C" w:rsidRDefault="0060519C" w:rsidP="00F732EE">
            <w:pPr>
              <w:rPr>
                <w:bCs/>
                <w:color w:val="000000"/>
                <w:sz w:val="24"/>
                <w:lang w:eastAsia="de-AT"/>
              </w:rPr>
            </w:pPr>
            <w:r>
              <w:rPr>
                <w:bCs/>
                <w:color w:val="000000"/>
                <w:lang w:eastAsia="de-AT"/>
              </w:rPr>
              <w:t>United Kingdom</w:t>
            </w:r>
          </w:p>
        </w:tc>
        <w:tc>
          <w:tcPr>
            <w:tcW w:w="1135" w:type="dxa"/>
            <w:tcBorders>
              <w:top w:val="single" w:sz="4" w:space="0" w:color="auto"/>
              <w:left w:val="single" w:sz="4" w:space="0" w:color="auto"/>
              <w:bottom w:val="nil"/>
              <w:right w:val="single" w:sz="4" w:space="0" w:color="auto"/>
            </w:tcBorders>
            <w:vAlign w:val="center"/>
          </w:tcPr>
          <w:p w:rsidR="0060519C" w:rsidRDefault="0060519C" w:rsidP="00F732EE">
            <w:pPr>
              <w:jc w:val="center"/>
              <w:rPr>
                <w:color w:val="000000"/>
                <w:sz w:val="24"/>
                <w:lang w:eastAsia="de-AT"/>
              </w:rPr>
            </w:pPr>
            <w:r>
              <w:rPr>
                <w:color w:val="000000"/>
                <w:lang w:eastAsia="de-AT"/>
              </w:rPr>
              <w:t>1</w:t>
            </w:r>
            <w:r w:rsidR="00B306D4">
              <w:rPr>
                <w:color w:val="000000"/>
                <w:lang w:eastAsia="de-AT"/>
              </w:rPr>
              <w:t>.</w:t>
            </w:r>
            <w:r>
              <w:rPr>
                <w:color w:val="000000"/>
                <w:lang w:eastAsia="de-AT"/>
              </w:rPr>
              <w:t>8</w:t>
            </w:r>
          </w:p>
        </w:tc>
        <w:tc>
          <w:tcPr>
            <w:tcW w:w="2835" w:type="dxa"/>
            <w:tcBorders>
              <w:top w:val="single" w:sz="4" w:space="0" w:color="auto"/>
              <w:left w:val="single" w:sz="4" w:space="0" w:color="auto"/>
              <w:bottom w:val="nil"/>
              <w:right w:val="single" w:sz="4" w:space="0" w:color="auto"/>
            </w:tcBorders>
            <w:vAlign w:val="center"/>
          </w:tcPr>
          <w:p w:rsidR="0060519C" w:rsidRDefault="0060519C" w:rsidP="00F732EE">
            <w:pPr>
              <w:rPr>
                <w:bCs/>
                <w:color w:val="000000"/>
                <w:sz w:val="24"/>
                <w:lang w:eastAsia="de-AT"/>
              </w:rPr>
            </w:pPr>
            <w:r>
              <w:rPr>
                <w:bCs/>
                <w:color w:val="000000"/>
                <w:lang w:eastAsia="de-AT"/>
              </w:rPr>
              <w:t>Slovenia</w:t>
            </w:r>
          </w:p>
        </w:tc>
        <w:tc>
          <w:tcPr>
            <w:tcW w:w="1134" w:type="dxa"/>
            <w:tcBorders>
              <w:top w:val="single" w:sz="4" w:space="0" w:color="auto"/>
              <w:left w:val="single" w:sz="4" w:space="0" w:color="auto"/>
              <w:bottom w:val="nil"/>
              <w:right w:val="nil"/>
            </w:tcBorders>
            <w:vAlign w:val="center"/>
          </w:tcPr>
          <w:p w:rsidR="0060519C" w:rsidRDefault="0060519C" w:rsidP="00F732EE">
            <w:pPr>
              <w:jc w:val="center"/>
              <w:rPr>
                <w:color w:val="000000"/>
                <w:sz w:val="24"/>
                <w:lang w:eastAsia="de-AT"/>
              </w:rPr>
            </w:pPr>
            <w:r>
              <w:rPr>
                <w:color w:val="000000"/>
                <w:lang w:eastAsia="de-AT"/>
              </w:rPr>
              <w:t>2</w:t>
            </w:r>
            <w:r w:rsidR="00B306D4">
              <w:rPr>
                <w:color w:val="000000"/>
                <w:lang w:eastAsia="de-AT"/>
              </w:rPr>
              <w:t>.</w:t>
            </w:r>
            <w:r>
              <w:rPr>
                <w:color w:val="000000"/>
                <w:lang w:eastAsia="de-AT"/>
              </w:rPr>
              <w:t>1</w:t>
            </w:r>
          </w:p>
        </w:tc>
      </w:tr>
    </w:tbl>
    <w:p w:rsidR="0060519C" w:rsidRDefault="0060519C" w:rsidP="0060519C">
      <w:pPr>
        <w:rPr>
          <w:lang w:val="de-DE" w:eastAsia="de-DE"/>
        </w:rPr>
      </w:pPr>
    </w:p>
    <w:p w:rsidR="00135CEA" w:rsidRDefault="00135CEA" w:rsidP="0060519C">
      <w:pPr>
        <w:rPr>
          <w:lang w:val="de-DE" w:eastAsia="de-DE"/>
        </w:rPr>
      </w:pPr>
    </w:p>
    <w:p w:rsidR="0060519C" w:rsidRDefault="0060519C" w:rsidP="00135CEA">
      <w:pPr>
        <w:pStyle w:val="Sub-heading"/>
      </w:pPr>
      <w:r>
        <w:t>5.9 Other key information:</w:t>
      </w:r>
    </w:p>
    <w:p w:rsidR="0060519C" w:rsidRDefault="0060519C" w:rsidP="00135CEA">
      <w:pPr>
        <w:rPr>
          <w:rStyle w:val="alt-edited"/>
        </w:rPr>
      </w:pPr>
      <w:r>
        <w:t>A new IP strategy is currently being developed and is expected to be adopted by the Federal Government in February</w:t>
      </w:r>
      <w:r w:rsidR="002826E0">
        <w:t xml:space="preserve">.  </w:t>
      </w:r>
      <w:r>
        <w:t>Th</w:t>
      </w:r>
      <w:r>
        <w:rPr>
          <w:rStyle w:val="alt-edited"/>
        </w:rPr>
        <w:t>e APO will host an “IP hub” and coordinate the activities of the different players in IP</w:t>
      </w:r>
      <w:r w:rsidR="002826E0">
        <w:rPr>
          <w:rStyle w:val="alt-edited"/>
        </w:rPr>
        <w:t xml:space="preserve">.  </w:t>
      </w:r>
      <w:r>
        <w:rPr>
          <w:rStyle w:val="alt-edited"/>
        </w:rPr>
        <w:t xml:space="preserve">For more please refer to </w:t>
      </w:r>
    </w:p>
    <w:p w:rsidR="0060519C" w:rsidRDefault="00632C64" w:rsidP="00135CEA">
      <w:hyperlink r:id="rId25" w:history="1">
        <w:r w:rsidR="0060519C" w:rsidRPr="00135CEA">
          <w:rPr>
            <w:rStyle w:val="Hyperlink"/>
          </w:rPr>
          <w:t>http://archiv.bundeskanzleramt.at/DocView.axd?CobId=65314</w:t>
        </w:r>
      </w:hyperlink>
      <w:r w:rsidR="0060519C">
        <w:t xml:space="preserve"> </w:t>
      </w:r>
    </w:p>
    <w:p w:rsidR="00135CEA" w:rsidRDefault="00135CEA" w:rsidP="00135CEA"/>
    <w:p w:rsidR="0060519C" w:rsidRDefault="0060519C" w:rsidP="00135CEA">
      <w:r>
        <w:t xml:space="preserve">The Austrian strategy for “Research, Technology and Innovation” can be downloaded (in German) </w:t>
      </w:r>
      <w:hyperlink r:id="rId26" w:history="1">
        <w:r>
          <w:rPr>
            <w:rStyle w:val="Hyperlink"/>
          </w:rPr>
          <w:t>https://www.bmvit.gv.at/service/publikationen/innovation/forschungspolitik/downloads/fti_strategie.pdf</w:t>
        </w:r>
      </w:hyperlink>
      <w:r>
        <w:t xml:space="preserve"> </w:t>
      </w:r>
    </w:p>
    <w:p w:rsidR="00135CEA" w:rsidRPr="00135CEA" w:rsidRDefault="00135CEA" w:rsidP="00135CEA"/>
    <w:p w:rsidR="0060519C" w:rsidRDefault="0060519C" w:rsidP="00135CEA">
      <w:pPr>
        <w:rPr>
          <w:rStyle w:val="Hyperlink"/>
        </w:rPr>
      </w:pPr>
      <w:r>
        <w:t xml:space="preserve">The strategy for “Open Innovation Strategy for Austria” can be downloaded </w:t>
      </w:r>
      <w:hyperlink r:id="rId27" w:history="1">
        <w:r>
          <w:rPr>
            <w:rStyle w:val="Hyperlink"/>
          </w:rPr>
          <w:t>https://www.bmvit.gv.at/en/innovation/downloads/open_innovation_strategy_for_austria.pdf</w:t>
        </w:r>
      </w:hyperlink>
    </w:p>
    <w:p w:rsidR="0060519C" w:rsidRPr="00135CEA" w:rsidRDefault="0060519C" w:rsidP="00135CEA"/>
    <w:p w:rsidR="0060519C" w:rsidRPr="002826E0" w:rsidRDefault="0060519C" w:rsidP="0060519C">
      <w:pPr>
        <w:pStyle w:val="22Standard"/>
        <w:ind w:left="0"/>
        <w:jc w:val="both"/>
        <w:rPr>
          <w:i/>
          <w:noProof/>
          <w:lang w:eastAsia="en-GB"/>
        </w:rPr>
      </w:pPr>
      <w:r w:rsidRPr="002826E0">
        <w:rPr>
          <w:i/>
          <w:noProof/>
          <w:lang w:val="en-GB" w:eastAsia="en-GB"/>
        </w:rPr>
        <w:drawing>
          <wp:anchor distT="0" distB="0" distL="114300" distR="114300" simplePos="0" relativeHeight="251659264" behindDoc="0" locked="0" layoutInCell="1" allowOverlap="1" wp14:anchorId="14AEDC60" wp14:editId="13491AC8">
            <wp:simplePos x="0" y="0"/>
            <wp:positionH relativeFrom="column">
              <wp:posOffset>242570</wp:posOffset>
            </wp:positionH>
            <wp:positionV relativeFrom="paragraph">
              <wp:posOffset>480060</wp:posOffset>
            </wp:positionV>
            <wp:extent cx="3455035" cy="2440940"/>
            <wp:effectExtent l="0" t="0" r="0" b="0"/>
            <wp:wrapTopAndBottom/>
            <wp:docPr id="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55035" cy="2440940"/>
                    </a:xfrm>
                    <a:prstGeom prst="rect">
                      <a:avLst/>
                    </a:prstGeom>
                    <a:noFill/>
                  </pic:spPr>
                </pic:pic>
              </a:graphicData>
            </a:graphic>
            <wp14:sizeRelH relativeFrom="margin">
              <wp14:pctWidth>0</wp14:pctWidth>
            </wp14:sizeRelH>
            <wp14:sizeRelV relativeFrom="margin">
              <wp14:pctHeight>0</wp14:pctHeight>
            </wp14:sizeRelV>
          </wp:anchor>
        </w:drawing>
      </w:r>
      <w:r w:rsidRPr="002826E0">
        <w:rPr>
          <w:i/>
          <w:noProof/>
          <w:lang w:eastAsia="en-GB"/>
        </w:rPr>
        <w:t>Source</w:t>
      </w:r>
      <w:r w:rsidR="002826E0">
        <w:rPr>
          <w:i/>
          <w:noProof/>
          <w:lang w:eastAsia="en-GB"/>
        </w:rPr>
        <w:t xml:space="preserve">:  </w:t>
      </w:r>
      <w:r w:rsidRPr="002826E0">
        <w:rPr>
          <w:i/>
          <w:noProof/>
          <w:lang w:eastAsia="en-GB"/>
        </w:rPr>
        <w:t xml:space="preserve">IP strategy </w:t>
      </w:r>
      <w:hyperlink r:id="rId29" w:history="1">
        <w:r w:rsidRPr="002826E0">
          <w:rPr>
            <w:rStyle w:val="Hyperlink"/>
            <w:i/>
          </w:rPr>
          <w:t>http://archiv.bundeskanzleramt.at/DocView.axd?CobId=65314</w:t>
        </w:r>
      </w:hyperlink>
    </w:p>
    <w:p w:rsidR="0060519C" w:rsidRPr="00135CEA" w:rsidRDefault="0060519C" w:rsidP="00135CEA"/>
    <w:p w:rsidR="0060519C" w:rsidRDefault="0060519C" w:rsidP="00135CEA">
      <w:pPr>
        <w:pStyle w:val="SectionHeading"/>
        <w:rPr>
          <w:lang w:val="en-GB"/>
        </w:rPr>
      </w:pPr>
      <w:r>
        <w:rPr>
          <w:lang w:val="en-GB"/>
        </w:rPr>
        <w:t>6 – Profile of Patent Applications</w:t>
      </w:r>
    </w:p>
    <w:p w:rsidR="0060519C" w:rsidRDefault="0060519C" w:rsidP="00135CEA">
      <w:pPr>
        <w:pStyle w:val="Sub-heading"/>
      </w:pPr>
      <w:r>
        <w:t>Number of national applications received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60519C" w:rsidTr="00F732EE">
        <w:trPr>
          <w:cantSplit/>
          <w:trHeight w:hRule="exact" w:val="284"/>
        </w:trPr>
        <w:tc>
          <w:tcPr>
            <w:tcW w:w="4361" w:type="dxa"/>
            <w:tcBorders>
              <w:top w:val="nil"/>
              <w:left w:val="nil"/>
              <w:bottom w:val="single" w:sz="4" w:space="0" w:color="auto"/>
              <w:right w:val="single" w:sz="4" w:space="0" w:color="auto"/>
            </w:tcBorders>
          </w:tcPr>
          <w:p w:rsidR="0060519C" w:rsidRDefault="0060519C" w:rsidP="00F732EE">
            <w:pPr>
              <w:rPr>
                <w:b/>
                <w:bCs/>
                <w:sz w:val="24"/>
                <w:szCs w:val="24"/>
                <w:lang w:val="en-GB" w:eastAsia="de-DE"/>
              </w:rPr>
            </w:pPr>
          </w:p>
        </w:tc>
        <w:tc>
          <w:tcPr>
            <w:tcW w:w="1063" w:type="dxa"/>
            <w:tcBorders>
              <w:top w:val="nil"/>
              <w:left w:val="single" w:sz="4" w:space="0" w:color="auto"/>
              <w:bottom w:val="single" w:sz="4" w:space="0" w:color="auto"/>
              <w:right w:val="single" w:sz="4" w:space="0" w:color="auto"/>
            </w:tcBorders>
          </w:tcPr>
          <w:p w:rsidR="0060519C" w:rsidRDefault="0060519C" w:rsidP="00F732EE">
            <w:pPr>
              <w:jc w:val="center"/>
              <w:rPr>
                <w:b/>
                <w:sz w:val="24"/>
                <w:szCs w:val="24"/>
                <w:lang w:val="de-DE" w:eastAsia="de-DE"/>
              </w:rPr>
            </w:pPr>
            <w:r>
              <w:rPr>
                <w:b/>
              </w:rPr>
              <w:t>2012</w:t>
            </w:r>
          </w:p>
        </w:tc>
        <w:tc>
          <w:tcPr>
            <w:tcW w:w="1063" w:type="dxa"/>
            <w:tcBorders>
              <w:top w:val="nil"/>
              <w:left w:val="single" w:sz="4" w:space="0" w:color="auto"/>
              <w:bottom w:val="single" w:sz="4" w:space="0" w:color="auto"/>
              <w:right w:val="single" w:sz="4" w:space="0" w:color="auto"/>
            </w:tcBorders>
          </w:tcPr>
          <w:p w:rsidR="0060519C" w:rsidRDefault="0060519C" w:rsidP="00F732EE">
            <w:pPr>
              <w:jc w:val="center"/>
              <w:rPr>
                <w:b/>
                <w:sz w:val="24"/>
                <w:szCs w:val="24"/>
                <w:lang w:val="de-DE" w:eastAsia="de-DE"/>
              </w:rPr>
            </w:pPr>
            <w:r>
              <w:rPr>
                <w:b/>
              </w:rPr>
              <w:t>2013</w:t>
            </w:r>
          </w:p>
        </w:tc>
        <w:tc>
          <w:tcPr>
            <w:tcW w:w="1063" w:type="dxa"/>
            <w:tcBorders>
              <w:top w:val="nil"/>
              <w:left w:val="single" w:sz="4" w:space="0" w:color="auto"/>
              <w:bottom w:val="single" w:sz="4" w:space="0" w:color="auto"/>
              <w:right w:val="single" w:sz="4" w:space="0" w:color="auto"/>
            </w:tcBorders>
          </w:tcPr>
          <w:p w:rsidR="0060519C" w:rsidRDefault="0060519C" w:rsidP="00F732EE">
            <w:pPr>
              <w:jc w:val="center"/>
              <w:rPr>
                <w:b/>
                <w:sz w:val="24"/>
                <w:szCs w:val="24"/>
                <w:lang w:val="de-DE" w:eastAsia="de-DE"/>
              </w:rPr>
            </w:pPr>
            <w:r>
              <w:rPr>
                <w:b/>
              </w:rPr>
              <w:t>2014</w:t>
            </w:r>
          </w:p>
        </w:tc>
        <w:tc>
          <w:tcPr>
            <w:tcW w:w="1063" w:type="dxa"/>
            <w:tcBorders>
              <w:top w:val="nil"/>
              <w:left w:val="single" w:sz="4" w:space="0" w:color="auto"/>
              <w:bottom w:val="single" w:sz="4" w:space="0" w:color="auto"/>
              <w:right w:val="nil"/>
            </w:tcBorders>
          </w:tcPr>
          <w:p w:rsidR="0060519C" w:rsidRDefault="0060519C" w:rsidP="00F732EE">
            <w:pPr>
              <w:jc w:val="center"/>
              <w:rPr>
                <w:b/>
                <w:sz w:val="24"/>
                <w:szCs w:val="24"/>
                <w:lang w:val="de-DE" w:eastAsia="de-DE"/>
              </w:rPr>
            </w:pPr>
            <w:r>
              <w:rPr>
                <w:b/>
              </w:rPr>
              <w:t>2015</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F732EE">
            <w:pP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6"/>
                <w:szCs w:val="24"/>
                <w:lang w:val="de-DE" w:eastAsia="de-DE"/>
              </w:rPr>
            </w:pPr>
          </w:p>
        </w:tc>
        <w:tc>
          <w:tcPr>
            <w:tcW w:w="1063" w:type="dxa"/>
            <w:tcBorders>
              <w:top w:val="single" w:sz="4" w:space="0" w:color="auto"/>
              <w:left w:val="single" w:sz="4" w:space="0" w:color="auto"/>
              <w:bottom w:val="single" w:sz="4" w:space="0" w:color="auto"/>
              <w:right w:val="nil"/>
            </w:tcBorders>
            <w:vAlign w:val="center"/>
          </w:tcPr>
          <w:p w:rsidR="0060519C" w:rsidRDefault="0060519C" w:rsidP="00F732EE">
            <w:pPr>
              <w:jc w:val="center"/>
              <w:rPr>
                <w:sz w:val="6"/>
                <w:szCs w:val="24"/>
                <w:lang w:val="de-DE" w:eastAsia="de-DE"/>
              </w:rPr>
            </w:pPr>
          </w:p>
        </w:tc>
      </w:tr>
      <w:tr w:rsidR="0060519C" w:rsidTr="00227089">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F732EE">
            <w:pPr>
              <w:rPr>
                <w:sz w:val="24"/>
                <w:szCs w:val="24"/>
                <w:lang w:val="de-DE" w:eastAsia="de-DE"/>
              </w:rPr>
            </w:pPr>
            <w:r>
              <w:t xml:space="preserve">Patent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Default="0060519C" w:rsidP="00227089">
            <w:pPr>
              <w:jc w:val="right"/>
              <w:rPr>
                <w:sz w:val="24"/>
                <w:szCs w:val="24"/>
                <w:lang w:val="de-DE" w:eastAsia="de-DE"/>
              </w:rPr>
            </w:pPr>
            <w:r>
              <w:t>2</w:t>
            </w:r>
            <w:r w:rsidR="00227089">
              <w:t>,</w:t>
            </w:r>
            <w:r>
              <w:t>552</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Default="0060519C" w:rsidP="00227089">
            <w:pPr>
              <w:jc w:val="right"/>
              <w:rPr>
                <w:sz w:val="24"/>
                <w:szCs w:val="24"/>
                <w:lang w:val="de-DE" w:eastAsia="de-DE"/>
              </w:rPr>
            </w:pPr>
            <w:r>
              <w:t>2</w:t>
            </w:r>
            <w:r w:rsidR="00227089">
              <w:t>,</w:t>
            </w:r>
            <w:r>
              <w:t>406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Default="0060519C" w:rsidP="00227089">
            <w:pPr>
              <w:jc w:val="right"/>
              <w:rPr>
                <w:sz w:val="24"/>
                <w:szCs w:val="24"/>
                <w:lang w:val="de-DE" w:eastAsia="de-DE"/>
              </w:rPr>
            </w:pPr>
            <w:r>
              <w:t>2</w:t>
            </w:r>
            <w:r w:rsidR="00227089">
              <w:t>,</w:t>
            </w:r>
            <w:r>
              <w:t>363</w:t>
            </w:r>
          </w:p>
        </w:tc>
        <w:tc>
          <w:tcPr>
            <w:tcW w:w="1063" w:type="dxa"/>
            <w:tcBorders>
              <w:top w:val="single" w:sz="4" w:space="0" w:color="auto"/>
              <w:left w:val="single" w:sz="4" w:space="0" w:color="auto"/>
              <w:bottom w:val="single" w:sz="4" w:space="0" w:color="auto"/>
              <w:right w:val="nil"/>
            </w:tcBorders>
            <w:tcMar>
              <w:right w:w="284" w:type="dxa"/>
            </w:tcMar>
            <w:vAlign w:val="center"/>
          </w:tcPr>
          <w:p w:rsidR="0060519C" w:rsidRDefault="0060519C" w:rsidP="00227089">
            <w:pPr>
              <w:jc w:val="right"/>
              <w:rPr>
                <w:sz w:val="24"/>
                <w:szCs w:val="24"/>
                <w:lang w:val="de-DE" w:eastAsia="de-DE"/>
              </w:rPr>
            </w:pPr>
            <w:r>
              <w:t>2</w:t>
            </w:r>
            <w:r w:rsidR="00227089">
              <w:t>,</w:t>
            </w:r>
            <w:r>
              <w:t>441</w:t>
            </w:r>
          </w:p>
        </w:tc>
      </w:tr>
      <w:tr w:rsidR="0060519C" w:rsidTr="00227089">
        <w:trPr>
          <w:cantSplit/>
          <w:trHeight w:hRule="exact" w:val="284"/>
        </w:trPr>
        <w:tc>
          <w:tcPr>
            <w:tcW w:w="4361" w:type="dxa"/>
            <w:tcBorders>
              <w:top w:val="single" w:sz="4" w:space="0" w:color="auto"/>
              <w:left w:val="nil"/>
              <w:bottom w:val="nil"/>
              <w:right w:val="single" w:sz="4" w:space="0" w:color="auto"/>
            </w:tcBorders>
          </w:tcPr>
          <w:p w:rsidR="0060519C" w:rsidRDefault="0060519C" w:rsidP="00F732EE">
            <w:pPr>
              <w:rPr>
                <w:sz w:val="24"/>
                <w:szCs w:val="24"/>
                <w:lang w:val="de-DE" w:eastAsia="de-DE"/>
              </w:rPr>
            </w:pPr>
            <w:r>
              <w:t>Utility model</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Default="0060519C" w:rsidP="00227089">
            <w:pPr>
              <w:jc w:val="right"/>
              <w:rPr>
                <w:sz w:val="24"/>
                <w:szCs w:val="24"/>
                <w:lang w:val="de-DE" w:eastAsia="de-DE"/>
              </w:rPr>
            </w:pPr>
            <w:r>
              <w:t>711</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Default="0060519C" w:rsidP="00227089">
            <w:pPr>
              <w:jc w:val="right"/>
              <w:rPr>
                <w:sz w:val="24"/>
                <w:szCs w:val="24"/>
                <w:lang w:val="de-DE" w:eastAsia="de-DE"/>
              </w:rPr>
            </w:pPr>
            <w:r>
              <w:t>763</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Default="0060519C" w:rsidP="00227089">
            <w:pPr>
              <w:jc w:val="right"/>
              <w:rPr>
                <w:sz w:val="24"/>
                <w:szCs w:val="24"/>
                <w:lang w:val="de-DE" w:eastAsia="de-DE"/>
              </w:rPr>
            </w:pPr>
            <w:r>
              <w:t>748</w:t>
            </w:r>
          </w:p>
        </w:tc>
        <w:tc>
          <w:tcPr>
            <w:tcW w:w="1063" w:type="dxa"/>
            <w:tcBorders>
              <w:top w:val="single" w:sz="4" w:space="0" w:color="auto"/>
              <w:left w:val="single" w:sz="4" w:space="0" w:color="auto"/>
              <w:bottom w:val="nil"/>
              <w:right w:val="nil"/>
            </w:tcBorders>
            <w:tcMar>
              <w:right w:w="284" w:type="dxa"/>
            </w:tcMar>
            <w:vAlign w:val="center"/>
          </w:tcPr>
          <w:p w:rsidR="0060519C" w:rsidRDefault="0060519C" w:rsidP="00227089">
            <w:pPr>
              <w:jc w:val="right"/>
              <w:rPr>
                <w:sz w:val="24"/>
                <w:szCs w:val="24"/>
                <w:lang w:val="de-DE" w:eastAsia="de-DE"/>
              </w:rPr>
            </w:pPr>
            <w:r>
              <w:t>754</w:t>
            </w:r>
          </w:p>
        </w:tc>
      </w:tr>
    </w:tbl>
    <w:p w:rsidR="0060519C" w:rsidRDefault="0060519C" w:rsidP="0060519C">
      <w:pPr>
        <w:rPr>
          <w:i/>
          <w:iCs/>
          <w:lang w:val="de-DE" w:eastAsia="de-DE"/>
        </w:rPr>
      </w:pPr>
    </w:p>
    <w:p w:rsidR="0060519C" w:rsidRDefault="0060519C" w:rsidP="00135CEA">
      <w:pPr>
        <w:pStyle w:val="Sub-heading"/>
      </w:pPr>
      <w:r>
        <w:t xml:space="preserve">Number of national patents / utility model grant </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60519C" w:rsidRPr="000B2BDD" w:rsidTr="00F732EE">
        <w:trPr>
          <w:cantSplit/>
          <w:trHeight w:hRule="exact" w:val="284"/>
        </w:trPr>
        <w:tc>
          <w:tcPr>
            <w:tcW w:w="4361" w:type="dxa"/>
            <w:tcBorders>
              <w:top w:val="nil"/>
              <w:left w:val="nil"/>
              <w:bottom w:val="single" w:sz="4" w:space="0" w:color="auto"/>
              <w:right w:val="single" w:sz="4" w:space="0" w:color="auto"/>
            </w:tcBorders>
          </w:tcPr>
          <w:p w:rsidR="0060519C" w:rsidRDefault="0060519C" w:rsidP="00F732EE">
            <w:pPr>
              <w:rPr>
                <w:b/>
                <w:bCs/>
                <w:sz w:val="24"/>
                <w:szCs w:val="24"/>
                <w:lang w:val="en-GB" w:eastAsia="de-DE"/>
              </w:rPr>
            </w:pPr>
          </w:p>
        </w:tc>
        <w:tc>
          <w:tcPr>
            <w:tcW w:w="1063" w:type="dxa"/>
            <w:tcBorders>
              <w:top w:val="nil"/>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r w:rsidRPr="000B2BDD">
              <w:rPr>
                <w:b/>
                <w:bCs/>
                <w:sz w:val="24"/>
                <w:szCs w:val="24"/>
                <w:lang w:val="en-GB" w:eastAsia="de-DE"/>
              </w:rPr>
              <w:t>2012</w:t>
            </w:r>
          </w:p>
        </w:tc>
        <w:tc>
          <w:tcPr>
            <w:tcW w:w="1063" w:type="dxa"/>
            <w:tcBorders>
              <w:top w:val="nil"/>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r w:rsidRPr="000B2BDD">
              <w:rPr>
                <w:b/>
                <w:bCs/>
                <w:sz w:val="24"/>
                <w:szCs w:val="24"/>
                <w:lang w:val="en-GB" w:eastAsia="de-DE"/>
              </w:rPr>
              <w:t>2013</w:t>
            </w:r>
          </w:p>
        </w:tc>
        <w:tc>
          <w:tcPr>
            <w:tcW w:w="1063" w:type="dxa"/>
            <w:tcBorders>
              <w:top w:val="nil"/>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r w:rsidRPr="000B2BDD">
              <w:rPr>
                <w:b/>
                <w:bCs/>
                <w:sz w:val="24"/>
                <w:szCs w:val="24"/>
                <w:lang w:val="en-GB" w:eastAsia="de-DE"/>
              </w:rPr>
              <w:t>2014</w:t>
            </w:r>
          </w:p>
        </w:tc>
        <w:tc>
          <w:tcPr>
            <w:tcW w:w="1063" w:type="dxa"/>
            <w:tcBorders>
              <w:top w:val="nil"/>
              <w:left w:val="single" w:sz="4" w:space="0" w:color="auto"/>
              <w:bottom w:val="single" w:sz="4" w:space="0" w:color="auto"/>
              <w:right w:val="nil"/>
            </w:tcBorders>
          </w:tcPr>
          <w:p w:rsidR="0060519C" w:rsidRPr="000B2BDD" w:rsidRDefault="0060519C" w:rsidP="00F732EE">
            <w:pPr>
              <w:jc w:val="center"/>
              <w:rPr>
                <w:b/>
                <w:bCs/>
                <w:sz w:val="24"/>
                <w:szCs w:val="24"/>
                <w:lang w:val="en-GB" w:eastAsia="de-DE"/>
              </w:rPr>
            </w:pPr>
            <w:r w:rsidRPr="000B2BDD">
              <w:rPr>
                <w:b/>
                <w:bCs/>
                <w:sz w:val="24"/>
                <w:szCs w:val="24"/>
                <w:lang w:val="en-GB" w:eastAsia="de-DE"/>
              </w:rPr>
              <w:t>2015</w:t>
            </w:r>
          </w:p>
        </w:tc>
      </w:tr>
      <w:tr w:rsidR="0060519C" w:rsidRPr="000B2BDD"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0B2BDD" w:rsidRDefault="0060519C" w:rsidP="00F732EE">
            <w:pP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single" w:sz="4" w:space="0" w:color="auto"/>
            </w:tcBorders>
          </w:tcPr>
          <w:p w:rsidR="0060519C" w:rsidRPr="000B2BDD" w:rsidRDefault="0060519C" w:rsidP="00F732EE">
            <w:pPr>
              <w:jc w:val="center"/>
              <w:rPr>
                <w:b/>
                <w:bCs/>
                <w:sz w:val="24"/>
                <w:szCs w:val="24"/>
                <w:lang w:val="en-GB" w:eastAsia="de-DE"/>
              </w:rPr>
            </w:pPr>
          </w:p>
        </w:tc>
        <w:tc>
          <w:tcPr>
            <w:tcW w:w="1063" w:type="dxa"/>
            <w:tcBorders>
              <w:top w:val="single" w:sz="4" w:space="0" w:color="auto"/>
              <w:left w:val="single" w:sz="4" w:space="0" w:color="auto"/>
              <w:bottom w:val="single" w:sz="4" w:space="0" w:color="auto"/>
              <w:right w:val="nil"/>
            </w:tcBorders>
          </w:tcPr>
          <w:p w:rsidR="0060519C" w:rsidRPr="000B2BDD" w:rsidRDefault="0060519C" w:rsidP="00F732EE">
            <w:pPr>
              <w:jc w:val="center"/>
              <w:rPr>
                <w:b/>
                <w:bCs/>
                <w:sz w:val="24"/>
                <w:szCs w:val="24"/>
                <w:lang w:val="en-GB" w:eastAsia="de-DE"/>
              </w:rPr>
            </w:pPr>
          </w:p>
        </w:tc>
      </w:tr>
      <w:tr w:rsidR="0060519C" w:rsidRPr="000B2BDD" w:rsidTr="00227089">
        <w:trPr>
          <w:cantSplit/>
          <w:trHeight w:hRule="exact" w:val="284"/>
        </w:trPr>
        <w:tc>
          <w:tcPr>
            <w:tcW w:w="4361" w:type="dxa"/>
            <w:tcBorders>
              <w:top w:val="single" w:sz="4" w:space="0" w:color="auto"/>
              <w:left w:val="nil"/>
              <w:bottom w:val="single" w:sz="4" w:space="0" w:color="auto"/>
              <w:right w:val="single" w:sz="4" w:space="0" w:color="auto"/>
            </w:tcBorders>
          </w:tcPr>
          <w:p w:rsidR="0060519C" w:rsidRPr="000B2BDD" w:rsidRDefault="0060519C" w:rsidP="00F732EE">
            <w:pPr>
              <w:rPr>
                <w:bCs/>
                <w:sz w:val="24"/>
                <w:szCs w:val="24"/>
                <w:lang w:val="en-GB" w:eastAsia="de-DE"/>
              </w:rPr>
            </w:pPr>
            <w:r w:rsidRPr="000B2BDD">
              <w:rPr>
                <w:bCs/>
                <w:sz w:val="24"/>
                <w:szCs w:val="24"/>
                <w:lang w:val="en-GB" w:eastAsia="de-DE"/>
              </w:rPr>
              <w:t xml:space="preserve">Patent </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1</w:t>
            </w:r>
            <w:r w:rsidR="00227089">
              <w:rPr>
                <w:bCs/>
                <w:sz w:val="24"/>
                <w:szCs w:val="24"/>
                <w:lang w:val="en-GB" w:eastAsia="de-DE"/>
              </w:rPr>
              <w:t>,</w:t>
            </w:r>
            <w:r w:rsidRPr="000B2BDD">
              <w:rPr>
                <w:bCs/>
                <w:sz w:val="24"/>
                <w:szCs w:val="24"/>
                <w:lang w:val="en-GB" w:eastAsia="de-DE"/>
              </w:rPr>
              <w:t>439</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1</w:t>
            </w:r>
            <w:r w:rsidR="00227089">
              <w:rPr>
                <w:bCs/>
                <w:sz w:val="24"/>
                <w:szCs w:val="24"/>
                <w:lang w:val="en-GB" w:eastAsia="de-DE"/>
              </w:rPr>
              <w:t>,</w:t>
            </w:r>
            <w:r w:rsidRPr="000B2BDD">
              <w:rPr>
                <w:bCs/>
                <w:sz w:val="24"/>
                <w:szCs w:val="24"/>
                <w:lang w:val="en-GB" w:eastAsia="de-DE"/>
              </w:rPr>
              <w:t>256</w:t>
            </w:r>
          </w:p>
        </w:tc>
        <w:tc>
          <w:tcPr>
            <w:tcW w:w="1063" w:type="dxa"/>
            <w:tcBorders>
              <w:top w:val="single" w:sz="4" w:space="0" w:color="auto"/>
              <w:left w:val="single" w:sz="4" w:space="0" w:color="auto"/>
              <w:bottom w:val="single" w:sz="4" w:space="0" w:color="auto"/>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962</w:t>
            </w:r>
          </w:p>
        </w:tc>
        <w:tc>
          <w:tcPr>
            <w:tcW w:w="1063" w:type="dxa"/>
            <w:tcBorders>
              <w:top w:val="single" w:sz="4" w:space="0" w:color="auto"/>
              <w:left w:val="single" w:sz="4" w:space="0" w:color="auto"/>
              <w:bottom w:val="single" w:sz="4" w:space="0" w:color="auto"/>
              <w:right w:val="nil"/>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1</w:t>
            </w:r>
            <w:r w:rsidR="00227089">
              <w:rPr>
                <w:bCs/>
                <w:sz w:val="24"/>
                <w:szCs w:val="24"/>
                <w:lang w:val="en-GB" w:eastAsia="de-DE"/>
              </w:rPr>
              <w:t>,</w:t>
            </w:r>
            <w:r w:rsidRPr="000B2BDD">
              <w:rPr>
                <w:bCs/>
                <w:sz w:val="24"/>
                <w:szCs w:val="24"/>
                <w:lang w:val="en-GB" w:eastAsia="de-DE"/>
              </w:rPr>
              <w:t>356</w:t>
            </w:r>
          </w:p>
        </w:tc>
      </w:tr>
      <w:tr w:rsidR="0060519C" w:rsidRPr="000B2BDD" w:rsidTr="00227089">
        <w:trPr>
          <w:cantSplit/>
          <w:trHeight w:hRule="exact" w:val="284"/>
        </w:trPr>
        <w:tc>
          <w:tcPr>
            <w:tcW w:w="4361" w:type="dxa"/>
            <w:tcBorders>
              <w:top w:val="single" w:sz="4" w:space="0" w:color="auto"/>
              <w:left w:val="nil"/>
              <w:bottom w:val="nil"/>
              <w:right w:val="single" w:sz="4" w:space="0" w:color="auto"/>
            </w:tcBorders>
          </w:tcPr>
          <w:p w:rsidR="0060519C" w:rsidRPr="000B2BDD" w:rsidRDefault="0060519C" w:rsidP="00F732EE">
            <w:pPr>
              <w:rPr>
                <w:bCs/>
                <w:sz w:val="24"/>
                <w:szCs w:val="24"/>
                <w:lang w:val="en-GB" w:eastAsia="de-DE"/>
              </w:rPr>
            </w:pPr>
            <w:r w:rsidRPr="000B2BDD">
              <w:rPr>
                <w:bCs/>
                <w:sz w:val="24"/>
                <w:szCs w:val="24"/>
                <w:lang w:val="en-GB" w:eastAsia="de-DE"/>
              </w:rPr>
              <w:t>Utility model</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686</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582</w:t>
            </w:r>
          </w:p>
        </w:tc>
        <w:tc>
          <w:tcPr>
            <w:tcW w:w="1063" w:type="dxa"/>
            <w:tcBorders>
              <w:top w:val="single" w:sz="4" w:space="0" w:color="auto"/>
              <w:left w:val="single" w:sz="4" w:space="0" w:color="auto"/>
              <w:bottom w:val="nil"/>
              <w:right w:val="single" w:sz="4" w:space="0" w:color="auto"/>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488</w:t>
            </w:r>
          </w:p>
        </w:tc>
        <w:tc>
          <w:tcPr>
            <w:tcW w:w="1063" w:type="dxa"/>
            <w:tcBorders>
              <w:top w:val="single" w:sz="4" w:space="0" w:color="auto"/>
              <w:left w:val="single" w:sz="4" w:space="0" w:color="auto"/>
              <w:bottom w:val="nil"/>
              <w:right w:val="nil"/>
            </w:tcBorders>
            <w:tcMar>
              <w:right w:w="284" w:type="dxa"/>
            </w:tcMar>
            <w:vAlign w:val="center"/>
          </w:tcPr>
          <w:p w:rsidR="0060519C" w:rsidRPr="000B2BDD" w:rsidRDefault="0060519C" w:rsidP="00227089">
            <w:pPr>
              <w:jc w:val="right"/>
              <w:rPr>
                <w:bCs/>
                <w:sz w:val="24"/>
                <w:szCs w:val="24"/>
                <w:lang w:val="en-GB" w:eastAsia="de-DE"/>
              </w:rPr>
            </w:pPr>
            <w:r w:rsidRPr="000B2BDD">
              <w:rPr>
                <w:bCs/>
                <w:sz w:val="24"/>
                <w:szCs w:val="24"/>
                <w:lang w:val="en-GB" w:eastAsia="de-DE"/>
              </w:rPr>
              <w:t>604</w:t>
            </w:r>
          </w:p>
        </w:tc>
      </w:tr>
    </w:tbl>
    <w:p w:rsidR="0060519C" w:rsidRDefault="0060519C" w:rsidP="0060519C">
      <w:pPr>
        <w:rPr>
          <w:b/>
          <w:bCs/>
          <w:lang w:val="de-DE" w:eastAsia="de-DE"/>
        </w:rPr>
      </w:pPr>
    </w:p>
    <w:p w:rsidR="0060519C" w:rsidRDefault="0060519C" w:rsidP="00135CEA">
      <w:pPr>
        <w:pStyle w:val="Sub-heading"/>
      </w:pPr>
      <w:r>
        <w:t>Number of national patents grant - by technical field</w:t>
      </w:r>
    </w:p>
    <w:tbl>
      <w:tblPr>
        <w:tblW w:w="8520"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4268"/>
        <w:gridCol w:w="1063"/>
        <w:gridCol w:w="1063"/>
        <w:gridCol w:w="1063"/>
        <w:gridCol w:w="1063"/>
      </w:tblGrid>
      <w:tr w:rsidR="0060519C" w:rsidTr="00F732EE">
        <w:trPr>
          <w:trHeight w:hRule="exact" w:val="284"/>
        </w:trPr>
        <w:tc>
          <w:tcPr>
            <w:tcW w:w="4268" w:type="dxa"/>
            <w:tcBorders>
              <w:top w:val="nil"/>
              <w:left w:val="nil"/>
              <w:bottom w:val="single" w:sz="8" w:space="0" w:color="000000"/>
              <w:right w:val="single" w:sz="8" w:space="0" w:color="000000"/>
            </w:tcBorders>
            <w:noWrap/>
            <w:vAlign w:val="center"/>
          </w:tcPr>
          <w:p w:rsidR="0060519C" w:rsidRDefault="0060519C" w:rsidP="00F732EE">
            <w:pPr>
              <w:rPr>
                <w:b/>
                <w:bCs/>
                <w:color w:val="000000"/>
                <w:sz w:val="21"/>
                <w:szCs w:val="21"/>
                <w:lang w:eastAsia="de-AT"/>
              </w:rPr>
            </w:pPr>
            <w:r>
              <w:rPr>
                <w:b/>
                <w:bCs/>
              </w:rPr>
              <w:t>Technical Field</w:t>
            </w:r>
          </w:p>
        </w:tc>
        <w:tc>
          <w:tcPr>
            <w:tcW w:w="1063"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2012</w:t>
            </w:r>
          </w:p>
        </w:tc>
        <w:tc>
          <w:tcPr>
            <w:tcW w:w="1063"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2013</w:t>
            </w:r>
          </w:p>
        </w:tc>
        <w:tc>
          <w:tcPr>
            <w:tcW w:w="1063"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2014</w:t>
            </w:r>
          </w:p>
        </w:tc>
        <w:tc>
          <w:tcPr>
            <w:tcW w:w="1063" w:type="dxa"/>
            <w:tcBorders>
              <w:top w:val="nil"/>
              <w:left w:val="single" w:sz="8" w:space="0" w:color="000000"/>
              <w:bottom w:val="single" w:sz="8" w:space="0" w:color="000000"/>
              <w:right w:val="nil"/>
            </w:tcBorders>
            <w:shd w:val="clear" w:color="auto" w:fill="FFFFFF"/>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2015</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noWrap/>
            <w:vAlign w:val="bottom"/>
          </w:tcPr>
          <w:p w:rsidR="0060519C" w:rsidRDefault="0060519C" w:rsidP="00F732EE">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0519C" w:rsidRDefault="0060519C" w:rsidP="00F732EE">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0519C" w:rsidRDefault="0060519C" w:rsidP="00F732EE">
            <w:pPr>
              <w:rPr>
                <w:color w:val="000000"/>
                <w:sz w:val="6"/>
                <w:lang w:eastAsia="de-AT"/>
              </w:rPr>
            </w:pPr>
          </w:p>
        </w:tc>
        <w:tc>
          <w:tcPr>
            <w:tcW w:w="1063" w:type="dxa"/>
            <w:tcBorders>
              <w:top w:val="single" w:sz="8" w:space="0" w:color="000000"/>
              <w:left w:val="single" w:sz="8" w:space="0" w:color="000000"/>
              <w:bottom w:val="single" w:sz="8" w:space="0" w:color="000000"/>
              <w:right w:val="single" w:sz="8" w:space="0" w:color="000000"/>
            </w:tcBorders>
            <w:noWrap/>
            <w:vAlign w:val="bottom"/>
          </w:tcPr>
          <w:p w:rsidR="0060519C" w:rsidRDefault="0060519C" w:rsidP="00F732EE">
            <w:pPr>
              <w:rPr>
                <w:color w:val="000000"/>
                <w:sz w:val="6"/>
                <w:lang w:eastAsia="de-AT"/>
              </w:rPr>
            </w:pPr>
          </w:p>
        </w:tc>
        <w:tc>
          <w:tcPr>
            <w:tcW w:w="1063" w:type="dxa"/>
            <w:tcBorders>
              <w:top w:val="single" w:sz="8" w:space="0" w:color="000000"/>
              <w:left w:val="single" w:sz="8" w:space="0" w:color="000000"/>
              <w:bottom w:val="single" w:sz="8" w:space="0" w:color="000000"/>
              <w:right w:val="nil"/>
            </w:tcBorders>
            <w:noWrap/>
            <w:vAlign w:val="bottom"/>
          </w:tcPr>
          <w:p w:rsidR="0060519C" w:rsidRDefault="0060519C" w:rsidP="00F732EE">
            <w:pPr>
              <w:rPr>
                <w:color w:val="000000"/>
                <w:sz w:val="6"/>
                <w:lang w:eastAsia="de-AT"/>
              </w:rPr>
            </w:pP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vAlign w:val="center"/>
          </w:tcPr>
          <w:p w:rsidR="0060519C" w:rsidRDefault="0060519C" w:rsidP="00F732EE">
            <w:pPr>
              <w:rPr>
                <w:color w:val="000000"/>
                <w:sz w:val="20"/>
                <w:szCs w:val="24"/>
                <w:lang w:eastAsia="de-AT"/>
              </w:rPr>
            </w:pPr>
            <w:r>
              <w:rPr>
                <w:color w:val="000000"/>
                <w:sz w:val="20"/>
                <w:lang w:eastAsia="de-AT"/>
              </w:rPr>
              <w:t>1 - Electrical machinery, apparatus, energy</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80</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80</w:t>
            </w:r>
          </w:p>
        </w:tc>
        <w:tc>
          <w:tcPr>
            <w:tcW w:w="1063" w:type="dxa"/>
            <w:tcBorders>
              <w:top w:val="single" w:sz="8" w:space="0" w:color="000000"/>
              <w:left w:val="single" w:sz="8" w:space="0" w:color="000000"/>
              <w:bottom w:val="single" w:sz="8" w:space="0" w:color="000000"/>
              <w:right w:val="nil"/>
            </w:tcBorders>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122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2 - Audio-visual 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17</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3 - Telecommunications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4 - Digital communication</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5 - Basic communication processes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6 - Computer 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14</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7 - IT methods for management</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8 - Semiconductors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10</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9 - Optics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16</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10 - Measurement</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43</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81</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11 - Analysis of biological materials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12 - Control</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26</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13 - Medical 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33</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14 - Organic fine chemistry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15 - Biotechnology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16 - Pharmaceuticals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17 - Macromolecular chemistry, polymers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18 - Food chemistry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10</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11</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19 - Basic materials chemistry</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20 - Materials, metallurgy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34</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16</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17</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21 - Surface technology, coating</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29</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val="en-GB" w:eastAsia="de-AT"/>
              </w:rPr>
            </w:pPr>
            <w:r>
              <w:rPr>
                <w:color w:val="000000"/>
                <w:sz w:val="20"/>
                <w:lang w:val="en-GB" w:eastAsia="de-AT"/>
              </w:rPr>
              <w:t xml:space="preserve">22 - Micro-structural and </w:t>
            </w:r>
            <w:proofErr w:type="spellStart"/>
            <w:r>
              <w:rPr>
                <w:color w:val="000000"/>
                <w:sz w:val="20"/>
                <w:lang w:val="en-GB" w:eastAsia="de-AT"/>
              </w:rPr>
              <w:t>nano</w:t>
            </w:r>
            <w:proofErr w:type="spellEnd"/>
            <w:r>
              <w:rPr>
                <w:color w:val="000000"/>
                <w:sz w:val="20"/>
                <w:lang w:val="en-GB" w:eastAsia="de-AT"/>
              </w:rPr>
              <w:t>-technology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 </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 </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23 - Chemical engineering</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28</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38</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24 - Environmental technology</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26</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19</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25 - Handling</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69</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26 - Machine tools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100</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73</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71</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86</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27 - Engines, pumps, turbines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87</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88</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58</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28 - Textile and paper machines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44</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28</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47</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29 - Other special machines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93</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70</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84</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138</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30 - Thermal processes and apparatus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56</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31 - Mechanical elements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86</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47</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54</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32 - Transport</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79</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69</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102</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33 - Furniture, games</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105</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81</w:t>
            </w:r>
          </w:p>
        </w:tc>
        <w:tc>
          <w:tcPr>
            <w:tcW w:w="1063" w:type="dxa"/>
            <w:tcBorders>
              <w:top w:val="single" w:sz="8" w:space="0" w:color="000000"/>
              <w:left w:val="single" w:sz="8" w:space="0" w:color="000000"/>
              <w:bottom w:val="single" w:sz="8" w:space="0" w:color="000000"/>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49</w:t>
            </w:r>
          </w:p>
        </w:tc>
        <w:tc>
          <w:tcPr>
            <w:tcW w:w="1063" w:type="dxa"/>
            <w:tcBorders>
              <w:top w:val="single" w:sz="8" w:space="0" w:color="000000"/>
              <w:left w:val="single" w:sz="8" w:space="0" w:color="000000"/>
              <w:bottom w:val="single" w:sz="8" w:space="0" w:color="000000"/>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75</w:t>
            </w:r>
          </w:p>
        </w:tc>
      </w:tr>
      <w:tr w:rsidR="0060519C" w:rsidTr="00F732EE">
        <w:trPr>
          <w:trHeight w:hRule="exact" w:val="284"/>
        </w:trPr>
        <w:tc>
          <w:tcPr>
            <w:tcW w:w="4268" w:type="dxa"/>
            <w:tcBorders>
              <w:top w:val="single" w:sz="8" w:space="0" w:color="000000"/>
              <w:left w:val="nil"/>
              <w:bottom w:val="single" w:sz="8" w:space="0" w:color="000000"/>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34 - Other consumer goods</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38</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45</w:t>
            </w:r>
          </w:p>
        </w:tc>
        <w:tc>
          <w:tcPr>
            <w:tcW w:w="1063"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22</w:t>
            </w:r>
          </w:p>
        </w:tc>
        <w:tc>
          <w:tcPr>
            <w:tcW w:w="1063" w:type="dxa"/>
            <w:tcBorders>
              <w:top w:val="single" w:sz="8" w:space="0" w:color="000000"/>
              <w:left w:val="single" w:sz="8" w:space="0" w:color="000000"/>
              <w:bottom w:val="single" w:sz="8" w:space="0" w:color="000000"/>
              <w:right w:val="nil"/>
            </w:tcBorders>
            <w:shd w:val="clear" w:color="auto" w:fill="FFFFFF"/>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44</w:t>
            </w:r>
          </w:p>
        </w:tc>
      </w:tr>
      <w:tr w:rsidR="0060519C" w:rsidTr="00F732EE">
        <w:trPr>
          <w:trHeight w:hRule="exact" w:val="284"/>
        </w:trPr>
        <w:tc>
          <w:tcPr>
            <w:tcW w:w="4268" w:type="dxa"/>
            <w:tcBorders>
              <w:top w:val="single" w:sz="8" w:space="0" w:color="000000"/>
              <w:left w:val="nil"/>
              <w:bottom w:val="nil"/>
              <w:right w:val="single" w:sz="8" w:space="0" w:color="000000"/>
            </w:tcBorders>
            <w:shd w:val="clear" w:color="auto" w:fill="FAFAFA"/>
            <w:vAlign w:val="center"/>
          </w:tcPr>
          <w:p w:rsidR="0060519C" w:rsidRDefault="0060519C" w:rsidP="00F732EE">
            <w:pPr>
              <w:rPr>
                <w:color w:val="000000"/>
                <w:sz w:val="20"/>
                <w:szCs w:val="24"/>
                <w:lang w:eastAsia="de-AT"/>
              </w:rPr>
            </w:pPr>
            <w:r>
              <w:rPr>
                <w:color w:val="000000"/>
                <w:sz w:val="20"/>
                <w:lang w:eastAsia="de-AT"/>
              </w:rPr>
              <w:t>35 - Civil engineering</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189</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157</w:t>
            </w:r>
          </w:p>
        </w:tc>
        <w:tc>
          <w:tcPr>
            <w:tcW w:w="1063" w:type="dxa"/>
            <w:tcBorders>
              <w:top w:val="single" w:sz="8" w:space="0" w:color="000000"/>
              <w:left w:val="single" w:sz="8" w:space="0" w:color="000000"/>
              <w:bottom w:val="nil"/>
              <w:right w:val="single" w:sz="8" w:space="0" w:color="000000"/>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119</w:t>
            </w:r>
          </w:p>
        </w:tc>
        <w:tc>
          <w:tcPr>
            <w:tcW w:w="1063" w:type="dxa"/>
            <w:tcBorders>
              <w:top w:val="single" w:sz="8" w:space="0" w:color="000000"/>
              <w:left w:val="single" w:sz="8" w:space="0" w:color="000000"/>
              <w:bottom w:val="nil"/>
              <w:right w:val="nil"/>
            </w:tcBorders>
            <w:shd w:val="clear" w:color="auto" w:fill="FAFAFA"/>
            <w:noWrap/>
            <w:vAlign w:val="center"/>
          </w:tcPr>
          <w:p w:rsidR="0060519C" w:rsidRDefault="0060519C" w:rsidP="00227089">
            <w:pPr>
              <w:tabs>
                <w:tab w:val="left" w:pos="822"/>
              </w:tabs>
              <w:ind w:right="284"/>
              <w:jc w:val="right"/>
              <w:rPr>
                <w:color w:val="000000"/>
                <w:sz w:val="20"/>
                <w:szCs w:val="24"/>
                <w:lang w:eastAsia="de-AT"/>
              </w:rPr>
            </w:pPr>
            <w:r>
              <w:rPr>
                <w:color w:val="000000"/>
                <w:sz w:val="20"/>
                <w:lang w:eastAsia="de-AT"/>
              </w:rPr>
              <w:t>157</w:t>
            </w:r>
          </w:p>
        </w:tc>
      </w:tr>
    </w:tbl>
    <w:p w:rsidR="0060519C" w:rsidRDefault="0060519C" w:rsidP="0060519C">
      <w:pPr>
        <w:rPr>
          <w:i/>
          <w:iCs/>
          <w:lang w:val="de-DE" w:eastAsia="de-DE"/>
        </w:rPr>
      </w:pPr>
    </w:p>
    <w:p w:rsidR="0060519C" w:rsidRDefault="0060519C" w:rsidP="00135CEA">
      <w:pPr>
        <w:pStyle w:val="Sub-heading"/>
      </w:pPr>
      <w:r>
        <w:t>Number of national applications received – by route</w:t>
      </w:r>
    </w:p>
    <w:tbl>
      <w:tblPr>
        <w:tblW w:w="8613" w:type="dxa"/>
        <w:tblBorders>
          <w:insideH w:val="single" w:sz="4" w:space="0" w:color="auto"/>
          <w:insideV w:val="single" w:sz="4" w:space="0" w:color="auto"/>
        </w:tblBorders>
        <w:tblLook w:val="04A0" w:firstRow="1" w:lastRow="0" w:firstColumn="1" w:lastColumn="0" w:noHBand="0" w:noVBand="1"/>
      </w:tblPr>
      <w:tblGrid>
        <w:gridCol w:w="4361"/>
        <w:gridCol w:w="1063"/>
        <w:gridCol w:w="1063"/>
        <w:gridCol w:w="1063"/>
        <w:gridCol w:w="1063"/>
      </w:tblGrid>
      <w:tr w:rsidR="0060519C" w:rsidTr="00F732EE">
        <w:trPr>
          <w:cantSplit/>
          <w:trHeight w:hRule="exact" w:val="284"/>
        </w:trPr>
        <w:tc>
          <w:tcPr>
            <w:tcW w:w="4361" w:type="dxa"/>
            <w:tcBorders>
              <w:top w:val="nil"/>
              <w:left w:val="nil"/>
              <w:bottom w:val="single" w:sz="4" w:space="0" w:color="auto"/>
              <w:right w:val="single" w:sz="4" w:space="0" w:color="auto"/>
            </w:tcBorders>
          </w:tcPr>
          <w:p w:rsidR="0060519C" w:rsidRDefault="0060519C" w:rsidP="00135CEA">
            <w:pPr>
              <w:keepNext/>
              <w:keepLines/>
              <w:rPr>
                <w:sz w:val="24"/>
                <w:szCs w:val="24"/>
                <w:lang w:val="de-DE" w:eastAsia="de-DE"/>
              </w:rPr>
            </w:pPr>
            <w:r>
              <w:t>Route</w:t>
            </w:r>
          </w:p>
        </w:tc>
        <w:tc>
          <w:tcPr>
            <w:tcW w:w="1063" w:type="dxa"/>
            <w:tcBorders>
              <w:top w:val="nil"/>
              <w:left w:val="single" w:sz="4" w:space="0" w:color="auto"/>
              <w:bottom w:val="single" w:sz="4" w:space="0" w:color="auto"/>
              <w:right w:val="single" w:sz="4" w:space="0" w:color="auto"/>
            </w:tcBorders>
            <w:vAlign w:val="center"/>
          </w:tcPr>
          <w:p w:rsidR="0060519C" w:rsidRDefault="0060519C" w:rsidP="00135CEA">
            <w:pPr>
              <w:keepNext/>
              <w:keepLines/>
              <w:jc w:val="center"/>
              <w:rPr>
                <w:b/>
                <w:sz w:val="24"/>
                <w:szCs w:val="24"/>
                <w:lang w:val="de-DE" w:eastAsia="de-DE"/>
              </w:rPr>
            </w:pPr>
            <w:r>
              <w:rPr>
                <w:b/>
              </w:rPr>
              <w:t>2012</w:t>
            </w:r>
          </w:p>
        </w:tc>
        <w:tc>
          <w:tcPr>
            <w:tcW w:w="1063" w:type="dxa"/>
            <w:tcBorders>
              <w:top w:val="nil"/>
              <w:left w:val="single" w:sz="4" w:space="0" w:color="auto"/>
              <w:bottom w:val="single" w:sz="4" w:space="0" w:color="auto"/>
              <w:right w:val="single" w:sz="4" w:space="0" w:color="auto"/>
            </w:tcBorders>
            <w:vAlign w:val="center"/>
          </w:tcPr>
          <w:p w:rsidR="0060519C" w:rsidRDefault="0060519C" w:rsidP="00135CEA">
            <w:pPr>
              <w:keepNext/>
              <w:keepLines/>
              <w:jc w:val="center"/>
              <w:rPr>
                <w:b/>
                <w:sz w:val="24"/>
                <w:szCs w:val="24"/>
                <w:lang w:val="de-DE" w:eastAsia="de-DE"/>
              </w:rPr>
            </w:pPr>
            <w:r>
              <w:rPr>
                <w:b/>
              </w:rPr>
              <w:t>2013</w:t>
            </w:r>
          </w:p>
        </w:tc>
        <w:tc>
          <w:tcPr>
            <w:tcW w:w="1063" w:type="dxa"/>
            <w:tcBorders>
              <w:top w:val="nil"/>
              <w:left w:val="single" w:sz="4" w:space="0" w:color="auto"/>
              <w:bottom w:val="single" w:sz="4" w:space="0" w:color="auto"/>
              <w:right w:val="single" w:sz="4" w:space="0" w:color="auto"/>
            </w:tcBorders>
            <w:vAlign w:val="center"/>
          </w:tcPr>
          <w:p w:rsidR="0060519C" w:rsidRDefault="0060519C" w:rsidP="00135CEA">
            <w:pPr>
              <w:keepNext/>
              <w:keepLines/>
              <w:jc w:val="center"/>
              <w:rPr>
                <w:b/>
                <w:sz w:val="24"/>
                <w:szCs w:val="24"/>
                <w:lang w:val="de-DE" w:eastAsia="de-DE"/>
              </w:rPr>
            </w:pPr>
            <w:r>
              <w:rPr>
                <w:b/>
              </w:rPr>
              <w:t>2014</w:t>
            </w:r>
          </w:p>
        </w:tc>
        <w:tc>
          <w:tcPr>
            <w:tcW w:w="1063" w:type="dxa"/>
            <w:tcBorders>
              <w:top w:val="nil"/>
              <w:left w:val="single" w:sz="4" w:space="0" w:color="auto"/>
              <w:bottom w:val="single" w:sz="4" w:space="0" w:color="auto"/>
              <w:right w:val="nil"/>
            </w:tcBorders>
            <w:vAlign w:val="center"/>
          </w:tcPr>
          <w:p w:rsidR="0060519C" w:rsidRDefault="0060519C" w:rsidP="00135CEA">
            <w:pPr>
              <w:keepNext/>
              <w:keepLines/>
              <w:jc w:val="center"/>
              <w:rPr>
                <w:b/>
                <w:sz w:val="24"/>
                <w:szCs w:val="24"/>
                <w:lang w:val="de-DE" w:eastAsia="de-DE"/>
              </w:rPr>
            </w:pPr>
            <w:r>
              <w:rPr>
                <w:b/>
              </w:rPr>
              <w:t>2015</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135CEA">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135CEA">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135CEA">
            <w:pPr>
              <w:keepNext/>
              <w:keepLines/>
              <w:jc w:val="center"/>
              <w:rPr>
                <w:sz w:val="6"/>
                <w:szCs w:val="24"/>
                <w:lang w:val="de-DE" w:eastAsia="de-DE"/>
              </w:rPr>
            </w:pPr>
          </w:p>
        </w:tc>
        <w:tc>
          <w:tcPr>
            <w:tcW w:w="1063" w:type="dxa"/>
            <w:tcBorders>
              <w:top w:val="single" w:sz="4" w:space="0" w:color="auto"/>
              <w:left w:val="single" w:sz="4" w:space="0" w:color="auto"/>
              <w:bottom w:val="single" w:sz="4" w:space="0" w:color="auto"/>
              <w:right w:val="nil"/>
            </w:tcBorders>
            <w:vAlign w:val="center"/>
          </w:tcPr>
          <w:p w:rsidR="0060519C" w:rsidRDefault="0060519C" w:rsidP="00135CEA">
            <w:pPr>
              <w:keepNext/>
              <w:keepLines/>
              <w:jc w:val="center"/>
              <w:rPr>
                <w:sz w:val="6"/>
                <w:szCs w:val="24"/>
                <w:lang w:val="de-DE" w:eastAsia="de-DE"/>
              </w:rPr>
            </w:pP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en-GB" w:eastAsia="de-DE"/>
              </w:rPr>
            </w:pPr>
            <w:r>
              <w:rPr>
                <w:lang w:val="en-GB"/>
              </w:rPr>
              <w:t>Patent - National first filing + Paris priority</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2</w:t>
            </w:r>
            <w:r w:rsidR="00227089">
              <w:t>,</w:t>
            </w:r>
            <w:r>
              <w:t>002</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1</w:t>
            </w:r>
            <w:r w:rsidR="00227089">
              <w:t>,</w:t>
            </w:r>
            <w:r>
              <w:t>873</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1</w:t>
            </w:r>
            <w:r w:rsidR="00227089">
              <w:t>,</w:t>
            </w:r>
            <w:r>
              <w:t>901</w:t>
            </w:r>
          </w:p>
        </w:tc>
        <w:tc>
          <w:tcPr>
            <w:tcW w:w="1063" w:type="dxa"/>
            <w:tcBorders>
              <w:top w:val="single" w:sz="4" w:space="0" w:color="auto"/>
              <w:left w:val="single" w:sz="4" w:space="0" w:color="auto"/>
              <w:bottom w:val="single" w:sz="4" w:space="0" w:color="auto"/>
              <w:right w:val="nil"/>
            </w:tcBorders>
            <w:vAlign w:val="center"/>
          </w:tcPr>
          <w:p w:rsidR="0060519C" w:rsidRDefault="0060519C" w:rsidP="00227089">
            <w:pPr>
              <w:keepNext/>
              <w:keepLines/>
              <w:ind w:right="170"/>
              <w:jc w:val="right"/>
              <w:rPr>
                <w:sz w:val="24"/>
                <w:szCs w:val="24"/>
                <w:lang w:val="de-DE" w:eastAsia="de-DE"/>
              </w:rPr>
            </w:pPr>
            <w:r>
              <w:t>1</w:t>
            </w:r>
            <w:r w:rsidR="00227089">
              <w:t>,</w:t>
            </w:r>
            <w:r>
              <w:t>954</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en-GB" w:eastAsia="de-DE"/>
              </w:rPr>
            </w:pPr>
            <w:r>
              <w:rPr>
                <w:lang w:val="en-GB"/>
              </w:rPr>
              <w:t>Patent - PCT national phase entry</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550</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533</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462</w:t>
            </w:r>
          </w:p>
        </w:tc>
        <w:tc>
          <w:tcPr>
            <w:tcW w:w="1063" w:type="dxa"/>
            <w:tcBorders>
              <w:top w:val="single" w:sz="4" w:space="0" w:color="auto"/>
              <w:left w:val="single" w:sz="4" w:space="0" w:color="auto"/>
              <w:bottom w:val="single" w:sz="4" w:space="0" w:color="auto"/>
              <w:right w:val="nil"/>
            </w:tcBorders>
            <w:vAlign w:val="center"/>
          </w:tcPr>
          <w:p w:rsidR="0060519C" w:rsidRDefault="0060519C" w:rsidP="00227089">
            <w:pPr>
              <w:keepNext/>
              <w:keepLines/>
              <w:ind w:right="170"/>
              <w:jc w:val="right"/>
              <w:rPr>
                <w:sz w:val="24"/>
                <w:szCs w:val="24"/>
                <w:lang w:val="de-DE" w:eastAsia="de-DE"/>
              </w:rPr>
            </w:pPr>
            <w:r>
              <w:t>487</w:t>
            </w:r>
          </w:p>
        </w:tc>
      </w:tr>
      <w:tr w:rsidR="0060519C" w:rsidTr="00F732EE">
        <w:trPr>
          <w:cantSplit/>
          <w:trHeight w:hRule="exact" w:val="284"/>
        </w:trPr>
        <w:tc>
          <w:tcPr>
            <w:tcW w:w="4361" w:type="dxa"/>
            <w:tcBorders>
              <w:top w:val="single" w:sz="4" w:space="0" w:color="auto"/>
              <w:left w:val="nil"/>
              <w:bottom w:val="single" w:sz="4" w:space="0" w:color="auto"/>
              <w:right w:val="single" w:sz="4" w:space="0" w:color="auto"/>
            </w:tcBorders>
          </w:tcPr>
          <w:p w:rsidR="0060519C" w:rsidRDefault="0060519C" w:rsidP="00135CEA">
            <w:pPr>
              <w:keepNext/>
              <w:keepLines/>
              <w:rPr>
                <w:sz w:val="24"/>
                <w:szCs w:val="24"/>
                <w:lang w:val="en-GB" w:eastAsia="de-DE"/>
              </w:rPr>
            </w:pPr>
            <w:r>
              <w:rPr>
                <w:lang w:val="en-GB"/>
              </w:rPr>
              <w:t>Utility model - National first filing/internal priority</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694</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741</w:t>
            </w:r>
          </w:p>
        </w:tc>
        <w:tc>
          <w:tcPr>
            <w:tcW w:w="1063" w:type="dxa"/>
            <w:tcBorders>
              <w:top w:val="single" w:sz="4" w:space="0" w:color="auto"/>
              <w:left w:val="single" w:sz="4" w:space="0" w:color="auto"/>
              <w:bottom w:val="single" w:sz="4" w:space="0" w:color="auto"/>
              <w:right w:val="single" w:sz="4" w:space="0" w:color="auto"/>
            </w:tcBorders>
            <w:vAlign w:val="center"/>
          </w:tcPr>
          <w:p w:rsidR="0060519C" w:rsidRDefault="0060519C" w:rsidP="00227089">
            <w:pPr>
              <w:keepNext/>
              <w:keepLines/>
              <w:ind w:right="170"/>
              <w:jc w:val="right"/>
              <w:rPr>
                <w:sz w:val="24"/>
                <w:szCs w:val="24"/>
                <w:lang w:val="de-DE" w:eastAsia="de-DE"/>
              </w:rPr>
            </w:pPr>
            <w:r>
              <w:t>724</w:t>
            </w:r>
          </w:p>
        </w:tc>
        <w:tc>
          <w:tcPr>
            <w:tcW w:w="1063" w:type="dxa"/>
            <w:tcBorders>
              <w:top w:val="single" w:sz="4" w:space="0" w:color="auto"/>
              <w:left w:val="single" w:sz="4" w:space="0" w:color="auto"/>
              <w:bottom w:val="single" w:sz="4" w:space="0" w:color="auto"/>
              <w:right w:val="nil"/>
            </w:tcBorders>
            <w:vAlign w:val="center"/>
          </w:tcPr>
          <w:p w:rsidR="0060519C" w:rsidRDefault="0060519C" w:rsidP="00227089">
            <w:pPr>
              <w:keepNext/>
              <w:keepLines/>
              <w:ind w:right="170"/>
              <w:jc w:val="right"/>
              <w:rPr>
                <w:sz w:val="24"/>
                <w:szCs w:val="24"/>
                <w:lang w:val="de-DE" w:eastAsia="de-DE"/>
              </w:rPr>
            </w:pPr>
            <w:r>
              <w:t>713</w:t>
            </w:r>
          </w:p>
        </w:tc>
      </w:tr>
      <w:tr w:rsidR="0060519C" w:rsidTr="00F732EE">
        <w:trPr>
          <w:cantSplit/>
          <w:trHeight w:hRule="exact" w:val="284"/>
        </w:trPr>
        <w:tc>
          <w:tcPr>
            <w:tcW w:w="4361" w:type="dxa"/>
            <w:tcBorders>
              <w:top w:val="single" w:sz="4" w:space="0" w:color="auto"/>
              <w:left w:val="nil"/>
              <w:bottom w:val="nil"/>
              <w:right w:val="single" w:sz="4" w:space="0" w:color="auto"/>
            </w:tcBorders>
          </w:tcPr>
          <w:p w:rsidR="0060519C" w:rsidRDefault="0060519C" w:rsidP="00135CEA">
            <w:pPr>
              <w:keepNext/>
              <w:keepLines/>
              <w:rPr>
                <w:sz w:val="24"/>
                <w:szCs w:val="24"/>
                <w:lang w:val="en-GB" w:eastAsia="de-DE"/>
              </w:rPr>
            </w:pPr>
            <w:r>
              <w:rPr>
                <w:lang w:val="en-GB"/>
              </w:rPr>
              <w:t>Utility model - PCT national phase entry</w:t>
            </w:r>
          </w:p>
        </w:tc>
        <w:tc>
          <w:tcPr>
            <w:tcW w:w="1063" w:type="dxa"/>
            <w:tcBorders>
              <w:top w:val="single" w:sz="4" w:space="0" w:color="auto"/>
              <w:left w:val="single" w:sz="4" w:space="0" w:color="auto"/>
              <w:bottom w:val="nil"/>
              <w:right w:val="single" w:sz="4" w:space="0" w:color="auto"/>
            </w:tcBorders>
            <w:vAlign w:val="center"/>
          </w:tcPr>
          <w:p w:rsidR="0060519C" w:rsidRDefault="0060519C" w:rsidP="00227089">
            <w:pPr>
              <w:keepNext/>
              <w:keepLines/>
              <w:ind w:right="170"/>
              <w:jc w:val="right"/>
              <w:rPr>
                <w:sz w:val="24"/>
                <w:szCs w:val="24"/>
                <w:lang w:val="de-DE" w:eastAsia="de-DE"/>
              </w:rPr>
            </w:pPr>
            <w:r>
              <w:t>17</w:t>
            </w:r>
          </w:p>
        </w:tc>
        <w:tc>
          <w:tcPr>
            <w:tcW w:w="1063" w:type="dxa"/>
            <w:tcBorders>
              <w:top w:val="single" w:sz="4" w:space="0" w:color="auto"/>
              <w:left w:val="single" w:sz="4" w:space="0" w:color="auto"/>
              <w:bottom w:val="nil"/>
              <w:right w:val="single" w:sz="4" w:space="0" w:color="auto"/>
            </w:tcBorders>
            <w:vAlign w:val="center"/>
          </w:tcPr>
          <w:p w:rsidR="0060519C" w:rsidRDefault="0060519C" w:rsidP="00227089">
            <w:pPr>
              <w:keepNext/>
              <w:keepLines/>
              <w:ind w:right="170"/>
              <w:jc w:val="right"/>
              <w:rPr>
                <w:sz w:val="24"/>
                <w:szCs w:val="24"/>
                <w:lang w:val="de-DE" w:eastAsia="de-DE"/>
              </w:rPr>
            </w:pPr>
            <w:r>
              <w:t>22</w:t>
            </w:r>
          </w:p>
        </w:tc>
        <w:tc>
          <w:tcPr>
            <w:tcW w:w="1063" w:type="dxa"/>
            <w:tcBorders>
              <w:top w:val="single" w:sz="4" w:space="0" w:color="auto"/>
              <w:left w:val="single" w:sz="4" w:space="0" w:color="auto"/>
              <w:bottom w:val="nil"/>
              <w:right w:val="single" w:sz="4" w:space="0" w:color="auto"/>
            </w:tcBorders>
            <w:vAlign w:val="center"/>
          </w:tcPr>
          <w:p w:rsidR="0060519C" w:rsidRDefault="0060519C" w:rsidP="00227089">
            <w:pPr>
              <w:keepNext/>
              <w:keepLines/>
              <w:ind w:right="170"/>
              <w:jc w:val="right"/>
              <w:rPr>
                <w:sz w:val="24"/>
                <w:szCs w:val="24"/>
                <w:lang w:val="de-DE" w:eastAsia="de-DE"/>
              </w:rPr>
            </w:pPr>
            <w:r>
              <w:t>24</w:t>
            </w:r>
          </w:p>
        </w:tc>
        <w:tc>
          <w:tcPr>
            <w:tcW w:w="1063" w:type="dxa"/>
            <w:tcBorders>
              <w:top w:val="single" w:sz="4" w:space="0" w:color="auto"/>
              <w:left w:val="single" w:sz="4" w:space="0" w:color="auto"/>
              <w:bottom w:val="nil"/>
              <w:right w:val="nil"/>
            </w:tcBorders>
            <w:vAlign w:val="center"/>
          </w:tcPr>
          <w:p w:rsidR="0060519C" w:rsidRDefault="0060519C" w:rsidP="00227089">
            <w:pPr>
              <w:keepNext/>
              <w:keepLines/>
              <w:ind w:right="170"/>
              <w:jc w:val="right"/>
              <w:rPr>
                <w:sz w:val="24"/>
                <w:szCs w:val="24"/>
                <w:lang w:val="de-DE" w:eastAsia="de-DE"/>
              </w:rPr>
            </w:pPr>
            <w:r>
              <w:t>41</w:t>
            </w:r>
          </w:p>
        </w:tc>
      </w:tr>
    </w:tbl>
    <w:p w:rsidR="0060519C" w:rsidRDefault="0060519C" w:rsidP="0060519C">
      <w:pPr>
        <w:rPr>
          <w:lang w:val="de-DE" w:eastAsia="de-DE"/>
        </w:rPr>
      </w:pPr>
    </w:p>
    <w:p w:rsidR="0060519C" w:rsidRDefault="0060519C" w:rsidP="00135CEA">
      <w:pPr>
        <w:pStyle w:val="Sub-heading"/>
      </w:pPr>
      <w:r>
        <w:t>Number of international applications received</w:t>
      </w:r>
    </w:p>
    <w:tbl>
      <w:tblPr>
        <w:tblW w:w="8521"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276"/>
        <w:gridCol w:w="1106"/>
        <w:gridCol w:w="1106"/>
        <w:gridCol w:w="1106"/>
        <w:gridCol w:w="935"/>
      </w:tblGrid>
      <w:tr w:rsidR="0060519C" w:rsidTr="00F732EE">
        <w:trPr>
          <w:trHeight w:hRule="exact" w:val="284"/>
        </w:trPr>
        <w:tc>
          <w:tcPr>
            <w:tcW w:w="2992" w:type="dxa"/>
            <w:tcBorders>
              <w:top w:val="nil"/>
              <w:left w:val="nil"/>
              <w:bottom w:val="single" w:sz="8" w:space="0" w:color="000000"/>
              <w:right w:val="single" w:sz="8" w:space="0" w:color="000000"/>
            </w:tcBorders>
            <w:noWrap/>
            <w:vAlign w:val="center"/>
          </w:tcPr>
          <w:p w:rsidR="0060519C" w:rsidRDefault="0060519C" w:rsidP="00F732EE">
            <w:pPr>
              <w:rPr>
                <w:b/>
                <w:bCs/>
                <w:color w:val="000000"/>
                <w:sz w:val="21"/>
                <w:szCs w:val="21"/>
                <w:lang w:eastAsia="de-AT"/>
              </w:rPr>
            </w:pPr>
            <w:r>
              <w:rPr>
                <w:b/>
                <w:bCs/>
              </w:rPr>
              <w:t>Austrian Patent Office  as</w:t>
            </w:r>
          </w:p>
        </w:tc>
        <w:tc>
          <w:tcPr>
            <w:tcW w:w="1276"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2012</w:t>
            </w:r>
          </w:p>
        </w:tc>
        <w:tc>
          <w:tcPr>
            <w:tcW w:w="1106" w:type="dxa"/>
            <w:tcBorders>
              <w:top w:val="nil"/>
              <w:left w:val="single" w:sz="8" w:space="0" w:color="000000"/>
              <w:bottom w:val="single" w:sz="8" w:space="0" w:color="000000"/>
              <w:right w:val="single" w:sz="8" w:space="0" w:color="000000"/>
            </w:tcBorders>
            <w:vAlign w:val="center"/>
          </w:tcPr>
          <w:p w:rsidR="0060519C" w:rsidRDefault="0060519C" w:rsidP="00F732EE">
            <w:pPr>
              <w:jc w:val="center"/>
              <w:rPr>
                <w:b/>
                <w:bCs/>
                <w:color w:val="000000"/>
                <w:sz w:val="21"/>
                <w:szCs w:val="21"/>
                <w:lang w:eastAsia="de-AT"/>
              </w:rPr>
            </w:pPr>
            <w:r>
              <w:rPr>
                <w:b/>
                <w:bCs/>
                <w:color w:val="000000"/>
                <w:sz w:val="21"/>
                <w:szCs w:val="21"/>
                <w:lang w:eastAsia="de-AT"/>
              </w:rPr>
              <w:t>2013</w:t>
            </w:r>
          </w:p>
        </w:tc>
        <w:tc>
          <w:tcPr>
            <w:tcW w:w="1106"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2014</w:t>
            </w:r>
          </w:p>
        </w:tc>
        <w:tc>
          <w:tcPr>
            <w:tcW w:w="1106"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2015</w:t>
            </w:r>
          </w:p>
        </w:tc>
        <w:tc>
          <w:tcPr>
            <w:tcW w:w="935" w:type="dxa"/>
            <w:tcBorders>
              <w:top w:val="nil"/>
              <w:left w:val="single" w:sz="8" w:space="0" w:color="000000"/>
              <w:bottom w:val="single" w:sz="8" w:space="0" w:color="000000"/>
              <w:right w:val="nil"/>
            </w:tcBorders>
            <w:shd w:val="clear" w:color="auto" w:fill="FFFFFF"/>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2016</w:t>
            </w:r>
          </w:p>
        </w:tc>
      </w:tr>
      <w:tr w:rsidR="0060519C" w:rsidTr="00F732EE">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0519C" w:rsidRDefault="0060519C" w:rsidP="00F732EE">
            <w:pPr>
              <w:rPr>
                <w:color w:val="000000"/>
                <w:sz w:val="6"/>
                <w:lang w:eastAsia="de-AT"/>
              </w:rPr>
            </w:pP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1106" w:type="dxa"/>
            <w:tcBorders>
              <w:top w:val="single" w:sz="8" w:space="0" w:color="000000"/>
              <w:left w:val="single" w:sz="8" w:space="0" w:color="000000"/>
              <w:bottom w:val="single" w:sz="8" w:space="0" w:color="000000"/>
              <w:right w:val="single" w:sz="8" w:space="0" w:color="000000"/>
            </w:tcBorders>
            <w:vAlign w:val="center"/>
          </w:tcPr>
          <w:p w:rsidR="0060519C" w:rsidRDefault="0060519C" w:rsidP="00F732EE">
            <w:pPr>
              <w:jc w:val="center"/>
              <w:rPr>
                <w:color w:val="000000"/>
                <w:sz w:val="6"/>
                <w:lang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935" w:type="dxa"/>
            <w:tcBorders>
              <w:top w:val="single" w:sz="8" w:space="0" w:color="000000"/>
              <w:left w:val="single" w:sz="8" w:space="0" w:color="000000"/>
              <w:bottom w:val="single" w:sz="8" w:space="0" w:color="000000"/>
              <w:right w:val="nil"/>
            </w:tcBorders>
            <w:noWrap/>
            <w:vAlign w:val="center"/>
          </w:tcPr>
          <w:p w:rsidR="0060519C" w:rsidRDefault="0060519C" w:rsidP="00F732EE">
            <w:pPr>
              <w:jc w:val="center"/>
              <w:rPr>
                <w:color w:val="000000"/>
                <w:sz w:val="6"/>
                <w:lang w:eastAsia="de-AT"/>
              </w:rPr>
            </w:pPr>
          </w:p>
        </w:tc>
      </w:tr>
      <w:tr w:rsidR="0060519C" w:rsidTr="00F732EE">
        <w:trPr>
          <w:trHeight w:hRule="exact" w:val="284"/>
        </w:trPr>
        <w:tc>
          <w:tcPr>
            <w:tcW w:w="2992" w:type="dxa"/>
            <w:tcBorders>
              <w:top w:val="single" w:sz="8" w:space="0" w:color="000000"/>
              <w:left w:val="nil"/>
              <w:bottom w:val="single" w:sz="8" w:space="0" w:color="000000"/>
              <w:right w:val="single" w:sz="8" w:space="0" w:color="000000"/>
            </w:tcBorders>
            <w:vAlign w:val="center"/>
          </w:tcPr>
          <w:p w:rsidR="0060519C" w:rsidRDefault="0060519C" w:rsidP="00F732EE">
            <w:pPr>
              <w:rPr>
                <w:color w:val="000000"/>
                <w:sz w:val="20"/>
                <w:szCs w:val="24"/>
                <w:lang w:eastAsia="de-AT"/>
              </w:rPr>
            </w:pPr>
            <w:r>
              <w:rPr>
                <w:color w:val="000000"/>
                <w:sz w:val="20"/>
                <w:lang w:eastAsia="de-AT"/>
              </w:rPr>
              <w:t>RO - Receiving Office</w:t>
            </w:r>
          </w:p>
        </w:tc>
        <w:tc>
          <w:tcPr>
            <w:tcW w:w="127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535</w:t>
            </w:r>
          </w:p>
        </w:tc>
        <w:tc>
          <w:tcPr>
            <w:tcW w:w="1106" w:type="dxa"/>
            <w:tcBorders>
              <w:top w:val="single" w:sz="8" w:space="0" w:color="000000"/>
              <w:left w:val="single" w:sz="8" w:space="0" w:color="000000"/>
              <w:bottom w:val="single" w:sz="8" w:space="0" w:color="000000"/>
              <w:right w:val="single" w:sz="8" w:space="0" w:color="000000"/>
            </w:tcBorders>
            <w:vAlign w:val="center"/>
          </w:tcPr>
          <w:p w:rsidR="0060519C" w:rsidRDefault="0060519C" w:rsidP="00F732EE">
            <w:pPr>
              <w:jc w:val="center"/>
              <w:rPr>
                <w:color w:val="000000"/>
                <w:sz w:val="20"/>
                <w:szCs w:val="24"/>
                <w:lang w:eastAsia="de-AT"/>
              </w:rPr>
            </w:pPr>
            <w:r>
              <w:rPr>
                <w:color w:val="000000"/>
                <w:sz w:val="20"/>
                <w:lang w:eastAsia="de-AT"/>
              </w:rPr>
              <w:t>473</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539</w:t>
            </w:r>
          </w:p>
        </w:tc>
        <w:tc>
          <w:tcPr>
            <w:tcW w:w="1106"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492</w:t>
            </w:r>
          </w:p>
        </w:tc>
        <w:tc>
          <w:tcPr>
            <w:tcW w:w="935" w:type="dxa"/>
            <w:tcBorders>
              <w:top w:val="single" w:sz="8" w:space="0" w:color="000000"/>
              <w:left w:val="single" w:sz="8" w:space="0" w:color="000000"/>
              <w:bottom w:val="single" w:sz="8" w:space="0" w:color="000000"/>
              <w:right w:val="nil"/>
            </w:tcBorders>
            <w:noWrap/>
            <w:vAlign w:val="center"/>
          </w:tcPr>
          <w:p w:rsidR="0060519C" w:rsidRDefault="0060519C" w:rsidP="00F732EE">
            <w:pPr>
              <w:jc w:val="center"/>
              <w:rPr>
                <w:color w:val="000000"/>
                <w:sz w:val="20"/>
                <w:szCs w:val="24"/>
                <w:lang w:eastAsia="de-AT"/>
              </w:rPr>
            </w:pPr>
            <w:r>
              <w:rPr>
                <w:color w:val="000000"/>
                <w:sz w:val="20"/>
                <w:lang w:eastAsia="de-AT"/>
              </w:rPr>
              <w:t>507</w:t>
            </w:r>
          </w:p>
        </w:tc>
      </w:tr>
      <w:tr w:rsidR="0060519C" w:rsidTr="00F732EE">
        <w:trPr>
          <w:trHeight w:hRule="exact" w:val="284"/>
        </w:trPr>
        <w:tc>
          <w:tcPr>
            <w:tcW w:w="2992" w:type="dxa"/>
            <w:tcBorders>
              <w:top w:val="single" w:sz="8" w:space="0" w:color="000000"/>
              <w:left w:val="nil"/>
              <w:bottom w:val="nil"/>
              <w:right w:val="single" w:sz="8" w:space="0" w:color="000000"/>
            </w:tcBorders>
            <w:shd w:val="clear" w:color="auto" w:fill="FFFFFF"/>
            <w:vAlign w:val="center"/>
          </w:tcPr>
          <w:p w:rsidR="0060519C" w:rsidRDefault="0060519C" w:rsidP="00F732EE">
            <w:pPr>
              <w:rPr>
                <w:color w:val="000000"/>
                <w:sz w:val="20"/>
                <w:szCs w:val="24"/>
                <w:lang w:eastAsia="de-AT"/>
              </w:rPr>
            </w:pPr>
            <w:r>
              <w:rPr>
                <w:color w:val="000000"/>
                <w:sz w:val="20"/>
                <w:lang w:eastAsia="de-AT"/>
              </w:rPr>
              <w:t>ISA / IPEA / SISA</w:t>
            </w:r>
          </w:p>
        </w:tc>
        <w:tc>
          <w:tcPr>
            <w:tcW w:w="1276" w:type="dxa"/>
            <w:tcBorders>
              <w:top w:val="single" w:sz="8" w:space="0" w:color="000000"/>
              <w:left w:val="single" w:sz="8" w:space="0" w:color="000000"/>
              <w:bottom w:val="nil"/>
              <w:right w:val="single" w:sz="8" w:space="0" w:color="000000"/>
            </w:tcBorders>
            <w:shd w:val="clear" w:color="auto" w:fill="FFFFFF"/>
            <w:noWrap/>
            <w:vAlign w:val="center"/>
          </w:tcPr>
          <w:p w:rsidR="0060519C" w:rsidRDefault="0060519C" w:rsidP="00F732EE">
            <w:pPr>
              <w:jc w:val="center"/>
              <w:rPr>
                <w:color w:val="000000"/>
                <w:sz w:val="20"/>
                <w:szCs w:val="24"/>
                <w:lang w:eastAsia="de-AT"/>
              </w:rPr>
            </w:pPr>
            <w:r>
              <w:rPr>
                <w:color w:val="000000"/>
                <w:sz w:val="20"/>
                <w:lang w:eastAsia="de-AT"/>
              </w:rPr>
              <w:t>197</w:t>
            </w:r>
          </w:p>
        </w:tc>
        <w:tc>
          <w:tcPr>
            <w:tcW w:w="1106" w:type="dxa"/>
            <w:tcBorders>
              <w:top w:val="single" w:sz="8" w:space="0" w:color="000000"/>
              <w:left w:val="single" w:sz="8" w:space="0" w:color="000000"/>
              <w:bottom w:val="nil"/>
              <w:right w:val="single" w:sz="8" w:space="0" w:color="000000"/>
            </w:tcBorders>
            <w:shd w:val="clear" w:color="auto" w:fill="FFFFFF"/>
            <w:vAlign w:val="center"/>
          </w:tcPr>
          <w:p w:rsidR="0060519C" w:rsidRDefault="0060519C" w:rsidP="00F732EE">
            <w:pPr>
              <w:jc w:val="center"/>
              <w:rPr>
                <w:color w:val="000000"/>
                <w:sz w:val="20"/>
                <w:szCs w:val="24"/>
                <w:lang w:eastAsia="de-AT"/>
              </w:rPr>
            </w:pPr>
            <w:r>
              <w:rPr>
                <w:color w:val="000000"/>
                <w:sz w:val="20"/>
                <w:lang w:eastAsia="de-AT"/>
              </w:rPr>
              <w:t>233</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0519C" w:rsidRDefault="0060519C" w:rsidP="00F732EE">
            <w:pPr>
              <w:jc w:val="center"/>
              <w:rPr>
                <w:color w:val="000000"/>
                <w:sz w:val="20"/>
                <w:szCs w:val="24"/>
                <w:lang w:eastAsia="de-AT"/>
              </w:rPr>
            </w:pPr>
            <w:r>
              <w:rPr>
                <w:color w:val="000000"/>
                <w:sz w:val="20"/>
                <w:lang w:eastAsia="de-AT"/>
              </w:rPr>
              <w:t>234</w:t>
            </w:r>
          </w:p>
        </w:tc>
        <w:tc>
          <w:tcPr>
            <w:tcW w:w="1106" w:type="dxa"/>
            <w:tcBorders>
              <w:top w:val="single" w:sz="8" w:space="0" w:color="000000"/>
              <w:left w:val="single" w:sz="8" w:space="0" w:color="000000"/>
              <w:bottom w:val="nil"/>
              <w:right w:val="single" w:sz="8" w:space="0" w:color="000000"/>
            </w:tcBorders>
            <w:shd w:val="clear" w:color="auto" w:fill="FFFFFF"/>
            <w:noWrap/>
            <w:vAlign w:val="center"/>
          </w:tcPr>
          <w:p w:rsidR="0060519C" w:rsidRDefault="0060519C" w:rsidP="00F732EE">
            <w:pPr>
              <w:jc w:val="center"/>
              <w:rPr>
                <w:color w:val="000000"/>
                <w:sz w:val="20"/>
                <w:szCs w:val="24"/>
                <w:lang w:eastAsia="de-AT"/>
              </w:rPr>
            </w:pPr>
            <w:r>
              <w:rPr>
                <w:color w:val="000000"/>
                <w:sz w:val="20"/>
                <w:lang w:eastAsia="de-AT"/>
              </w:rPr>
              <w:t>205</w:t>
            </w:r>
          </w:p>
        </w:tc>
        <w:tc>
          <w:tcPr>
            <w:tcW w:w="935" w:type="dxa"/>
            <w:tcBorders>
              <w:top w:val="single" w:sz="8" w:space="0" w:color="000000"/>
              <w:left w:val="single" w:sz="8" w:space="0" w:color="000000"/>
              <w:bottom w:val="nil"/>
              <w:right w:val="nil"/>
            </w:tcBorders>
            <w:shd w:val="clear" w:color="auto" w:fill="FFFFFF"/>
            <w:noWrap/>
            <w:vAlign w:val="center"/>
          </w:tcPr>
          <w:p w:rsidR="0060519C" w:rsidRDefault="0060519C" w:rsidP="00F732EE">
            <w:pPr>
              <w:jc w:val="center"/>
              <w:rPr>
                <w:color w:val="000000"/>
                <w:sz w:val="20"/>
                <w:szCs w:val="24"/>
                <w:lang w:eastAsia="de-AT"/>
              </w:rPr>
            </w:pPr>
            <w:r>
              <w:rPr>
                <w:color w:val="000000"/>
                <w:sz w:val="20"/>
                <w:lang w:eastAsia="de-AT"/>
              </w:rPr>
              <w:t>215</w:t>
            </w:r>
          </w:p>
        </w:tc>
      </w:tr>
    </w:tbl>
    <w:p w:rsidR="0060519C" w:rsidRPr="00227089" w:rsidRDefault="0060519C" w:rsidP="0060519C">
      <w:pPr>
        <w:rPr>
          <w:i/>
          <w:lang w:val="en-GB"/>
        </w:rPr>
      </w:pPr>
      <w:r w:rsidRPr="00227089">
        <w:rPr>
          <w:i/>
          <w:lang w:val="en-GB"/>
        </w:rPr>
        <w:t xml:space="preserve">SISA: </w:t>
      </w:r>
      <w:r w:rsidR="00227089" w:rsidRPr="00227089">
        <w:rPr>
          <w:i/>
          <w:lang w:val="en-GB"/>
        </w:rPr>
        <w:t xml:space="preserve"> </w:t>
      </w:r>
      <w:r w:rsidRPr="00227089">
        <w:rPr>
          <w:i/>
          <w:lang w:val="en-GB"/>
        </w:rPr>
        <w:t>Supplementary International Search Authority</w:t>
      </w:r>
    </w:p>
    <w:p w:rsidR="0060519C" w:rsidRDefault="0060519C" w:rsidP="00135CEA">
      <w:pPr>
        <w:pStyle w:val="Sub-heading"/>
      </w:pPr>
      <w:r>
        <w:t>Number of international Search Reports established by ISA/AT</w:t>
      </w:r>
    </w:p>
    <w:tbl>
      <w:tblPr>
        <w:tblW w:w="8520" w:type="dxa"/>
        <w:tblInd w:w="55" w:type="dxa"/>
        <w:tblBorders>
          <w:insideH w:val="single" w:sz="8" w:space="0" w:color="000000"/>
          <w:insideV w:val="single" w:sz="8" w:space="0" w:color="000000"/>
        </w:tblBorders>
        <w:tblLayout w:type="fixed"/>
        <w:tblCellMar>
          <w:left w:w="70" w:type="dxa"/>
          <w:right w:w="70" w:type="dxa"/>
        </w:tblCellMar>
        <w:tblLook w:val="04A0" w:firstRow="1" w:lastRow="0" w:firstColumn="1" w:lastColumn="0" w:noHBand="0" w:noVBand="1"/>
      </w:tblPr>
      <w:tblGrid>
        <w:gridCol w:w="2992"/>
        <w:gridCol w:w="1098"/>
        <w:gridCol w:w="1099"/>
        <w:gridCol w:w="1098"/>
        <w:gridCol w:w="1099"/>
        <w:gridCol w:w="1134"/>
      </w:tblGrid>
      <w:tr w:rsidR="0060519C" w:rsidTr="00F732EE">
        <w:trPr>
          <w:trHeight w:hRule="exact" w:val="284"/>
        </w:trPr>
        <w:tc>
          <w:tcPr>
            <w:tcW w:w="2992" w:type="dxa"/>
            <w:tcBorders>
              <w:top w:val="nil"/>
              <w:left w:val="nil"/>
              <w:bottom w:val="single" w:sz="8" w:space="0" w:color="000000"/>
              <w:right w:val="single" w:sz="8" w:space="0" w:color="000000"/>
            </w:tcBorders>
            <w:noWrap/>
            <w:vAlign w:val="center"/>
          </w:tcPr>
          <w:p w:rsidR="0060519C" w:rsidRDefault="0060519C" w:rsidP="00F732EE">
            <w:pPr>
              <w:rPr>
                <w:b/>
                <w:bCs/>
                <w:color w:val="000000"/>
                <w:sz w:val="21"/>
                <w:szCs w:val="21"/>
                <w:lang w:val="en-GB" w:eastAsia="de-AT"/>
              </w:rPr>
            </w:pPr>
          </w:p>
        </w:tc>
        <w:tc>
          <w:tcPr>
            <w:tcW w:w="1098"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2012</w:t>
            </w:r>
          </w:p>
        </w:tc>
        <w:tc>
          <w:tcPr>
            <w:tcW w:w="1099" w:type="dxa"/>
            <w:tcBorders>
              <w:top w:val="nil"/>
              <w:left w:val="single" w:sz="8" w:space="0" w:color="000000"/>
              <w:bottom w:val="single" w:sz="8" w:space="0" w:color="000000"/>
              <w:right w:val="single" w:sz="8" w:space="0" w:color="000000"/>
            </w:tcBorders>
            <w:vAlign w:val="center"/>
          </w:tcPr>
          <w:p w:rsidR="0060519C" w:rsidRDefault="0060519C" w:rsidP="00F732EE">
            <w:pPr>
              <w:jc w:val="center"/>
              <w:rPr>
                <w:b/>
                <w:bCs/>
                <w:color w:val="000000"/>
                <w:sz w:val="21"/>
                <w:szCs w:val="21"/>
                <w:lang w:eastAsia="de-AT"/>
              </w:rPr>
            </w:pPr>
            <w:r>
              <w:rPr>
                <w:b/>
                <w:bCs/>
                <w:color w:val="000000"/>
                <w:sz w:val="21"/>
                <w:szCs w:val="21"/>
                <w:lang w:eastAsia="de-AT"/>
              </w:rPr>
              <w:t>2013</w:t>
            </w:r>
          </w:p>
        </w:tc>
        <w:tc>
          <w:tcPr>
            <w:tcW w:w="1098"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2014</w:t>
            </w:r>
          </w:p>
        </w:tc>
        <w:tc>
          <w:tcPr>
            <w:tcW w:w="1099" w:type="dxa"/>
            <w:tcBorders>
              <w:top w:val="nil"/>
              <w:left w:val="single" w:sz="8" w:space="0" w:color="000000"/>
              <w:bottom w:val="single" w:sz="8" w:space="0" w:color="000000"/>
              <w:right w:val="single" w:sz="8" w:space="0" w:color="000000"/>
            </w:tcBorders>
            <w:noWrap/>
            <w:vAlign w:val="center"/>
          </w:tcPr>
          <w:p w:rsidR="0060519C" w:rsidRDefault="0060519C" w:rsidP="00F732EE">
            <w:pPr>
              <w:jc w:val="center"/>
              <w:rPr>
                <w:b/>
                <w:bCs/>
                <w:color w:val="000000"/>
                <w:sz w:val="21"/>
                <w:szCs w:val="21"/>
                <w:lang w:eastAsia="de-AT"/>
              </w:rPr>
            </w:pPr>
            <w:r>
              <w:rPr>
                <w:b/>
                <w:bCs/>
                <w:color w:val="000000"/>
                <w:sz w:val="21"/>
                <w:szCs w:val="21"/>
                <w:lang w:eastAsia="de-AT"/>
              </w:rPr>
              <w:t>2015</w:t>
            </w:r>
          </w:p>
        </w:tc>
        <w:tc>
          <w:tcPr>
            <w:tcW w:w="1134" w:type="dxa"/>
            <w:tcBorders>
              <w:top w:val="nil"/>
              <w:left w:val="single" w:sz="8" w:space="0" w:color="000000"/>
              <w:bottom w:val="single" w:sz="8" w:space="0" w:color="000000"/>
              <w:right w:val="nil"/>
            </w:tcBorders>
          </w:tcPr>
          <w:p w:rsidR="0060519C" w:rsidRDefault="0060519C" w:rsidP="00F732EE">
            <w:pPr>
              <w:jc w:val="center"/>
              <w:rPr>
                <w:b/>
                <w:bCs/>
                <w:color w:val="000000"/>
                <w:sz w:val="21"/>
                <w:szCs w:val="21"/>
                <w:lang w:eastAsia="de-AT"/>
              </w:rPr>
            </w:pPr>
            <w:r>
              <w:rPr>
                <w:b/>
                <w:bCs/>
                <w:color w:val="000000"/>
                <w:sz w:val="21"/>
                <w:szCs w:val="21"/>
                <w:lang w:eastAsia="de-AT"/>
              </w:rPr>
              <w:t>2016</w:t>
            </w:r>
          </w:p>
        </w:tc>
      </w:tr>
      <w:tr w:rsidR="0060519C" w:rsidTr="00F732EE">
        <w:trPr>
          <w:trHeight w:hRule="exact" w:val="284"/>
        </w:trPr>
        <w:tc>
          <w:tcPr>
            <w:tcW w:w="2992" w:type="dxa"/>
            <w:tcBorders>
              <w:top w:val="single" w:sz="8" w:space="0" w:color="000000"/>
              <w:left w:val="nil"/>
              <w:bottom w:val="single" w:sz="8" w:space="0" w:color="000000"/>
              <w:right w:val="single" w:sz="8" w:space="0" w:color="000000"/>
            </w:tcBorders>
            <w:noWrap/>
            <w:vAlign w:val="center"/>
          </w:tcPr>
          <w:p w:rsidR="0060519C" w:rsidRDefault="0060519C" w:rsidP="00F732EE">
            <w:pPr>
              <w:rPr>
                <w:color w:val="000000"/>
                <w:sz w:val="6"/>
                <w:lang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1099" w:type="dxa"/>
            <w:tcBorders>
              <w:top w:val="single" w:sz="8" w:space="0" w:color="000000"/>
              <w:left w:val="single" w:sz="8" w:space="0" w:color="000000"/>
              <w:bottom w:val="single" w:sz="8" w:space="0" w:color="000000"/>
              <w:right w:val="single" w:sz="8" w:space="0" w:color="000000"/>
            </w:tcBorders>
            <w:vAlign w:val="center"/>
          </w:tcPr>
          <w:p w:rsidR="0060519C" w:rsidRDefault="0060519C" w:rsidP="00F732EE">
            <w:pPr>
              <w:jc w:val="center"/>
              <w:rPr>
                <w:color w:val="000000"/>
                <w:sz w:val="6"/>
                <w:lang w:eastAsia="de-AT"/>
              </w:rPr>
            </w:pPr>
          </w:p>
        </w:tc>
        <w:tc>
          <w:tcPr>
            <w:tcW w:w="1098"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1099" w:type="dxa"/>
            <w:tcBorders>
              <w:top w:val="single" w:sz="8" w:space="0" w:color="000000"/>
              <w:left w:val="single" w:sz="8" w:space="0" w:color="000000"/>
              <w:bottom w:val="single" w:sz="8" w:space="0" w:color="000000"/>
              <w:right w:val="single" w:sz="8" w:space="0" w:color="000000"/>
            </w:tcBorders>
            <w:noWrap/>
            <w:vAlign w:val="center"/>
          </w:tcPr>
          <w:p w:rsidR="0060519C" w:rsidRDefault="0060519C" w:rsidP="00F732EE">
            <w:pPr>
              <w:jc w:val="center"/>
              <w:rPr>
                <w:color w:val="000000"/>
                <w:sz w:val="6"/>
                <w:lang w:eastAsia="de-AT"/>
              </w:rPr>
            </w:pPr>
          </w:p>
        </w:tc>
        <w:tc>
          <w:tcPr>
            <w:tcW w:w="1134" w:type="dxa"/>
            <w:tcBorders>
              <w:top w:val="single" w:sz="8" w:space="0" w:color="000000"/>
              <w:left w:val="single" w:sz="8" w:space="0" w:color="000000"/>
              <w:bottom w:val="single" w:sz="8" w:space="0" w:color="000000"/>
              <w:right w:val="nil"/>
            </w:tcBorders>
          </w:tcPr>
          <w:p w:rsidR="0060519C" w:rsidRDefault="0060519C" w:rsidP="00F732EE">
            <w:pPr>
              <w:jc w:val="center"/>
              <w:rPr>
                <w:color w:val="000000"/>
                <w:sz w:val="6"/>
                <w:lang w:eastAsia="de-AT"/>
              </w:rPr>
            </w:pPr>
          </w:p>
        </w:tc>
      </w:tr>
      <w:tr w:rsidR="0060519C" w:rsidTr="00F732EE">
        <w:trPr>
          <w:trHeight w:hRule="exact" w:val="284"/>
        </w:trPr>
        <w:tc>
          <w:tcPr>
            <w:tcW w:w="2992" w:type="dxa"/>
            <w:tcBorders>
              <w:top w:val="single" w:sz="8" w:space="0" w:color="000000"/>
              <w:left w:val="nil"/>
              <w:bottom w:val="nil"/>
              <w:right w:val="single" w:sz="8" w:space="0" w:color="000000"/>
            </w:tcBorders>
            <w:vAlign w:val="center"/>
          </w:tcPr>
          <w:p w:rsidR="0060519C" w:rsidRDefault="0060519C" w:rsidP="00F732EE">
            <w:pPr>
              <w:rPr>
                <w:color w:val="000000"/>
                <w:sz w:val="20"/>
                <w:szCs w:val="24"/>
                <w:lang w:eastAsia="de-AT"/>
              </w:rPr>
            </w:pPr>
            <w:r>
              <w:rPr>
                <w:color w:val="000000"/>
                <w:sz w:val="20"/>
                <w:lang w:eastAsia="de-AT"/>
              </w:rPr>
              <w:t>ISA – Search Reports</w:t>
            </w:r>
          </w:p>
        </w:tc>
        <w:tc>
          <w:tcPr>
            <w:tcW w:w="1098" w:type="dxa"/>
            <w:tcBorders>
              <w:top w:val="single" w:sz="8" w:space="0" w:color="000000"/>
              <w:left w:val="single" w:sz="8" w:space="0" w:color="000000"/>
              <w:bottom w:val="nil"/>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392</w:t>
            </w:r>
          </w:p>
        </w:tc>
        <w:tc>
          <w:tcPr>
            <w:tcW w:w="1099" w:type="dxa"/>
            <w:tcBorders>
              <w:top w:val="single" w:sz="8" w:space="0" w:color="000000"/>
              <w:left w:val="single" w:sz="8" w:space="0" w:color="000000"/>
              <w:bottom w:val="nil"/>
              <w:right w:val="single" w:sz="8" w:space="0" w:color="000000"/>
            </w:tcBorders>
            <w:vAlign w:val="center"/>
          </w:tcPr>
          <w:p w:rsidR="0060519C" w:rsidRDefault="0060519C" w:rsidP="00F732EE">
            <w:pPr>
              <w:jc w:val="center"/>
              <w:rPr>
                <w:color w:val="000000"/>
                <w:sz w:val="20"/>
                <w:szCs w:val="24"/>
                <w:lang w:eastAsia="de-AT"/>
              </w:rPr>
            </w:pPr>
            <w:r>
              <w:rPr>
                <w:color w:val="000000"/>
                <w:sz w:val="20"/>
                <w:lang w:eastAsia="de-AT"/>
              </w:rPr>
              <w:t>269</w:t>
            </w:r>
          </w:p>
        </w:tc>
        <w:tc>
          <w:tcPr>
            <w:tcW w:w="1098" w:type="dxa"/>
            <w:tcBorders>
              <w:top w:val="single" w:sz="8" w:space="0" w:color="000000"/>
              <w:left w:val="single" w:sz="8" w:space="0" w:color="000000"/>
              <w:bottom w:val="nil"/>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206</w:t>
            </w:r>
          </w:p>
        </w:tc>
        <w:tc>
          <w:tcPr>
            <w:tcW w:w="1099" w:type="dxa"/>
            <w:tcBorders>
              <w:top w:val="single" w:sz="8" w:space="0" w:color="000000"/>
              <w:left w:val="single" w:sz="8" w:space="0" w:color="000000"/>
              <w:bottom w:val="nil"/>
              <w:right w:val="single" w:sz="8" w:space="0" w:color="000000"/>
            </w:tcBorders>
            <w:noWrap/>
            <w:vAlign w:val="center"/>
          </w:tcPr>
          <w:p w:rsidR="0060519C" w:rsidRDefault="0060519C" w:rsidP="00F732EE">
            <w:pPr>
              <w:jc w:val="center"/>
              <w:rPr>
                <w:color w:val="000000"/>
                <w:sz w:val="20"/>
                <w:szCs w:val="24"/>
                <w:lang w:eastAsia="de-AT"/>
              </w:rPr>
            </w:pPr>
            <w:r>
              <w:rPr>
                <w:color w:val="000000"/>
                <w:sz w:val="20"/>
                <w:lang w:eastAsia="de-AT"/>
              </w:rPr>
              <w:t>204</w:t>
            </w:r>
          </w:p>
        </w:tc>
        <w:tc>
          <w:tcPr>
            <w:tcW w:w="1134" w:type="dxa"/>
            <w:tcBorders>
              <w:top w:val="single" w:sz="8" w:space="0" w:color="000000"/>
              <w:left w:val="single" w:sz="8" w:space="0" w:color="000000"/>
              <w:bottom w:val="nil"/>
              <w:right w:val="nil"/>
            </w:tcBorders>
            <w:vAlign w:val="center"/>
          </w:tcPr>
          <w:p w:rsidR="0060519C" w:rsidRDefault="0060519C" w:rsidP="00F732EE">
            <w:pPr>
              <w:jc w:val="center"/>
              <w:rPr>
                <w:color w:val="000000"/>
                <w:sz w:val="20"/>
                <w:szCs w:val="24"/>
                <w:lang w:eastAsia="de-AT"/>
              </w:rPr>
            </w:pPr>
            <w:r>
              <w:rPr>
                <w:color w:val="000000"/>
                <w:sz w:val="20"/>
                <w:lang w:eastAsia="de-AT"/>
              </w:rPr>
              <w:t>209</w:t>
            </w:r>
          </w:p>
        </w:tc>
      </w:tr>
    </w:tbl>
    <w:p w:rsidR="0060519C" w:rsidRDefault="0060519C" w:rsidP="0060519C">
      <w:pPr>
        <w:rPr>
          <w:lang w:val="de-DE" w:eastAsia="de-DE"/>
        </w:rPr>
      </w:pPr>
    </w:p>
    <w:p w:rsidR="0060519C" w:rsidRDefault="0060519C" w:rsidP="0060519C">
      <w:pPr>
        <w:rPr>
          <w:lang w:val="en-GB"/>
        </w:rPr>
      </w:pPr>
      <w:r>
        <w:rPr>
          <w:lang w:val="en-GB"/>
        </w:rPr>
        <w:t xml:space="preserve">Since 2012 applicants from </w:t>
      </w:r>
      <w:r w:rsidR="00B306D4">
        <w:rPr>
          <w:lang w:val="en-GB"/>
        </w:rPr>
        <w:t>29</w:t>
      </w:r>
      <w:r>
        <w:rPr>
          <w:lang w:val="en-GB"/>
        </w:rPr>
        <w:t xml:space="preserve"> countries have chosen ISA/AT</w:t>
      </w:r>
      <w:r w:rsidR="002826E0">
        <w:rPr>
          <w:lang w:val="en-GB"/>
        </w:rPr>
        <w:t xml:space="preserve">.  </w:t>
      </w:r>
      <w:r>
        <w:rPr>
          <w:lang w:val="en-GB"/>
        </w:rPr>
        <w:t>The top ten countries have been Algeria, Bahrain, Brazil, Colombia, Egypt, India, Republic of Korea, Singapore, South Africa and United Arab Emirates (alphabetic order).</w:t>
      </w:r>
    </w:p>
    <w:p w:rsidR="00227089" w:rsidRDefault="00227089" w:rsidP="0060519C">
      <w:pPr>
        <w:rPr>
          <w:lang w:val="en-GB"/>
        </w:rPr>
      </w:pPr>
    </w:p>
    <w:p w:rsidR="0060519C" w:rsidRDefault="0060519C" w:rsidP="0060519C">
      <w:pPr>
        <w:rPr>
          <w:lang w:val="en-GB"/>
        </w:rPr>
      </w:pPr>
      <w:r w:rsidRPr="00227089">
        <w:rPr>
          <w:i/>
          <w:lang w:val="en-GB"/>
        </w:rPr>
        <w:t xml:space="preserve">Source: </w:t>
      </w:r>
      <w:r w:rsidR="00227089" w:rsidRPr="00227089">
        <w:rPr>
          <w:i/>
          <w:lang w:val="en-GB"/>
        </w:rPr>
        <w:t xml:space="preserve"> </w:t>
      </w:r>
      <w:r w:rsidRPr="00227089">
        <w:rPr>
          <w:i/>
          <w:lang w:val="en-GB"/>
        </w:rPr>
        <w:t xml:space="preserve">WIPO </w:t>
      </w:r>
      <w:r w:rsidRPr="00227089">
        <w:rPr>
          <w:i/>
          <w:color w:val="3B3B3B"/>
          <w:lang w:val="en-GB"/>
        </w:rPr>
        <w:t>IP statistics at a glance</w:t>
      </w:r>
      <w:r>
        <w:rPr>
          <w:color w:val="3B3B3B"/>
          <w:lang w:val="en-GB"/>
        </w:rPr>
        <w:t xml:space="preserve"> </w:t>
      </w:r>
      <w:hyperlink r:id="rId30" w:history="1">
        <w:r w:rsidRPr="009D48FB">
          <w:rPr>
            <w:rStyle w:val="Hyperlink"/>
            <w:lang w:val="en-GB"/>
          </w:rPr>
          <w:t>http://ipstats.wipo.int/ipstatv2/index.htm?tab=patent</w:t>
        </w:r>
      </w:hyperlink>
    </w:p>
    <w:p w:rsidR="0060519C" w:rsidRDefault="0060519C" w:rsidP="0060519C">
      <w:pPr>
        <w:rPr>
          <w:lang w:val="en-GB"/>
        </w:rPr>
      </w:pPr>
      <w:r>
        <w:rPr>
          <w:lang w:val="en-GB"/>
        </w:rPr>
        <w:t>Intellectual p</w:t>
      </w:r>
      <w:r w:rsidR="00227089">
        <w:rPr>
          <w:lang w:val="en-GB"/>
        </w:rPr>
        <w:t>roperty right:</w:t>
      </w:r>
      <w:r w:rsidR="002826E0">
        <w:rPr>
          <w:lang w:val="en-GB"/>
        </w:rPr>
        <w:t xml:space="preserve"> </w:t>
      </w:r>
      <w:r w:rsidR="00227089">
        <w:rPr>
          <w:lang w:val="en-GB"/>
        </w:rPr>
        <w:t xml:space="preserve"> PCT</w:t>
      </w:r>
      <w:r w:rsidR="002826E0">
        <w:rPr>
          <w:lang w:val="en-GB"/>
        </w:rPr>
        <w:t>;</w:t>
      </w:r>
      <w:r w:rsidR="00227089">
        <w:rPr>
          <w:lang w:val="en-GB"/>
        </w:rPr>
        <w:t xml:space="preserve">  </w:t>
      </w:r>
      <w:r w:rsidR="002826E0">
        <w:rPr>
          <w:lang w:val="en-GB"/>
        </w:rPr>
        <w:t xml:space="preserve"> </w:t>
      </w:r>
      <w:r w:rsidR="00227089">
        <w:rPr>
          <w:lang w:val="en-GB"/>
        </w:rPr>
        <w:t>Year range</w:t>
      </w:r>
      <w:r>
        <w:rPr>
          <w:lang w:val="en-GB"/>
        </w:rPr>
        <w:t xml:space="preserve">: </w:t>
      </w:r>
      <w:r w:rsidR="00227089">
        <w:rPr>
          <w:lang w:val="en-GB"/>
        </w:rPr>
        <w:t xml:space="preserve"> </w:t>
      </w:r>
      <w:r>
        <w:rPr>
          <w:lang w:val="en-GB"/>
        </w:rPr>
        <w:t>2010 – 2017</w:t>
      </w:r>
      <w:proofErr w:type="gramStart"/>
      <w:r w:rsidR="002826E0">
        <w:rPr>
          <w:lang w:val="en-GB"/>
        </w:rPr>
        <w:t xml:space="preserve">; </w:t>
      </w:r>
      <w:r>
        <w:rPr>
          <w:lang w:val="en-GB"/>
        </w:rPr>
        <w:t xml:space="preserve"> Reporting</w:t>
      </w:r>
      <w:proofErr w:type="gramEnd"/>
      <w:r>
        <w:rPr>
          <w:lang w:val="en-GB"/>
        </w:rPr>
        <w:t xml:space="preserve"> type:</w:t>
      </w:r>
      <w:r w:rsidR="00227089">
        <w:rPr>
          <w:lang w:val="en-GB"/>
        </w:rPr>
        <w:t xml:space="preserve"> </w:t>
      </w:r>
      <w:r>
        <w:rPr>
          <w:lang w:val="en-GB"/>
        </w:rPr>
        <w:t xml:space="preserve"> Yearly statistics</w:t>
      </w:r>
      <w:r w:rsidR="002826E0">
        <w:rPr>
          <w:lang w:val="en-GB"/>
        </w:rPr>
        <w:t xml:space="preserve">; </w:t>
      </w:r>
    </w:p>
    <w:p w:rsidR="0060519C" w:rsidRDefault="00227089" w:rsidP="0060519C">
      <w:pPr>
        <w:rPr>
          <w:lang w:val="en-GB"/>
        </w:rPr>
      </w:pPr>
      <w:r>
        <w:rPr>
          <w:lang w:val="en-GB"/>
        </w:rPr>
        <w:t>Indicator</w:t>
      </w:r>
      <w:r w:rsidR="0060519C">
        <w:rPr>
          <w:lang w:val="en-GB"/>
        </w:rPr>
        <w:t xml:space="preserve">: </w:t>
      </w:r>
      <w:r>
        <w:rPr>
          <w:lang w:val="en-GB"/>
        </w:rPr>
        <w:t xml:space="preserve"> </w:t>
      </w:r>
      <w:r w:rsidR="0060519C">
        <w:rPr>
          <w:lang w:val="en-GB"/>
        </w:rPr>
        <w:t>8a - International Searching Authorities (ISA) selected by applicants</w:t>
      </w:r>
    </w:p>
    <w:p w:rsidR="00227089" w:rsidRDefault="00227089" w:rsidP="0060519C">
      <w:pPr>
        <w:rPr>
          <w:lang w:val="en-GB"/>
        </w:rPr>
      </w:pPr>
    </w:p>
    <w:p w:rsidR="0060519C" w:rsidRDefault="0060519C" w:rsidP="0060519C">
      <w:pPr>
        <w:rPr>
          <w:lang w:val="de-DE"/>
        </w:rPr>
      </w:pPr>
      <w:r>
        <w:rPr>
          <w:noProof/>
          <w:lang w:val="en-GB" w:eastAsia="en-GB"/>
        </w:rPr>
        <w:drawing>
          <wp:inline distT="0" distB="0" distL="0" distR="0" wp14:anchorId="4B3ECED0" wp14:editId="4390E571">
            <wp:extent cx="5655909" cy="3143250"/>
            <wp:effectExtent l="0" t="0" r="2540" b="0"/>
            <wp:docPr id="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60216" cy="3145644"/>
                    </a:xfrm>
                    <a:prstGeom prst="rect">
                      <a:avLst/>
                    </a:prstGeom>
                    <a:noFill/>
                    <a:ln>
                      <a:noFill/>
                    </a:ln>
                  </pic:spPr>
                </pic:pic>
              </a:graphicData>
            </a:graphic>
          </wp:inline>
        </w:drawing>
      </w:r>
    </w:p>
    <w:p w:rsidR="0060519C" w:rsidRDefault="0060519C" w:rsidP="0060519C">
      <w:pPr>
        <w:jc w:val="center"/>
        <w:rPr>
          <w:b/>
          <w:bCs/>
          <w:lang w:val="de-DE"/>
        </w:rPr>
      </w:pPr>
    </w:p>
    <w:p w:rsidR="0060519C" w:rsidRPr="00806447" w:rsidRDefault="0060519C" w:rsidP="00135CEA">
      <w:pPr>
        <w:pStyle w:val="Sub-heading"/>
      </w:pPr>
      <w:r>
        <w:br w:type="page"/>
        <w:t>Main Offices/States in which priority is claimed from national applications:</w:t>
      </w:r>
    </w:p>
    <w:p w:rsidR="0060519C" w:rsidRDefault="0060519C" w:rsidP="0060519C">
      <w:pPr>
        <w:rPr>
          <w:lang w:val="en-GB"/>
        </w:rPr>
      </w:pPr>
      <w:r>
        <w:rPr>
          <w:lang w:val="en-GB"/>
        </w:rPr>
        <w:t>The main Offices/States in which Austrian priority has been claimed since 2000 are the European Patent Office and PCT, followed by Australia, Argentina, Brazil, Canada, China, Croatia, Cyprus, Czech Republic, Denmark, Eurasian Patent Organization, Finland, France, Germany, Hungary, Italy, Japan, Mexico, New Zealand, Norway, Poland, Republic of Korea, Russian Federation, Serbia, Slovakia, Slovenia, South Africa, Spain, Switzerland, Taiwan, Ukraine, United Kingdom and the United States of America (alphabetic order).</w:t>
      </w:r>
    </w:p>
    <w:p w:rsidR="00135CEA" w:rsidRDefault="00135CEA" w:rsidP="0060519C">
      <w:pPr>
        <w:rPr>
          <w:lang w:val="en-GB"/>
        </w:rPr>
      </w:pPr>
    </w:p>
    <w:p w:rsidR="0060519C" w:rsidRPr="00227089" w:rsidRDefault="0060519C" w:rsidP="0060519C">
      <w:pPr>
        <w:rPr>
          <w:b/>
          <w:bCs/>
          <w:i/>
          <w:lang w:val="en-GB"/>
        </w:rPr>
      </w:pPr>
      <w:r w:rsidRPr="00227089">
        <w:rPr>
          <w:i/>
          <w:lang w:val="en-GB"/>
        </w:rPr>
        <w:t xml:space="preserve">Source: </w:t>
      </w:r>
      <w:r w:rsidR="00227089" w:rsidRPr="00227089">
        <w:rPr>
          <w:i/>
          <w:lang w:val="en-GB"/>
        </w:rPr>
        <w:t xml:space="preserve"> </w:t>
      </w:r>
      <w:proofErr w:type="spellStart"/>
      <w:r w:rsidRPr="00227089">
        <w:rPr>
          <w:i/>
          <w:lang w:val="en-GB"/>
        </w:rPr>
        <w:t>Patstat</w:t>
      </w:r>
      <w:proofErr w:type="spellEnd"/>
    </w:p>
    <w:p w:rsidR="00135CEA" w:rsidRPr="00135CEA" w:rsidRDefault="00135CEA" w:rsidP="00135CEA"/>
    <w:p w:rsidR="0060519C" w:rsidRDefault="0060519C" w:rsidP="00135CEA">
      <w:pPr>
        <w:rPr>
          <w:lang w:eastAsia="fr-FR"/>
        </w:rPr>
      </w:pPr>
      <w:r>
        <w:rPr>
          <w:lang w:eastAsia="fr-FR"/>
        </w:rPr>
        <w:t xml:space="preserve">As our </w:t>
      </w:r>
      <w:proofErr w:type="gramStart"/>
      <w:r>
        <w:rPr>
          <w:lang w:eastAsia="fr-FR"/>
        </w:rPr>
        <w:t>office actively participates in the Global PPH, which includes PCT-PPH, applicants using APO as Office of First Filing or as ISA are</w:t>
      </w:r>
      <w:proofErr w:type="gramEnd"/>
      <w:r>
        <w:rPr>
          <w:lang w:eastAsia="fr-FR"/>
        </w:rPr>
        <w:t xml:space="preserve"> enabled to request accelerated examination for subsequent filings in more than twenty offices. </w:t>
      </w:r>
    </w:p>
    <w:p w:rsidR="0060519C" w:rsidRDefault="0060519C" w:rsidP="00135CEA">
      <w:pPr>
        <w:pStyle w:val="Sub-heading"/>
      </w:pPr>
      <w:r>
        <w:t>Average time taken for national patent processing</w:t>
      </w:r>
    </w:p>
    <w:tbl>
      <w:tblPr>
        <w:tblW w:w="0" w:type="auto"/>
        <w:tblBorders>
          <w:insideH w:val="single" w:sz="4" w:space="0" w:color="auto"/>
          <w:insideV w:val="single" w:sz="4" w:space="0" w:color="auto"/>
        </w:tblBorders>
        <w:tblLook w:val="04A0" w:firstRow="1" w:lastRow="0" w:firstColumn="1" w:lastColumn="0" w:noHBand="0" w:noVBand="1"/>
      </w:tblPr>
      <w:tblGrid>
        <w:gridCol w:w="3780"/>
        <w:gridCol w:w="2825"/>
        <w:gridCol w:w="2150"/>
      </w:tblGrid>
      <w:tr w:rsidR="0060519C" w:rsidTr="00F732EE">
        <w:trPr>
          <w:cantSplit/>
          <w:trHeight w:hRule="exact" w:val="284"/>
        </w:trPr>
        <w:tc>
          <w:tcPr>
            <w:tcW w:w="3780" w:type="dxa"/>
            <w:tcBorders>
              <w:top w:val="nil"/>
              <w:left w:val="nil"/>
              <w:bottom w:val="single" w:sz="4" w:space="0" w:color="auto"/>
              <w:right w:val="single" w:sz="4" w:space="0" w:color="auto"/>
            </w:tcBorders>
          </w:tcPr>
          <w:p w:rsidR="0060519C" w:rsidRDefault="0060519C" w:rsidP="00F732EE">
            <w:pPr>
              <w:rPr>
                <w:b/>
                <w:bCs/>
                <w:sz w:val="24"/>
                <w:szCs w:val="24"/>
                <w:lang w:val="de-DE" w:eastAsia="de-DE"/>
              </w:rPr>
            </w:pPr>
            <w:r>
              <w:rPr>
                <w:b/>
                <w:bCs/>
              </w:rPr>
              <w:t>Indicator</w:t>
            </w:r>
          </w:p>
        </w:tc>
        <w:tc>
          <w:tcPr>
            <w:tcW w:w="2825" w:type="dxa"/>
            <w:tcBorders>
              <w:top w:val="nil"/>
              <w:left w:val="single" w:sz="4" w:space="0" w:color="auto"/>
              <w:bottom w:val="single" w:sz="4" w:space="0" w:color="auto"/>
              <w:right w:val="single" w:sz="4" w:space="0" w:color="auto"/>
            </w:tcBorders>
          </w:tcPr>
          <w:p w:rsidR="0060519C" w:rsidRDefault="0060519C" w:rsidP="00F732EE">
            <w:pPr>
              <w:rPr>
                <w:b/>
                <w:bCs/>
                <w:sz w:val="24"/>
                <w:szCs w:val="24"/>
                <w:lang w:val="de-DE" w:eastAsia="de-DE"/>
              </w:rPr>
            </w:pPr>
            <w:r>
              <w:rPr>
                <w:b/>
                <w:bCs/>
              </w:rPr>
              <w:t>Measured from</w:t>
            </w:r>
          </w:p>
        </w:tc>
        <w:tc>
          <w:tcPr>
            <w:tcW w:w="2150" w:type="dxa"/>
            <w:tcBorders>
              <w:top w:val="nil"/>
              <w:left w:val="single" w:sz="4" w:space="0" w:color="auto"/>
              <w:bottom w:val="single" w:sz="4" w:space="0" w:color="auto"/>
              <w:right w:val="nil"/>
            </w:tcBorders>
          </w:tcPr>
          <w:p w:rsidR="0060519C" w:rsidRDefault="0060519C" w:rsidP="00F732EE">
            <w:pPr>
              <w:rPr>
                <w:b/>
                <w:bCs/>
                <w:sz w:val="24"/>
                <w:szCs w:val="24"/>
                <w:lang w:val="de-DE" w:eastAsia="de-DE"/>
              </w:rPr>
            </w:pPr>
            <w:r>
              <w:rPr>
                <w:b/>
                <w:bCs/>
              </w:rPr>
              <w:t>Time (months)</w:t>
            </w:r>
          </w:p>
        </w:tc>
      </w:tr>
      <w:tr w:rsidR="0060519C" w:rsidTr="00F732EE">
        <w:trPr>
          <w:cantSplit/>
          <w:trHeight w:hRule="exact" w:val="284"/>
        </w:trPr>
        <w:tc>
          <w:tcPr>
            <w:tcW w:w="3780" w:type="dxa"/>
            <w:tcBorders>
              <w:top w:val="single" w:sz="4" w:space="0" w:color="auto"/>
              <w:left w:val="nil"/>
              <w:bottom w:val="single" w:sz="4" w:space="0" w:color="auto"/>
              <w:right w:val="single" w:sz="4" w:space="0" w:color="auto"/>
            </w:tcBorders>
          </w:tcPr>
          <w:p w:rsidR="0060519C" w:rsidRDefault="0060519C" w:rsidP="00F732EE">
            <w:pPr>
              <w:rPr>
                <w:sz w:val="6"/>
                <w:szCs w:val="24"/>
                <w:lang w:val="de-DE" w:eastAsia="de-DE"/>
              </w:rPr>
            </w:pPr>
          </w:p>
        </w:tc>
        <w:tc>
          <w:tcPr>
            <w:tcW w:w="282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6"/>
                <w:szCs w:val="24"/>
                <w:lang w:val="de-DE" w:eastAsia="de-DE"/>
              </w:rPr>
            </w:pPr>
          </w:p>
        </w:tc>
        <w:tc>
          <w:tcPr>
            <w:tcW w:w="2150" w:type="dxa"/>
            <w:tcBorders>
              <w:top w:val="single" w:sz="4" w:space="0" w:color="auto"/>
              <w:left w:val="single" w:sz="4" w:space="0" w:color="auto"/>
              <w:bottom w:val="single" w:sz="4" w:space="0" w:color="auto"/>
              <w:right w:val="nil"/>
            </w:tcBorders>
            <w:vAlign w:val="center"/>
          </w:tcPr>
          <w:p w:rsidR="0060519C" w:rsidRDefault="0060519C" w:rsidP="00F732EE">
            <w:pPr>
              <w:jc w:val="center"/>
              <w:rPr>
                <w:sz w:val="6"/>
                <w:szCs w:val="24"/>
                <w:lang w:val="de-DE" w:eastAsia="de-DE"/>
              </w:rPr>
            </w:pPr>
          </w:p>
        </w:tc>
      </w:tr>
      <w:tr w:rsidR="0060519C" w:rsidTr="00F732EE">
        <w:trPr>
          <w:cantSplit/>
          <w:trHeight w:hRule="exact" w:val="284"/>
        </w:trPr>
        <w:tc>
          <w:tcPr>
            <w:tcW w:w="3780" w:type="dxa"/>
            <w:tcBorders>
              <w:top w:val="single" w:sz="4" w:space="0" w:color="auto"/>
              <w:left w:val="nil"/>
              <w:bottom w:val="single" w:sz="4" w:space="0" w:color="auto"/>
              <w:right w:val="single" w:sz="4" w:space="0" w:color="auto"/>
            </w:tcBorders>
          </w:tcPr>
          <w:p w:rsidR="0060519C" w:rsidRDefault="0060519C" w:rsidP="00F732EE">
            <w:pPr>
              <w:rPr>
                <w:sz w:val="24"/>
                <w:szCs w:val="24"/>
                <w:lang w:val="de-DE" w:eastAsia="de-DE"/>
              </w:rPr>
            </w:pPr>
            <w:r>
              <w:t>To search</w:t>
            </w:r>
          </w:p>
        </w:tc>
        <w:tc>
          <w:tcPr>
            <w:tcW w:w="282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24"/>
                <w:szCs w:val="24"/>
                <w:lang w:val="de-DE" w:eastAsia="de-DE"/>
              </w:rPr>
            </w:pPr>
            <w:r>
              <w:t>Internal database</w:t>
            </w:r>
          </w:p>
        </w:tc>
        <w:tc>
          <w:tcPr>
            <w:tcW w:w="2150" w:type="dxa"/>
            <w:tcBorders>
              <w:top w:val="single" w:sz="4" w:space="0" w:color="auto"/>
              <w:left w:val="single" w:sz="4" w:space="0" w:color="auto"/>
              <w:bottom w:val="single" w:sz="4" w:space="0" w:color="auto"/>
              <w:right w:val="nil"/>
            </w:tcBorders>
            <w:vAlign w:val="center"/>
          </w:tcPr>
          <w:p w:rsidR="0060519C" w:rsidRDefault="00227089" w:rsidP="00F732EE">
            <w:pPr>
              <w:jc w:val="center"/>
              <w:rPr>
                <w:sz w:val="24"/>
                <w:szCs w:val="24"/>
                <w:lang w:val="de-DE" w:eastAsia="de-DE"/>
              </w:rPr>
            </w:pPr>
            <w:r>
              <w:t>7.</w:t>
            </w:r>
            <w:r w:rsidR="0060519C">
              <w:t>9</w:t>
            </w:r>
          </w:p>
        </w:tc>
      </w:tr>
      <w:tr w:rsidR="0060519C" w:rsidTr="00F732EE">
        <w:trPr>
          <w:cantSplit/>
          <w:trHeight w:hRule="exact" w:val="284"/>
        </w:trPr>
        <w:tc>
          <w:tcPr>
            <w:tcW w:w="3780" w:type="dxa"/>
            <w:tcBorders>
              <w:top w:val="single" w:sz="4" w:space="0" w:color="auto"/>
              <w:left w:val="nil"/>
              <w:bottom w:val="single" w:sz="4" w:space="0" w:color="auto"/>
              <w:right w:val="single" w:sz="4" w:space="0" w:color="auto"/>
            </w:tcBorders>
          </w:tcPr>
          <w:p w:rsidR="0060519C" w:rsidRDefault="0060519C" w:rsidP="00F732EE">
            <w:pPr>
              <w:rPr>
                <w:sz w:val="24"/>
                <w:szCs w:val="24"/>
                <w:lang w:val="de-DE" w:eastAsia="de-DE"/>
              </w:rPr>
            </w:pPr>
            <w:r>
              <w:t>To first examination</w:t>
            </w:r>
          </w:p>
        </w:tc>
        <w:tc>
          <w:tcPr>
            <w:tcW w:w="2825" w:type="dxa"/>
            <w:tcBorders>
              <w:top w:val="single" w:sz="4" w:space="0" w:color="auto"/>
              <w:left w:val="single" w:sz="4" w:space="0" w:color="auto"/>
              <w:bottom w:val="single" w:sz="4" w:space="0" w:color="auto"/>
              <w:right w:val="single" w:sz="4" w:space="0" w:color="auto"/>
            </w:tcBorders>
            <w:vAlign w:val="center"/>
          </w:tcPr>
          <w:p w:rsidR="0060519C" w:rsidRDefault="0060519C" w:rsidP="00F732EE">
            <w:pPr>
              <w:jc w:val="center"/>
              <w:rPr>
                <w:sz w:val="24"/>
                <w:szCs w:val="24"/>
                <w:lang w:val="de-DE" w:eastAsia="de-DE"/>
              </w:rPr>
            </w:pPr>
            <w:r>
              <w:t>Internal database</w:t>
            </w:r>
          </w:p>
        </w:tc>
        <w:tc>
          <w:tcPr>
            <w:tcW w:w="2150" w:type="dxa"/>
            <w:tcBorders>
              <w:top w:val="single" w:sz="4" w:space="0" w:color="auto"/>
              <w:left w:val="single" w:sz="4" w:space="0" w:color="auto"/>
              <w:bottom w:val="single" w:sz="4" w:space="0" w:color="auto"/>
              <w:right w:val="nil"/>
            </w:tcBorders>
            <w:vAlign w:val="center"/>
          </w:tcPr>
          <w:p w:rsidR="0060519C" w:rsidRDefault="00227089" w:rsidP="00F732EE">
            <w:pPr>
              <w:jc w:val="center"/>
              <w:rPr>
                <w:sz w:val="24"/>
                <w:szCs w:val="24"/>
                <w:lang w:val="de-DE" w:eastAsia="de-DE"/>
              </w:rPr>
            </w:pPr>
            <w:r>
              <w:t>7.</w:t>
            </w:r>
            <w:r w:rsidR="0060519C">
              <w:t>9</w:t>
            </w:r>
          </w:p>
        </w:tc>
      </w:tr>
      <w:tr w:rsidR="0060519C" w:rsidTr="00F732EE">
        <w:trPr>
          <w:cantSplit/>
          <w:trHeight w:hRule="exact" w:val="284"/>
        </w:trPr>
        <w:tc>
          <w:tcPr>
            <w:tcW w:w="3780" w:type="dxa"/>
            <w:tcBorders>
              <w:top w:val="single" w:sz="4" w:space="0" w:color="auto"/>
              <w:left w:val="nil"/>
              <w:bottom w:val="nil"/>
              <w:right w:val="single" w:sz="4" w:space="0" w:color="auto"/>
            </w:tcBorders>
          </w:tcPr>
          <w:p w:rsidR="0060519C" w:rsidRDefault="0060519C" w:rsidP="00F732EE">
            <w:pPr>
              <w:rPr>
                <w:sz w:val="24"/>
                <w:szCs w:val="24"/>
                <w:lang w:val="de-DE" w:eastAsia="de-DE"/>
              </w:rPr>
            </w:pPr>
            <w:r>
              <w:t>To grant</w:t>
            </w:r>
          </w:p>
        </w:tc>
        <w:tc>
          <w:tcPr>
            <w:tcW w:w="2825" w:type="dxa"/>
            <w:tcBorders>
              <w:top w:val="single" w:sz="4" w:space="0" w:color="auto"/>
              <w:left w:val="single" w:sz="4" w:space="0" w:color="auto"/>
              <w:bottom w:val="nil"/>
              <w:right w:val="single" w:sz="4" w:space="0" w:color="auto"/>
            </w:tcBorders>
            <w:vAlign w:val="center"/>
          </w:tcPr>
          <w:p w:rsidR="0060519C" w:rsidRDefault="0060519C" w:rsidP="00F732EE">
            <w:pPr>
              <w:jc w:val="center"/>
              <w:rPr>
                <w:sz w:val="24"/>
                <w:szCs w:val="24"/>
                <w:lang w:val="de-DE" w:eastAsia="de-DE"/>
              </w:rPr>
            </w:pPr>
            <w:r>
              <w:t>Internal database</w:t>
            </w:r>
          </w:p>
        </w:tc>
        <w:tc>
          <w:tcPr>
            <w:tcW w:w="2150" w:type="dxa"/>
            <w:tcBorders>
              <w:top w:val="single" w:sz="4" w:space="0" w:color="auto"/>
              <w:left w:val="single" w:sz="4" w:space="0" w:color="auto"/>
              <w:bottom w:val="nil"/>
              <w:right w:val="nil"/>
            </w:tcBorders>
            <w:vAlign w:val="center"/>
          </w:tcPr>
          <w:p w:rsidR="0060519C" w:rsidRDefault="0060519C" w:rsidP="00227089">
            <w:pPr>
              <w:jc w:val="center"/>
              <w:rPr>
                <w:sz w:val="24"/>
                <w:szCs w:val="24"/>
                <w:lang w:val="de-DE" w:eastAsia="de-DE"/>
              </w:rPr>
            </w:pPr>
            <w:r>
              <w:t>18</w:t>
            </w:r>
            <w:r w:rsidR="00227089">
              <w:t>.</w:t>
            </w:r>
            <w:r>
              <w:t>5</w:t>
            </w:r>
          </w:p>
        </w:tc>
      </w:tr>
    </w:tbl>
    <w:p w:rsidR="0060519C" w:rsidRPr="00135CEA" w:rsidRDefault="0060519C" w:rsidP="00135CEA"/>
    <w:p w:rsidR="0060519C" w:rsidRDefault="0060519C" w:rsidP="00135CEA">
      <w:r>
        <w:t>According to the Austrian Patent Law, a Patent application implicitly includes a request for Search and Examination, without the need of a further request or fee</w:t>
      </w:r>
      <w:r w:rsidR="002826E0">
        <w:t xml:space="preserve">.  </w:t>
      </w:r>
      <w:r>
        <w:t>This means the Austrian patent prosecution process is similar to the PCT process, insofar as the first office action includes a Search Report and a Written Opinion.</w:t>
      </w:r>
    </w:p>
    <w:p w:rsidR="0060519C" w:rsidRDefault="0060519C" w:rsidP="00135CEA">
      <w:pPr>
        <w:pStyle w:val="Sub-heading"/>
        <w:rPr>
          <w:lang w:val="de-DE"/>
        </w:rPr>
      </w:pPr>
      <w:r>
        <w:t>National backlogs</w:t>
      </w:r>
    </w:p>
    <w:tbl>
      <w:tblPr>
        <w:tblW w:w="0" w:type="auto"/>
        <w:tblBorders>
          <w:insideH w:val="single" w:sz="4" w:space="0" w:color="auto"/>
          <w:insideV w:val="single" w:sz="4" w:space="0" w:color="auto"/>
        </w:tblBorders>
        <w:tblLook w:val="04A0" w:firstRow="1" w:lastRow="0" w:firstColumn="1" w:lastColumn="0" w:noHBand="0" w:noVBand="1"/>
      </w:tblPr>
      <w:tblGrid>
        <w:gridCol w:w="6062"/>
        <w:gridCol w:w="2686"/>
      </w:tblGrid>
      <w:tr w:rsidR="0060519C" w:rsidTr="00F732EE">
        <w:trPr>
          <w:cantSplit/>
          <w:trHeight w:hRule="exact" w:val="284"/>
        </w:trPr>
        <w:tc>
          <w:tcPr>
            <w:tcW w:w="6062" w:type="dxa"/>
            <w:tcBorders>
              <w:top w:val="nil"/>
              <w:left w:val="nil"/>
              <w:bottom w:val="single" w:sz="4" w:space="0" w:color="auto"/>
              <w:right w:val="single" w:sz="4" w:space="0" w:color="auto"/>
            </w:tcBorders>
          </w:tcPr>
          <w:p w:rsidR="0060519C" w:rsidRDefault="0060519C" w:rsidP="00F732EE">
            <w:pPr>
              <w:keepNext/>
              <w:keepLines/>
              <w:rPr>
                <w:b/>
                <w:bCs/>
                <w:sz w:val="24"/>
                <w:szCs w:val="24"/>
                <w:lang w:val="de-DE" w:eastAsia="de-DE"/>
              </w:rPr>
            </w:pPr>
            <w:r>
              <w:rPr>
                <w:b/>
                <w:bCs/>
              </w:rPr>
              <w:t>Measure</w:t>
            </w:r>
          </w:p>
        </w:tc>
        <w:tc>
          <w:tcPr>
            <w:tcW w:w="2686" w:type="dxa"/>
            <w:tcBorders>
              <w:top w:val="nil"/>
              <w:left w:val="single" w:sz="4" w:space="0" w:color="auto"/>
              <w:bottom w:val="single" w:sz="4" w:space="0" w:color="auto"/>
              <w:right w:val="nil"/>
            </w:tcBorders>
          </w:tcPr>
          <w:p w:rsidR="0060519C" w:rsidRDefault="0060519C" w:rsidP="00F732EE">
            <w:pPr>
              <w:keepNext/>
              <w:keepLines/>
              <w:rPr>
                <w:b/>
                <w:bCs/>
                <w:sz w:val="24"/>
                <w:szCs w:val="24"/>
                <w:lang w:val="de-DE" w:eastAsia="de-DE"/>
              </w:rPr>
            </w:pPr>
            <w:r>
              <w:rPr>
                <w:b/>
                <w:bCs/>
              </w:rPr>
              <w:t>Number of applications</w:t>
            </w:r>
          </w:p>
        </w:tc>
      </w:tr>
      <w:tr w:rsidR="0060519C" w:rsidTr="00F732EE">
        <w:trPr>
          <w:cantSplit/>
          <w:trHeight w:hRule="exact" w:val="284"/>
        </w:trPr>
        <w:tc>
          <w:tcPr>
            <w:tcW w:w="6062" w:type="dxa"/>
            <w:tcBorders>
              <w:top w:val="single" w:sz="4" w:space="0" w:color="auto"/>
              <w:left w:val="nil"/>
              <w:bottom w:val="single" w:sz="4" w:space="0" w:color="auto"/>
              <w:right w:val="single" w:sz="4" w:space="0" w:color="auto"/>
            </w:tcBorders>
          </w:tcPr>
          <w:p w:rsidR="0060519C" w:rsidRDefault="0060519C" w:rsidP="00F732EE">
            <w:pPr>
              <w:keepNext/>
              <w:keepLines/>
              <w:rPr>
                <w:sz w:val="6"/>
                <w:szCs w:val="24"/>
                <w:lang w:val="de-DE" w:eastAsia="de-DE"/>
              </w:rPr>
            </w:pPr>
          </w:p>
        </w:tc>
        <w:tc>
          <w:tcPr>
            <w:tcW w:w="2686" w:type="dxa"/>
            <w:tcBorders>
              <w:top w:val="single" w:sz="4" w:space="0" w:color="auto"/>
              <w:left w:val="single" w:sz="4" w:space="0" w:color="auto"/>
              <w:bottom w:val="single" w:sz="4" w:space="0" w:color="auto"/>
              <w:right w:val="nil"/>
            </w:tcBorders>
            <w:vAlign w:val="center"/>
          </w:tcPr>
          <w:p w:rsidR="0060519C" w:rsidRDefault="0060519C" w:rsidP="00F732EE">
            <w:pPr>
              <w:keepNext/>
              <w:keepLines/>
              <w:jc w:val="center"/>
              <w:rPr>
                <w:sz w:val="6"/>
                <w:szCs w:val="24"/>
                <w:lang w:val="de-DE" w:eastAsia="de-DE"/>
              </w:rPr>
            </w:pPr>
          </w:p>
        </w:tc>
      </w:tr>
      <w:tr w:rsidR="0060519C" w:rsidTr="00F732EE">
        <w:trPr>
          <w:cantSplit/>
          <w:trHeight w:hRule="exact" w:val="284"/>
        </w:trPr>
        <w:tc>
          <w:tcPr>
            <w:tcW w:w="6062" w:type="dxa"/>
            <w:tcBorders>
              <w:top w:val="single" w:sz="4" w:space="0" w:color="auto"/>
              <w:left w:val="nil"/>
              <w:bottom w:val="single" w:sz="4" w:space="0" w:color="auto"/>
              <w:right w:val="single" w:sz="4" w:space="0" w:color="auto"/>
            </w:tcBorders>
          </w:tcPr>
          <w:p w:rsidR="0060519C" w:rsidRDefault="0060519C" w:rsidP="00F732EE">
            <w:pPr>
              <w:keepNext/>
              <w:keepLines/>
              <w:rPr>
                <w:sz w:val="24"/>
                <w:szCs w:val="24"/>
                <w:lang w:val="de-DE" w:eastAsia="de-DE"/>
              </w:rPr>
            </w:pPr>
            <w:r>
              <w:t>All pending applications</w:t>
            </w:r>
          </w:p>
        </w:tc>
        <w:tc>
          <w:tcPr>
            <w:tcW w:w="2686" w:type="dxa"/>
            <w:tcBorders>
              <w:top w:val="single" w:sz="4" w:space="0" w:color="auto"/>
              <w:left w:val="single" w:sz="4" w:space="0" w:color="auto"/>
              <w:bottom w:val="single" w:sz="4" w:space="0" w:color="auto"/>
              <w:right w:val="nil"/>
            </w:tcBorders>
            <w:vAlign w:val="center"/>
          </w:tcPr>
          <w:p w:rsidR="0060519C" w:rsidRDefault="0060519C" w:rsidP="00F732EE">
            <w:pPr>
              <w:keepNext/>
              <w:keepLines/>
              <w:jc w:val="center"/>
              <w:rPr>
                <w:sz w:val="24"/>
                <w:szCs w:val="24"/>
                <w:lang w:val="de-DE" w:eastAsia="de-DE"/>
              </w:rPr>
            </w:pPr>
            <w:r>
              <w:t>4</w:t>
            </w:r>
            <w:r w:rsidR="00227089">
              <w:t>,</w:t>
            </w:r>
            <w:r>
              <w:t>900</w:t>
            </w:r>
          </w:p>
        </w:tc>
      </w:tr>
      <w:tr w:rsidR="0060519C" w:rsidTr="00F732EE">
        <w:trPr>
          <w:cantSplit/>
          <w:trHeight w:hRule="exact" w:val="284"/>
        </w:trPr>
        <w:tc>
          <w:tcPr>
            <w:tcW w:w="6062" w:type="dxa"/>
            <w:tcBorders>
              <w:top w:val="single" w:sz="4" w:space="0" w:color="auto"/>
              <w:left w:val="nil"/>
              <w:bottom w:val="single" w:sz="4" w:space="0" w:color="auto"/>
              <w:right w:val="single" w:sz="4" w:space="0" w:color="auto"/>
            </w:tcBorders>
          </w:tcPr>
          <w:p w:rsidR="0060519C" w:rsidRDefault="0060519C" w:rsidP="00F732EE">
            <w:pPr>
              <w:keepNext/>
              <w:keepLines/>
              <w:rPr>
                <w:sz w:val="24"/>
                <w:szCs w:val="24"/>
                <w:lang w:val="en-GB" w:eastAsia="de-DE"/>
              </w:rPr>
            </w:pPr>
            <w:r>
              <w:rPr>
                <w:lang w:val="en-GB"/>
              </w:rPr>
              <w:t>Applications awaiting search (where relevant fees paid)</w:t>
            </w:r>
          </w:p>
        </w:tc>
        <w:tc>
          <w:tcPr>
            <w:tcW w:w="2686" w:type="dxa"/>
            <w:tcBorders>
              <w:top w:val="single" w:sz="4" w:space="0" w:color="auto"/>
              <w:left w:val="single" w:sz="4" w:space="0" w:color="auto"/>
              <w:bottom w:val="single" w:sz="4" w:space="0" w:color="auto"/>
              <w:right w:val="nil"/>
            </w:tcBorders>
            <w:vAlign w:val="center"/>
          </w:tcPr>
          <w:p w:rsidR="0060519C" w:rsidRDefault="0060519C" w:rsidP="00F732EE">
            <w:pPr>
              <w:keepNext/>
              <w:keepLines/>
              <w:jc w:val="center"/>
              <w:rPr>
                <w:sz w:val="24"/>
                <w:szCs w:val="24"/>
                <w:lang w:val="de-DE" w:eastAsia="de-DE"/>
              </w:rPr>
            </w:pPr>
            <w:r>
              <w:t>1</w:t>
            </w:r>
            <w:r w:rsidR="00227089">
              <w:t>,</w:t>
            </w:r>
            <w:r>
              <w:t>400</w:t>
            </w:r>
          </w:p>
        </w:tc>
      </w:tr>
      <w:tr w:rsidR="0060519C" w:rsidTr="00F732EE">
        <w:trPr>
          <w:cantSplit/>
          <w:trHeight w:hRule="exact" w:val="284"/>
        </w:trPr>
        <w:tc>
          <w:tcPr>
            <w:tcW w:w="6062" w:type="dxa"/>
            <w:tcBorders>
              <w:top w:val="single" w:sz="4" w:space="0" w:color="auto"/>
              <w:left w:val="nil"/>
              <w:bottom w:val="nil"/>
              <w:right w:val="single" w:sz="4" w:space="0" w:color="auto"/>
            </w:tcBorders>
          </w:tcPr>
          <w:p w:rsidR="0060519C" w:rsidRDefault="0060519C" w:rsidP="00F732EE">
            <w:pPr>
              <w:keepLines/>
              <w:rPr>
                <w:sz w:val="24"/>
                <w:szCs w:val="24"/>
                <w:lang w:val="en-GB" w:eastAsia="de-DE"/>
              </w:rPr>
            </w:pPr>
            <w:r>
              <w:rPr>
                <w:lang w:val="en-GB"/>
              </w:rPr>
              <w:t>Applications awaiting first examination (where relevant fees paid)</w:t>
            </w:r>
          </w:p>
        </w:tc>
        <w:tc>
          <w:tcPr>
            <w:tcW w:w="2686" w:type="dxa"/>
            <w:tcBorders>
              <w:top w:val="single" w:sz="4" w:space="0" w:color="auto"/>
              <w:left w:val="single" w:sz="4" w:space="0" w:color="auto"/>
              <w:bottom w:val="nil"/>
              <w:right w:val="nil"/>
            </w:tcBorders>
            <w:vAlign w:val="center"/>
          </w:tcPr>
          <w:p w:rsidR="0060519C" w:rsidRDefault="0060519C" w:rsidP="00F732EE">
            <w:pPr>
              <w:jc w:val="center"/>
              <w:rPr>
                <w:sz w:val="24"/>
                <w:szCs w:val="24"/>
                <w:lang w:val="de-DE" w:eastAsia="de-DE"/>
              </w:rPr>
            </w:pPr>
            <w:r>
              <w:t>1</w:t>
            </w:r>
            <w:r w:rsidR="00227089">
              <w:t>,</w:t>
            </w:r>
            <w:r>
              <w:t>400</w:t>
            </w:r>
          </w:p>
        </w:tc>
      </w:tr>
    </w:tbl>
    <w:p w:rsidR="0060519C" w:rsidRDefault="0060519C" w:rsidP="0060519C">
      <w:pPr>
        <w:rPr>
          <w:b/>
          <w:caps/>
        </w:rPr>
      </w:pPr>
    </w:p>
    <w:p w:rsidR="0060519C" w:rsidRDefault="0060519C" w:rsidP="00135CEA">
      <w:pPr>
        <w:pStyle w:val="SectionHeading"/>
      </w:pPr>
      <w:r>
        <w:t>7 – Other</w:t>
      </w:r>
    </w:p>
    <w:p w:rsidR="0060519C" w:rsidRPr="00135CEA" w:rsidRDefault="0060519C" w:rsidP="00135CEA">
      <w:r w:rsidRPr="00135CEA">
        <w:t>Please do not hesitate in case of further question to contact</w:t>
      </w:r>
    </w:p>
    <w:p w:rsidR="0060519C" w:rsidRPr="00135CEA" w:rsidRDefault="0060519C" w:rsidP="00135CEA">
      <w:pPr>
        <w:ind w:left="567"/>
      </w:pPr>
      <w:r w:rsidRPr="00135CEA">
        <w:t xml:space="preserve">Katharina </w:t>
      </w:r>
      <w:proofErr w:type="spellStart"/>
      <w:r w:rsidRPr="00135CEA">
        <w:t>Fastenbauer</w:t>
      </w:r>
      <w:proofErr w:type="spellEnd"/>
    </w:p>
    <w:p w:rsidR="0060519C" w:rsidRPr="00135CEA" w:rsidRDefault="0060519C" w:rsidP="00135CEA">
      <w:pPr>
        <w:ind w:left="567"/>
      </w:pPr>
      <w:r w:rsidRPr="00135CEA">
        <w:t>Head of Patent Support and PCT</w:t>
      </w:r>
    </w:p>
    <w:p w:rsidR="0060519C" w:rsidRPr="00135CEA" w:rsidRDefault="0060519C" w:rsidP="00135CEA">
      <w:pPr>
        <w:ind w:left="567"/>
      </w:pPr>
      <w:r w:rsidRPr="00135CEA">
        <w:t>Deputy Vice-President for Technical Affairs</w:t>
      </w:r>
    </w:p>
    <w:p w:rsidR="0060519C" w:rsidRPr="00135CEA" w:rsidRDefault="0060519C" w:rsidP="00135CEA">
      <w:pPr>
        <w:ind w:left="567"/>
      </w:pPr>
      <w:r w:rsidRPr="00135CEA">
        <w:t> </w:t>
      </w:r>
    </w:p>
    <w:p w:rsidR="0060519C" w:rsidRPr="00135CEA" w:rsidRDefault="0060519C" w:rsidP="00135CEA">
      <w:pPr>
        <w:ind w:left="567"/>
      </w:pPr>
      <w:r w:rsidRPr="00135CEA">
        <w:t>Austrian Patent Office</w:t>
      </w:r>
    </w:p>
    <w:p w:rsidR="0060519C" w:rsidRPr="00135CEA" w:rsidRDefault="0060519C" w:rsidP="00135CEA">
      <w:pPr>
        <w:ind w:left="567"/>
      </w:pPr>
      <w:proofErr w:type="spellStart"/>
      <w:r w:rsidRPr="00135CEA">
        <w:t>Dresdnerstraße</w:t>
      </w:r>
      <w:proofErr w:type="spellEnd"/>
      <w:r w:rsidRPr="00135CEA">
        <w:t xml:space="preserve"> 87</w:t>
      </w:r>
    </w:p>
    <w:p w:rsidR="0060519C" w:rsidRPr="00135CEA" w:rsidRDefault="0060519C" w:rsidP="00135CEA">
      <w:pPr>
        <w:ind w:left="567"/>
      </w:pPr>
      <w:r w:rsidRPr="00135CEA">
        <w:t>1200 Wien</w:t>
      </w:r>
    </w:p>
    <w:p w:rsidR="0060519C" w:rsidRPr="00135CEA" w:rsidRDefault="0060519C" w:rsidP="00135CEA">
      <w:pPr>
        <w:ind w:left="567"/>
      </w:pPr>
      <w:r w:rsidRPr="00135CEA">
        <w:t>Austria</w:t>
      </w:r>
    </w:p>
    <w:p w:rsidR="0060519C" w:rsidRPr="00135CEA" w:rsidRDefault="0060519C" w:rsidP="00135CEA">
      <w:pPr>
        <w:ind w:left="567"/>
      </w:pPr>
      <w:r w:rsidRPr="00135CEA">
        <w:t> </w:t>
      </w:r>
    </w:p>
    <w:p w:rsidR="0060519C" w:rsidRPr="00135CEA" w:rsidRDefault="0060519C" w:rsidP="00135CEA">
      <w:pPr>
        <w:ind w:left="567"/>
      </w:pPr>
      <w:proofErr w:type="gramStart"/>
      <w:r w:rsidRPr="00135CEA">
        <w:t>Tel</w:t>
      </w:r>
      <w:r w:rsidR="002826E0">
        <w:t>.</w:t>
      </w:r>
      <w:proofErr w:type="gramEnd"/>
      <w:r w:rsidR="002826E0">
        <w:t xml:space="preserve">  </w:t>
      </w:r>
      <w:r w:rsidRPr="00135CEA">
        <w:t xml:space="preserve">+43 1 53 424 </w:t>
      </w:r>
      <w:proofErr w:type="gramStart"/>
      <w:r w:rsidRPr="00135CEA">
        <w:t>447 ;</w:t>
      </w:r>
      <w:proofErr w:type="gramEnd"/>
      <w:r w:rsidRPr="00135CEA">
        <w:t xml:space="preserve">  Fax</w:t>
      </w:r>
      <w:r w:rsidR="002826E0">
        <w:t xml:space="preserve">.  </w:t>
      </w:r>
      <w:r w:rsidRPr="00135CEA">
        <w:t>+43 1 53 424 535</w:t>
      </w:r>
    </w:p>
    <w:p w:rsidR="0060519C" w:rsidRPr="00351532" w:rsidRDefault="00632C64" w:rsidP="00135CEA">
      <w:pPr>
        <w:ind w:left="567"/>
      </w:pPr>
      <w:hyperlink r:id="rId32" w:history="1">
        <w:r w:rsidR="0060519C" w:rsidRPr="00351532">
          <w:rPr>
            <w:rStyle w:val="Hyperlink"/>
          </w:rPr>
          <w:t>Katharina.Fastenbauer@patentamt.at</w:t>
        </w:r>
      </w:hyperlink>
    </w:p>
    <w:p w:rsidR="00135CEA" w:rsidRPr="00135CEA" w:rsidRDefault="00135CEA" w:rsidP="00135CEA"/>
    <w:p w:rsidR="00AA5F79" w:rsidRPr="00AA5F79" w:rsidRDefault="00FA4CE0" w:rsidP="00FA4CE0">
      <w:pPr>
        <w:pStyle w:val="Endofdocument-Annex"/>
      </w:pPr>
      <w:r>
        <w:t>[End of Annex and of document]</w:t>
      </w:r>
    </w:p>
    <w:sectPr w:rsidR="00AA5F79" w:rsidRPr="00AA5F79" w:rsidSect="00AA5F79">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w:t>
    </w:r>
    <w:r w:rsidR="005C0868">
      <w:t>/3</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C0868">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5C0868">
      <w:rPr>
        <w:lang w:val="fr-FR"/>
      </w:rPr>
      <w:t>/3</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632C64">
      <w:rPr>
        <w:noProof/>
        <w:lang w:val="fr-FR"/>
      </w:rPr>
      <w:t>11</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5C0868">
      <w:t>/3</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9E3511"/>
    <w:multiLevelType w:val="hybridMultilevel"/>
    <w:tmpl w:val="B740B88A"/>
    <w:lvl w:ilvl="0" w:tplc="69D0D5BA">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43CAA"/>
    <w:rsid w:val="00075432"/>
    <w:rsid w:val="000968ED"/>
    <w:rsid w:val="000F5E56"/>
    <w:rsid w:val="00135CEA"/>
    <w:rsid w:val="001362EE"/>
    <w:rsid w:val="001832A6"/>
    <w:rsid w:val="001E5980"/>
    <w:rsid w:val="002060B4"/>
    <w:rsid w:val="0021217E"/>
    <w:rsid w:val="00227089"/>
    <w:rsid w:val="002634C4"/>
    <w:rsid w:val="002826E0"/>
    <w:rsid w:val="002928D3"/>
    <w:rsid w:val="002F1FE6"/>
    <w:rsid w:val="002F4E68"/>
    <w:rsid w:val="00312F7F"/>
    <w:rsid w:val="0035027E"/>
    <w:rsid w:val="00351532"/>
    <w:rsid w:val="00361450"/>
    <w:rsid w:val="003673CF"/>
    <w:rsid w:val="003845C1"/>
    <w:rsid w:val="003A6F89"/>
    <w:rsid w:val="003B38C1"/>
    <w:rsid w:val="00423E3E"/>
    <w:rsid w:val="00427AF4"/>
    <w:rsid w:val="004647DA"/>
    <w:rsid w:val="00474062"/>
    <w:rsid w:val="00477D6B"/>
    <w:rsid w:val="004F74E6"/>
    <w:rsid w:val="005019FF"/>
    <w:rsid w:val="0053057A"/>
    <w:rsid w:val="00560A29"/>
    <w:rsid w:val="005C0868"/>
    <w:rsid w:val="005C40A3"/>
    <w:rsid w:val="005C6649"/>
    <w:rsid w:val="0060519C"/>
    <w:rsid w:val="00605827"/>
    <w:rsid w:val="00632C64"/>
    <w:rsid w:val="00646050"/>
    <w:rsid w:val="006713CA"/>
    <w:rsid w:val="00676C5C"/>
    <w:rsid w:val="007D1613"/>
    <w:rsid w:val="007E4C0E"/>
    <w:rsid w:val="00837953"/>
    <w:rsid w:val="008B2CC1"/>
    <w:rsid w:val="008B50A2"/>
    <w:rsid w:val="008B60B2"/>
    <w:rsid w:val="0090731E"/>
    <w:rsid w:val="00916EE2"/>
    <w:rsid w:val="00932455"/>
    <w:rsid w:val="00966A22"/>
    <w:rsid w:val="0096722F"/>
    <w:rsid w:val="00980843"/>
    <w:rsid w:val="009E2791"/>
    <w:rsid w:val="009E3F6F"/>
    <w:rsid w:val="009F499F"/>
    <w:rsid w:val="00A42DAF"/>
    <w:rsid w:val="00A45BD8"/>
    <w:rsid w:val="00A869B7"/>
    <w:rsid w:val="00A93FC2"/>
    <w:rsid w:val="00AA5F79"/>
    <w:rsid w:val="00AC205C"/>
    <w:rsid w:val="00AF0A6B"/>
    <w:rsid w:val="00B05A69"/>
    <w:rsid w:val="00B306D4"/>
    <w:rsid w:val="00B9734B"/>
    <w:rsid w:val="00BA30E2"/>
    <w:rsid w:val="00BD078D"/>
    <w:rsid w:val="00C11BFE"/>
    <w:rsid w:val="00C5068F"/>
    <w:rsid w:val="00C650A4"/>
    <w:rsid w:val="00CD04F1"/>
    <w:rsid w:val="00D45252"/>
    <w:rsid w:val="00D71B4D"/>
    <w:rsid w:val="00D93D55"/>
    <w:rsid w:val="00E15015"/>
    <w:rsid w:val="00E335FE"/>
    <w:rsid w:val="00E82D0C"/>
    <w:rsid w:val="00EC4E49"/>
    <w:rsid w:val="00ED77FB"/>
    <w:rsid w:val="00EE45FA"/>
    <w:rsid w:val="00F66152"/>
    <w:rsid w:val="00FA4CE0"/>
    <w:rsid w:val="00FD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character" w:customStyle="1" w:styleId="Heading1Char">
    <w:name w:val="Heading 1 Char"/>
    <w:link w:val="Heading1"/>
    <w:rsid w:val="0060519C"/>
    <w:rPr>
      <w:rFonts w:ascii="Arial" w:eastAsia="SimSun" w:hAnsi="Arial" w:cs="Arial"/>
      <w:b/>
      <w:bCs/>
      <w:caps/>
      <w:kern w:val="32"/>
      <w:sz w:val="22"/>
      <w:szCs w:val="32"/>
      <w:lang w:eastAsia="zh-CN"/>
    </w:rPr>
  </w:style>
  <w:style w:type="character" w:styleId="Hyperlink">
    <w:name w:val="Hyperlink"/>
    <w:rsid w:val="002060B4"/>
  </w:style>
  <w:style w:type="character" w:customStyle="1" w:styleId="22StandardZchn">
    <w:name w:val="22 Standard Zchn"/>
    <w:link w:val="22Standard"/>
    <w:locked/>
    <w:rsid w:val="0060519C"/>
    <w:rPr>
      <w:rFonts w:ascii="Arial" w:eastAsia="SimSun" w:hAnsi="Arial" w:cs="Arial"/>
      <w:sz w:val="22"/>
      <w:lang w:eastAsia="zh-CN"/>
    </w:rPr>
  </w:style>
  <w:style w:type="paragraph" w:customStyle="1" w:styleId="22Standard">
    <w:name w:val="22 Standard"/>
    <w:basedOn w:val="Normal"/>
    <w:link w:val="22StandardZchn"/>
    <w:rsid w:val="0060519C"/>
    <w:pPr>
      <w:spacing w:after="120" w:line="300" w:lineRule="exact"/>
      <w:ind w:left="284"/>
    </w:pPr>
  </w:style>
  <w:style w:type="character" w:customStyle="1" w:styleId="alt-edited">
    <w:name w:val="alt-edited"/>
    <w:rsid w:val="0060519C"/>
  </w:style>
  <w:style w:type="paragraph" w:customStyle="1" w:styleId="SectionHeading">
    <w:name w:val="Section Heading"/>
    <w:basedOn w:val="Heading1"/>
    <w:link w:val="SectionHeadingChar"/>
    <w:qFormat/>
    <w:rsid w:val="00135CEA"/>
    <w:pPr>
      <w:pBdr>
        <w:top w:val="single" w:sz="4" w:space="1" w:color="auto"/>
        <w:bottom w:val="single" w:sz="4" w:space="1" w:color="auto"/>
      </w:pBdr>
      <w:spacing w:before="360" w:after="200"/>
    </w:pPr>
  </w:style>
  <w:style w:type="character" w:customStyle="1" w:styleId="SectionHeadingChar">
    <w:name w:val="Section Heading Char"/>
    <w:link w:val="SectionHeading"/>
    <w:rsid w:val="00135CEA"/>
    <w:rPr>
      <w:rFonts w:ascii="Arial" w:eastAsia="SimSun" w:hAnsi="Arial" w:cs="Arial"/>
      <w:b/>
      <w:bCs/>
      <w:caps/>
      <w:kern w:val="32"/>
      <w:sz w:val="22"/>
      <w:szCs w:val="32"/>
      <w:lang w:eastAsia="zh-CN"/>
    </w:rPr>
  </w:style>
  <w:style w:type="paragraph" w:customStyle="1" w:styleId="Sub-heading">
    <w:name w:val="Sub-heading"/>
    <w:basedOn w:val="Normal"/>
    <w:link w:val="Sub-headingChar"/>
    <w:qFormat/>
    <w:rsid w:val="00135CEA"/>
    <w:pPr>
      <w:keepNext/>
      <w:spacing w:before="240" w:after="240"/>
    </w:pPr>
    <w:rPr>
      <w:b/>
      <w:lang w:val="en-GB"/>
    </w:rPr>
  </w:style>
  <w:style w:type="character" w:customStyle="1" w:styleId="Sub-headingChar">
    <w:name w:val="Sub-heading Char"/>
    <w:basedOn w:val="DefaultParagraphFont"/>
    <w:link w:val="Sub-heading"/>
    <w:rsid w:val="00135CEA"/>
    <w:rPr>
      <w:rFonts w:ascii="Arial" w:eastAsia="SimSun" w:hAnsi="Arial" w:cs="Arial"/>
      <w:b/>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40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pct/en/quality/authorities.html" TargetMode="External"/><Relationship Id="rId18" Type="http://schemas.openxmlformats.org/officeDocument/2006/relationships/hyperlink" Target="http://www.austria.info/uk" TargetMode="External"/><Relationship Id="rId26" Type="http://schemas.openxmlformats.org/officeDocument/2006/relationships/hyperlink" Target="https://www.bmvit.gv.at/service/publikationen/innovation/forschungspolitik/downloads/fti_strategie.pdf" TargetMode="External"/><Relationship Id="rId3" Type="http://schemas.openxmlformats.org/officeDocument/2006/relationships/styles" Target="styles.xml"/><Relationship Id="rId21" Type="http://schemas.openxmlformats.org/officeDocument/2006/relationships/hyperlink" Target="http://www.statistik.at/web_en/statistics/index.html"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17" Type="http://schemas.openxmlformats.org/officeDocument/2006/relationships/hyperlink" Target="https://en.wikipedia.org/wiki/Central_Europe" TargetMode="External"/><Relationship Id="rId25" Type="http://schemas.openxmlformats.org/officeDocument/2006/relationships/hyperlink" Target="http://archiv.bundeskanzleramt.at/DocView.axd?CobId=65314"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po.go.jp/ppph-portal/index.htm" TargetMode="External"/><Relationship Id="rId20" Type="http://schemas.openxmlformats.org/officeDocument/2006/relationships/image" Target="media/image2.gif"/><Relationship Id="rId29" Type="http://schemas.openxmlformats.org/officeDocument/2006/relationships/hyperlink" Target="http://archiv.bundeskanzleramt.at/DocView.axd?CobId=653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ct/en/quality/authorities.html" TargetMode="External"/><Relationship Id="rId24" Type="http://schemas.openxmlformats.org/officeDocument/2006/relationships/hyperlink" Target="http://www.statistik.at/web_en" TargetMode="External"/><Relationship Id="rId32" Type="http://schemas.openxmlformats.org/officeDocument/2006/relationships/hyperlink" Target="mailto:Katharina.Fastenbauer@patentamt.at" TargetMode="External"/><Relationship Id="rId5" Type="http://schemas.openxmlformats.org/officeDocument/2006/relationships/settings" Target="settings.xml"/><Relationship Id="rId15" Type="http://schemas.openxmlformats.org/officeDocument/2006/relationships/hyperlink" Target="http://www.wipo.int/pct/guide/en/gdvol1/annexes/annexd/ax_d_at.pdf" TargetMode="External"/><Relationship Id="rId23" Type="http://schemas.openxmlformats.org/officeDocument/2006/relationships/image" Target="media/image4.png"/><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austria-export.biz/en/" TargetMode="External"/><Relationship Id="rId31"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af-zentrum.at/de/CAF-Center-EU" TargetMode="External"/><Relationship Id="rId22" Type="http://schemas.openxmlformats.org/officeDocument/2006/relationships/image" Target="media/image3.png"/><Relationship Id="rId27" Type="http://schemas.openxmlformats.org/officeDocument/2006/relationships/hyperlink" Target="https://www.bmvit.gv.at/en/innovation/downloads/open_innovation_strategy_for_austria.pdf" TargetMode="External"/><Relationship Id="rId30" Type="http://schemas.openxmlformats.org/officeDocument/2006/relationships/hyperlink" Target="http://ipstats.wipo.int/ipstatv2/index.htm?tab=patent"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CDE36-242B-4DB8-9451-F7E2801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(E).dotm</Template>
  <TotalTime>80</TotalTime>
  <Pages>12</Pages>
  <Words>3502</Words>
  <Characters>21149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PCT/CTC/30/</vt:lpstr>
    </vt:vector>
  </TitlesOfParts>
  <Company>WIPO</Company>
  <LinksUpToDate>false</LinksUpToDate>
  <CharactersWithSpaces>24602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PCT/CTC/30/3</dc:title>
  <dc:subject>Extension of Appointment of the Austrian Patent Office as an International Searching and Preliminary Examining Authority Under the PCT</dc:subject>
  <dc:creator>MARLOW Thomas</dc:creator>
  <cp:lastModifiedBy>RICHARDSON Michael</cp:lastModifiedBy>
  <cp:revision>17</cp:revision>
  <cp:lastPrinted>2017-02-28T14:25:00Z</cp:lastPrinted>
  <dcterms:created xsi:type="dcterms:W3CDTF">2017-03-07T08:47:00Z</dcterms:created>
  <dcterms:modified xsi:type="dcterms:W3CDTF">2017-03-16T15:45:00Z</dcterms:modified>
</cp:coreProperties>
</file>