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bookmarkStart w:id="0" w:name="Code"/>
            <w:bookmarkEnd w:id="0"/>
            <w:r w:rsidR="00621618">
              <w:rPr>
                <w:rFonts w:ascii="Arial Black" w:hAnsi="Arial Black"/>
                <w:caps/>
                <w:sz w:val="15"/>
              </w:rPr>
              <w:t>1 Prov.2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62161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D000D">
            <w:pPr>
              <w:jc w:val="right"/>
              <w:rPr>
                <w:rFonts w:ascii="Arial Black" w:hAnsi="Arial Black"/>
                <w:caps/>
                <w:sz w:val="15"/>
              </w:rPr>
            </w:pPr>
            <w:r w:rsidRPr="0090731E">
              <w:rPr>
                <w:rFonts w:ascii="Arial Black" w:hAnsi="Arial Black"/>
                <w:caps/>
                <w:sz w:val="15"/>
              </w:rPr>
              <w:t xml:space="preserve">DATE: </w:t>
            </w:r>
            <w:bookmarkStart w:id="2" w:name="Date"/>
            <w:bookmarkEnd w:id="2"/>
            <w:r w:rsidR="00895775">
              <w:rPr>
                <w:rFonts w:ascii="Arial Black" w:hAnsi="Arial Black"/>
                <w:caps/>
                <w:sz w:val="15"/>
              </w:rPr>
              <w:t>March 1</w:t>
            </w:r>
            <w:r w:rsidR="005D000D">
              <w:rPr>
                <w:rFonts w:ascii="Arial Black" w:hAnsi="Arial Black"/>
                <w:caps/>
                <w:sz w:val="15"/>
              </w:rPr>
              <w:t>6</w:t>
            </w:r>
            <w:r w:rsidR="00621618">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621618" w:rsidP="008B2CC1">
      <w:pPr>
        <w:rPr>
          <w:caps/>
          <w:sz w:val="24"/>
        </w:rPr>
      </w:pPr>
      <w:bookmarkStart w:id="3" w:name="TitleOfDoc"/>
      <w:bookmarkEnd w:id="3"/>
      <w:r>
        <w:rPr>
          <w:caps/>
          <w:sz w:val="24"/>
        </w:rPr>
        <w:t>Revised Draft Agenda</w:t>
      </w:r>
    </w:p>
    <w:p w:rsidR="008B2CC1" w:rsidRPr="008B2CC1" w:rsidRDefault="008B2CC1" w:rsidP="008B2CC1"/>
    <w:p w:rsidR="008B2CC1" w:rsidRPr="008B2CC1" w:rsidRDefault="00621618" w:rsidP="008B2CC1">
      <w:pPr>
        <w:rPr>
          <w:i/>
        </w:rPr>
      </w:pPr>
      <w:bookmarkStart w:id="4" w:name="Prepared"/>
      <w:bookmarkEnd w:id="4"/>
      <w:r>
        <w:rPr>
          <w:i/>
        </w:rPr>
        <w:t>prepared by the Secretariat</w:t>
      </w:r>
    </w:p>
    <w:p w:rsidR="00AC205C" w:rsidRDefault="00AC205C"/>
    <w:p w:rsidR="000F5E56" w:rsidRDefault="000F5E56"/>
    <w:p w:rsidR="002928D3" w:rsidRDefault="002928D3"/>
    <w:p w:rsidR="002928D3" w:rsidRDefault="002928D3" w:rsidP="0053057A"/>
    <w:p w:rsidR="008F38CD" w:rsidRDefault="008F38CD" w:rsidP="008F38CD"/>
    <w:p w:rsidR="008F38CD" w:rsidRPr="007E05AE" w:rsidRDefault="008F38CD" w:rsidP="008F38CD">
      <w:pPr>
        <w:pStyle w:val="ONUME"/>
      </w:pPr>
      <w:r w:rsidRPr="007E05AE">
        <w:t>Opening of the session</w:t>
      </w:r>
    </w:p>
    <w:p w:rsidR="008F38CD" w:rsidRPr="007E05AE" w:rsidRDefault="008F38CD" w:rsidP="008F38CD">
      <w:pPr>
        <w:pStyle w:val="ONUME"/>
      </w:pPr>
      <w:r w:rsidRPr="007E05AE">
        <w:t>Election of a Chair and two Vice-Chairs</w:t>
      </w:r>
    </w:p>
    <w:p w:rsidR="008F38CD" w:rsidRPr="007E05AE" w:rsidRDefault="008F38CD" w:rsidP="008F38CD">
      <w:pPr>
        <w:pStyle w:val="ONUME"/>
      </w:pPr>
      <w:r w:rsidRPr="007E05AE">
        <w:t>Adoption of the agenda</w:t>
      </w:r>
    </w:p>
    <w:p w:rsidR="008F38CD" w:rsidRPr="007E05AE" w:rsidRDefault="008F38CD" w:rsidP="00F379DA">
      <w:pPr>
        <w:pStyle w:val="ONUME"/>
        <w:rPr>
          <w:szCs w:val="22"/>
        </w:rPr>
      </w:pPr>
      <w:r w:rsidRPr="007E05AE">
        <w:rPr>
          <w:szCs w:val="22"/>
        </w:rPr>
        <w:t>Advice to the Assembly of the PCT Union on the proposed appointment of the Intellectual Property Office of the Philippines as an International Searching and Preliminary Examining Authority under the PCT</w:t>
      </w:r>
      <w:r w:rsidR="00070D92">
        <w:rPr>
          <w:szCs w:val="22"/>
        </w:rPr>
        <w:t xml:space="preserve"> </w:t>
      </w:r>
      <w:r w:rsidR="00F379DA" w:rsidRPr="007E05AE">
        <w:rPr>
          <w:szCs w:val="22"/>
        </w:rPr>
        <w:t>(document PCT/CTC/30/2</w:t>
      </w:r>
      <w:r w:rsidR="00A24FC1">
        <w:rPr>
          <w:szCs w:val="22"/>
        </w:rPr>
        <w:t xml:space="preserve"> Rev.</w:t>
      </w:r>
      <w:bookmarkStart w:id="5" w:name="_GoBack"/>
      <w:bookmarkEnd w:id="5"/>
      <w:r w:rsidR="00F379DA" w:rsidRPr="007E05AE">
        <w:rPr>
          <w:szCs w:val="22"/>
        </w:rPr>
        <w:t>)</w:t>
      </w:r>
    </w:p>
    <w:p w:rsidR="008F38CD" w:rsidRPr="007E05AE" w:rsidRDefault="008F38CD" w:rsidP="008F38CD">
      <w:pPr>
        <w:pStyle w:val="ONUME"/>
      </w:pPr>
      <w:r w:rsidRPr="007E05AE">
        <w:rPr>
          <w:szCs w:val="22"/>
        </w:rPr>
        <w:t>Advice to the Assembly of the PCT Union on the proposed extensions of appointment of International Searching and Preliminary Examining Authorities under the PCT</w:t>
      </w:r>
      <w:r w:rsidR="00F379DA" w:rsidRPr="007E05AE">
        <w:rPr>
          <w:szCs w:val="22"/>
        </w:rPr>
        <w:t>:</w:t>
      </w:r>
    </w:p>
    <w:p w:rsidR="00F379DA" w:rsidRPr="009C55CD" w:rsidRDefault="00070D92" w:rsidP="00F379DA">
      <w:pPr>
        <w:pStyle w:val="ONUME"/>
        <w:numPr>
          <w:ilvl w:val="1"/>
          <w:numId w:val="5"/>
        </w:numPr>
        <w:rPr>
          <w:lang w:val="fr-FR"/>
        </w:rPr>
      </w:pPr>
      <w:r>
        <w:rPr>
          <w:lang w:val="fr-FR"/>
        </w:rPr>
        <w:t xml:space="preserve">Austrian Patent Office </w:t>
      </w:r>
      <w:r w:rsidR="00254C97" w:rsidRPr="009C55CD">
        <w:rPr>
          <w:lang w:val="fr-FR"/>
        </w:rPr>
        <w:t>(document PCT/CTC/30/3)</w:t>
      </w:r>
    </w:p>
    <w:p w:rsidR="00254C97" w:rsidRPr="009C55CD" w:rsidRDefault="00070D92" w:rsidP="00F379DA">
      <w:pPr>
        <w:pStyle w:val="ONUME"/>
        <w:numPr>
          <w:ilvl w:val="1"/>
          <w:numId w:val="5"/>
        </w:numPr>
        <w:rPr>
          <w:lang w:val="fr-FR"/>
        </w:rPr>
      </w:pPr>
      <w:r>
        <w:rPr>
          <w:lang w:val="fr-FR"/>
        </w:rPr>
        <w:t xml:space="preserve">Australian Patent Office </w:t>
      </w:r>
      <w:r w:rsidR="00254C97" w:rsidRPr="009C55CD">
        <w:rPr>
          <w:lang w:val="fr-FR"/>
        </w:rPr>
        <w:t>(document PCT/CTC/30/4)</w:t>
      </w:r>
    </w:p>
    <w:p w:rsidR="00254C97" w:rsidRPr="007E05AE" w:rsidRDefault="00254C97" w:rsidP="00F379DA">
      <w:pPr>
        <w:pStyle w:val="ONUME"/>
        <w:numPr>
          <w:ilvl w:val="1"/>
          <w:numId w:val="5"/>
        </w:numPr>
      </w:pPr>
      <w:r w:rsidRPr="007E05AE">
        <w:t>National Institute o</w:t>
      </w:r>
      <w:r w:rsidR="00070D92">
        <w:t xml:space="preserve">f Industrial Property of Brazil </w:t>
      </w:r>
      <w:r w:rsidRPr="007E05AE">
        <w:t>(document PCT/CTC/30/5)</w:t>
      </w:r>
    </w:p>
    <w:p w:rsidR="00254C97" w:rsidRPr="007E05AE" w:rsidRDefault="00254C97" w:rsidP="00F379DA">
      <w:pPr>
        <w:pStyle w:val="ONUME"/>
        <w:numPr>
          <w:ilvl w:val="1"/>
          <w:numId w:val="5"/>
        </w:numPr>
      </w:pPr>
      <w:r w:rsidRPr="007E05AE">
        <w:t>Canadi</w:t>
      </w:r>
      <w:r w:rsidR="00070D92">
        <w:t xml:space="preserve">an Intellectual Property Office </w:t>
      </w:r>
      <w:r w:rsidRPr="007E05AE">
        <w:t>(document PCT/CTC/30/6)</w:t>
      </w:r>
    </w:p>
    <w:p w:rsidR="00254C97" w:rsidRPr="007E05AE" w:rsidRDefault="00254C97" w:rsidP="00F379DA">
      <w:pPr>
        <w:pStyle w:val="ONUME"/>
        <w:numPr>
          <w:ilvl w:val="1"/>
          <w:numId w:val="5"/>
        </w:numPr>
      </w:pPr>
      <w:r w:rsidRPr="007E05AE">
        <w:t>National Institute of Industrial Property of Chile</w:t>
      </w:r>
      <w:r w:rsidR="00070D92">
        <w:t xml:space="preserve"> </w:t>
      </w:r>
      <w:r w:rsidRPr="007E05AE">
        <w:t>(document PCT/CTC/30/7)</w:t>
      </w:r>
    </w:p>
    <w:p w:rsidR="00254C97" w:rsidRPr="007E05AE" w:rsidRDefault="00254C97" w:rsidP="00F379DA">
      <w:pPr>
        <w:pStyle w:val="ONUME"/>
        <w:numPr>
          <w:ilvl w:val="1"/>
          <w:numId w:val="5"/>
        </w:numPr>
      </w:pPr>
      <w:r w:rsidRPr="007E05AE">
        <w:t>State Intellectual Property Office of the People’s Republic of China</w:t>
      </w:r>
      <w:r w:rsidR="00070D92">
        <w:t xml:space="preserve"> </w:t>
      </w:r>
      <w:r w:rsidRPr="007E05AE">
        <w:t>(document PCT/CTC/30/8)</w:t>
      </w:r>
    </w:p>
    <w:p w:rsidR="00254C97" w:rsidRPr="009C55CD" w:rsidRDefault="00254C97" w:rsidP="00F379DA">
      <w:pPr>
        <w:pStyle w:val="ONUME"/>
        <w:numPr>
          <w:ilvl w:val="1"/>
          <w:numId w:val="5"/>
        </w:numPr>
        <w:rPr>
          <w:lang w:val="fr-FR"/>
        </w:rPr>
      </w:pPr>
      <w:r w:rsidRPr="009C55CD">
        <w:rPr>
          <w:lang w:val="fr-FR"/>
        </w:rPr>
        <w:lastRenderedPageBreak/>
        <w:t>Egyptian Patent Office</w:t>
      </w:r>
      <w:r w:rsidR="00070D92">
        <w:rPr>
          <w:lang w:val="fr-FR"/>
        </w:rPr>
        <w:t xml:space="preserve"> </w:t>
      </w:r>
      <w:r w:rsidRPr="009C55CD">
        <w:rPr>
          <w:lang w:val="fr-FR"/>
        </w:rPr>
        <w:t>(document PCT/CTC/30/9)</w:t>
      </w:r>
    </w:p>
    <w:p w:rsidR="00254C97" w:rsidRPr="009C55CD" w:rsidRDefault="00254C97" w:rsidP="00F379DA">
      <w:pPr>
        <w:pStyle w:val="ONUME"/>
        <w:numPr>
          <w:ilvl w:val="1"/>
          <w:numId w:val="5"/>
        </w:numPr>
        <w:rPr>
          <w:lang w:val="fr-FR"/>
        </w:rPr>
      </w:pPr>
      <w:r w:rsidRPr="009C55CD">
        <w:rPr>
          <w:lang w:val="fr-FR"/>
        </w:rPr>
        <w:t>European Patent Office</w:t>
      </w:r>
      <w:r w:rsidR="00070D92">
        <w:rPr>
          <w:lang w:val="fr-FR"/>
        </w:rPr>
        <w:t xml:space="preserve"> </w:t>
      </w:r>
      <w:r w:rsidRPr="009C55CD">
        <w:rPr>
          <w:lang w:val="fr-FR"/>
        </w:rPr>
        <w:t>(document PCT/CTC/30/10)</w:t>
      </w:r>
    </w:p>
    <w:p w:rsidR="00254C97" w:rsidRPr="007E05AE" w:rsidRDefault="00254C97" w:rsidP="00F379DA">
      <w:pPr>
        <w:pStyle w:val="ONUME"/>
        <w:numPr>
          <w:ilvl w:val="1"/>
          <w:numId w:val="5"/>
        </w:numPr>
      </w:pPr>
      <w:r w:rsidRPr="007E05AE">
        <w:t>Spanish Patent and Trademark Office</w:t>
      </w:r>
      <w:r w:rsidR="00070D92">
        <w:t xml:space="preserve"> </w:t>
      </w:r>
      <w:r w:rsidRPr="007E05AE">
        <w:t>(document PCT/CTC/30/11)</w:t>
      </w:r>
    </w:p>
    <w:p w:rsidR="00254C97" w:rsidRPr="007E05AE" w:rsidRDefault="00254C97" w:rsidP="00F379DA">
      <w:pPr>
        <w:pStyle w:val="ONUME"/>
        <w:numPr>
          <w:ilvl w:val="1"/>
          <w:numId w:val="5"/>
        </w:numPr>
      </w:pPr>
      <w:r w:rsidRPr="007E05AE">
        <w:t>Finnish Patent and Registration Office</w:t>
      </w:r>
      <w:r w:rsidR="00070D92">
        <w:t xml:space="preserve"> </w:t>
      </w:r>
      <w:r w:rsidRPr="007E05AE">
        <w:t>(document PCT/CTC/30/12)</w:t>
      </w:r>
    </w:p>
    <w:p w:rsidR="00254C97" w:rsidRPr="007E05AE" w:rsidRDefault="00094CBA" w:rsidP="00F379DA">
      <w:pPr>
        <w:pStyle w:val="ONUME"/>
        <w:numPr>
          <w:ilvl w:val="1"/>
          <w:numId w:val="5"/>
        </w:numPr>
      </w:pPr>
      <w:r w:rsidRPr="007E05AE">
        <w:t>Israel Patent Office</w:t>
      </w:r>
      <w:r w:rsidR="00070D92">
        <w:t xml:space="preserve"> </w:t>
      </w:r>
      <w:r w:rsidRPr="007E05AE">
        <w:t>(document PCT/CTC/30/13)</w:t>
      </w:r>
    </w:p>
    <w:p w:rsidR="00094CBA" w:rsidRPr="009C55CD" w:rsidRDefault="00094CBA" w:rsidP="00F379DA">
      <w:pPr>
        <w:pStyle w:val="ONUME"/>
        <w:numPr>
          <w:ilvl w:val="1"/>
          <w:numId w:val="5"/>
        </w:numPr>
        <w:rPr>
          <w:lang w:val="fr-FR"/>
        </w:rPr>
      </w:pPr>
      <w:r w:rsidRPr="009C55CD">
        <w:rPr>
          <w:lang w:val="fr-FR"/>
        </w:rPr>
        <w:t>Indian Patent Office</w:t>
      </w:r>
      <w:r w:rsidR="00070D92">
        <w:rPr>
          <w:lang w:val="fr-FR"/>
        </w:rPr>
        <w:t xml:space="preserve"> </w:t>
      </w:r>
      <w:r w:rsidRPr="009C55CD">
        <w:rPr>
          <w:lang w:val="fr-FR"/>
        </w:rPr>
        <w:t>(document PCT/CTC/30/14)</w:t>
      </w:r>
    </w:p>
    <w:p w:rsidR="00094CBA" w:rsidRPr="009C55CD" w:rsidRDefault="00094CBA" w:rsidP="00F379DA">
      <w:pPr>
        <w:pStyle w:val="ONUME"/>
        <w:numPr>
          <w:ilvl w:val="1"/>
          <w:numId w:val="5"/>
        </w:numPr>
        <w:rPr>
          <w:lang w:val="fr-FR"/>
        </w:rPr>
      </w:pPr>
      <w:r w:rsidRPr="009C55CD">
        <w:rPr>
          <w:lang w:val="fr-FR"/>
        </w:rPr>
        <w:t>Japan Patent Office</w:t>
      </w:r>
      <w:r w:rsidR="00070D92">
        <w:rPr>
          <w:lang w:val="fr-FR"/>
        </w:rPr>
        <w:t xml:space="preserve"> </w:t>
      </w:r>
      <w:r w:rsidRPr="009C55CD">
        <w:rPr>
          <w:lang w:val="fr-FR"/>
        </w:rPr>
        <w:t>(document PCT/CTC/30/15)</w:t>
      </w:r>
    </w:p>
    <w:p w:rsidR="00094CBA" w:rsidRPr="007E05AE" w:rsidRDefault="00094CBA" w:rsidP="00F379DA">
      <w:pPr>
        <w:pStyle w:val="ONUME"/>
        <w:numPr>
          <w:ilvl w:val="1"/>
          <w:numId w:val="5"/>
        </w:numPr>
      </w:pPr>
      <w:r w:rsidRPr="007E05AE">
        <w:t>Korean Intellectual Property Office</w:t>
      </w:r>
      <w:r w:rsidR="00070D92">
        <w:t xml:space="preserve"> </w:t>
      </w:r>
      <w:r w:rsidRPr="007E05AE">
        <w:t>(document PCT/CTC/30/16)</w:t>
      </w:r>
    </w:p>
    <w:p w:rsidR="00094CBA" w:rsidRPr="007E05AE" w:rsidRDefault="00070D92" w:rsidP="00F379DA">
      <w:pPr>
        <w:pStyle w:val="ONUME"/>
        <w:numPr>
          <w:ilvl w:val="1"/>
          <w:numId w:val="5"/>
        </w:numPr>
      </w:pPr>
      <w:r>
        <w:t xml:space="preserve">Russian </w:t>
      </w:r>
      <w:r w:rsidR="00094CBA" w:rsidRPr="007E05AE">
        <w:t xml:space="preserve">Federal Service for Intellectual Property </w:t>
      </w:r>
      <w:r>
        <w:t>(document </w:t>
      </w:r>
      <w:r w:rsidR="00094CBA" w:rsidRPr="007E05AE">
        <w:t>PCT/CTC/30/17)</w:t>
      </w:r>
    </w:p>
    <w:p w:rsidR="00094CBA" w:rsidRPr="007E05AE" w:rsidRDefault="00094CBA" w:rsidP="00F379DA">
      <w:pPr>
        <w:pStyle w:val="ONUME"/>
        <w:numPr>
          <w:ilvl w:val="1"/>
          <w:numId w:val="5"/>
        </w:numPr>
      </w:pPr>
      <w:r w:rsidRPr="007E05AE">
        <w:t>Swedish Patent and Registration Office</w:t>
      </w:r>
      <w:r w:rsidR="00070D92">
        <w:t xml:space="preserve"> </w:t>
      </w:r>
      <w:r w:rsidRPr="007E05AE">
        <w:t>(document PCT/CTC/30/18)</w:t>
      </w:r>
    </w:p>
    <w:p w:rsidR="00094CBA" w:rsidRPr="007E05AE" w:rsidRDefault="00094CBA" w:rsidP="00F379DA">
      <w:pPr>
        <w:pStyle w:val="ONUME"/>
        <w:numPr>
          <w:ilvl w:val="1"/>
          <w:numId w:val="5"/>
        </w:numPr>
      </w:pPr>
      <w:r w:rsidRPr="007E05AE">
        <w:t>Intellectual Property Office of Singapore</w:t>
      </w:r>
      <w:r w:rsidR="00070D92">
        <w:t xml:space="preserve"> </w:t>
      </w:r>
      <w:r w:rsidRPr="007E05AE">
        <w:t>(document PCT/CTC/30/19)</w:t>
      </w:r>
    </w:p>
    <w:p w:rsidR="00094CBA" w:rsidRPr="007E05AE" w:rsidRDefault="00094CBA" w:rsidP="00F379DA">
      <w:pPr>
        <w:pStyle w:val="ONUME"/>
        <w:numPr>
          <w:ilvl w:val="1"/>
          <w:numId w:val="5"/>
        </w:numPr>
      </w:pPr>
      <w:r w:rsidRPr="007E05AE">
        <w:t>Turk</w:t>
      </w:r>
      <w:r w:rsidR="00940A0F">
        <w:t>ish Patent and Trademark Office</w:t>
      </w:r>
      <w:r w:rsidR="00070D92">
        <w:t xml:space="preserve"> </w:t>
      </w:r>
      <w:r w:rsidRPr="007E05AE">
        <w:t>(document PCT/CTC/30/20)</w:t>
      </w:r>
    </w:p>
    <w:p w:rsidR="00094CBA" w:rsidRPr="007E05AE" w:rsidRDefault="007E05AE" w:rsidP="00F379DA">
      <w:pPr>
        <w:pStyle w:val="ONUME"/>
        <w:numPr>
          <w:ilvl w:val="1"/>
          <w:numId w:val="5"/>
        </w:numPr>
      </w:pPr>
      <w:r w:rsidRPr="007E05AE">
        <w:t xml:space="preserve">State Enterprise </w:t>
      </w:r>
      <w:r>
        <w:t>“Ukrainian Institute of Intellectual Property”</w:t>
      </w:r>
      <w:r w:rsidR="00070D92">
        <w:t xml:space="preserve"> </w:t>
      </w:r>
      <w:r w:rsidR="00094CBA" w:rsidRPr="007E05AE">
        <w:t>(document</w:t>
      </w:r>
      <w:r w:rsidR="00070D92">
        <w:t> </w:t>
      </w:r>
      <w:r w:rsidR="00094CBA" w:rsidRPr="007E05AE">
        <w:t>PCT/CTC/30/21)</w:t>
      </w:r>
    </w:p>
    <w:p w:rsidR="00094CBA" w:rsidRPr="007E05AE" w:rsidRDefault="00094CBA" w:rsidP="00F379DA">
      <w:pPr>
        <w:pStyle w:val="ONUME"/>
        <w:numPr>
          <w:ilvl w:val="1"/>
          <w:numId w:val="5"/>
        </w:numPr>
      </w:pPr>
      <w:r w:rsidRPr="007E05AE">
        <w:t>United States Patent and Trademark Office</w:t>
      </w:r>
      <w:r w:rsidR="00070D92">
        <w:t xml:space="preserve"> </w:t>
      </w:r>
      <w:r w:rsidRPr="007E05AE">
        <w:t>(document PCT/CTC/30/22)</w:t>
      </w:r>
    </w:p>
    <w:p w:rsidR="00094CBA" w:rsidRPr="009C55CD" w:rsidRDefault="00094CBA" w:rsidP="00F379DA">
      <w:pPr>
        <w:pStyle w:val="ONUME"/>
        <w:numPr>
          <w:ilvl w:val="1"/>
          <w:numId w:val="5"/>
        </w:numPr>
        <w:rPr>
          <w:lang w:val="fr-FR"/>
        </w:rPr>
      </w:pPr>
      <w:r w:rsidRPr="009C55CD">
        <w:rPr>
          <w:lang w:val="fr-FR"/>
        </w:rPr>
        <w:t>Nordic Patent Institute</w:t>
      </w:r>
      <w:r w:rsidR="00070D92">
        <w:rPr>
          <w:lang w:val="fr-FR"/>
        </w:rPr>
        <w:t xml:space="preserve"> </w:t>
      </w:r>
      <w:r w:rsidRPr="009C55CD">
        <w:rPr>
          <w:lang w:val="fr-FR"/>
        </w:rPr>
        <w:t>(document PCT/CTC/30/23)</w:t>
      </w:r>
    </w:p>
    <w:p w:rsidR="00094CBA" w:rsidRPr="009C55CD" w:rsidRDefault="00094CBA" w:rsidP="00F379DA">
      <w:pPr>
        <w:pStyle w:val="ONUME"/>
        <w:numPr>
          <w:ilvl w:val="1"/>
          <w:numId w:val="5"/>
        </w:numPr>
        <w:rPr>
          <w:lang w:val="fr-FR"/>
        </w:rPr>
      </w:pPr>
      <w:r w:rsidRPr="009C55CD">
        <w:rPr>
          <w:lang w:val="fr-FR"/>
        </w:rPr>
        <w:t>Visegrad Patent Institute</w:t>
      </w:r>
      <w:r w:rsidR="00070D92">
        <w:rPr>
          <w:lang w:val="fr-FR"/>
        </w:rPr>
        <w:t xml:space="preserve"> </w:t>
      </w:r>
      <w:r w:rsidRPr="009C55CD">
        <w:rPr>
          <w:lang w:val="fr-FR"/>
        </w:rPr>
        <w:t>(document PCT/CTC/30/24)</w:t>
      </w:r>
    </w:p>
    <w:p w:rsidR="009C55CD" w:rsidRPr="009C55CD" w:rsidRDefault="009C55CD" w:rsidP="007E05AE">
      <w:pPr>
        <w:pStyle w:val="ONUME"/>
        <w:keepNext/>
        <w:keepLines/>
      </w:pPr>
      <w:r w:rsidRPr="009C55CD">
        <w:t>Model Ag</w:t>
      </w:r>
      <w:r>
        <w:t xml:space="preserve">reement between </w:t>
      </w:r>
      <w:r w:rsidR="00E94C07">
        <w:t>an Office</w:t>
      </w:r>
      <w:r>
        <w:t xml:space="preserve"> and the International Bureau</w:t>
      </w:r>
      <w:r w:rsidR="00E94C07">
        <w:t xml:space="preserve"> in relation to its functioning as an International Searching and Preliminary Examining Authority</w:t>
      </w:r>
      <w:r w:rsidR="00070D92">
        <w:t xml:space="preserve"> (document </w:t>
      </w:r>
      <w:r>
        <w:t>PCT/CTC/30/25)</w:t>
      </w:r>
    </w:p>
    <w:p w:rsidR="008F38CD" w:rsidRPr="007E05AE" w:rsidRDefault="008F38CD" w:rsidP="007E05AE">
      <w:pPr>
        <w:pStyle w:val="ONUME"/>
        <w:keepNext/>
        <w:keepLines/>
      </w:pPr>
      <w:r w:rsidRPr="007E05AE">
        <w:rPr>
          <w:szCs w:val="22"/>
        </w:rPr>
        <w:t>Summary by the Chair</w:t>
      </w:r>
    </w:p>
    <w:p w:rsidR="008F38CD" w:rsidRPr="007E05AE" w:rsidRDefault="008F38CD" w:rsidP="007E05AE">
      <w:pPr>
        <w:pStyle w:val="ONUME"/>
        <w:keepNext/>
        <w:keepLines/>
      </w:pPr>
      <w:r w:rsidRPr="007E05AE">
        <w:rPr>
          <w:szCs w:val="22"/>
        </w:rPr>
        <w:t>Closing of the session</w:t>
      </w:r>
    </w:p>
    <w:p w:rsidR="002928D3" w:rsidRPr="007E05AE" w:rsidRDefault="008F38CD" w:rsidP="007E05AE">
      <w:pPr>
        <w:pStyle w:val="ONUME"/>
        <w:keepNext/>
        <w:numPr>
          <w:ilvl w:val="0"/>
          <w:numId w:val="0"/>
        </w:numPr>
        <w:ind w:left="5533"/>
      </w:pPr>
      <w:r w:rsidRPr="007E05AE">
        <w:t>[End of document]</w:t>
      </w:r>
    </w:p>
    <w:sectPr w:rsidR="002928D3" w:rsidRPr="007E05AE" w:rsidSect="0062161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18" w:rsidRDefault="00621618">
      <w:r>
        <w:separator/>
      </w:r>
    </w:p>
  </w:endnote>
  <w:endnote w:type="continuationSeparator" w:id="0">
    <w:p w:rsidR="00621618" w:rsidRDefault="00621618" w:rsidP="003B38C1">
      <w:r>
        <w:separator/>
      </w:r>
    </w:p>
    <w:p w:rsidR="00621618" w:rsidRPr="003B38C1" w:rsidRDefault="00621618" w:rsidP="003B38C1">
      <w:pPr>
        <w:spacing w:after="60"/>
        <w:rPr>
          <w:sz w:val="17"/>
        </w:rPr>
      </w:pPr>
      <w:r>
        <w:rPr>
          <w:sz w:val="17"/>
        </w:rPr>
        <w:t>[Endnote continued from previous page]</w:t>
      </w:r>
    </w:p>
  </w:endnote>
  <w:endnote w:type="continuationNotice" w:id="1">
    <w:p w:rsidR="00621618" w:rsidRPr="003B38C1" w:rsidRDefault="006216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18" w:rsidRDefault="00621618">
      <w:r>
        <w:separator/>
      </w:r>
    </w:p>
  </w:footnote>
  <w:footnote w:type="continuationSeparator" w:id="0">
    <w:p w:rsidR="00621618" w:rsidRDefault="00621618" w:rsidP="008B60B2">
      <w:r>
        <w:separator/>
      </w:r>
    </w:p>
    <w:p w:rsidR="00621618" w:rsidRPr="00ED77FB" w:rsidRDefault="00621618" w:rsidP="008B60B2">
      <w:pPr>
        <w:spacing w:after="60"/>
        <w:rPr>
          <w:sz w:val="17"/>
          <w:szCs w:val="17"/>
        </w:rPr>
      </w:pPr>
      <w:r w:rsidRPr="00ED77FB">
        <w:rPr>
          <w:sz w:val="17"/>
          <w:szCs w:val="17"/>
        </w:rPr>
        <w:t>[Footnote continued from previous page]</w:t>
      </w:r>
    </w:p>
  </w:footnote>
  <w:footnote w:type="continuationNotice" w:id="1">
    <w:p w:rsidR="00621618" w:rsidRPr="00ED77FB" w:rsidRDefault="006216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621618" w:rsidP="00477D6B">
    <w:pPr>
      <w:jc w:val="right"/>
    </w:pPr>
    <w:bookmarkStart w:id="6" w:name="Code2"/>
    <w:bookmarkEnd w:id="6"/>
    <w:r>
      <w:t>PCT/CTC/30/1 Prov.2</w:t>
    </w:r>
  </w:p>
  <w:p w:rsidR="00EC4E49" w:rsidRDefault="00EC4E49" w:rsidP="00477D6B">
    <w:pPr>
      <w:jc w:val="right"/>
    </w:pPr>
    <w:r>
      <w:t xml:space="preserve">page </w:t>
    </w:r>
    <w:r>
      <w:fldChar w:fldCharType="begin"/>
    </w:r>
    <w:r>
      <w:instrText xml:space="preserve"> PAGE  \* MERGEFORMAT </w:instrText>
    </w:r>
    <w:r>
      <w:fldChar w:fldCharType="separate"/>
    </w:r>
    <w:r w:rsidR="00A24FC1">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618"/>
    <w:rsid w:val="00043CAA"/>
    <w:rsid w:val="00070D92"/>
    <w:rsid w:val="00075432"/>
    <w:rsid w:val="00094CBA"/>
    <w:rsid w:val="000968ED"/>
    <w:rsid w:val="000F5E56"/>
    <w:rsid w:val="001362EE"/>
    <w:rsid w:val="001832A6"/>
    <w:rsid w:val="0021217E"/>
    <w:rsid w:val="00254C97"/>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5D000D"/>
    <w:rsid w:val="00605827"/>
    <w:rsid w:val="00621618"/>
    <w:rsid w:val="00646050"/>
    <w:rsid w:val="006713CA"/>
    <w:rsid w:val="00676C5C"/>
    <w:rsid w:val="0078112A"/>
    <w:rsid w:val="007D1613"/>
    <w:rsid w:val="007E05AE"/>
    <w:rsid w:val="007E4C0E"/>
    <w:rsid w:val="00895775"/>
    <w:rsid w:val="008B2CC1"/>
    <w:rsid w:val="008B60B2"/>
    <w:rsid w:val="008F38CD"/>
    <w:rsid w:val="0090731E"/>
    <w:rsid w:val="0091607F"/>
    <w:rsid w:val="00916EE2"/>
    <w:rsid w:val="00940A0F"/>
    <w:rsid w:val="00966A22"/>
    <w:rsid w:val="0096722F"/>
    <w:rsid w:val="00980843"/>
    <w:rsid w:val="009C55CD"/>
    <w:rsid w:val="009E2791"/>
    <w:rsid w:val="009E3F6F"/>
    <w:rsid w:val="009F499F"/>
    <w:rsid w:val="00A24FC1"/>
    <w:rsid w:val="00A42DAF"/>
    <w:rsid w:val="00A45BD8"/>
    <w:rsid w:val="00A869B7"/>
    <w:rsid w:val="00AC205C"/>
    <w:rsid w:val="00AF0A6B"/>
    <w:rsid w:val="00B05A69"/>
    <w:rsid w:val="00B9734B"/>
    <w:rsid w:val="00BA30E2"/>
    <w:rsid w:val="00BD078D"/>
    <w:rsid w:val="00C11BFE"/>
    <w:rsid w:val="00C5068F"/>
    <w:rsid w:val="00CD04F1"/>
    <w:rsid w:val="00D45252"/>
    <w:rsid w:val="00D71B4D"/>
    <w:rsid w:val="00D93D55"/>
    <w:rsid w:val="00E15015"/>
    <w:rsid w:val="00E335FE"/>
    <w:rsid w:val="00E94C07"/>
    <w:rsid w:val="00EC4E49"/>
    <w:rsid w:val="00ED77FB"/>
    <w:rsid w:val="00EE45FA"/>
    <w:rsid w:val="00F379DA"/>
    <w:rsid w:val="00F53BD4"/>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21618"/>
    <w:rPr>
      <w:rFonts w:ascii="Tahoma" w:hAnsi="Tahoma" w:cs="Tahoma"/>
      <w:sz w:val="16"/>
      <w:szCs w:val="16"/>
    </w:rPr>
  </w:style>
  <w:style w:type="character" w:customStyle="1" w:styleId="BalloonTextChar">
    <w:name w:val="Balloon Text Char"/>
    <w:basedOn w:val="DefaultParagraphFont"/>
    <w:link w:val="BalloonText"/>
    <w:rsid w:val="0062161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21618"/>
    <w:rPr>
      <w:rFonts w:ascii="Tahoma" w:hAnsi="Tahoma" w:cs="Tahoma"/>
      <w:sz w:val="16"/>
      <w:szCs w:val="16"/>
    </w:rPr>
  </w:style>
  <w:style w:type="character" w:customStyle="1" w:styleId="BalloonTextChar">
    <w:name w:val="Balloon Text Char"/>
    <w:basedOn w:val="DefaultParagraphFont"/>
    <w:link w:val="BalloonText"/>
    <w:rsid w:val="00621618"/>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9442B-C85E-4F65-AEB0-E29690E4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80</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 Prov.2</dc:title>
  <dc:subject>Revised Draft Agenda</dc:subject>
  <dc:creator>MARLOW Thomas</dc:creator>
  <cp:lastModifiedBy>MARLOW Thomas</cp:lastModifiedBy>
  <cp:revision>14</cp:revision>
  <cp:lastPrinted>2017-03-09T15:23:00Z</cp:lastPrinted>
  <dcterms:created xsi:type="dcterms:W3CDTF">2017-03-09T14:07:00Z</dcterms:created>
  <dcterms:modified xsi:type="dcterms:W3CDTF">2017-03-20T10:32:00Z</dcterms:modified>
</cp:coreProperties>
</file>