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BD078D" w:rsidP="00916EE2">
            <w:r>
              <w:rPr>
                <w:noProof/>
                <w:lang w:val="en-GB" w:eastAsia="en-GB"/>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BD078D" w:rsidP="00BD078D">
            <w:pPr>
              <w:jc w:val="right"/>
              <w:rPr>
                <w:rFonts w:ascii="Arial Black" w:hAnsi="Arial Black"/>
                <w:caps/>
                <w:sz w:val="15"/>
              </w:rPr>
            </w:pPr>
            <w:r>
              <w:rPr>
                <w:rFonts w:ascii="Arial Black" w:hAnsi="Arial Black"/>
                <w:caps/>
                <w:sz w:val="15"/>
              </w:rPr>
              <w:t>PCT/CTC/30</w:t>
            </w:r>
            <w:r w:rsidR="001C7FE7">
              <w:rPr>
                <w:rFonts w:ascii="Arial Black" w:hAnsi="Arial Black"/>
                <w:caps/>
                <w:sz w:val="15"/>
              </w:rPr>
              <w:t>/12</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0" w:name="Original"/>
            <w:bookmarkEnd w:id="0"/>
            <w:r w:rsidR="00C650A4">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92424">
            <w:pPr>
              <w:jc w:val="right"/>
              <w:rPr>
                <w:rFonts w:ascii="Arial Black" w:hAnsi="Arial Black"/>
                <w:caps/>
                <w:sz w:val="15"/>
              </w:rPr>
            </w:pPr>
            <w:r w:rsidRPr="0090731E">
              <w:rPr>
                <w:rFonts w:ascii="Arial Black" w:hAnsi="Arial Black"/>
                <w:caps/>
                <w:sz w:val="15"/>
              </w:rPr>
              <w:t xml:space="preserve">DATE: </w:t>
            </w:r>
            <w:bookmarkStart w:id="1" w:name="Date"/>
            <w:bookmarkEnd w:id="1"/>
            <w:r w:rsidR="00C650A4">
              <w:rPr>
                <w:rFonts w:ascii="Arial Black" w:hAnsi="Arial Black"/>
                <w:caps/>
                <w:sz w:val="15"/>
              </w:rPr>
              <w:t xml:space="preserve">March </w:t>
            </w:r>
            <w:r w:rsidR="00FF2C48">
              <w:rPr>
                <w:rFonts w:ascii="Arial Black" w:hAnsi="Arial Black"/>
                <w:caps/>
                <w:sz w:val="15"/>
              </w:rPr>
              <w:t>1</w:t>
            </w:r>
            <w:r w:rsidR="00B92424">
              <w:rPr>
                <w:rFonts w:ascii="Arial Black" w:hAnsi="Arial Black"/>
                <w:caps/>
                <w:sz w:val="15"/>
              </w:rPr>
              <w:t>6</w:t>
            </w:r>
            <w:r w:rsidR="00C650A4">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BD078D" w:rsidP="008B2CC1">
      <w:pPr>
        <w:rPr>
          <w:b/>
          <w:sz w:val="28"/>
          <w:szCs w:val="28"/>
        </w:rPr>
      </w:pPr>
      <w:r>
        <w:rPr>
          <w:b/>
          <w:sz w:val="28"/>
          <w:szCs w:val="28"/>
        </w:rPr>
        <w:t>Patent Cooperation Treaty (PCT)</w:t>
      </w:r>
    </w:p>
    <w:p w:rsidR="00BD078D" w:rsidRPr="003845C1" w:rsidRDefault="00BD078D" w:rsidP="008B2CC1">
      <w:pPr>
        <w:rPr>
          <w:b/>
          <w:sz w:val="28"/>
          <w:szCs w:val="28"/>
        </w:rPr>
      </w:pPr>
      <w:r>
        <w:rPr>
          <w:b/>
          <w:sz w:val="28"/>
          <w:szCs w:val="28"/>
        </w:rPr>
        <w:t>Committee for Technical Cooperation</w:t>
      </w:r>
    </w:p>
    <w:p w:rsidR="003845C1" w:rsidRDefault="003845C1" w:rsidP="003845C1"/>
    <w:p w:rsidR="003845C1" w:rsidRDefault="003845C1" w:rsidP="003845C1"/>
    <w:p w:rsidR="008B2CC1" w:rsidRPr="003845C1" w:rsidRDefault="00BD078D" w:rsidP="008B2CC1">
      <w:pPr>
        <w:rPr>
          <w:b/>
          <w:sz w:val="24"/>
          <w:szCs w:val="24"/>
        </w:rPr>
      </w:pPr>
      <w:r>
        <w:rPr>
          <w:b/>
          <w:sz w:val="24"/>
          <w:szCs w:val="24"/>
        </w:rPr>
        <w:t xml:space="preserve">Thirtieth </w:t>
      </w:r>
      <w:r w:rsidR="003845C1" w:rsidRPr="003845C1">
        <w:rPr>
          <w:b/>
          <w:sz w:val="24"/>
          <w:szCs w:val="24"/>
        </w:rPr>
        <w:t>Session</w:t>
      </w:r>
    </w:p>
    <w:p w:rsidR="008B2CC1" w:rsidRPr="003845C1" w:rsidRDefault="00BD078D" w:rsidP="008B2CC1">
      <w:pPr>
        <w:rPr>
          <w:b/>
          <w:sz w:val="24"/>
          <w:szCs w:val="24"/>
        </w:rPr>
      </w:pPr>
      <w:r>
        <w:rPr>
          <w:b/>
          <w:sz w:val="24"/>
          <w:szCs w:val="24"/>
        </w:rPr>
        <w:t>Geneva, May 8 to 12,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C650A4" w:rsidP="008B2CC1">
      <w:pPr>
        <w:rPr>
          <w:caps/>
          <w:sz w:val="24"/>
        </w:rPr>
      </w:pPr>
      <w:bookmarkStart w:id="2" w:name="TitleOfDoc"/>
      <w:bookmarkEnd w:id="2"/>
      <w:r>
        <w:rPr>
          <w:caps/>
          <w:sz w:val="24"/>
        </w:rPr>
        <w:t xml:space="preserve">Extension of Appointment of </w:t>
      </w:r>
      <w:r w:rsidR="005540D9" w:rsidRPr="005540D9">
        <w:rPr>
          <w:caps/>
          <w:sz w:val="24"/>
        </w:rPr>
        <w:t>the Finnish Patent and Registration Office</w:t>
      </w:r>
      <w:r w:rsidR="00C37C03">
        <w:rPr>
          <w:caps/>
          <w:sz w:val="24"/>
        </w:rPr>
        <w:t xml:space="preserve"> as an International Searching and Preliminary Examining Authority Under the </w:t>
      </w:r>
      <w:r>
        <w:rPr>
          <w:caps/>
          <w:sz w:val="24"/>
        </w:rPr>
        <w:t>PCT</w:t>
      </w:r>
    </w:p>
    <w:p w:rsidR="008B2CC1" w:rsidRPr="008B2CC1" w:rsidRDefault="008B2CC1" w:rsidP="008B2CC1"/>
    <w:p w:rsidR="008B2CC1" w:rsidRPr="008B2CC1" w:rsidRDefault="00C650A4" w:rsidP="008B2CC1">
      <w:pPr>
        <w:rPr>
          <w:i/>
        </w:rPr>
      </w:pPr>
      <w:bookmarkStart w:id="3" w:name="Prepared"/>
      <w:bookmarkEnd w:id="3"/>
      <w:r>
        <w:rPr>
          <w:i/>
        </w:rPr>
        <w:t>Document prepared by the International Bureau</w:t>
      </w:r>
    </w:p>
    <w:p w:rsidR="00AC205C" w:rsidRDefault="00AC205C"/>
    <w:p w:rsidR="000F5E56" w:rsidRDefault="000F5E56"/>
    <w:p w:rsidR="002928D3" w:rsidRDefault="002928D3"/>
    <w:p w:rsidR="002928D3" w:rsidRDefault="002928D3" w:rsidP="0053057A"/>
    <w:p w:rsidR="005C40A3" w:rsidRDefault="00A93FC2" w:rsidP="005C40A3">
      <w:pPr>
        <w:pStyle w:val="ONUME"/>
      </w:pPr>
      <w:bookmarkStart w:id="4" w:name="_Ref447032909"/>
      <w:r>
        <w:t>All</w:t>
      </w:r>
      <w:r w:rsidR="005C40A3">
        <w:t xml:space="preserve"> of the existing International Authorities w</w:t>
      </w:r>
      <w:r>
        <w:t>ere</w:t>
      </w:r>
      <w:r w:rsidR="005C40A3">
        <w:t xml:space="preserve"> appointed by the </w:t>
      </w:r>
      <w:r w:rsidR="008B50A2">
        <w:t xml:space="preserve">PCT </w:t>
      </w:r>
      <w:r w:rsidR="005C40A3">
        <w:t>Assembly for a period ending on December 31, 2017.  In 2017, the Assembly will therefore need to make a decision on the extension of the appointment of each existing International Authority that wishes to seek an extension of its appointment, having first sought the advice of th</w:t>
      </w:r>
      <w:r w:rsidR="00FD06A7">
        <w:t xml:space="preserve">is Committee </w:t>
      </w:r>
      <w:r w:rsidR="005C40A3">
        <w:t>(see PCT Articles 16(3)(e) and 32(3)).</w:t>
      </w:r>
      <w:bookmarkEnd w:id="4"/>
      <w:r w:rsidR="0035027E">
        <w:t xml:space="preserve">  </w:t>
      </w:r>
      <w:r w:rsidR="004F74E6">
        <w:t>I</w:t>
      </w:r>
      <w:r w:rsidR="0035027E">
        <w:t>nformation concerning this process and the role of the Committee is set out in document PCT/CTC/30/INF/1.</w:t>
      </w:r>
    </w:p>
    <w:p w:rsidR="005C40A3" w:rsidRDefault="005540D9" w:rsidP="005540D9">
      <w:pPr>
        <w:pStyle w:val="ONUME"/>
      </w:pPr>
      <w:r>
        <w:t>On March 7</w:t>
      </w:r>
      <w:r w:rsidR="00AA5F79">
        <w:t>, 2017, t</w:t>
      </w:r>
      <w:r w:rsidR="005C40A3">
        <w:t xml:space="preserve">he </w:t>
      </w:r>
      <w:r w:rsidRPr="005540D9">
        <w:t>Finnish Patent and Registration Office</w:t>
      </w:r>
      <w:r>
        <w:t xml:space="preserve"> </w:t>
      </w:r>
      <w:r w:rsidR="005C40A3">
        <w:t xml:space="preserve">submitted its application </w:t>
      </w:r>
      <w:r w:rsidR="00AA5F79">
        <w:t>to extend its appointment as an International Searching Authority and International Preliminary Examining Authority under the PCT.  This application is reproduced in the Annex to this document.</w:t>
      </w:r>
    </w:p>
    <w:p w:rsidR="005C40A3" w:rsidRPr="00AA5F79" w:rsidRDefault="00AA5F79" w:rsidP="0035027E">
      <w:pPr>
        <w:pStyle w:val="ONUME"/>
        <w:tabs>
          <w:tab w:val="left" w:pos="6096"/>
        </w:tabs>
        <w:ind w:left="5533"/>
        <w:rPr>
          <w:i/>
        </w:rPr>
      </w:pPr>
      <w:r w:rsidRPr="00AA5F79">
        <w:rPr>
          <w:i/>
        </w:rPr>
        <w:t>The Committee is invited to give its advice on this matter.</w:t>
      </w:r>
    </w:p>
    <w:p w:rsidR="00AA5F79" w:rsidRDefault="00AA5F79" w:rsidP="00AA5F79">
      <w:pPr>
        <w:pStyle w:val="ONUME"/>
        <w:numPr>
          <w:ilvl w:val="0"/>
          <w:numId w:val="0"/>
        </w:numPr>
      </w:pPr>
    </w:p>
    <w:p w:rsidR="00AA5F79" w:rsidRDefault="00AA5F79" w:rsidP="00AA5F79">
      <w:pPr>
        <w:pStyle w:val="ONUME"/>
        <w:numPr>
          <w:ilvl w:val="0"/>
          <w:numId w:val="0"/>
        </w:numPr>
        <w:ind w:left="5533"/>
        <w:sectPr w:rsidR="00AA5F79" w:rsidSect="00C650A4">
          <w:headerReference w:type="default" r:id="rId10"/>
          <w:endnotePr>
            <w:numFmt w:val="decimal"/>
          </w:endnotePr>
          <w:pgSz w:w="11907" w:h="16840" w:code="9"/>
          <w:pgMar w:top="567" w:right="1134" w:bottom="1418" w:left="1418" w:header="510" w:footer="1021" w:gutter="0"/>
          <w:cols w:space="720"/>
          <w:titlePg/>
          <w:docGrid w:linePitch="299"/>
        </w:sectPr>
      </w:pPr>
      <w:r w:rsidRPr="00AA5F79">
        <w:t>[Annex follows]</w:t>
      </w:r>
    </w:p>
    <w:p w:rsidR="00AA5F79" w:rsidRPr="00AA5F79" w:rsidRDefault="00AA5F79" w:rsidP="00AA5F79">
      <w:pPr>
        <w:pStyle w:val="ONUME"/>
        <w:numPr>
          <w:ilvl w:val="0"/>
          <w:numId w:val="0"/>
        </w:numPr>
        <w:jc w:val="center"/>
        <w:rPr>
          <w:caps/>
        </w:rPr>
      </w:pPr>
      <w:r w:rsidRPr="00AA5F79">
        <w:rPr>
          <w:caps/>
        </w:rPr>
        <w:lastRenderedPageBreak/>
        <w:t xml:space="preserve">Application of </w:t>
      </w:r>
      <w:r w:rsidR="005540D9" w:rsidRPr="005540D9">
        <w:rPr>
          <w:caps/>
        </w:rPr>
        <w:t>the Finnish Patent and Registration Office</w:t>
      </w:r>
      <w:r w:rsidRPr="00AA5F79">
        <w:rPr>
          <w:caps/>
        </w:rPr>
        <w:t xml:space="preserve"> for</w:t>
      </w:r>
      <w:r w:rsidR="00011582">
        <w:rPr>
          <w:caps/>
        </w:rPr>
        <w:t> Extension of </w:t>
      </w:r>
      <w:r w:rsidRPr="00AA5F79">
        <w:rPr>
          <w:caps/>
        </w:rPr>
        <w:t>Appointment</w:t>
      </w:r>
      <w:r>
        <w:rPr>
          <w:caps/>
        </w:rPr>
        <w:t xml:space="preserve"> </w:t>
      </w:r>
      <w:r>
        <w:rPr>
          <w:caps/>
        </w:rPr>
        <w:br/>
      </w:r>
      <w:r w:rsidR="00011582">
        <w:rPr>
          <w:caps/>
        </w:rPr>
        <w:t>as an International Searching </w:t>
      </w:r>
      <w:r>
        <w:rPr>
          <w:caps/>
        </w:rPr>
        <w:t xml:space="preserve">and </w:t>
      </w:r>
      <w:r w:rsidR="00011582">
        <w:rPr>
          <w:caps/>
        </w:rPr>
        <w:t>Preliminary Examining </w:t>
      </w:r>
      <w:r w:rsidRPr="00AA5F79">
        <w:rPr>
          <w:caps/>
        </w:rPr>
        <w:t>Authority</w:t>
      </w:r>
      <w:r w:rsidR="00011582">
        <w:rPr>
          <w:caps/>
        </w:rPr>
        <w:t> Under the </w:t>
      </w:r>
      <w:r w:rsidRPr="00AA5F79">
        <w:rPr>
          <w:caps/>
        </w:rPr>
        <w:t>PCT</w:t>
      </w:r>
    </w:p>
    <w:p w:rsidR="00AA5F79" w:rsidRPr="005540D9" w:rsidRDefault="00AA5F79" w:rsidP="005540D9"/>
    <w:p w:rsidR="005540D9" w:rsidRPr="00297B24" w:rsidRDefault="005540D9" w:rsidP="005540D9">
      <w:pPr>
        <w:pStyle w:val="SectionHeading"/>
      </w:pPr>
      <w:r w:rsidRPr="00297B24">
        <w:t>1 – General</w:t>
      </w:r>
    </w:p>
    <w:p w:rsidR="005540D9" w:rsidRPr="005540D9" w:rsidRDefault="005540D9" w:rsidP="005540D9">
      <w:pPr>
        <w:rPr>
          <w:b/>
        </w:rPr>
      </w:pPr>
      <w:r w:rsidRPr="005540D9">
        <w:rPr>
          <w:b/>
        </w:rPr>
        <w:t xml:space="preserve">Name of national Office or intergovernmental organization:  </w:t>
      </w:r>
    </w:p>
    <w:p w:rsidR="005540D9" w:rsidRPr="005540D9" w:rsidRDefault="005540D9" w:rsidP="005540D9"/>
    <w:p w:rsidR="005540D9" w:rsidRPr="005540D9" w:rsidRDefault="005540D9" w:rsidP="005540D9">
      <w:r w:rsidRPr="005540D9">
        <w:t>Finnish Patent and Registration Office</w:t>
      </w:r>
    </w:p>
    <w:p w:rsidR="005540D9" w:rsidRPr="005540D9" w:rsidRDefault="005540D9" w:rsidP="005540D9"/>
    <w:p w:rsidR="005540D9" w:rsidRPr="005540D9" w:rsidRDefault="005540D9" w:rsidP="005540D9">
      <w:pPr>
        <w:rPr>
          <w:b/>
        </w:rPr>
      </w:pPr>
      <w:r w:rsidRPr="005540D9">
        <w:rPr>
          <w:b/>
        </w:rPr>
        <w:t>Date on which application for appointment was received by the Director General:</w:t>
      </w:r>
    </w:p>
    <w:p w:rsidR="005540D9" w:rsidRDefault="005540D9" w:rsidP="005540D9"/>
    <w:p w:rsidR="005540D9" w:rsidRPr="005540D9" w:rsidRDefault="005540D9" w:rsidP="005540D9">
      <w:r>
        <w:t>March 7, 2017</w:t>
      </w:r>
    </w:p>
    <w:p w:rsidR="005540D9" w:rsidRPr="005540D9" w:rsidRDefault="005540D9" w:rsidP="005540D9"/>
    <w:p w:rsidR="005540D9" w:rsidRDefault="005540D9" w:rsidP="005540D9">
      <w:pPr>
        <w:rPr>
          <w:szCs w:val="22"/>
        </w:rPr>
      </w:pPr>
      <w:r w:rsidRPr="00297B24">
        <w:rPr>
          <w:b/>
          <w:bCs/>
          <w:szCs w:val="22"/>
        </w:rPr>
        <w:t>Session of the Assembly at which appointment is to be sought:</w:t>
      </w:r>
      <w:r w:rsidRPr="00297B24">
        <w:rPr>
          <w:szCs w:val="22"/>
        </w:rPr>
        <w:t xml:space="preserve">  </w:t>
      </w:r>
    </w:p>
    <w:p w:rsidR="005540D9" w:rsidRPr="005540D9" w:rsidRDefault="005540D9" w:rsidP="005540D9"/>
    <w:p w:rsidR="005540D9" w:rsidRPr="005540D9" w:rsidRDefault="005540D9" w:rsidP="005540D9">
      <w:r w:rsidRPr="005540D9">
        <w:t>49th Session of the PCT Assembly</w:t>
      </w:r>
    </w:p>
    <w:p w:rsidR="005540D9" w:rsidRPr="005540D9" w:rsidRDefault="005540D9" w:rsidP="005540D9"/>
    <w:p w:rsidR="005540D9" w:rsidRDefault="005540D9" w:rsidP="005540D9">
      <w:pPr>
        <w:rPr>
          <w:szCs w:val="22"/>
        </w:rPr>
      </w:pPr>
      <w:r w:rsidRPr="00297B24">
        <w:rPr>
          <w:b/>
          <w:bCs/>
          <w:szCs w:val="22"/>
        </w:rPr>
        <w:t>Expected date at which operation as ISA/IPEA could commence:</w:t>
      </w:r>
      <w:r w:rsidRPr="00297B24">
        <w:rPr>
          <w:szCs w:val="22"/>
        </w:rPr>
        <w:t xml:space="preserve">  </w:t>
      </w:r>
    </w:p>
    <w:p w:rsidR="005540D9" w:rsidRPr="005540D9" w:rsidRDefault="005540D9" w:rsidP="005540D9"/>
    <w:p w:rsidR="005540D9" w:rsidRPr="005540D9" w:rsidRDefault="005540D9" w:rsidP="005540D9">
      <w:pPr>
        <w:rPr>
          <w:noProof/>
        </w:rPr>
      </w:pPr>
      <w:r w:rsidRPr="005540D9">
        <w:rPr>
          <w:noProof/>
        </w:rPr>
        <w:t xml:space="preserve">January </w:t>
      </w:r>
      <w:r>
        <w:rPr>
          <w:noProof/>
        </w:rPr>
        <w:t xml:space="preserve">1, </w:t>
      </w:r>
      <w:r w:rsidRPr="005540D9">
        <w:rPr>
          <w:noProof/>
        </w:rPr>
        <w:t xml:space="preserve">2018, when the extension of the existing appointment as an International Searching and Preliminary Examining Authority would enter into force. </w:t>
      </w:r>
    </w:p>
    <w:p w:rsidR="005540D9" w:rsidRPr="005540D9" w:rsidRDefault="005540D9" w:rsidP="005540D9"/>
    <w:p w:rsidR="005540D9" w:rsidRDefault="005540D9" w:rsidP="005540D9">
      <w:pPr>
        <w:rPr>
          <w:b/>
          <w:bCs/>
          <w:szCs w:val="22"/>
        </w:rPr>
      </w:pPr>
      <w:r w:rsidRPr="00297B24">
        <w:rPr>
          <w:b/>
          <w:bCs/>
          <w:szCs w:val="22"/>
        </w:rPr>
        <w:t>Existing ISA/IPEA(s) assisting in assessment of extent to which criteria met:</w:t>
      </w:r>
    </w:p>
    <w:p w:rsidR="005540D9" w:rsidRPr="005540D9" w:rsidRDefault="005540D9" w:rsidP="005540D9">
      <w:r w:rsidRPr="005540D9">
        <w:t xml:space="preserve">  </w:t>
      </w:r>
    </w:p>
    <w:p w:rsidR="005540D9" w:rsidRDefault="005540D9" w:rsidP="005540D9">
      <w:r w:rsidRPr="005540D9">
        <w:softHyphen/>
      </w:r>
      <w:r w:rsidRPr="005540D9">
        <w:softHyphen/>
        <w:t>n/a</w:t>
      </w:r>
    </w:p>
    <w:p w:rsidR="005540D9" w:rsidRPr="005540D9" w:rsidRDefault="005540D9" w:rsidP="005540D9">
      <w:pPr>
        <w:pStyle w:val="SectionHeading"/>
      </w:pPr>
      <w:r w:rsidRPr="005540D9">
        <w:t xml:space="preserve">2 – </w:t>
      </w:r>
      <w:r w:rsidRPr="005540D9">
        <w:rPr>
          <w:rStyle w:val="InsertedText"/>
          <w:color w:val="auto"/>
          <w:u w:val="none"/>
        </w:rPr>
        <w:t>Substantive</w:t>
      </w:r>
      <w:r w:rsidRPr="005540D9">
        <w:t xml:space="preserve"> Criteria:  Minimum Requirements for Appointment</w:t>
      </w:r>
    </w:p>
    <w:p w:rsidR="005540D9" w:rsidRPr="005540D9" w:rsidRDefault="005540D9" w:rsidP="005540D9">
      <w:pPr>
        <w:rPr>
          <w:sz w:val="16"/>
          <w:szCs w:val="16"/>
        </w:rPr>
      </w:pPr>
    </w:p>
    <w:p w:rsidR="005540D9" w:rsidRPr="005540D9" w:rsidRDefault="005540D9" w:rsidP="005540D9">
      <w:pPr>
        <w:pStyle w:val="SectionHeading"/>
        <w:spacing w:before="0"/>
      </w:pPr>
      <w:r w:rsidRPr="005540D9">
        <w:t>2.1 – Search and Examination Capacity</w:t>
      </w:r>
    </w:p>
    <w:p w:rsidR="005540D9" w:rsidRPr="005540D9" w:rsidRDefault="005540D9" w:rsidP="005540D9">
      <w:pPr>
        <w:rPr>
          <w:b/>
          <w:i/>
        </w:rPr>
      </w:pPr>
      <w:r w:rsidRPr="005540D9">
        <w:rPr>
          <w:b/>
          <w:i/>
        </w:rPr>
        <w:t>Rules 36.1(i) and 63.1(i):  The national Office or intergovernmental organization must have at least 100 full-time employees with sufficient technical qualifications to carry out searches and examinations.</w:t>
      </w:r>
    </w:p>
    <w:p w:rsidR="005540D9" w:rsidRDefault="005540D9" w:rsidP="005540D9">
      <w:pPr>
        <w:keepNext/>
        <w:keepLines/>
        <w:rPr>
          <w:b/>
          <w:bCs/>
          <w:szCs w:val="22"/>
        </w:rPr>
      </w:pPr>
    </w:p>
    <w:p w:rsidR="005540D9" w:rsidRPr="000B45F9" w:rsidRDefault="005540D9" w:rsidP="005540D9">
      <w:pPr>
        <w:keepNext/>
        <w:keepLines/>
        <w:rPr>
          <w:b/>
          <w:bCs/>
          <w:color w:val="4BACC6" w:themeColor="accent5"/>
          <w:szCs w:val="22"/>
        </w:rPr>
      </w:pPr>
      <w:r w:rsidRPr="00297B24">
        <w:rPr>
          <w:b/>
          <w:bCs/>
          <w:szCs w:val="22"/>
        </w:rPr>
        <w:t>Employees qualified to carry out search and examination:</w:t>
      </w:r>
      <w:r w:rsidRPr="005540D9">
        <w:t xml:space="preserve"> </w:t>
      </w:r>
      <w:r>
        <w:t xml:space="preserve"> </w:t>
      </w:r>
      <w:r w:rsidRPr="005540D9">
        <w:rPr>
          <w:i/>
        </w:rPr>
        <w:t>(status 31 December 2016)</w:t>
      </w:r>
    </w:p>
    <w:p w:rsidR="005540D9" w:rsidRPr="005540D9" w:rsidRDefault="005540D9" w:rsidP="005540D9"/>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7"/>
        <w:gridCol w:w="1684"/>
        <w:gridCol w:w="1684"/>
        <w:gridCol w:w="1684"/>
      </w:tblGrid>
      <w:tr w:rsidR="005540D9" w:rsidRPr="005540D9" w:rsidTr="00B43AC6">
        <w:trPr>
          <w:cantSplit/>
        </w:trPr>
        <w:tc>
          <w:tcPr>
            <w:tcW w:w="3527" w:type="dxa"/>
            <w:shd w:val="clear" w:color="auto" w:fill="auto"/>
          </w:tcPr>
          <w:p w:rsidR="005540D9" w:rsidRPr="005540D9" w:rsidRDefault="005540D9" w:rsidP="005540D9">
            <w:pPr>
              <w:rPr>
                <w:b/>
              </w:rPr>
            </w:pPr>
            <w:r w:rsidRPr="005540D9">
              <w:rPr>
                <w:b/>
              </w:rPr>
              <w:t>Technical field</w:t>
            </w:r>
          </w:p>
        </w:tc>
        <w:tc>
          <w:tcPr>
            <w:tcW w:w="1684" w:type="dxa"/>
            <w:shd w:val="clear" w:color="auto" w:fill="auto"/>
          </w:tcPr>
          <w:p w:rsidR="005540D9" w:rsidRPr="005540D9" w:rsidRDefault="005540D9" w:rsidP="005540D9">
            <w:pPr>
              <w:rPr>
                <w:b/>
              </w:rPr>
            </w:pPr>
            <w:r w:rsidRPr="005540D9">
              <w:rPr>
                <w:b/>
              </w:rPr>
              <w:t>Number (in full-time equivalent)</w:t>
            </w:r>
          </w:p>
        </w:tc>
        <w:tc>
          <w:tcPr>
            <w:tcW w:w="1684" w:type="dxa"/>
          </w:tcPr>
          <w:p w:rsidR="005540D9" w:rsidRPr="005540D9" w:rsidRDefault="005540D9" w:rsidP="005540D9">
            <w:pPr>
              <w:rPr>
                <w:b/>
              </w:rPr>
            </w:pPr>
            <w:r w:rsidRPr="005540D9">
              <w:rPr>
                <w:b/>
              </w:rPr>
              <w:t>Average experience as examiners (years)</w:t>
            </w:r>
          </w:p>
        </w:tc>
        <w:tc>
          <w:tcPr>
            <w:tcW w:w="1684" w:type="dxa"/>
          </w:tcPr>
          <w:p w:rsidR="005540D9" w:rsidRPr="005540D9" w:rsidRDefault="005540D9" w:rsidP="005540D9">
            <w:pPr>
              <w:rPr>
                <w:b/>
              </w:rPr>
            </w:pPr>
            <w:r w:rsidRPr="005540D9">
              <w:rPr>
                <w:b/>
              </w:rPr>
              <w:t xml:space="preserve">Breakdown of qualifications </w:t>
            </w:r>
          </w:p>
          <w:p w:rsidR="005540D9" w:rsidRPr="005540D9" w:rsidRDefault="005540D9" w:rsidP="005540D9">
            <w:pPr>
              <w:rPr>
                <w:b/>
              </w:rPr>
            </w:pPr>
            <w:r w:rsidRPr="005540D9">
              <w:rPr>
                <w:b/>
              </w:rPr>
              <w:t>MSc/PhD, DSc</w:t>
            </w:r>
          </w:p>
        </w:tc>
      </w:tr>
      <w:tr w:rsidR="005540D9" w:rsidRPr="005540D9" w:rsidTr="00B43AC6">
        <w:trPr>
          <w:cantSplit/>
        </w:trPr>
        <w:tc>
          <w:tcPr>
            <w:tcW w:w="3527" w:type="dxa"/>
            <w:shd w:val="clear" w:color="auto" w:fill="auto"/>
          </w:tcPr>
          <w:p w:rsidR="005540D9" w:rsidRPr="005540D9" w:rsidRDefault="005540D9" w:rsidP="005540D9">
            <w:r w:rsidRPr="005540D9">
              <w:t>Mechanical</w:t>
            </w:r>
          </w:p>
        </w:tc>
        <w:tc>
          <w:tcPr>
            <w:tcW w:w="1684" w:type="dxa"/>
            <w:shd w:val="clear" w:color="auto" w:fill="auto"/>
          </w:tcPr>
          <w:p w:rsidR="005540D9" w:rsidRPr="005540D9" w:rsidRDefault="005540D9" w:rsidP="00940F40">
            <w:pPr>
              <w:ind w:right="459"/>
              <w:jc w:val="right"/>
            </w:pPr>
            <w:r w:rsidRPr="005540D9">
              <w:t>31</w:t>
            </w:r>
          </w:p>
        </w:tc>
        <w:tc>
          <w:tcPr>
            <w:tcW w:w="1684" w:type="dxa"/>
          </w:tcPr>
          <w:p w:rsidR="005540D9" w:rsidRPr="005540D9" w:rsidRDefault="005540D9" w:rsidP="00940F40">
            <w:pPr>
              <w:ind w:right="459"/>
              <w:jc w:val="right"/>
            </w:pPr>
            <w:r w:rsidRPr="005540D9">
              <w:t>13</w:t>
            </w:r>
          </w:p>
        </w:tc>
        <w:tc>
          <w:tcPr>
            <w:tcW w:w="1684" w:type="dxa"/>
          </w:tcPr>
          <w:p w:rsidR="005540D9" w:rsidRPr="005540D9" w:rsidRDefault="005540D9" w:rsidP="005540D9">
            <w:r w:rsidRPr="005540D9">
              <w:t>28/3</w:t>
            </w:r>
          </w:p>
        </w:tc>
      </w:tr>
      <w:tr w:rsidR="005540D9" w:rsidRPr="005540D9" w:rsidTr="00B43AC6">
        <w:trPr>
          <w:cantSplit/>
        </w:trPr>
        <w:tc>
          <w:tcPr>
            <w:tcW w:w="3527" w:type="dxa"/>
            <w:shd w:val="clear" w:color="auto" w:fill="auto"/>
          </w:tcPr>
          <w:p w:rsidR="005540D9" w:rsidRPr="005540D9" w:rsidRDefault="005540D9" w:rsidP="005540D9">
            <w:r w:rsidRPr="005540D9">
              <w:t>Electrical/electronic</w:t>
            </w:r>
          </w:p>
        </w:tc>
        <w:tc>
          <w:tcPr>
            <w:tcW w:w="1684" w:type="dxa"/>
            <w:shd w:val="clear" w:color="auto" w:fill="auto"/>
          </w:tcPr>
          <w:p w:rsidR="005540D9" w:rsidRPr="005540D9" w:rsidRDefault="005540D9" w:rsidP="00940F40">
            <w:pPr>
              <w:ind w:right="459"/>
              <w:jc w:val="right"/>
            </w:pPr>
            <w:r w:rsidRPr="005540D9">
              <w:t>41</w:t>
            </w:r>
          </w:p>
        </w:tc>
        <w:tc>
          <w:tcPr>
            <w:tcW w:w="1684" w:type="dxa"/>
          </w:tcPr>
          <w:p w:rsidR="005540D9" w:rsidRPr="005540D9" w:rsidRDefault="005540D9" w:rsidP="00940F40">
            <w:pPr>
              <w:ind w:right="459"/>
              <w:jc w:val="right"/>
            </w:pPr>
            <w:r w:rsidRPr="005540D9">
              <w:t>13</w:t>
            </w:r>
          </w:p>
        </w:tc>
        <w:tc>
          <w:tcPr>
            <w:tcW w:w="1684" w:type="dxa"/>
          </w:tcPr>
          <w:p w:rsidR="005540D9" w:rsidRPr="005540D9" w:rsidRDefault="005540D9" w:rsidP="005540D9">
            <w:r w:rsidRPr="005540D9">
              <w:t>13/28</w:t>
            </w:r>
          </w:p>
        </w:tc>
      </w:tr>
      <w:tr w:rsidR="005540D9" w:rsidRPr="005540D9" w:rsidTr="00B43AC6">
        <w:trPr>
          <w:cantSplit/>
        </w:trPr>
        <w:tc>
          <w:tcPr>
            <w:tcW w:w="3527" w:type="dxa"/>
            <w:shd w:val="clear" w:color="auto" w:fill="auto"/>
          </w:tcPr>
          <w:p w:rsidR="005540D9" w:rsidRPr="005540D9" w:rsidRDefault="005540D9" w:rsidP="005540D9">
            <w:r w:rsidRPr="005540D9">
              <w:t>Chemistry</w:t>
            </w:r>
          </w:p>
        </w:tc>
        <w:tc>
          <w:tcPr>
            <w:tcW w:w="1684" w:type="dxa"/>
            <w:shd w:val="clear" w:color="auto" w:fill="auto"/>
          </w:tcPr>
          <w:p w:rsidR="005540D9" w:rsidRPr="005540D9" w:rsidRDefault="005540D9" w:rsidP="00940F40">
            <w:pPr>
              <w:ind w:right="459"/>
              <w:jc w:val="right"/>
            </w:pPr>
            <w:r w:rsidRPr="005540D9">
              <w:t>23</w:t>
            </w:r>
          </w:p>
        </w:tc>
        <w:tc>
          <w:tcPr>
            <w:tcW w:w="1684" w:type="dxa"/>
          </w:tcPr>
          <w:p w:rsidR="005540D9" w:rsidRPr="005540D9" w:rsidRDefault="005540D9" w:rsidP="00940F40">
            <w:pPr>
              <w:ind w:right="459"/>
              <w:jc w:val="right"/>
            </w:pPr>
            <w:r w:rsidRPr="005540D9">
              <w:t>15</w:t>
            </w:r>
          </w:p>
        </w:tc>
        <w:tc>
          <w:tcPr>
            <w:tcW w:w="1684" w:type="dxa"/>
          </w:tcPr>
          <w:p w:rsidR="005540D9" w:rsidRPr="005540D9" w:rsidRDefault="005540D9" w:rsidP="005540D9">
            <w:r w:rsidRPr="005540D9">
              <w:t>14/9</w:t>
            </w:r>
          </w:p>
        </w:tc>
      </w:tr>
      <w:tr w:rsidR="005540D9" w:rsidRPr="005540D9" w:rsidTr="00B43AC6">
        <w:trPr>
          <w:cantSplit/>
        </w:trPr>
        <w:tc>
          <w:tcPr>
            <w:tcW w:w="3527" w:type="dxa"/>
            <w:shd w:val="clear" w:color="auto" w:fill="auto"/>
          </w:tcPr>
          <w:p w:rsidR="005540D9" w:rsidRPr="005540D9" w:rsidRDefault="005540D9" w:rsidP="005540D9">
            <w:r w:rsidRPr="005540D9">
              <w:t>Biotech</w:t>
            </w:r>
          </w:p>
        </w:tc>
        <w:tc>
          <w:tcPr>
            <w:tcW w:w="1684" w:type="dxa"/>
            <w:shd w:val="clear" w:color="auto" w:fill="auto"/>
          </w:tcPr>
          <w:p w:rsidR="005540D9" w:rsidRPr="005540D9" w:rsidRDefault="005540D9" w:rsidP="00940F40">
            <w:pPr>
              <w:ind w:right="459"/>
              <w:jc w:val="right"/>
            </w:pPr>
            <w:r w:rsidRPr="005540D9">
              <w:t>8</w:t>
            </w:r>
          </w:p>
        </w:tc>
        <w:tc>
          <w:tcPr>
            <w:tcW w:w="1684" w:type="dxa"/>
          </w:tcPr>
          <w:p w:rsidR="005540D9" w:rsidRPr="005540D9" w:rsidRDefault="005540D9" w:rsidP="00940F40">
            <w:pPr>
              <w:ind w:right="459"/>
              <w:jc w:val="right"/>
            </w:pPr>
            <w:r w:rsidRPr="005540D9">
              <w:t>15</w:t>
            </w:r>
          </w:p>
        </w:tc>
        <w:tc>
          <w:tcPr>
            <w:tcW w:w="1684" w:type="dxa"/>
          </w:tcPr>
          <w:p w:rsidR="005540D9" w:rsidRPr="005540D9" w:rsidRDefault="005540D9" w:rsidP="005540D9">
            <w:r w:rsidRPr="005540D9">
              <w:t>4/4</w:t>
            </w:r>
          </w:p>
        </w:tc>
      </w:tr>
      <w:tr w:rsidR="005540D9" w:rsidRPr="005540D9" w:rsidTr="00B43AC6">
        <w:trPr>
          <w:cantSplit/>
        </w:trPr>
        <w:tc>
          <w:tcPr>
            <w:tcW w:w="3527" w:type="dxa"/>
            <w:shd w:val="clear" w:color="auto" w:fill="auto"/>
          </w:tcPr>
          <w:p w:rsidR="005540D9" w:rsidRPr="005540D9" w:rsidRDefault="005540D9" w:rsidP="005540D9">
            <w:pPr>
              <w:rPr>
                <w:i/>
              </w:rPr>
            </w:pPr>
            <w:r w:rsidRPr="005540D9">
              <w:rPr>
                <w:i/>
              </w:rPr>
              <w:t>Total</w:t>
            </w:r>
          </w:p>
        </w:tc>
        <w:tc>
          <w:tcPr>
            <w:tcW w:w="1684" w:type="dxa"/>
            <w:shd w:val="clear" w:color="auto" w:fill="auto"/>
          </w:tcPr>
          <w:p w:rsidR="005540D9" w:rsidRPr="005540D9" w:rsidRDefault="005540D9" w:rsidP="00940F40">
            <w:pPr>
              <w:ind w:right="459"/>
              <w:jc w:val="right"/>
              <w:rPr>
                <w:i/>
              </w:rPr>
            </w:pPr>
            <w:r w:rsidRPr="005540D9">
              <w:rPr>
                <w:i/>
              </w:rPr>
              <w:t>103</w:t>
            </w:r>
          </w:p>
        </w:tc>
        <w:tc>
          <w:tcPr>
            <w:tcW w:w="1684" w:type="dxa"/>
          </w:tcPr>
          <w:p w:rsidR="005540D9" w:rsidRPr="005540D9" w:rsidRDefault="005540D9" w:rsidP="00940F40">
            <w:pPr>
              <w:ind w:right="459"/>
              <w:jc w:val="right"/>
              <w:rPr>
                <w:i/>
              </w:rPr>
            </w:pPr>
            <w:r w:rsidRPr="005540D9">
              <w:rPr>
                <w:i/>
              </w:rPr>
              <w:t>13</w:t>
            </w:r>
          </w:p>
        </w:tc>
        <w:tc>
          <w:tcPr>
            <w:tcW w:w="1684" w:type="dxa"/>
          </w:tcPr>
          <w:p w:rsidR="005540D9" w:rsidRPr="005540D9" w:rsidRDefault="005540D9" w:rsidP="005540D9">
            <w:pPr>
              <w:rPr>
                <w:i/>
              </w:rPr>
            </w:pPr>
            <w:r w:rsidRPr="005540D9">
              <w:rPr>
                <w:i/>
              </w:rPr>
              <w:t>59/44</w:t>
            </w:r>
          </w:p>
        </w:tc>
      </w:tr>
    </w:tbl>
    <w:p w:rsidR="005540D9" w:rsidRDefault="005540D9" w:rsidP="005540D9">
      <w:pPr>
        <w:rPr>
          <w:rStyle w:val="InsertedText"/>
          <w:b/>
          <w:bCs/>
        </w:rPr>
      </w:pPr>
    </w:p>
    <w:p w:rsidR="005540D9" w:rsidRPr="005540D9" w:rsidRDefault="005540D9" w:rsidP="005540D9">
      <w:pPr>
        <w:keepNext/>
        <w:keepLines/>
        <w:rPr>
          <w:b/>
        </w:rPr>
      </w:pPr>
      <w:r w:rsidRPr="005540D9">
        <w:rPr>
          <w:b/>
        </w:rPr>
        <w:lastRenderedPageBreak/>
        <w:t>Training Programs</w:t>
      </w:r>
    </w:p>
    <w:p w:rsidR="005540D9" w:rsidRPr="005540D9" w:rsidRDefault="005540D9" w:rsidP="005540D9">
      <w:pPr>
        <w:keepNext/>
        <w:keepLines/>
      </w:pPr>
    </w:p>
    <w:p w:rsidR="005540D9" w:rsidRPr="005540D9" w:rsidRDefault="005540D9" w:rsidP="005540D9">
      <w:pPr>
        <w:keepNext/>
        <w:keepLines/>
        <w:rPr>
          <w:i/>
        </w:rPr>
      </w:pPr>
      <w:r w:rsidRPr="005540D9">
        <w:rPr>
          <w:i/>
        </w:rPr>
        <w:t>Training programs for new examiners</w:t>
      </w:r>
    </w:p>
    <w:p w:rsidR="005540D9" w:rsidRPr="005540D9" w:rsidRDefault="005540D9" w:rsidP="005540D9">
      <w:pPr>
        <w:keepNext/>
        <w:keepLines/>
      </w:pPr>
    </w:p>
    <w:p w:rsidR="005540D9" w:rsidRPr="005540D9" w:rsidRDefault="005540D9" w:rsidP="005540D9">
      <w:r w:rsidRPr="005540D9">
        <w:t>The new examiners undergo 18 months of training to develop their patent search and examination skills</w:t>
      </w:r>
      <w:r w:rsidR="001C7FE7">
        <w:t xml:space="preserve">.  </w:t>
      </w:r>
      <w:r w:rsidRPr="005540D9">
        <w:t>The training program consists of classroom lectures, project exercises and on-the-job training.</w:t>
      </w:r>
    </w:p>
    <w:p w:rsidR="005540D9" w:rsidRPr="005540D9" w:rsidRDefault="005540D9" w:rsidP="005540D9">
      <w:r w:rsidRPr="005540D9">
        <w:t xml:space="preserve"> </w:t>
      </w:r>
    </w:p>
    <w:p w:rsidR="005540D9" w:rsidRPr="005540D9" w:rsidRDefault="005540D9" w:rsidP="005540D9">
      <w:r w:rsidRPr="005540D9">
        <w:t>The on-the-job training is carried out under the guidance of a tutor</w:t>
      </w:r>
      <w:r w:rsidR="001C7FE7">
        <w:t xml:space="preserve">.  </w:t>
      </w:r>
      <w:r w:rsidRPr="005540D9">
        <w:t>Each new examiner has a personal tutor</w:t>
      </w:r>
      <w:r w:rsidR="001C7FE7">
        <w:t xml:space="preserve">.  </w:t>
      </w:r>
      <w:r w:rsidRPr="005540D9">
        <w:t>The tutors are senior patent examiners having a working experience of at least five years</w:t>
      </w:r>
      <w:r w:rsidR="001C7FE7">
        <w:t xml:space="preserve">.  </w:t>
      </w:r>
      <w:r w:rsidRPr="005540D9">
        <w:t>The tutor gives practical education and teaches the basics of patents</w:t>
      </w:r>
      <w:r w:rsidR="001C7FE7">
        <w:t xml:space="preserve">.  </w:t>
      </w:r>
      <w:r w:rsidRPr="005540D9">
        <w:t>The tutor explains how to work with patent applications and helps the new examiner when needed</w:t>
      </w:r>
      <w:r w:rsidR="001C7FE7">
        <w:t xml:space="preserve">.  </w:t>
      </w:r>
      <w:r w:rsidR="00B92424">
        <w:t>On</w:t>
      </w:r>
      <w:r w:rsidR="00B92424">
        <w:noBreakHyphen/>
      </w:r>
      <w:r w:rsidRPr="005540D9">
        <w:t>the</w:t>
      </w:r>
      <w:r w:rsidR="00B92424">
        <w:noBreakHyphen/>
      </w:r>
      <w:r w:rsidRPr="005540D9">
        <w:t xml:space="preserve">job training means that each new examiner works with actual patent </w:t>
      </w:r>
      <w:r w:rsidR="001C7FE7" w:rsidRPr="005540D9">
        <w:t>applications</w:t>
      </w:r>
      <w:r w:rsidRPr="005540D9">
        <w:t xml:space="preserve"> and the tutor reviews all the written opinions and decisions. </w:t>
      </w:r>
    </w:p>
    <w:p w:rsidR="005540D9" w:rsidRPr="005540D9" w:rsidRDefault="005540D9" w:rsidP="005540D9"/>
    <w:p w:rsidR="005540D9" w:rsidRPr="005540D9" w:rsidRDefault="005540D9" w:rsidP="005540D9">
      <w:r w:rsidRPr="005540D9">
        <w:t>The classroom lectures for new examiners are given by senior examiners</w:t>
      </w:r>
      <w:r w:rsidR="001C7FE7">
        <w:t xml:space="preserve">.  </w:t>
      </w:r>
      <w:r w:rsidRPr="005540D9">
        <w:t>The classroom lectures include 18 different themes</w:t>
      </w:r>
      <w:r w:rsidR="001C7FE7">
        <w:t xml:space="preserve">.  </w:t>
      </w:r>
      <w:r w:rsidRPr="005540D9">
        <w:t>The lectures are classic presentations, discussions, project exercises, or computer exercises</w:t>
      </w:r>
      <w:r w:rsidR="001C7FE7">
        <w:t xml:space="preserve">.  </w:t>
      </w:r>
      <w:r w:rsidRPr="005540D9">
        <w:t xml:space="preserve">The total time spent </w:t>
      </w:r>
      <w:r w:rsidR="00B92424">
        <w:t>on the classroom lectures is 16 </w:t>
      </w:r>
      <w:r w:rsidRPr="005540D9">
        <w:t>working days</w:t>
      </w:r>
      <w:r w:rsidR="001C7FE7">
        <w:t xml:space="preserve">.  </w:t>
      </w:r>
      <w:r w:rsidRPr="005540D9">
        <w:t xml:space="preserve">Each new examiner participates in classroom lecture sessions during the first working year. </w:t>
      </w:r>
    </w:p>
    <w:p w:rsidR="005540D9" w:rsidRPr="005540D9" w:rsidRDefault="005540D9" w:rsidP="005540D9"/>
    <w:tbl>
      <w:tblPr>
        <w:tblStyle w:val="TableGrid"/>
        <w:tblW w:w="0" w:type="auto"/>
        <w:tblLook w:val="04A0" w:firstRow="1" w:lastRow="0" w:firstColumn="1" w:lastColumn="0" w:noHBand="0" w:noVBand="1"/>
      </w:tblPr>
      <w:tblGrid>
        <w:gridCol w:w="5637"/>
        <w:gridCol w:w="2551"/>
      </w:tblGrid>
      <w:tr w:rsidR="005540D9" w:rsidRPr="005540D9" w:rsidTr="005540D9">
        <w:tc>
          <w:tcPr>
            <w:tcW w:w="5637" w:type="dxa"/>
          </w:tcPr>
          <w:p w:rsidR="005540D9" w:rsidRPr="005540D9" w:rsidRDefault="005540D9" w:rsidP="005540D9">
            <w:pPr>
              <w:rPr>
                <w:b/>
              </w:rPr>
            </w:pPr>
            <w:r w:rsidRPr="005540D9">
              <w:rPr>
                <w:b/>
              </w:rPr>
              <w:t>TOPIC (LECTURES FOR NEW EXAMINERS)</w:t>
            </w:r>
          </w:p>
        </w:tc>
        <w:tc>
          <w:tcPr>
            <w:tcW w:w="2551" w:type="dxa"/>
          </w:tcPr>
          <w:p w:rsidR="005540D9" w:rsidRPr="005540D9" w:rsidRDefault="005540D9" w:rsidP="005540D9">
            <w:pPr>
              <w:rPr>
                <w:b/>
              </w:rPr>
            </w:pPr>
            <w:r w:rsidRPr="005540D9">
              <w:rPr>
                <w:b/>
              </w:rPr>
              <w:t>DURATION (HOURS)</w:t>
            </w:r>
          </w:p>
        </w:tc>
      </w:tr>
      <w:tr w:rsidR="005540D9" w:rsidRPr="005540D9" w:rsidTr="005540D9">
        <w:tc>
          <w:tcPr>
            <w:tcW w:w="5637" w:type="dxa"/>
          </w:tcPr>
          <w:p w:rsidR="005540D9" w:rsidRPr="005540D9" w:rsidRDefault="005540D9" w:rsidP="005540D9">
            <w:r w:rsidRPr="005540D9">
              <w:t>Patent application and claims</w:t>
            </w:r>
          </w:p>
        </w:tc>
        <w:tc>
          <w:tcPr>
            <w:tcW w:w="2551" w:type="dxa"/>
          </w:tcPr>
          <w:p w:rsidR="005540D9" w:rsidRPr="005540D9" w:rsidRDefault="005540D9" w:rsidP="00940F40">
            <w:pPr>
              <w:ind w:right="1026"/>
              <w:jc w:val="right"/>
            </w:pPr>
            <w:r w:rsidRPr="005540D9">
              <w:t>7</w:t>
            </w:r>
          </w:p>
        </w:tc>
      </w:tr>
      <w:tr w:rsidR="005540D9" w:rsidRPr="005540D9" w:rsidTr="005540D9">
        <w:tc>
          <w:tcPr>
            <w:tcW w:w="5637" w:type="dxa"/>
          </w:tcPr>
          <w:p w:rsidR="005540D9" w:rsidRPr="005540D9" w:rsidRDefault="005540D9" w:rsidP="005540D9">
            <w:r w:rsidRPr="005540D9">
              <w:t>Classification systems</w:t>
            </w:r>
          </w:p>
        </w:tc>
        <w:tc>
          <w:tcPr>
            <w:tcW w:w="2551" w:type="dxa"/>
          </w:tcPr>
          <w:p w:rsidR="005540D9" w:rsidRPr="005540D9" w:rsidRDefault="005540D9" w:rsidP="00940F40">
            <w:pPr>
              <w:ind w:right="1026"/>
              <w:jc w:val="right"/>
            </w:pPr>
            <w:r w:rsidRPr="005540D9">
              <w:t>16</w:t>
            </w:r>
          </w:p>
        </w:tc>
      </w:tr>
      <w:tr w:rsidR="005540D9" w:rsidRPr="005540D9" w:rsidTr="005540D9">
        <w:tc>
          <w:tcPr>
            <w:tcW w:w="5637" w:type="dxa"/>
          </w:tcPr>
          <w:p w:rsidR="005540D9" w:rsidRPr="005540D9" w:rsidRDefault="005540D9" w:rsidP="005540D9">
            <w:r w:rsidRPr="005540D9">
              <w:t>Searching information, part I</w:t>
            </w:r>
          </w:p>
        </w:tc>
        <w:tc>
          <w:tcPr>
            <w:tcW w:w="2551" w:type="dxa"/>
          </w:tcPr>
          <w:p w:rsidR="005540D9" w:rsidRPr="005540D9" w:rsidRDefault="005540D9" w:rsidP="00940F40">
            <w:pPr>
              <w:ind w:right="1026"/>
              <w:jc w:val="right"/>
            </w:pPr>
            <w:r w:rsidRPr="005540D9">
              <w:t>6</w:t>
            </w:r>
          </w:p>
        </w:tc>
      </w:tr>
      <w:tr w:rsidR="005540D9" w:rsidRPr="005540D9" w:rsidTr="005540D9">
        <w:tc>
          <w:tcPr>
            <w:tcW w:w="5637" w:type="dxa"/>
          </w:tcPr>
          <w:p w:rsidR="005540D9" w:rsidRPr="005540D9" w:rsidRDefault="005540D9" w:rsidP="005540D9">
            <w:r w:rsidRPr="005540D9">
              <w:t>Searching information, part II</w:t>
            </w:r>
          </w:p>
        </w:tc>
        <w:tc>
          <w:tcPr>
            <w:tcW w:w="2551" w:type="dxa"/>
          </w:tcPr>
          <w:p w:rsidR="005540D9" w:rsidRPr="005540D9" w:rsidRDefault="005540D9" w:rsidP="00940F40">
            <w:pPr>
              <w:ind w:right="1026"/>
              <w:jc w:val="right"/>
            </w:pPr>
            <w:r w:rsidRPr="005540D9">
              <w:t>6</w:t>
            </w:r>
          </w:p>
        </w:tc>
      </w:tr>
      <w:tr w:rsidR="005540D9" w:rsidRPr="005540D9" w:rsidTr="005540D9">
        <w:tc>
          <w:tcPr>
            <w:tcW w:w="5637" w:type="dxa"/>
          </w:tcPr>
          <w:p w:rsidR="005540D9" w:rsidRPr="005540D9" w:rsidRDefault="005540D9" w:rsidP="005540D9">
            <w:r w:rsidRPr="005540D9">
              <w:t>Novelty search</w:t>
            </w:r>
          </w:p>
        </w:tc>
        <w:tc>
          <w:tcPr>
            <w:tcW w:w="2551" w:type="dxa"/>
          </w:tcPr>
          <w:p w:rsidR="005540D9" w:rsidRPr="005540D9" w:rsidRDefault="005540D9" w:rsidP="00940F40">
            <w:pPr>
              <w:ind w:right="1026"/>
              <w:jc w:val="right"/>
            </w:pPr>
            <w:r w:rsidRPr="005540D9">
              <w:t>2</w:t>
            </w:r>
          </w:p>
        </w:tc>
      </w:tr>
      <w:tr w:rsidR="005540D9" w:rsidRPr="005540D9" w:rsidTr="005540D9">
        <w:tc>
          <w:tcPr>
            <w:tcW w:w="5637" w:type="dxa"/>
          </w:tcPr>
          <w:p w:rsidR="005540D9" w:rsidRPr="005540D9" w:rsidRDefault="005540D9" w:rsidP="005540D9">
            <w:r w:rsidRPr="005540D9">
              <w:t>Patentability</w:t>
            </w:r>
          </w:p>
        </w:tc>
        <w:tc>
          <w:tcPr>
            <w:tcW w:w="2551" w:type="dxa"/>
          </w:tcPr>
          <w:p w:rsidR="005540D9" w:rsidRPr="005540D9" w:rsidRDefault="005540D9" w:rsidP="00940F40">
            <w:pPr>
              <w:ind w:right="1026"/>
              <w:jc w:val="right"/>
            </w:pPr>
            <w:r w:rsidRPr="005540D9">
              <w:t>13</w:t>
            </w:r>
          </w:p>
        </w:tc>
      </w:tr>
      <w:tr w:rsidR="005540D9" w:rsidRPr="005540D9" w:rsidTr="005540D9">
        <w:tc>
          <w:tcPr>
            <w:tcW w:w="5637" w:type="dxa"/>
          </w:tcPr>
          <w:p w:rsidR="005540D9" w:rsidRPr="005540D9" w:rsidRDefault="005540D9" w:rsidP="005540D9">
            <w:r w:rsidRPr="005540D9">
              <w:t>Opinion on patentability and search report</w:t>
            </w:r>
          </w:p>
        </w:tc>
        <w:tc>
          <w:tcPr>
            <w:tcW w:w="2551" w:type="dxa"/>
          </w:tcPr>
          <w:p w:rsidR="005540D9" w:rsidRPr="005540D9" w:rsidRDefault="005540D9" w:rsidP="00940F40">
            <w:pPr>
              <w:ind w:right="1026"/>
              <w:jc w:val="right"/>
            </w:pPr>
            <w:r w:rsidRPr="005540D9">
              <w:t>16</w:t>
            </w:r>
          </w:p>
        </w:tc>
      </w:tr>
      <w:tr w:rsidR="005540D9" w:rsidRPr="005540D9" w:rsidTr="005540D9">
        <w:tc>
          <w:tcPr>
            <w:tcW w:w="5637" w:type="dxa"/>
          </w:tcPr>
          <w:p w:rsidR="005540D9" w:rsidRPr="005540D9" w:rsidRDefault="005540D9" w:rsidP="005540D9">
            <w:r w:rsidRPr="005540D9">
              <w:t>Search service (commercial service)</w:t>
            </w:r>
          </w:p>
        </w:tc>
        <w:tc>
          <w:tcPr>
            <w:tcW w:w="2551" w:type="dxa"/>
          </w:tcPr>
          <w:p w:rsidR="005540D9" w:rsidRPr="005540D9" w:rsidRDefault="005540D9" w:rsidP="00940F40">
            <w:pPr>
              <w:ind w:right="1026"/>
              <w:jc w:val="right"/>
            </w:pPr>
            <w:r w:rsidRPr="005540D9">
              <w:t>2</w:t>
            </w:r>
          </w:p>
        </w:tc>
      </w:tr>
      <w:tr w:rsidR="005540D9" w:rsidRPr="005540D9" w:rsidTr="005540D9">
        <w:tc>
          <w:tcPr>
            <w:tcW w:w="5637" w:type="dxa"/>
          </w:tcPr>
          <w:p w:rsidR="005540D9" w:rsidRPr="005540D9" w:rsidRDefault="005540D9" w:rsidP="005540D9">
            <w:r w:rsidRPr="005540D9">
              <w:t>Decisions during the patent application procedure</w:t>
            </w:r>
          </w:p>
        </w:tc>
        <w:tc>
          <w:tcPr>
            <w:tcW w:w="2551" w:type="dxa"/>
          </w:tcPr>
          <w:p w:rsidR="005540D9" w:rsidRPr="005540D9" w:rsidRDefault="005540D9" w:rsidP="00940F40">
            <w:pPr>
              <w:ind w:right="1026"/>
              <w:jc w:val="right"/>
            </w:pPr>
            <w:r w:rsidRPr="005540D9">
              <w:t>3</w:t>
            </w:r>
          </w:p>
        </w:tc>
      </w:tr>
      <w:tr w:rsidR="005540D9" w:rsidRPr="005540D9" w:rsidTr="005540D9">
        <w:tc>
          <w:tcPr>
            <w:tcW w:w="5637" w:type="dxa"/>
          </w:tcPr>
          <w:p w:rsidR="005540D9" w:rsidRPr="005540D9" w:rsidRDefault="005540D9" w:rsidP="005540D9">
            <w:r w:rsidRPr="005540D9">
              <w:t>Rejection of application</w:t>
            </w:r>
          </w:p>
        </w:tc>
        <w:tc>
          <w:tcPr>
            <w:tcW w:w="2551" w:type="dxa"/>
          </w:tcPr>
          <w:p w:rsidR="005540D9" w:rsidRPr="005540D9" w:rsidRDefault="005540D9" w:rsidP="00940F40">
            <w:pPr>
              <w:ind w:right="1026"/>
              <w:jc w:val="right"/>
            </w:pPr>
            <w:r w:rsidRPr="005540D9">
              <w:t>6</w:t>
            </w:r>
          </w:p>
        </w:tc>
      </w:tr>
      <w:tr w:rsidR="005540D9" w:rsidRPr="005540D9" w:rsidTr="005540D9">
        <w:tc>
          <w:tcPr>
            <w:tcW w:w="5637" w:type="dxa"/>
          </w:tcPr>
          <w:p w:rsidR="005540D9" w:rsidRPr="005540D9" w:rsidRDefault="005540D9" w:rsidP="005540D9">
            <w:r w:rsidRPr="005540D9">
              <w:t>Special technical problems</w:t>
            </w:r>
          </w:p>
        </w:tc>
        <w:tc>
          <w:tcPr>
            <w:tcW w:w="2551" w:type="dxa"/>
          </w:tcPr>
          <w:p w:rsidR="005540D9" w:rsidRPr="005540D9" w:rsidRDefault="005540D9" w:rsidP="00940F40">
            <w:pPr>
              <w:ind w:right="1026"/>
              <w:jc w:val="right"/>
            </w:pPr>
            <w:r w:rsidRPr="005540D9">
              <w:t>3</w:t>
            </w:r>
          </w:p>
        </w:tc>
      </w:tr>
      <w:tr w:rsidR="005540D9" w:rsidRPr="005540D9" w:rsidTr="005540D9">
        <w:tc>
          <w:tcPr>
            <w:tcW w:w="5637" w:type="dxa"/>
          </w:tcPr>
          <w:p w:rsidR="005540D9" w:rsidRPr="005540D9" w:rsidRDefault="005540D9" w:rsidP="005540D9">
            <w:r w:rsidRPr="005540D9">
              <w:t>Utility model</w:t>
            </w:r>
          </w:p>
        </w:tc>
        <w:tc>
          <w:tcPr>
            <w:tcW w:w="2551" w:type="dxa"/>
          </w:tcPr>
          <w:p w:rsidR="005540D9" w:rsidRPr="005540D9" w:rsidRDefault="005540D9" w:rsidP="00940F40">
            <w:pPr>
              <w:ind w:right="1026"/>
              <w:jc w:val="right"/>
            </w:pPr>
            <w:r w:rsidRPr="005540D9">
              <w:t>2</w:t>
            </w:r>
          </w:p>
        </w:tc>
      </w:tr>
      <w:tr w:rsidR="005540D9" w:rsidRPr="005540D9" w:rsidTr="005540D9">
        <w:tc>
          <w:tcPr>
            <w:tcW w:w="5637" w:type="dxa"/>
          </w:tcPr>
          <w:p w:rsidR="005540D9" w:rsidRPr="005540D9" w:rsidRDefault="005540D9" w:rsidP="005540D9">
            <w:r w:rsidRPr="005540D9">
              <w:t>Unity of invention</w:t>
            </w:r>
          </w:p>
        </w:tc>
        <w:tc>
          <w:tcPr>
            <w:tcW w:w="2551" w:type="dxa"/>
          </w:tcPr>
          <w:p w:rsidR="005540D9" w:rsidRPr="005540D9" w:rsidRDefault="005540D9" w:rsidP="00940F40">
            <w:pPr>
              <w:ind w:right="1026"/>
              <w:jc w:val="right"/>
            </w:pPr>
            <w:r w:rsidRPr="005540D9">
              <w:t>2</w:t>
            </w:r>
          </w:p>
        </w:tc>
      </w:tr>
      <w:tr w:rsidR="005540D9" w:rsidRPr="005540D9" w:rsidTr="005540D9">
        <w:tc>
          <w:tcPr>
            <w:tcW w:w="5637" w:type="dxa"/>
          </w:tcPr>
          <w:p w:rsidR="005540D9" w:rsidRPr="005540D9" w:rsidRDefault="005540D9" w:rsidP="005540D9">
            <w:r w:rsidRPr="005540D9">
              <w:t>PCT system</w:t>
            </w:r>
          </w:p>
        </w:tc>
        <w:tc>
          <w:tcPr>
            <w:tcW w:w="2551" w:type="dxa"/>
          </w:tcPr>
          <w:p w:rsidR="005540D9" w:rsidRPr="005540D9" w:rsidRDefault="005540D9" w:rsidP="00940F40">
            <w:pPr>
              <w:ind w:right="1026"/>
              <w:jc w:val="right"/>
            </w:pPr>
            <w:r w:rsidRPr="005540D9">
              <w:t>3</w:t>
            </w:r>
          </w:p>
        </w:tc>
      </w:tr>
      <w:tr w:rsidR="005540D9" w:rsidRPr="005540D9" w:rsidTr="005540D9">
        <w:tc>
          <w:tcPr>
            <w:tcW w:w="5637" w:type="dxa"/>
          </w:tcPr>
          <w:p w:rsidR="005540D9" w:rsidRPr="005540D9" w:rsidRDefault="005540D9" w:rsidP="005540D9">
            <w:r w:rsidRPr="005540D9">
              <w:t>PCT procedure ISA</w:t>
            </w:r>
          </w:p>
        </w:tc>
        <w:tc>
          <w:tcPr>
            <w:tcW w:w="2551" w:type="dxa"/>
          </w:tcPr>
          <w:p w:rsidR="005540D9" w:rsidRPr="005540D9" w:rsidRDefault="005540D9" w:rsidP="00940F40">
            <w:pPr>
              <w:ind w:right="1026"/>
              <w:jc w:val="right"/>
            </w:pPr>
            <w:r w:rsidRPr="005540D9">
              <w:t>16</w:t>
            </w:r>
          </w:p>
        </w:tc>
      </w:tr>
      <w:tr w:rsidR="005540D9" w:rsidRPr="005540D9" w:rsidTr="005540D9">
        <w:tc>
          <w:tcPr>
            <w:tcW w:w="5637" w:type="dxa"/>
          </w:tcPr>
          <w:p w:rsidR="005540D9" w:rsidRPr="005540D9" w:rsidRDefault="005540D9" w:rsidP="005540D9">
            <w:r w:rsidRPr="005540D9">
              <w:t>PCT procedure IPEA</w:t>
            </w:r>
          </w:p>
        </w:tc>
        <w:tc>
          <w:tcPr>
            <w:tcW w:w="2551" w:type="dxa"/>
          </w:tcPr>
          <w:p w:rsidR="005540D9" w:rsidRPr="005540D9" w:rsidRDefault="005540D9" w:rsidP="00940F40">
            <w:pPr>
              <w:ind w:right="1026"/>
              <w:jc w:val="right"/>
            </w:pPr>
            <w:r w:rsidRPr="005540D9">
              <w:t>3</w:t>
            </w:r>
          </w:p>
        </w:tc>
      </w:tr>
      <w:tr w:rsidR="005540D9" w:rsidRPr="005540D9" w:rsidTr="005540D9">
        <w:tc>
          <w:tcPr>
            <w:tcW w:w="5637" w:type="dxa"/>
          </w:tcPr>
          <w:p w:rsidR="005540D9" w:rsidRPr="005540D9" w:rsidRDefault="005540D9" w:rsidP="005540D9">
            <w:r w:rsidRPr="005540D9">
              <w:t>Special cases during the patent application procedure</w:t>
            </w:r>
          </w:p>
        </w:tc>
        <w:tc>
          <w:tcPr>
            <w:tcW w:w="2551" w:type="dxa"/>
          </w:tcPr>
          <w:p w:rsidR="005540D9" w:rsidRPr="005540D9" w:rsidRDefault="005540D9" w:rsidP="00940F40">
            <w:pPr>
              <w:ind w:right="1026"/>
              <w:jc w:val="right"/>
            </w:pPr>
            <w:r w:rsidRPr="005540D9">
              <w:t>3</w:t>
            </w:r>
          </w:p>
        </w:tc>
      </w:tr>
    </w:tbl>
    <w:p w:rsidR="005540D9" w:rsidRPr="005540D9" w:rsidRDefault="005540D9" w:rsidP="005540D9"/>
    <w:p w:rsidR="005540D9" w:rsidRPr="005540D9" w:rsidRDefault="005540D9" w:rsidP="005540D9">
      <w:r w:rsidRPr="005540D9">
        <w:t>In addition to internal training, all new examiners participate in external training at the Aalto University (Helsinki)</w:t>
      </w:r>
      <w:r w:rsidR="001C7FE7">
        <w:t xml:space="preserve">.  </w:t>
      </w:r>
      <w:r w:rsidRPr="005540D9">
        <w:t>The training program “Patents – Industry – Technology” is organi</w:t>
      </w:r>
      <w:r w:rsidR="001C7FE7">
        <w:t>s</w:t>
      </w:r>
      <w:r w:rsidRPr="005540D9">
        <w:t>ed annually by the Aalto University in co-operation with the Finnish Patent and Registration Office</w:t>
      </w:r>
      <w:r w:rsidR="001C7FE7">
        <w:t xml:space="preserve">.  </w:t>
      </w:r>
      <w:r w:rsidRPr="005540D9">
        <w:t>The aim of the training program is to familiari</w:t>
      </w:r>
      <w:r w:rsidR="001C7FE7">
        <w:t>s</w:t>
      </w:r>
      <w:r w:rsidRPr="005540D9">
        <w:t>e participants with international patent systems as well as provide the participants with a basic knowledge of intellectual property rights, in particular, industrial property rights, and of the patenting processes in Finland and some other countries</w:t>
      </w:r>
      <w:r w:rsidR="001C7FE7">
        <w:t xml:space="preserve">.  </w:t>
      </w:r>
      <w:r w:rsidRPr="005540D9">
        <w:t>The training program is targeted not only for new examiners but also for patent attorneys, patent engineers and other IPR professionals</w:t>
      </w:r>
      <w:r w:rsidR="001C7FE7">
        <w:t xml:space="preserve">.  </w:t>
      </w:r>
      <w:r w:rsidRPr="005540D9">
        <w:t>The training includes lectures, drafting a patent application, three exams and a project work</w:t>
      </w:r>
      <w:r w:rsidR="001C7FE7">
        <w:t xml:space="preserve">.  </w:t>
      </w:r>
      <w:r w:rsidRPr="005540D9">
        <w:t>The t</w:t>
      </w:r>
      <w:r w:rsidR="00B92424">
        <w:t>ime spent on the training is 20 </w:t>
      </w:r>
      <w:bookmarkStart w:id="6" w:name="_GoBack"/>
      <w:bookmarkEnd w:id="6"/>
      <w:r w:rsidRPr="005540D9">
        <w:t>working days (see the table below)</w:t>
      </w:r>
      <w:r w:rsidR="001C7FE7">
        <w:t xml:space="preserve">.  </w:t>
      </w:r>
      <w:r w:rsidRPr="005540D9">
        <w:t xml:space="preserve">Moreover, four training days are held in EPO (Munich, Germany). </w:t>
      </w:r>
    </w:p>
    <w:p w:rsidR="005540D9" w:rsidRPr="005540D9" w:rsidRDefault="005540D9" w:rsidP="005540D9"/>
    <w:tbl>
      <w:tblPr>
        <w:tblStyle w:val="TableGrid"/>
        <w:tblW w:w="0" w:type="auto"/>
        <w:tblLook w:val="04A0" w:firstRow="1" w:lastRow="0" w:firstColumn="1" w:lastColumn="0" w:noHBand="0" w:noVBand="1"/>
      </w:tblPr>
      <w:tblGrid>
        <w:gridCol w:w="8128"/>
        <w:gridCol w:w="1378"/>
      </w:tblGrid>
      <w:tr w:rsidR="005540D9" w:rsidRPr="005540D9" w:rsidTr="001C7FE7">
        <w:tc>
          <w:tcPr>
            <w:tcW w:w="8128" w:type="dxa"/>
          </w:tcPr>
          <w:p w:rsidR="005540D9" w:rsidRPr="001C7FE7" w:rsidRDefault="005540D9" w:rsidP="001C7FE7">
            <w:pPr>
              <w:keepNext/>
              <w:rPr>
                <w:b/>
              </w:rPr>
            </w:pPr>
            <w:r w:rsidRPr="001C7FE7">
              <w:rPr>
                <w:b/>
              </w:rPr>
              <w:lastRenderedPageBreak/>
              <w:t>MODULE (PATENTS – INDUSTRY – TECHNOLOGY)</w:t>
            </w:r>
          </w:p>
        </w:tc>
        <w:tc>
          <w:tcPr>
            <w:tcW w:w="1365" w:type="dxa"/>
          </w:tcPr>
          <w:p w:rsidR="005540D9" w:rsidRPr="001C7FE7" w:rsidRDefault="005540D9" w:rsidP="001C7FE7">
            <w:pPr>
              <w:keepNext/>
              <w:rPr>
                <w:b/>
              </w:rPr>
            </w:pPr>
            <w:r w:rsidRPr="001C7FE7">
              <w:rPr>
                <w:b/>
              </w:rPr>
              <w:t>DURATION (DAYS)</w:t>
            </w:r>
          </w:p>
        </w:tc>
      </w:tr>
      <w:tr w:rsidR="005540D9" w:rsidRPr="005540D9" w:rsidTr="001C7FE7">
        <w:tc>
          <w:tcPr>
            <w:tcW w:w="8128" w:type="dxa"/>
          </w:tcPr>
          <w:p w:rsidR="005540D9" w:rsidRPr="005540D9" w:rsidRDefault="005540D9" w:rsidP="001C7FE7">
            <w:pPr>
              <w:keepNext/>
            </w:pPr>
            <w:r w:rsidRPr="005540D9">
              <w:t>Industrial property rights (IPR) in entrepreneurship</w:t>
            </w:r>
          </w:p>
        </w:tc>
        <w:tc>
          <w:tcPr>
            <w:tcW w:w="1365" w:type="dxa"/>
          </w:tcPr>
          <w:p w:rsidR="005540D9" w:rsidRPr="005540D9" w:rsidRDefault="005540D9" w:rsidP="00940F40">
            <w:pPr>
              <w:keepNext/>
              <w:jc w:val="center"/>
            </w:pPr>
            <w:r w:rsidRPr="005540D9">
              <w:t>2</w:t>
            </w:r>
          </w:p>
        </w:tc>
      </w:tr>
      <w:tr w:rsidR="005540D9" w:rsidRPr="005540D9" w:rsidTr="001C7FE7">
        <w:tc>
          <w:tcPr>
            <w:tcW w:w="8128" w:type="dxa"/>
          </w:tcPr>
          <w:p w:rsidR="005540D9" w:rsidRPr="005540D9" w:rsidRDefault="005540D9" w:rsidP="001C7FE7">
            <w:pPr>
              <w:keepNext/>
            </w:pPr>
            <w:r w:rsidRPr="005540D9">
              <w:t>Industrial property rights, forms of protection</w:t>
            </w:r>
          </w:p>
        </w:tc>
        <w:tc>
          <w:tcPr>
            <w:tcW w:w="1365" w:type="dxa"/>
          </w:tcPr>
          <w:p w:rsidR="005540D9" w:rsidRPr="005540D9" w:rsidRDefault="005540D9" w:rsidP="00940F40">
            <w:pPr>
              <w:keepNext/>
              <w:jc w:val="center"/>
            </w:pPr>
            <w:r w:rsidRPr="005540D9">
              <w:t>2</w:t>
            </w:r>
          </w:p>
        </w:tc>
      </w:tr>
      <w:tr w:rsidR="005540D9" w:rsidRPr="005540D9" w:rsidTr="001C7FE7">
        <w:tc>
          <w:tcPr>
            <w:tcW w:w="8128" w:type="dxa"/>
          </w:tcPr>
          <w:p w:rsidR="005540D9" w:rsidRPr="005540D9" w:rsidRDefault="005540D9" w:rsidP="001C7FE7">
            <w:pPr>
              <w:keepNext/>
            </w:pPr>
            <w:r w:rsidRPr="005540D9">
              <w:t>Patenting in Finland</w:t>
            </w:r>
          </w:p>
        </w:tc>
        <w:tc>
          <w:tcPr>
            <w:tcW w:w="1365" w:type="dxa"/>
          </w:tcPr>
          <w:p w:rsidR="005540D9" w:rsidRPr="005540D9" w:rsidRDefault="005540D9" w:rsidP="00940F40">
            <w:pPr>
              <w:keepNext/>
              <w:jc w:val="center"/>
            </w:pPr>
            <w:r w:rsidRPr="005540D9">
              <w:t>2</w:t>
            </w:r>
          </w:p>
        </w:tc>
      </w:tr>
      <w:tr w:rsidR="005540D9" w:rsidRPr="005540D9" w:rsidTr="001C7FE7">
        <w:tc>
          <w:tcPr>
            <w:tcW w:w="8128" w:type="dxa"/>
          </w:tcPr>
          <w:p w:rsidR="005540D9" w:rsidRPr="005540D9" w:rsidRDefault="005540D9" w:rsidP="001C7FE7">
            <w:pPr>
              <w:keepNext/>
            </w:pPr>
            <w:r w:rsidRPr="005540D9">
              <w:t>Processing of a patent application</w:t>
            </w:r>
          </w:p>
        </w:tc>
        <w:tc>
          <w:tcPr>
            <w:tcW w:w="1365" w:type="dxa"/>
          </w:tcPr>
          <w:p w:rsidR="005540D9" w:rsidRPr="005540D9" w:rsidRDefault="005540D9" w:rsidP="00940F40">
            <w:pPr>
              <w:keepNext/>
              <w:jc w:val="center"/>
            </w:pPr>
            <w:r w:rsidRPr="005540D9">
              <w:t>2</w:t>
            </w:r>
          </w:p>
        </w:tc>
      </w:tr>
      <w:tr w:rsidR="005540D9" w:rsidRPr="005540D9" w:rsidTr="001C7FE7">
        <w:tc>
          <w:tcPr>
            <w:tcW w:w="8128" w:type="dxa"/>
          </w:tcPr>
          <w:p w:rsidR="005540D9" w:rsidRPr="005540D9" w:rsidRDefault="005540D9" w:rsidP="001C7FE7">
            <w:pPr>
              <w:keepNext/>
            </w:pPr>
            <w:r w:rsidRPr="005540D9">
              <w:t>International patent application systems</w:t>
            </w:r>
          </w:p>
        </w:tc>
        <w:tc>
          <w:tcPr>
            <w:tcW w:w="1365" w:type="dxa"/>
          </w:tcPr>
          <w:p w:rsidR="005540D9" w:rsidRPr="005540D9" w:rsidRDefault="005540D9" w:rsidP="00940F40">
            <w:pPr>
              <w:keepNext/>
              <w:jc w:val="center"/>
            </w:pPr>
            <w:r w:rsidRPr="005540D9">
              <w:t>2</w:t>
            </w:r>
          </w:p>
        </w:tc>
      </w:tr>
      <w:tr w:rsidR="005540D9" w:rsidRPr="005540D9" w:rsidTr="001C7FE7">
        <w:tc>
          <w:tcPr>
            <w:tcW w:w="8128" w:type="dxa"/>
          </w:tcPr>
          <w:p w:rsidR="005540D9" w:rsidRPr="005540D9" w:rsidRDefault="005540D9" w:rsidP="001C7FE7">
            <w:pPr>
              <w:keepNext/>
            </w:pPr>
            <w:r w:rsidRPr="005540D9">
              <w:t>Special characteristics of national patent systems</w:t>
            </w:r>
          </w:p>
        </w:tc>
        <w:tc>
          <w:tcPr>
            <w:tcW w:w="1365" w:type="dxa"/>
          </w:tcPr>
          <w:p w:rsidR="005540D9" w:rsidRPr="005540D9" w:rsidRDefault="005540D9" w:rsidP="00940F40">
            <w:pPr>
              <w:keepNext/>
              <w:jc w:val="center"/>
            </w:pPr>
            <w:r w:rsidRPr="005540D9">
              <w:t>2</w:t>
            </w:r>
          </w:p>
        </w:tc>
      </w:tr>
      <w:tr w:rsidR="005540D9" w:rsidRPr="005540D9" w:rsidTr="001C7FE7">
        <w:tc>
          <w:tcPr>
            <w:tcW w:w="8128" w:type="dxa"/>
          </w:tcPr>
          <w:p w:rsidR="005540D9" w:rsidRPr="005540D9" w:rsidRDefault="005540D9" w:rsidP="001C7FE7">
            <w:pPr>
              <w:keepNext/>
            </w:pPr>
            <w:r w:rsidRPr="005540D9">
              <w:t>Seminar about the activities of the European Patent Office (held in Munich, EPO)</w:t>
            </w:r>
          </w:p>
        </w:tc>
        <w:tc>
          <w:tcPr>
            <w:tcW w:w="1365" w:type="dxa"/>
          </w:tcPr>
          <w:p w:rsidR="005540D9" w:rsidRPr="005540D9" w:rsidRDefault="005540D9" w:rsidP="00940F40">
            <w:pPr>
              <w:keepNext/>
              <w:jc w:val="center"/>
            </w:pPr>
            <w:r w:rsidRPr="005540D9">
              <w:t>4</w:t>
            </w:r>
          </w:p>
        </w:tc>
      </w:tr>
      <w:tr w:rsidR="005540D9" w:rsidRPr="005540D9" w:rsidTr="001C7FE7">
        <w:tc>
          <w:tcPr>
            <w:tcW w:w="8128" w:type="dxa"/>
          </w:tcPr>
          <w:p w:rsidR="005540D9" w:rsidRPr="005540D9" w:rsidRDefault="005540D9" w:rsidP="001C7FE7">
            <w:pPr>
              <w:keepNext/>
            </w:pPr>
            <w:r w:rsidRPr="005540D9">
              <w:t>Patents and competitors</w:t>
            </w:r>
          </w:p>
        </w:tc>
        <w:tc>
          <w:tcPr>
            <w:tcW w:w="1365" w:type="dxa"/>
          </w:tcPr>
          <w:p w:rsidR="005540D9" w:rsidRPr="005540D9" w:rsidRDefault="005540D9" w:rsidP="00940F40">
            <w:pPr>
              <w:keepNext/>
              <w:jc w:val="center"/>
            </w:pPr>
            <w:r w:rsidRPr="005540D9">
              <w:t>2</w:t>
            </w:r>
          </w:p>
        </w:tc>
      </w:tr>
      <w:tr w:rsidR="005540D9" w:rsidRPr="005540D9" w:rsidTr="001C7FE7">
        <w:tc>
          <w:tcPr>
            <w:tcW w:w="8128" w:type="dxa"/>
          </w:tcPr>
          <w:p w:rsidR="005540D9" w:rsidRPr="005540D9" w:rsidRDefault="005540D9" w:rsidP="005540D9">
            <w:r w:rsidRPr="005540D9">
              <w:t>Utilizing industrial property rights</w:t>
            </w:r>
          </w:p>
        </w:tc>
        <w:tc>
          <w:tcPr>
            <w:tcW w:w="1365" w:type="dxa"/>
          </w:tcPr>
          <w:p w:rsidR="005540D9" w:rsidRPr="005540D9" w:rsidRDefault="005540D9" w:rsidP="00940F40">
            <w:pPr>
              <w:jc w:val="center"/>
            </w:pPr>
            <w:r w:rsidRPr="005540D9">
              <w:t>2</w:t>
            </w:r>
          </w:p>
        </w:tc>
      </w:tr>
    </w:tbl>
    <w:p w:rsidR="005540D9" w:rsidRPr="005540D9" w:rsidRDefault="005540D9" w:rsidP="005540D9"/>
    <w:p w:rsidR="005540D9" w:rsidRPr="005540D9" w:rsidRDefault="005540D9" w:rsidP="005540D9"/>
    <w:p w:rsidR="005540D9" w:rsidRPr="005540D9" w:rsidRDefault="005540D9" w:rsidP="005540D9">
      <w:r w:rsidRPr="005540D9">
        <w:t>At the end of the 18-month period, an oral exam is held for all new examiners</w:t>
      </w:r>
      <w:r w:rsidR="001C7FE7">
        <w:t xml:space="preserve">.  </w:t>
      </w:r>
      <w:r w:rsidRPr="005540D9">
        <w:t>After passing the exam, the new examiner may work independently.</w:t>
      </w:r>
    </w:p>
    <w:p w:rsidR="005540D9" w:rsidRPr="005540D9" w:rsidRDefault="005540D9" w:rsidP="005540D9"/>
    <w:p w:rsidR="005540D9" w:rsidRPr="001C7FE7" w:rsidRDefault="005540D9" w:rsidP="005540D9">
      <w:pPr>
        <w:rPr>
          <w:i/>
        </w:rPr>
      </w:pPr>
      <w:r w:rsidRPr="001C7FE7">
        <w:rPr>
          <w:i/>
        </w:rPr>
        <w:t>Training activities for existing examiners</w:t>
      </w:r>
    </w:p>
    <w:p w:rsidR="005540D9" w:rsidRPr="005540D9" w:rsidRDefault="005540D9" w:rsidP="005540D9"/>
    <w:p w:rsidR="005540D9" w:rsidRPr="005540D9" w:rsidRDefault="005540D9" w:rsidP="005540D9">
      <w:r w:rsidRPr="005540D9">
        <w:t>The existing experienced examiners participate in courses and seminars offered by the European Patent Academy (EPO)</w:t>
      </w:r>
      <w:r w:rsidR="001C7FE7">
        <w:t xml:space="preserve">.  </w:t>
      </w:r>
      <w:r w:rsidRPr="005540D9">
        <w:t>The taken courses are advanced or expert level courses</w:t>
      </w:r>
      <w:r w:rsidR="001C7FE7">
        <w:t xml:space="preserve">.  </w:t>
      </w:r>
      <w:r w:rsidRPr="005540D9">
        <w:t>They also participate in distance learning courses</w:t>
      </w:r>
      <w:r w:rsidR="001C7FE7">
        <w:t xml:space="preserve">.  </w:t>
      </w:r>
      <w:r w:rsidRPr="005540D9">
        <w:t>The examiners taking part in education in the European Patent Academy have an obligation to train afterwards other examiners in the Finnish Patent and Registration Office</w:t>
      </w:r>
      <w:r w:rsidR="001C7FE7">
        <w:t xml:space="preserve">.  </w:t>
      </w:r>
      <w:r w:rsidRPr="005540D9">
        <w:t>Typically, over 10 examiners attend annually different courses and seminars organized by the European Patent Academy (EPO).</w:t>
      </w:r>
    </w:p>
    <w:p w:rsidR="005540D9" w:rsidRPr="005540D9" w:rsidRDefault="005540D9" w:rsidP="005540D9"/>
    <w:p w:rsidR="005540D9" w:rsidRPr="005540D9" w:rsidRDefault="005540D9" w:rsidP="005540D9">
      <w:r w:rsidRPr="005540D9">
        <w:t xml:space="preserve">The existing examiners also participate in IPR-related education and seminars provided by other organisations, for example, the European Patent Institute (EPI) or the IPR University Center (an institute established jointly by five Finnish universities). </w:t>
      </w:r>
    </w:p>
    <w:p w:rsidR="005540D9" w:rsidRPr="005540D9" w:rsidRDefault="005540D9" w:rsidP="005540D9"/>
    <w:p w:rsidR="005540D9" w:rsidRPr="005540D9" w:rsidRDefault="005540D9" w:rsidP="005540D9">
      <w:r w:rsidRPr="005540D9">
        <w:t xml:space="preserve">The existing examiners take part in domestic and international scientific seminars and conferences in order to improve their technical expertise. </w:t>
      </w:r>
    </w:p>
    <w:p w:rsidR="005540D9" w:rsidRPr="005540D9" w:rsidRDefault="005540D9" w:rsidP="005540D9"/>
    <w:p w:rsidR="005540D9" w:rsidRPr="005540D9" w:rsidRDefault="005540D9" w:rsidP="005540D9">
      <w:r w:rsidRPr="005540D9">
        <w:t xml:space="preserve">The Finnish Patent and Registration Office provides internal training activities for existing examiners on topical issues. </w:t>
      </w:r>
    </w:p>
    <w:p w:rsidR="005540D9" w:rsidRPr="005540D9" w:rsidRDefault="005540D9" w:rsidP="005540D9"/>
    <w:p w:rsidR="005540D9" w:rsidRPr="005540D9" w:rsidRDefault="005540D9" w:rsidP="005540D9">
      <w:r w:rsidRPr="005540D9">
        <w:t>Training courses for tutors are organised regularly</w:t>
      </w:r>
      <w:r w:rsidR="001C7FE7">
        <w:t xml:space="preserve">.  </w:t>
      </w:r>
      <w:r w:rsidRPr="005540D9">
        <w:t>The duration of a course is five days.</w:t>
      </w:r>
    </w:p>
    <w:p w:rsidR="005540D9" w:rsidRPr="005540D9" w:rsidRDefault="005540D9" w:rsidP="005540D9">
      <w:r w:rsidRPr="005540D9">
        <w:t>Language training is offered for examiners (English for office actions, Swedish, French and German).</w:t>
      </w:r>
    </w:p>
    <w:p w:rsidR="005540D9" w:rsidRPr="005540D9" w:rsidRDefault="005540D9" w:rsidP="005540D9"/>
    <w:p w:rsidR="005540D9" w:rsidRPr="005540D9" w:rsidRDefault="005540D9" w:rsidP="005540D9">
      <w:r w:rsidRPr="005540D9">
        <w:t>Traditionally there has been bilateral co-operation with other patent offices</w:t>
      </w:r>
      <w:r w:rsidR="001C7FE7">
        <w:t xml:space="preserve">.  </w:t>
      </w:r>
      <w:r w:rsidRPr="005540D9">
        <w:t>For example, seminars with the USPTO have been arranged</w:t>
      </w:r>
      <w:r w:rsidR="001C7FE7">
        <w:t xml:space="preserve">.  </w:t>
      </w:r>
      <w:r w:rsidRPr="005540D9">
        <w:t>In addition, short-time exchanges of examiners have been carried out with the SIPO.</w:t>
      </w:r>
    </w:p>
    <w:p w:rsidR="005540D9" w:rsidRDefault="005540D9" w:rsidP="005540D9">
      <w:pPr>
        <w:rPr>
          <w:szCs w:val="22"/>
        </w:rPr>
      </w:pPr>
    </w:p>
    <w:p w:rsidR="001C7FE7" w:rsidRDefault="001C7FE7" w:rsidP="005540D9">
      <w:pPr>
        <w:rPr>
          <w:szCs w:val="22"/>
        </w:rPr>
      </w:pPr>
    </w:p>
    <w:p w:rsidR="005540D9" w:rsidRPr="001C7FE7" w:rsidRDefault="005540D9" w:rsidP="001C7FE7">
      <w:pPr>
        <w:rPr>
          <w:b/>
          <w:i/>
        </w:rPr>
      </w:pPr>
      <w:r w:rsidRPr="001C7FE7">
        <w:rPr>
          <w:b/>
          <w:i/>
        </w:rPr>
        <w:t>Rules 36.1(ii) and 63.1(ii):  That Office or organization must have in its possession, or have access to, at least the minimum documentation referred to in Rule 34, properly arranged for search purposes, on paper, in microform or stored on electronic media.</w:t>
      </w:r>
    </w:p>
    <w:p w:rsidR="005540D9" w:rsidRDefault="005540D9" w:rsidP="005540D9">
      <w:pPr>
        <w:rPr>
          <w:szCs w:val="22"/>
        </w:rPr>
      </w:pPr>
    </w:p>
    <w:p w:rsidR="005540D9" w:rsidRPr="00297B24" w:rsidRDefault="005540D9" w:rsidP="005540D9">
      <w:pPr>
        <w:keepNext/>
        <w:rPr>
          <w:b/>
          <w:bCs/>
          <w:szCs w:val="22"/>
        </w:rPr>
      </w:pPr>
      <w:r w:rsidRPr="00297B24">
        <w:rPr>
          <w:b/>
          <w:bCs/>
          <w:szCs w:val="22"/>
        </w:rPr>
        <w:t>Access to the minimum documentation for search purposes:</w:t>
      </w:r>
      <w:r w:rsidRPr="00297B24">
        <w:rPr>
          <w:szCs w:val="22"/>
        </w:rPr>
        <w:t xml:space="preserve">  </w:t>
      </w:r>
    </w:p>
    <w:p w:rsidR="005540D9" w:rsidRPr="00297B24" w:rsidRDefault="005540D9" w:rsidP="005540D9">
      <w:pPr>
        <w:rPr>
          <w:szCs w:val="22"/>
        </w:rPr>
      </w:pPr>
      <w:r>
        <w:rPr>
          <w:szCs w:val="22"/>
        </w:rPr>
        <w:t>(</w:t>
      </w:r>
      <w:r w:rsidRPr="000B45F9">
        <w:rPr>
          <w:color w:val="4BACC6" w:themeColor="accent5"/>
          <w:szCs w:val="22"/>
        </w:rPr>
        <w:t>x</w:t>
      </w:r>
      <w:r w:rsidRPr="00297B24">
        <w:rPr>
          <w:szCs w:val="22"/>
        </w:rPr>
        <w:t>)</w:t>
      </w:r>
      <w:r w:rsidRPr="00297B24">
        <w:rPr>
          <w:szCs w:val="22"/>
        </w:rPr>
        <w:tab/>
        <w:t>Full access</w:t>
      </w:r>
    </w:p>
    <w:p w:rsidR="005540D9" w:rsidRPr="00297B24" w:rsidRDefault="005540D9" w:rsidP="005540D9">
      <w:pPr>
        <w:rPr>
          <w:szCs w:val="22"/>
        </w:rPr>
      </w:pPr>
    </w:p>
    <w:p w:rsidR="005540D9" w:rsidRDefault="005540D9" w:rsidP="001C7FE7">
      <w:pPr>
        <w:keepNext/>
        <w:rPr>
          <w:szCs w:val="22"/>
        </w:rPr>
      </w:pPr>
      <w:r w:rsidRPr="00297B24">
        <w:rPr>
          <w:b/>
          <w:bCs/>
          <w:szCs w:val="22"/>
        </w:rPr>
        <w:t>Search systems:</w:t>
      </w:r>
      <w:r w:rsidRPr="00297B24">
        <w:rPr>
          <w:szCs w:val="22"/>
        </w:rPr>
        <w:t xml:space="preserve">  </w:t>
      </w:r>
    </w:p>
    <w:p w:rsidR="005540D9" w:rsidRPr="001C7FE7" w:rsidRDefault="005540D9" w:rsidP="001C7FE7">
      <w:pPr>
        <w:keepNext/>
      </w:pPr>
    </w:p>
    <w:p w:rsidR="005540D9" w:rsidRPr="001C7FE7" w:rsidRDefault="005540D9" w:rsidP="001C7FE7">
      <w:pPr>
        <w:keepNext/>
      </w:pPr>
      <w:r w:rsidRPr="001C7FE7">
        <w:t>The patent examiners at the Finnish Patent and Registration Office have all the necessary equipment (hardware and software) for performing efficient searches and examinations.</w:t>
      </w:r>
    </w:p>
    <w:p w:rsidR="005540D9" w:rsidRPr="001C7FE7" w:rsidRDefault="005540D9" w:rsidP="001C7FE7">
      <w:pPr>
        <w:keepNext/>
      </w:pPr>
    </w:p>
    <w:p w:rsidR="005540D9" w:rsidRPr="001C7FE7" w:rsidRDefault="005540D9" w:rsidP="001C7FE7">
      <w:r w:rsidRPr="001C7FE7">
        <w:t>The examiners have access to EPOQUENET and several other databases and search tools in order to meet the requirement for the minimum documentation referred to in PCT Rule 34.</w:t>
      </w:r>
    </w:p>
    <w:p w:rsidR="001C7FE7" w:rsidRDefault="001C7FE7" w:rsidP="001C7FE7"/>
    <w:p w:rsidR="005540D9" w:rsidRPr="001C7FE7" w:rsidRDefault="005540D9" w:rsidP="001C7FE7">
      <w:r w:rsidRPr="001C7FE7">
        <w:t>The EPOQUENET application provides the examiners with access to all the patent databases in conformity with the PCT minimum documentation requirement</w:t>
      </w:r>
      <w:r w:rsidR="001C7FE7">
        <w:t xml:space="preserve">.  </w:t>
      </w:r>
      <w:r w:rsidRPr="001C7FE7">
        <w:t>The examiners also have access to translation databases including the biggest Asian countries (China, Japan and Korea)</w:t>
      </w:r>
      <w:r w:rsidR="001C7FE7">
        <w:t xml:space="preserve">.  </w:t>
      </w:r>
      <w:r w:rsidRPr="001C7FE7">
        <w:t>Commercial patent database WPI (Derwent World Patent Index) and non-patent literature databases such as EMBASE, IEEE, INSPEC and MEDLINE are also used through the EPOQUENET application.</w:t>
      </w:r>
    </w:p>
    <w:p w:rsidR="001C7FE7" w:rsidRDefault="001C7FE7" w:rsidP="001C7FE7"/>
    <w:p w:rsidR="005540D9" w:rsidRPr="001C7FE7" w:rsidRDefault="005540D9" w:rsidP="001C7FE7">
      <w:r w:rsidRPr="001C7FE7">
        <w:t>The STN application is also available for the examiners</w:t>
      </w:r>
      <w:r w:rsidR="001C7FE7">
        <w:t xml:space="preserve">.  </w:t>
      </w:r>
      <w:r w:rsidRPr="001C7FE7">
        <w:t>STN, containing databases such as CAS registry, USGENE and DGene, is used for searching mostly in the fields of chemistry and biotechnology</w:t>
      </w:r>
      <w:r w:rsidR="001C7FE7">
        <w:t xml:space="preserve">.  </w:t>
      </w:r>
      <w:r w:rsidRPr="001C7FE7">
        <w:t>Through EPOQUENET and other search tools and portals, the examiners have access to a wide range of journals and other non-patent literature</w:t>
      </w:r>
      <w:r w:rsidR="001C7FE7">
        <w:t xml:space="preserve">.  </w:t>
      </w:r>
      <w:r w:rsidRPr="001C7FE7">
        <w:t>Journals are available from several publishers (e.g. EBSCO, Elsevier, Springer and Wiley).</w:t>
      </w:r>
    </w:p>
    <w:p w:rsidR="005540D9" w:rsidRPr="001C7FE7" w:rsidRDefault="005540D9" w:rsidP="001C7FE7"/>
    <w:p w:rsidR="005540D9" w:rsidRPr="001C7FE7" w:rsidRDefault="005540D9" w:rsidP="001C7FE7">
      <w:r w:rsidRPr="001C7FE7">
        <w:t>The above-mentioned tools give the examiners access to, at least, the minimum documentation referred to in the PCT Rule 34.</w:t>
      </w:r>
    </w:p>
    <w:p w:rsidR="005540D9" w:rsidRPr="001C7FE7" w:rsidRDefault="005540D9" w:rsidP="001C7FE7"/>
    <w:p w:rsidR="005540D9" w:rsidRPr="001C7FE7" w:rsidRDefault="005540D9" w:rsidP="001C7FE7"/>
    <w:p w:rsidR="005540D9" w:rsidRPr="001C7FE7" w:rsidRDefault="005540D9" w:rsidP="001C7FE7">
      <w:pPr>
        <w:rPr>
          <w:b/>
          <w:i/>
        </w:rPr>
      </w:pPr>
      <w:r w:rsidRPr="001C7FE7">
        <w:rPr>
          <w:b/>
          <w:i/>
        </w:rPr>
        <w:t>Rules 36.1(iii) and 63.1(iii):  That Office or organization must have a staff which is capable of searching and examining the required technical fields and which has the language facilities to understand at least those languages in which the minimum documentation referred to in Rule 34 is written or is translated.</w:t>
      </w:r>
    </w:p>
    <w:p w:rsidR="005540D9" w:rsidRPr="001C7FE7" w:rsidRDefault="005540D9" w:rsidP="001C7FE7"/>
    <w:p w:rsidR="005540D9" w:rsidRPr="00297B24" w:rsidRDefault="005540D9" w:rsidP="005540D9">
      <w:pPr>
        <w:rPr>
          <w:b/>
          <w:bCs/>
          <w:szCs w:val="22"/>
        </w:rPr>
      </w:pPr>
      <w:r w:rsidRPr="00297B24">
        <w:rPr>
          <w:b/>
          <w:bCs/>
          <w:szCs w:val="22"/>
        </w:rPr>
        <w:t>Language(s) in which national applications may be filed and processed:</w:t>
      </w:r>
      <w:r w:rsidRPr="00297B24">
        <w:rPr>
          <w:szCs w:val="22"/>
        </w:rPr>
        <w:t xml:space="preserve">  </w:t>
      </w:r>
    </w:p>
    <w:p w:rsidR="005540D9" w:rsidRPr="001C7FE7" w:rsidRDefault="005540D9" w:rsidP="001C7FE7"/>
    <w:p w:rsidR="005540D9" w:rsidRPr="001C7FE7" w:rsidRDefault="005540D9" w:rsidP="001C7FE7">
      <w:r w:rsidRPr="001C7FE7">
        <w:t xml:space="preserve">Finnish, Swedish, English </w:t>
      </w:r>
    </w:p>
    <w:p w:rsidR="005540D9" w:rsidRPr="001C7FE7" w:rsidRDefault="005540D9" w:rsidP="001C7FE7"/>
    <w:p w:rsidR="005540D9" w:rsidRPr="00297B24" w:rsidRDefault="005540D9" w:rsidP="005540D9">
      <w:pPr>
        <w:rPr>
          <w:b/>
          <w:bCs/>
          <w:szCs w:val="22"/>
        </w:rPr>
      </w:pPr>
      <w:r w:rsidRPr="00297B24">
        <w:rPr>
          <w:b/>
          <w:bCs/>
          <w:szCs w:val="22"/>
        </w:rPr>
        <w:t>Other languages in which large numbers of examiners are proficient:</w:t>
      </w:r>
      <w:r w:rsidRPr="00297B24">
        <w:rPr>
          <w:szCs w:val="22"/>
        </w:rPr>
        <w:t xml:space="preserve">  </w:t>
      </w:r>
    </w:p>
    <w:p w:rsidR="005540D9" w:rsidRPr="001C7FE7" w:rsidRDefault="005540D9" w:rsidP="001C7FE7"/>
    <w:p w:rsidR="005540D9" w:rsidRPr="001C7FE7" w:rsidRDefault="005540D9" w:rsidP="001C7FE7">
      <w:r w:rsidRPr="001C7FE7">
        <w:t>German, French</w:t>
      </w:r>
    </w:p>
    <w:p w:rsidR="005540D9" w:rsidRPr="001C7FE7" w:rsidRDefault="005540D9" w:rsidP="001C7FE7"/>
    <w:p w:rsidR="005540D9" w:rsidRPr="00297B24" w:rsidRDefault="005540D9" w:rsidP="005540D9">
      <w:pPr>
        <w:rPr>
          <w:szCs w:val="22"/>
        </w:rPr>
      </w:pPr>
      <w:r w:rsidRPr="00297B24">
        <w:rPr>
          <w:b/>
          <w:bCs/>
          <w:szCs w:val="22"/>
        </w:rPr>
        <w:t>Services available to assist search or understanding of prior art in other languages:</w:t>
      </w:r>
      <w:r w:rsidRPr="00297B24">
        <w:rPr>
          <w:szCs w:val="22"/>
        </w:rPr>
        <w:t xml:space="preserve">  </w:t>
      </w:r>
    </w:p>
    <w:p w:rsidR="005540D9" w:rsidRPr="001C7FE7" w:rsidRDefault="005540D9" w:rsidP="001C7FE7"/>
    <w:p w:rsidR="005540D9" w:rsidRPr="001C7FE7" w:rsidRDefault="005540D9" w:rsidP="001C7FE7">
      <w:r w:rsidRPr="001C7FE7">
        <w:t>In-house translators, machine translation services</w:t>
      </w:r>
    </w:p>
    <w:p w:rsidR="005540D9" w:rsidRPr="001C7FE7" w:rsidRDefault="005540D9" w:rsidP="001C7FE7"/>
    <w:p w:rsidR="005540D9" w:rsidRPr="00297B24" w:rsidRDefault="005540D9" w:rsidP="005540D9">
      <w:pPr>
        <w:pStyle w:val="SectionHeading"/>
      </w:pPr>
      <w:r>
        <w:t xml:space="preserve">2.2 </w:t>
      </w:r>
      <w:r w:rsidRPr="00297B24">
        <w:t>– Quality Management</w:t>
      </w:r>
    </w:p>
    <w:p w:rsidR="005540D9" w:rsidRPr="001C7FE7" w:rsidRDefault="005540D9" w:rsidP="001C7FE7">
      <w:pPr>
        <w:rPr>
          <w:b/>
          <w:i/>
        </w:rPr>
      </w:pPr>
      <w:r w:rsidRPr="001C7FE7">
        <w:rPr>
          <w:b/>
          <w:i/>
        </w:rPr>
        <w:t>Rules 36.1(iv) and 63.1(iv):  That Office or organization must have in place a quality management system and internal review arrangements in accordance with the commo</w:t>
      </w:r>
      <w:r w:rsidR="001C7FE7">
        <w:rPr>
          <w:b/>
          <w:i/>
        </w:rPr>
        <w:t>n rules of international search.</w:t>
      </w:r>
    </w:p>
    <w:p w:rsidR="005540D9" w:rsidRPr="001C7FE7" w:rsidRDefault="005540D9" w:rsidP="001C7FE7"/>
    <w:p w:rsidR="005540D9" w:rsidRPr="000B45F9" w:rsidRDefault="005540D9" w:rsidP="005540D9">
      <w:pPr>
        <w:rPr>
          <w:szCs w:val="22"/>
        </w:rPr>
      </w:pPr>
      <w:r w:rsidRPr="00297B24">
        <w:rPr>
          <w:b/>
          <w:bCs/>
          <w:szCs w:val="22"/>
        </w:rPr>
        <w:t>National quality management system:</w:t>
      </w:r>
    </w:p>
    <w:p w:rsidR="005540D9" w:rsidRPr="001C7FE7" w:rsidRDefault="005540D9" w:rsidP="001C7FE7"/>
    <w:p w:rsidR="005540D9" w:rsidRPr="001C7FE7" w:rsidRDefault="005540D9" w:rsidP="001C7FE7">
      <w:r w:rsidRPr="001C7FE7">
        <w:t>The Finnish Patent and Registration Office obtained the first ISO 9001:2000 certificate for its PCT process (RO, ISA and IPEA) in 2006</w:t>
      </w:r>
      <w:r w:rsidR="001C7FE7">
        <w:t xml:space="preserve">.  </w:t>
      </w:r>
      <w:r w:rsidRPr="001C7FE7">
        <w:t xml:space="preserve">In 2007, the certification was expanded to cover also the national patent application process. </w:t>
      </w:r>
    </w:p>
    <w:p w:rsidR="005540D9" w:rsidRPr="001C7FE7" w:rsidRDefault="005540D9" w:rsidP="001C7FE7"/>
    <w:p w:rsidR="005540D9" w:rsidRPr="001C7FE7" w:rsidRDefault="005540D9" w:rsidP="001C7FE7">
      <w:r w:rsidRPr="001C7FE7">
        <w:t>The latest certification was conducted by the certification body in autumn 2016 according to the revised standard ISO 9001:2015</w:t>
      </w:r>
      <w:r w:rsidR="001C7FE7">
        <w:t xml:space="preserve">.  </w:t>
      </w:r>
      <w:r w:rsidRPr="001C7FE7">
        <w:t xml:space="preserve">The certificate now covers the processing of utility models, the processing of national patent applications, and the processing of international applications under the PCT.  </w:t>
      </w:r>
    </w:p>
    <w:p w:rsidR="005540D9" w:rsidRPr="001C7FE7" w:rsidRDefault="005540D9" w:rsidP="001C7FE7"/>
    <w:p w:rsidR="005540D9" w:rsidRPr="001C7FE7" w:rsidRDefault="005540D9" w:rsidP="001C7FE7">
      <w:r w:rsidRPr="001C7FE7">
        <w:t>The Finnish Patent and Registration Office submitted the latest report on its quality management system to the International Bureau in accordance with Chapter 21 of the PCT International Search and Preliminary Examination Guidelines on November 30, 2016</w:t>
      </w:r>
      <w:r w:rsidR="001C7FE7">
        <w:t xml:space="preserve">.  </w:t>
      </w:r>
      <w:r w:rsidRPr="001C7FE7">
        <w:t xml:space="preserve">It is available on the WIPO website at: </w:t>
      </w:r>
      <w:hyperlink r:id="rId11" w:history="1">
        <w:r w:rsidRPr="004349E8">
          <w:rPr>
            <w:rStyle w:val="Hyperlink"/>
          </w:rPr>
          <w:t>http://www.wipo.int/pct/en/quality/authorities.html</w:t>
        </w:r>
      </w:hyperlink>
      <w:r w:rsidRPr="001C7FE7">
        <w:t xml:space="preserve">. </w:t>
      </w:r>
    </w:p>
    <w:p w:rsidR="005540D9" w:rsidRPr="00A614C3" w:rsidRDefault="005540D9" w:rsidP="005540D9">
      <w:pPr>
        <w:pStyle w:val="SectionHeading"/>
      </w:pPr>
      <w:r w:rsidRPr="00A614C3">
        <w:t>3 – Intended Scope of Operation</w:t>
      </w:r>
    </w:p>
    <w:p w:rsidR="005540D9" w:rsidRDefault="005540D9" w:rsidP="005540D9">
      <w:pPr>
        <w:rPr>
          <w:b/>
          <w:bCs/>
          <w:szCs w:val="22"/>
        </w:rPr>
      </w:pPr>
      <w:r>
        <w:rPr>
          <w:b/>
          <w:bCs/>
          <w:szCs w:val="22"/>
        </w:rPr>
        <w:t>Language(s) in which services would be offered:</w:t>
      </w:r>
    </w:p>
    <w:p w:rsidR="005540D9" w:rsidRPr="001C7FE7" w:rsidRDefault="005540D9" w:rsidP="001C7FE7"/>
    <w:p w:rsidR="005540D9" w:rsidRPr="001C7FE7" w:rsidRDefault="005540D9" w:rsidP="001C7FE7">
      <w:r w:rsidRPr="001C7FE7">
        <w:t>English, Finnish and Swedish</w:t>
      </w:r>
    </w:p>
    <w:p w:rsidR="005540D9" w:rsidRPr="001C7FE7" w:rsidRDefault="005540D9" w:rsidP="001C7FE7"/>
    <w:p w:rsidR="005540D9" w:rsidRDefault="005540D9" w:rsidP="005540D9">
      <w:pPr>
        <w:rPr>
          <w:b/>
          <w:bCs/>
          <w:szCs w:val="22"/>
        </w:rPr>
      </w:pPr>
      <w:r>
        <w:rPr>
          <w:b/>
          <w:bCs/>
          <w:szCs w:val="22"/>
        </w:rPr>
        <w:t>State(s) or receiving Office(s) for which Authority would offer to be competent:</w:t>
      </w:r>
    </w:p>
    <w:p w:rsidR="005540D9" w:rsidRPr="001C7FE7" w:rsidRDefault="005540D9" w:rsidP="001C7FE7"/>
    <w:p w:rsidR="005540D9" w:rsidRPr="001C7FE7" w:rsidRDefault="005540D9" w:rsidP="001C7FE7">
      <w:r w:rsidRPr="001C7FE7">
        <w:t>Any Contracting State in accordance with the obligations of the Authority within the framework of the European Patent Organisation</w:t>
      </w:r>
      <w:r w:rsidR="00940F40">
        <w:t>.</w:t>
      </w:r>
    </w:p>
    <w:p w:rsidR="005540D9" w:rsidRPr="001C7FE7" w:rsidRDefault="005540D9" w:rsidP="001C7FE7"/>
    <w:p w:rsidR="005540D9" w:rsidRDefault="005540D9" w:rsidP="005540D9">
      <w:pPr>
        <w:rPr>
          <w:b/>
          <w:bCs/>
          <w:szCs w:val="22"/>
        </w:rPr>
      </w:pPr>
      <w:r>
        <w:rPr>
          <w:b/>
          <w:bCs/>
          <w:szCs w:val="22"/>
        </w:rPr>
        <w:t>Limitations on scope of operation:</w:t>
      </w:r>
    </w:p>
    <w:p w:rsidR="005540D9" w:rsidRPr="001C7FE7" w:rsidRDefault="005540D9" w:rsidP="001C7FE7"/>
    <w:p w:rsidR="005540D9" w:rsidRPr="001C7FE7" w:rsidRDefault="005540D9" w:rsidP="001C7FE7">
      <w:r w:rsidRPr="001C7FE7">
        <w:t>n/a</w:t>
      </w:r>
    </w:p>
    <w:p w:rsidR="005540D9" w:rsidRPr="00297B24" w:rsidRDefault="005540D9" w:rsidP="005540D9">
      <w:pPr>
        <w:pStyle w:val="SectionHeading"/>
      </w:pPr>
      <w:r>
        <w:t xml:space="preserve">4 </w:t>
      </w:r>
      <w:r w:rsidRPr="00297B24">
        <w:t>– Statement of Motivation</w:t>
      </w:r>
    </w:p>
    <w:p w:rsidR="005540D9" w:rsidRPr="001C7FE7" w:rsidRDefault="005540D9" w:rsidP="001C7FE7">
      <w:r w:rsidRPr="001C7FE7">
        <w:t>The Finnish Patent and Registration Office has a long history as an examining patent authority</w:t>
      </w:r>
      <w:r w:rsidR="001C7FE7">
        <w:t xml:space="preserve">.  </w:t>
      </w:r>
      <w:r w:rsidRPr="001C7FE7">
        <w:t>The first Finnish patent was granted in 1842, 175 years ago</w:t>
      </w:r>
      <w:r w:rsidR="001C7FE7">
        <w:t xml:space="preserve">.  </w:t>
      </w:r>
      <w:r w:rsidRPr="001C7FE7">
        <w:t>The independent central office</w:t>
      </w:r>
      <w:r w:rsidR="001C7FE7">
        <w:t> –</w:t>
      </w:r>
      <w:r w:rsidRPr="001C7FE7">
        <w:t xml:space="preserve"> the Finnish Patent and Registration Office </w:t>
      </w:r>
      <w:r w:rsidR="001C7FE7">
        <w:t>–</w:t>
      </w:r>
      <w:r w:rsidRPr="001C7FE7">
        <w:t xml:space="preserve"> started in 1942, 75 years ago.</w:t>
      </w:r>
    </w:p>
    <w:p w:rsidR="005540D9" w:rsidRPr="001C7FE7" w:rsidRDefault="005540D9" w:rsidP="001C7FE7"/>
    <w:p w:rsidR="005540D9" w:rsidRPr="001C7FE7" w:rsidRDefault="005540D9" w:rsidP="001C7FE7">
      <w:r w:rsidRPr="001C7FE7">
        <w:t>The Finnish Patent and Registration Office has been acting as an International Searching and Preliminary Examining Authority for international applications under the PCT since 2005</w:t>
      </w:r>
      <w:r w:rsidR="001C7FE7">
        <w:t xml:space="preserve">.  </w:t>
      </w:r>
      <w:r w:rsidRPr="001C7FE7">
        <w:t>The office is highly motivated in continuing this work</w:t>
      </w:r>
      <w:r w:rsidR="001C7FE7">
        <w:t xml:space="preserve">.  </w:t>
      </w:r>
      <w:r w:rsidRPr="001C7FE7">
        <w:t xml:space="preserve">One of our governmental priorities is to ensure the status of ISA/IPEA of the office also in the future. </w:t>
      </w:r>
    </w:p>
    <w:p w:rsidR="005540D9" w:rsidRPr="001C7FE7" w:rsidRDefault="005540D9" w:rsidP="001C7FE7"/>
    <w:p w:rsidR="005540D9" w:rsidRPr="001C7FE7" w:rsidRDefault="005540D9" w:rsidP="001C7FE7">
      <w:r w:rsidRPr="001C7FE7">
        <w:t>Finland is known for its high-tech industries, and we want to guarantee a good service, with local contact and in the local languages, to our clients, including the inventors, small- and medium-sized companies and large-scale industry.</w:t>
      </w:r>
    </w:p>
    <w:p w:rsidR="005540D9" w:rsidRPr="001C7FE7" w:rsidRDefault="005540D9" w:rsidP="001C7FE7"/>
    <w:p w:rsidR="005540D9" w:rsidRPr="001C7FE7" w:rsidRDefault="005540D9" w:rsidP="001C7FE7">
      <w:r w:rsidRPr="001C7FE7">
        <w:t>Over the years, Finland has been ranked high in the statistics on the number of patent applications filed annually in relation to the population</w:t>
      </w:r>
      <w:r w:rsidR="001C7FE7">
        <w:t xml:space="preserve">.  </w:t>
      </w:r>
      <w:r w:rsidRPr="001C7FE7">
        <w:t>In the Global Innovation Index 2016 rankings, Finland was the fifth among the top-ranked innovation nations.</w:t>
      </w:r>
    </w:p>
    <w:p w:rsidR="005540D9" w:rsidRPr="001C7FE7" w:rsidRDefault="005540D9" w:rsidP="001C7FE7"/>
    <w:p w:rsidR="005540D9" w:rsidRPr="001C7FE7" w:rsidRDefault="005540D9" w:rsidP="001C7FE7">
      <w:r w:rsidRPr="001C7FE7">
        <w:t>The Finnish industry, and our clients as a whole, have been satisfied with the quality of our examination work and have expressed their wish to ensure that the Finnish Patent and Registration Office continues its work as an International Searching and Preliminary Examining Authority under the PCT</w:t>
      </w:r>
      <w:r w:rsidR="001C7FE7">
        <w:t xml:space="preserve">.  </w:t>
      </w:r>
      <w:r w:rsidRPr="001C7FE7">
        <w:t>According to the recent statistics, in more than half of the PCT applications filed with the Finnish Patent and Registration Office, the applicant selects the Finnish Patent and Registration Office as the International Searching Authority from among three alternatives available (many of the applicants already have a Finnish national priority application)</w:t>
      </w:r>
      <w:r w:rsidR="001C7FE7">
        <w:t xml:space="preserve">.  </w:t>
      </w:r>
      <w:r w:rsidRPr="001C7FE7">
        <w:t>This shows a great trust in our work</w:t>
      </w:r>
      <w:r w:rsidR="001C7FE7">
        <w:t xml:space="preserve">.  </w:t>
      </w:r>
      <w:r w:rsidRPr="001C7FE7">
        <w:t xml:space="preserve">The applicants evidently appreciate the fact that the search and examination of the PCT applications are carried out by another examiner than the one who handled the priority application. </w:t>
      </w:r>
    </w:p>
    <w:p w:rsidR="005540D9" w:rsidRPr="001C7FE7" w:rsidRDefault="005540D9" w:rsidP="001C7FE7"/>
    <w:p w:rsidR="005540D9" w:rsidRPr="001C7FE7" w:rsidRDefault="005540D9" w:rsidP="001C7FE7">
      <w:r w:rsidRPr="001C7FE7">
        <w:t>The number of PCT applications has been growing steadily</w:t>
      </w:r>
      <w:r w:rsidR="001C7FE7">
        <w:t xml:space="preserve">.  </w:t>
      </w:r>
      <w:r w:rsidRPr="001C7FE7">
        <w:t>We have a highly educated, qualified and experienced staff and all the necessary material resources</w:t>
      </w:r>
      <w:r w:rsidR="001C7FE7">
        <w:t xml:space="preserve">.  </w:t>
      </w:r>
      <w:r w:rsidRPr="001C7FE7">
        <w:t>Based on these facts, the Finnish Patent and Registration Office is ready to share the burden of the PCT system, not only for international applications from Finnish applicants, but also from other sources, subject to the obligations within the framework of the European Patent Organisation</w:t>
      </w:r>
      <w:r w:rsidR="001C7FE7">
        <w:t>.</w:t>
      </w:r>
    </w:p>
    <w:p w:rsidR="005540D9" w:rsidRPr="00297B24" w:rsidRDefault="005540D9" w:rsidP="005540D9">
      <w:pPr>
        <w:pStyle w:val="SectionHeading"/>
      </w:pPr>
      <w:r>
        <w:t xml:space="preserve">5 </w:t>
      </w:r>
      <w:r w:rsidRPr="00297B24">
        <w:t xml:space="preserve">– Applicant </w:t>
      </w:r>
      <w:r>
        <w:t>State</w:t>
      </w:r>
    </w:p>
    <w:p w:rsidR="005540D9" w:rsidRDefault="005540D9" w:rsidP="005540D9">
      <w:pPr>
        <w:rPr>
          <w:b/>
          <w:bCs/>
          <w:szCs w:val="22"/>
        </w:rPr>
      </w:pPr>
      <w:r w:rsidRPr="00297B24">
        <w:rPr>
          <w:b/>
          <w:bCs/>
          <w:szCs w:val="22"/>
        </w:rPr>
        <w:t>Regional location</w:t>
      </w:r>
    </w:p>
    <w:p w:rsidR="005540D9" w:rsidRPr="00297B24" w:rsidRDefault="005540D9" w:rsidP="005540D9">
      <w:pPr>
        <w:rPr>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5"/>
      </w:tblGrid>
      <w:tr w:rsidR="005540D9" w:rsidRPr="00C660D6" w:rsidTr="00B43AC6">
        <w:trPr>
          <w:trHeight w:val="3674"/>
        </w:trPr>
        <w:tc>
          <w:tcPr>
            <w:tcW w:w="8985" w:type="dxa"/>
            <w:shd w:val="clear" w:color="auto" w:fill="auto"/>
          </w:tcPr>
          <w:p w:rsidR="005540D9" w:rsidRPr="00C660D6" w:rsidRDefault="005540D9" w:rsidP="00B43AC6">
            <w:pPr>
              <w:rPr>
                <w:szCs w:val="22"/>
              </w:rPr>
            </w:pPr>
            <w:r>
              <w:rPr>
                <w:noProof/>
                <w:lang w:val="en-GB" w:eastAsia="en-GB"/>
              </w:rPr>
              <w:drawing>
                <wp:inline distT="0" distB="0" distL="0" distR="0" wp14:anchorId="6FA9A5F7" wp14:editId="5A50DBAE">
                  <wp:extent cx="3879801" cy="3263090"/>
                  <wp:effectExtent l="0" t="0" r="6985" b="0"/>
                  <wp:docPr id="3"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89270" cy="3271054"/>
                          </a:xfrm>
                          <a:prstGeom prst="rect">
                            <a:avLst/>
                          </a:prstGeom>
                        </pic:spPr>
                      </pic:pic>
                    </a:graphicData>
                  </a:graphic>
                </wp:inline>
              </w:drawing>
            </w:r>
          </w:p>
        </w:tc>
      </w:tr>
    </w:tbl>
    <w:p w:rsidR="005540D9" w:rsidRDefault="005540D9" w:rsidP="005540D9">
      <w:pPr>
        <w:rPr>
          <w:i/>
          <w:iCs/>
          <w:szCs w:val="22"/>
        </w:rPr>
      </w:pPr>
    </w:p>
    <w:p w:rsidR="005540D9" w:rsidRDefault="005540D9" w:rsidP="005540D9">
      <w:pPr>
        <w:pStyle w:val="mw-mmv-image-desc"/>
        <w:shd w:val="clear" w:color="auto" w:fill="F8F9FA"/>
        <w:textAlignment w:val="top"/>
        <w:rPr>
          <w:lang w:val="en-US"/>
        </w:rPr>
      </w:pPr>
      <w:r w:rsidRPr="006F2F79">
        <w:rPr>
          <w:bdr w:val="single" w:sz="6" w:space="0" w:color="808080" w:frame="1"/>
          <w:shd w:val="clear" w:color="auto" w:fill="218439"/>
          <w:lang w:val="en-US"/>
        </w:rPr>
        <w:t> </w:t>
      </w:r>
      <w:r w:rsidRPr="006F2F79">
        <w:rPr>
          <w:lang w:val="en-US"/>
        </w:rPr>
        <w:t xml:space="preserve">  </w:t>
      </w:r>
      <w:r w:rsidRPr="006F2F79">
        <w:rPr>
          <w:b/>
          <w:bCs/>
          <w:lang w:val="en-US"/>
        </w:rPr>
        <w:t>(Dark-Green)</w:t>
      </w:r>
      <w:r w:rsidRPr="006F2F79">
        <w:rPr>
          <w:lang w:val="en-US"/>
        </w:rPr>
        <w:t xml:space="preserve"> Finland</w:t>
      </w:r>
      <w:r w:rsidR="001C7FE7">
        <w:rPr>
          <w:lang w:val="en-US"/>
        </w:rPr>
        <w:t xml:space="preserve">.  </w:t>
      </w:r>
      <w:r w:rsidRPr="006F2F79">
        <w:rPr>
          <w:bdr w:val="single" w:sz="6" w:space="0" w:color="808080" w:frame="1"/>
          <w:shd w:val="clear" w:color="auto" w:fill="C6DEBD"/>
          <w:lang w:val="en-US"/>
        </w:rPr>
        <w:t> </w:t>
      </w:r>
      <w:r w:rsidRPr="006F2F79">
        <w:rPr>
          <w:lang w:val="en-US"/>
        </w:rPr>
        <w:t xml:space="preserve">  </w:t>
      </w:r>
      <w:r w:rsidRPr="006F2F79">
        <w:rPr>
          <w:b/>
          <w:bCs/>
          <w:lang w:val="en-US"/>
        </w:rPr>
        <w:t>(Light-Green)</w:t>
      </w:r>
      <w:r w:rsidRPr="006F2F79">
        <w:rPr>
          <w:lang w:val="en-US"/>
        </w:rPr>
        <w:t xml:space="preserve"> The rest of the European Union (EU)</w:t>
      </w:r>
      <w:r w:rsidR="001C7FE7">
        <w:rPr>
          <w:lang w:val="en-US"/>
        </w:rPr>
        <w:t xml:space="preserve">.  </w:t>
      </w:r>
      <w:r w:rsidRPr="006F2F79">
        <w:rPr>
          <w:bdr w:val="single" w:sz="6" w:space="0" w:color="808080" w:frame="1"/>
          <w:shd w:val="clear" w:color="auto" w:fill="C0C1C5"/>
          <w:lang w:val="en-US"/>
        </w:rPr>
        <w:t> </w:t>
      </w:r>
      <w:r w:rsidRPr="006F2F79">
        <w:rPr>
          <w:lang w:val="en-US"/>
        </w:rPr>
        <w:t xml:space="preserve">  </w:t>
      </w:r>
      <w:r w:rsidRPr="006F2F79">
        <w:rPr>
          <w:b/>
          <w:bCs/>
          <w:lang w:val="en-US"/>
        </w:rPr>
        <w:t>(Dark-grey)</w:t>
      </w:r>
      <w:r w:rsidRPr="006F2F79">
        <w:rPr>
          <w:lang w:val="en-US"/>
        </w:rPr>
        <w:t xml:space="preserve"> The rest of Europe</w:t>
      </w:r>
      <w:r w:rsidR="001C7FE7">
        <w:rPr>
          <w:lang w:val="en-US"/>
        </w:rPr>
        <w:t xml:space="preserve">.  </w:t>
      </w:r>
      <w:r w:rsidRPr="006F2F79">
        <w:rPr>
          <w:bdr w:val="single" w:sz="6" w:space="0" w:color="808080" w:frame="1"/>
          <w:shd w:val="clear" w:color="auto" w:fill="CCCED1"/>
          <w:lang w:val="en-US"/>
        </w:rPr>
        <w:t> </w:t>
      </w:r>
      <w:r w:rsidRPr="006F2F79">
        <w:rPr>
          <w:lang w:val="en-US"/>
        </w:rPr>
        <w:t xml:space="preserve">  </w:t>
      </w:r>
      <w:r w:rsidRPr="006F2F79">
        <w:rPr>
          <w:b/>
          <w:bCs/>
          <w:lang w:val="en-US"/>
        </w:rPr>
        <w:t>(Light-grey)</w:t>
      </w:r>
      <w:r w:rsidRPr="006F2F79">
        <w:rPr>
          <w:lang w:val="en-US"/>
        </w:rPr>
        <w:t xml:space="preserve"> The surrounding </w:t>
      </w:r>
      <w:r w:rsidRPr="00007394">
        <w:rPr>
          <w:lang w:val="en-US"/>
        </w:rPr>
        <w:t>region</w:t>
      </w:r>
    </w:p>
    <w:p w:rsidR="005540D9" w:rsidRPr="006F2F79" w:rsidRDefault="005540D9" w:rsidP="005540D9">
      <w:pPr>
        <w:pStyle w:val="mw-mmv-image-desc"/>
        <w:shd w:val="clear" w:color="auto" w:fill="F8F9FA"/>
        <w:textAlignment w:val="top"/>
        <w:rPr>
          <w:lang w:val="en-US"/>
        </w:rPr>
      </w:pPr>
    </w:p>
    <w:p w:rsidR="005540D9" w:rsidRDefault="005540D9" w:rsidP="005540D9">
      <w:pPr>
        <w:rPr>
          <w:szCs w:val="22"/>
        </w:rPr>
      </w:pPr>
      <w:r w:rsidRPr="00297B24">
        <w:rPr>
          <w:b/>
          <w:bCs/>
          <w:szCs w:val="22"/>
        </w:rPr>
        <w:t>Regional organization memberships:</w:t>
      </w:r>
      <w:r w:rsidRPr="00297B24">
        <w:rPr>
          <w:szCs w:val="22"/>
        </w:rPr>
        <w:t xml:space="preserve">  </w:t>
      </w:r>
    </w:p>
    <w:p w:rsidR="005540D9" w:rsidRPr="001C7FE7" w:rsidRDefault="005540D9" w:rsidP="001C7FE7"/>
    <w:p w:rsidR="005540D9" w:rsidRPr="001C7FE7" w:rsidRDefault="005540D9" w:rsidP="001C7FE7">
      <w:r w:rsidRPr="001C7FE7">
        <w:t>European Union</w:t>
      </w:r>
    </w:p>
    <w:p w:rsidR="005540D9" w:rsidRPr="001C7FE7" w:rsidRDefault="005540D9" w:rsidP="001C7FE7">
      <w:r w:rsidRPr="001C7FE7">
        <w:t>European Union Intellectual Property Office (EUIPO)</w:t>
      </w:r>
    </w:p>
    <w:p w:rsidR="005540D9" w:rsidRPr="001C7FE7" w:rsidRDefault="005540D9" w:rsidP="001C7FE7">
      <w:r w:rsidRPr="001C7FE7">
        <w:t>European Patent Organisation (EPO)</w:t>
      </w:r>
    </w:p>
    <w:p w:rsidR="005540D9" w:rsidRPr="001C7FE7" w:rsidRDefault="005540D9" w:rsidP="001C7FE7"/>
    <w:p w:rsidR="005540D9" w:rsidRDefault="005540D9" w:rsidP="005540D9">
      <w:pPr>
        <w:rPr>
          <w:szCs w:val="22"/>
        </w:rPr>
      </w:pPr>
      <w:r w:rsidRPr="00297B24">
        <w:rPr>
          <w:b/>
          <w:bCs/>
          <w:szCs w:val="22"/>
        </w:rPr>
        <w:t>Population:</w:t>
      </w:r>
      <w:r w:rsidRPr="00297B24">
        <w:rPr>
          <w:szCs w:val="22"/>
        </w:rPr>
        <w:t xml:space="preserve">  </w:t>
      </w:r>
    </w:p>
    <w:p w:rsidR="005540D9" w:rsidRPr="001C7FE7" w:rsidRDefault="005540D9" w:rsidP="001C7FE7"/>
    <w:p w:rsidR="005540D9" w:rsidRPr="001C7FE7" w:rsidRDefault="005540D9" w:rsidP="001C7FE7">
      <w:r w:rsidRPr="001C7FE7">
        <w:t xml:space="preserve">5.5 million </w:t>
      </w:r>
    </w:p>
    <w:p w:rsidR="005540D9" w:rsidRPr="001C7FE7" w:rsidRDefault="005540D9" w:rsidP="001C7FE7"/>
    <w:p w:rsidR="005540D9" w:rsidRDefault="005540D9" w:rsidP="005540D9">
      <w:pPr>
        <w:rPr>
          <w:b/>
          <w:bCs/>
          <w:szCs w:val="22"/>
        </w:rPr>
      </w:pPr>
      <w:r w:rsidRPr="00297B24">
        <w:rPr>
          <w:b/>
          <w:bCs/>
          <w:szCs w:val="22"/>
        </w:rPr>
        <w:t xml:space="preserve">GDP </w:t>
      </w:r>
      <w:r w:rsidRPr="00297B24">
        <w:rPr>
          <w:b/>
          <w:bCs/>
          <w:i/>
          <w:iCs/>
          <w:szCs w:val="22"/>
        </w:rPr>
        <w:t>per capita</w:t>
      </w:r>
      <w:r w:rsidRPr="00297B24">
        <w:rPr>
          <w:b/>
          <w:bCs/>
          <w:szCs w:val="22"/>
        </w:rPr>
        <w:t xml:space="preserve">:  </w:t>
      </w:r>
    </w:p>
    <w:p w:rsidR="005540D9" w:rsidRPr="001C7FE7" w:rsidRDefault="005540D9" w:rsidP="001C7FE7"/>
    <w:p w:rsidR="005540D9" w:rsidRPr="001C7FE7" w:rsidRDefault="005540D9" w:rsidP="001C7FE7">
      <w:r w:rsidRPr="001C7FE7">
        <w:t>39,164 euros</w:t>
      </w:r>
    </w:p>
    <w:p w:rsidR="005540D9" w:rsidRPr="001C7FE7" w:rsidRDefault="005540D9" w:rsidP="001C7FE7"/>
    <w:p w:rsidR="005540D9" w:rsidRDefault="005540D9" w:rsidP="005540D9">
      <w:pPr>
        <w:rPr>
          <w:szCs w:val="22"/>
        </w:rPr>
      </w:pPr>
      <w:r w:rsidRPr="00297B24">
        <w:rPr>
          <w:b/>
          <w:bCs/>
          <w:szCs w:val="22"/>
        </w:rPr>
        <w:t>Estimated national R&amp;D expenditure (% of GDP):</w:t>
      </w:r>
      <w:r w:rsidRPr="00297B24">
        <w:rPr>
          <w:szCs w:val="22"/>
        </w:rPr>
        <w:t xml:space="preserve">  </w:t>
      </w:r>
    </w:p>
    <w:p w:rsidR="005540D9" w:rsidRPr="001C7FE7" w:rsidRDefault="005540D9" w:rsidP="001C7FE7"/>
    <w:p w:rsidR="005540D9" w:rsidRPr="001C7FE7" w:rsidRDefault="005540D9" w:rsidP="001C7FE7">
      <w:r w:rsidRPr="001C7FE7">
        <w:t xml:space="preserve">3 </w:t>
      </w:r>
      <w:r w:rsidR="0076212A">
        <w:t>per cent</w:t>
      </w:r>
      <w:r w:rsidRPr="001C7FE7">
        <w:t xml:space="preserve"> of GDP</w:t>
      </w:r>
    </w:p>
    <w:p w:rsidR="005540D9" w:rsidRPr="001C7FE7" w:rsidRDefault="005540D9" w:rsidP="001C7FE7"/>
    <w:p w:rsidR="005540D9" w:rsidRDefault="005540D9" w:rsidP="005540D9">
      <w:pPr>
        <w:rPr>
          <w:b/>
          <w:bCs/>
          <w:szCs w:val="22"/>
        </w:rPr>
      </w:pPr>
      <w:r w:rsidRPr="00297B24">
        <w:rPr>
          <w:b/>
          <w:bCs/>
          <w:szCs w:val="22"/>
        </w:rPr>
        <w:t xml:space="preserve">Number of research universities: </w:t>
      </w:r>
    </w:p>
    <w:p w:rsidR="005540D9" w:rsidRPr="001C7FE7" w:rsidRDefault="005540D9" w:rsidP="001C7FE7"/>
    <w:p w:rsidR="005540D9" w:rsidRPr="001C7FE7" w:rsidRDefault="005540D9" w:rsidP="001C7FE7">
      <w:r w:rsidRPr="001C7FE7">
        <w:t xml:space="preserve">14 </w:t>
      </w:r>
    </w:p>
    <w:p w:rsidR="005540D9" w:rsidRPr="001C7FE7" w:rsidRDefault="005540D9" w:rsidP="001C7FE7"/>
    <w:p w:rsidR="005540D9" w:rsidRDefault="005540D9" w:rsidP="005540D9">
      <w:pPr>
        <w:rPr>
          <w:b/>
          <w:bCs/>
          <w:szCs w:val="22"/>
        </w:rPr>
      </w:pPr>
      <w:r w:rsidRPr="00297B24">
        <w:rPr>
          <w:b/>
          <w:bCs/>
          <w:szCs w:val="22"/>
        </w:rPr>
        <w:t xml:space="preserve">Summary of national patent information network (for example patent libraries, technology and innovation support centers):  </w:t>
      </w:r>
    </w:p>
    <w:p w:rsidR="005540D9" w:rsidRPr="001C7FE7" w:rsidRDefault="005540D9" w:rsidP="001C7FE7"/>
    <w:p w:rsidR="005540D9" w:rsidRPr="001C7FE7" w:rsidRDefault="005540D9" w:rsidP="001C7FE7">
      <w:r w:rsidRPr="001C7FE7">
        <w:t>The Finnish Funding Agency for Innovation (Tekes) is a publicly funded expert organisation for financing research, development and innovation in Finland</w:t>
      </w:r>
      <w:r w:rsidR="001C7FE7">
        <w:t xml:space="preserve">.  </w:t>
      </w:r>
      <w:r w:rsidRPr="001C7FE7">
        <w:t>Tekes’s experts in different parts of Finland run regional teams, the members of which are persons specialising in invention development and commercialisation.</w:t>
      </w:r>
    </w:p>
    <w:p w:rsidR="005540D9" w:rsidRPr="001C7FE7" w:rsidRDefault="005540D9" w:rsidP="001C7FE7"/>
    <w:p w:rsidR="005540D9" w:rsidRPr="001C7FE7" w:rsidRDefault="005540D9" w:rsidP="001C7FE7">
      <w:r w:rsidRPr="001C7FE7">
        <w:t>The Centres for Economic Development, Transport and the Environment (ELY Centres) are located around the country and are responsible for the implementation and development tasks of the central government.</w:t>
      </w:r>
    </w:p>
    <w:p w:rsidR="005540D9" w:rsidRPr="001C7FE7" w:rsidRDefault="005540D9" w:rsidP="001C7FE7"/>
    <w:p w:rsidR="005540D9" w:rsidRPr="001C7FE7" w:rsidRDefault="005540D9" w:rsidP="001C7FE7">
      <w:r w:rsidRPr="001C7FE7">
        <w:t>Major universities have their own innovation support centres</w:t>
      </w:r>
      <w:r w:rsidR="001C7FE7">
        <w:t xml:space="preserve">.  </w:t>
      </w:r>
      <w:r w:rsidRPr="001C7FE7">
        <w:t>In addition, the IPR University Center, which is an institute established jointly by five Finnish universities, co-ordinates and promotes education in and research into issues of intellectual and industrial property rights.</w:t>
      </w:r>
    </w:p>
    <w:p w:rsidR="005540D9" w:rsidRPr="001C7FE7" w:rsidRDefault="005540D9" w:rsidP="001C7FE7"/>
    <w:p w:rsidR="005540D9" w:rsidRPr="001C7FE7" w:rsidRDefault="005540D9" w:rsidP="001C7FE7">
      <w:r w:rsidRPr="001C7FE7">
        <w:t>The Patent Library located in the Finnish Patent and Registration Office maintains a public book and journal collection on IP-related matters</w:t>
      </w:r>
      <w:r w:rsidR="001C7FE7">
        <w:t xml:space="preserve">.  </w:t>
      </w:r>
      <w:r w:rsidRPr="001C7FE7">
        <w:t>It also co-operates with other PatLib Centres and offers free access to patent databases.</w:t>
      </w:r>
    </w:p>
    <w:p w:rsidR="005540D9" w:rsidRPr="001C7FE7" w:rsidRDefault="005540D9" w:rsidP="001C7FE7"/>
    <w:p w:rsidR="005540D9" w:rsidRDefault="005540D9" w:rsidP="005540D9">
      <w:pPr>
        <w:rPr>
          <w:szCs w:val="22"/>
        </w:rPr>
      </w:pPr>
      <w:r w:rsidRPr="00297B24">
        <w:rPr>
          <w:b/>
          <w:bCs/>
          <w:szCs w:val="22"/>
        </w:rPr>
        <w:t>Major local industries:</w:t>
      </w:r>
      <w:r w:rsidRPr="00297B24">
        <w:rPr>
          <w:szCs w:val="22"/>
        </w:rPr>
        <w:t xml:space="preserve">  </w:t>
      </w:r>
    </w:p>
    <w:p w:rsidR="005540D9" w:rsidRPr="001C7FE7" w:rsidRDefault="005540D9" w:rsidP="001C7FE7"/>
    <w:p w:rsidR="005540D9" w:rsidRPr="001C7FE7" w:rsidRDefault="005540D9" w:rsidP="001C7FE7">
      <w:r w:rsidRPr="001C7FE7">
        <w:t xml:space="preserve">Chemical industry products, forest industry products, metal and metal products, machinery and equipment, food products, electric and electronics industry products </w:t>
      </w:r>
    </w:p>
    <w:p w:rsidR="005540D9" w:rsidRPr="001C7FE7" w:rsidRDefault="005540D9" w:rsidP="001C7FE7"/>
    <w:p w:rsidR="005540D9" w:rsidRDefault="005540D9" w:rsidP="005540D9">
      <w:pPr>
        <w:rPr>
          <w:szCs w:val="22"/>
        </w:rPr>
      </w:pPr>
      <w:r w:rsidRPr="00297B24">
        <w:rPr>
          <w:b/>
          <w:bCs/>
          <w:szCs w:val="22"/>
        </w:rPr>
        <w:t>Major trading partner States:</w:t>
      </w:r>
      <w:r w:rsidRPr="00297B24">
        <w:rPr>
          <w:szCs w:val="22"/>
        </w:rPr>
        <w:t xml:space="preserve">  </w:t>
      </w:r>
    </w:p>
    <w:p w:rsidR="005540D9" w:rsidRPr="001C7FE7" w:rsidRDefault="005540D9" w:rsidP="001C7FE7"/>
    <w:p w:rsidR="005540D9" w:rsidRPr="001C7FE7" w:rsidRDefault="005540D9" w:rsidP="001C7FE7">
      <w:r w:rsidRPr="001C7FE7">
        <w:t>Germany, Sweden, Russia, Netherlands, China, United States</w:t>
      </w:r>
    </w:p>
    <w:p w:rsidR="005540D9" w:rsidRPr="001C7FE7" w:rsidRDefault="005540D9" w:rsidP="001C7FE7"/>
    <w:p w:rsidR="005540D9" w:rsidRDefault="005540D9" w:rsidP="005540D9">
      <w:pPr>
        <w:rPr>
          <w:szCs w:val="22"/>
        </w:rPr>
      </w:pPr>
      <w:r w:rsidRPr="00297B24">
        <w:rPr>
          <w:b/>
          <w:bCs/>
          <w:szCs w:val="22"/>
        </w:rPr>
        <w:t>Other key information:</w:t>
      </w:r>
    </w:p>
    <w:p w:rsidR="005540D9" w:rsidRPr="001C7FE7" w:rsidRDefault="005540D9" w:rsidP="001C7FE7"/>
    <w:p w:rsidR="005540D9" w:rsidRPr="001C7FE7" w:rsidRDefault="005540D9" w:rsidP="001C7FE7">
      <w:r w:rsidRPr="001C7FE7">
        <w:t>A decision on a national strategy concerning intellectual property rights (IPR strategy) was issued by a Government Resolution on 26 March 2009</w:t>
      </w:r>
      <w:r w:rsidR="001C7FE7">
        <w:t xml:space="preserve">.  </w:t>
      </w:r>
      <w:r w:rsidRPr="001C7FE7">
        <w:t>In the 2011 Government Program, a decision was made to continue with the implementation of the IPR strategy, and to reform the action plan included in the strategy on the basis of the changes that had taken place in the operating environment and Government priorities.</w:t>
      </w:r>
    </w:p>
    <w:p w:rsidR="005540D9" w:rsidRPr="001C7FE7" w:rsidRDefault="005540D9" w:rsidP="001C7FE7"/>
    <w:p w:rsidR="005540D9" w:rsidRPr="001C7FE7" w:rsidRDefault="005540D9" w:rsidP="001C7FE7">
      <w:r w:rsidRPr="001C7FE7">
        <w:t>In April 2014, a Government Resolution on a policy programme (2014-2020) on intangible value creation was published</w:t>
      </w:r>
      <w:r w:rsidR="001C7FE7">
        <w:t xml:space="preserve">.  </w:t>
      </w:r>
      <w:r w:rsidRPr="001C7FE7">
        <w:t>It brings together central updated policy measures of the national strategy concerning intellectual property rights, key policy measures promoting business and entrepreneurship in the creative industries, and the updated national design programme.</w:t>
      </w:r>
    </w:p>
    <w:p w:rsidR="005540D9" w:rsidRPr="001C7FE7" w:rsidRDefault="005540D9" w:rsidP="001C7FE7"/>
    <w:p w:rsidR="005540D9" w:rsidRPr="001C7FE7" w:rsidRDefault="005540D9" w:rsidP="001C7FE7">
      <w:r w:rsidRPr="001C7FE7">
        <w:t>The objective of the policy programme for intangible value creation is to enhance the prerequisites for intangible investments, strengthen the expertise related to the utilisation of intellectual capital and intangible value creation, and to promote the development of innovation-based business in Finland.</w:t>
      </w:r>
    </w:p>
    <w:p w:rsidR="005540D9" w:rsidRPr="001C7FE7" w:rsidRDefault="005540D9" w:rsidP="001C7FE7"/>
    <w:p w:rsidR="005540D9" w:rsidRPr="001C7FE7" w:rsidRDefault="005540D9" w:rsidP="001C7FE7">
      <w:r w:rsidRPr="001C7FE7">
        <w:t>The policy programme for intangible value creation will be used to guide the work of government organisations within the framework of the budgets of the branches within the administration in question.</w:t>
      </w:r>
    </w:p>
    <w:p w:rsidR="005540D9" w:rsidRPr="00160A03" w:rsidRDefault="005540D9" w:rsidP="005540D9">
      <w:pPr>
        <w:pStyle w:val="SectionHeading"/>
      </w:pPr>
      <w:r w:rsidRPr="00160A03">
        <w:t>6 – Profile of Patent Applications</w:t>
      </w:r>
    </w:p>
    <w:p w:rsidR="005540D9" w:rsidRPr="00297B24" w:rsidRDefault="005540D9" w:rsidP="005540D9">
      <w:pPr>
        <w:rPr>
          <w:b/>
          <w:bCs/>
          <w:szCs w:val="22"/>
        </w:rPr>
      </w:pPr>
      <w:r w:rsidRPr="00297B24">
        <w:rPr>
          <w:b/>
          <w:bCs/>
          <w:szCs w:val="22"/>
        </w:rPr>
        <w:t>Number of national applications received – by technical field</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5540D9" w:rsidRPr="00C660D6" w:rsidTr="00B43AC6">
        <w:trPr>
          <w:cantSplit/>
        </w:trPr>
        <w:tc>
          <w:tcPr>
            <w:tcW w:w="2518" w:type="dxa"/>
            <w:tcBorders>
              <w:tl2br w:val="single" w:sz="4" w:space="0" w:color="auto"/>
            </w:tcBorders>
            <w:shd w:val="clear" w:color="auto" w:fill="auto"/>
          </w:tcPr>
          <w:p w:rsidR="005540D9" w:rsidRPr="00C660D6" w:rsidRDefault="005540D9" w:rsidP="00B43AC6">
            <w:pPr>
              <w:jc w:val="right"/>
              <w:rPr>
                <w:b/>
                <w:bCs/>
                <w:szCs w:val="22"/>
              </w:rPr>
            </w:pPr>
          </w:p>
          <w:p w:rsidR="005540D9" w:rsidRPr="00C660D6" w:rsidRDefault="005540D9" w:rsidP="00B43AC6">
            <w:pPr>
              <w:jc w:val="right"/>
              <w:rPr>
                <w:b/>
                <w:bCs/>
                <w:szCs w:val="22"/>
              </w:rPr>
            </w:pPr>
            <w:r w:rsidRPr="00C660D6">
              <w:rPr>
                <w:b/>
                <w:bCs/>
                <w:szCs w:val="22"/>
              </w:rPr>
              <w:t>Year</w:t>
            </w:r>
          </w:p>
          <w:p w:rsidR="005540D9" w:rsidRPr="00C660D6" w:rsidRDefault="005540D9" w:rsidP="00B43AC6">
            <w:pPr>
              <w:rPr>
                <w:b/>
                <w:bCs/>
                <w:szCs w:val="22"/>
              </w:rPr>
            </w:pPr>
            <w:r w:rsidRPr="00C660D6">
              <w:rPr>
                <w:b/>
                <w:bCs/>
                <w:szCs w:val="22"/>
              </w:rPr>
              <w:t>Technical Field</w:t>
            </w:r>
          </w:p>
        </w:tc>
        <w:tc>
          <w:tcPr>
            <w:tcW w:w="1360" w:type="dxa"/>
            <w:shd w:val="clear" w:color="auto" w:fill="auto"/>
            <w:vAlign w:val="center"/>
          </w:tcPr>
          <w:p w:rsidR="005540D9" w:rsidRPr="00C660D6" w:rsidRDefault="005540D9" w:rsidP="00B43AC6">
            <w:pPr>
              <w:jc w:val="center"/>
              <w:rPr>
                <w:szCs w:val="22"/>
              </w:rPr>
            </w:pPr>
            <w:r>
              <w:rPr>
                <w:szCs w:val="22"/>
              </w:rPr>
              <w:t>2012</w:t>
            </w:r>
          </w:p>
        </w:tc>
        <w:tc>
          <w:tcPr>
            <w:tcW w:w="1361" w:type="dxa"/>
            <w:shd w:val="clear" w:color="auto" w:fill="auto"/>
            <w:vAlign w:val="center"/>
          </w:tcPr>
          <w:p w:rsidR="005540D9" w:rsidRPr="00C660D6" w:rsidRDefault="005540D9" w:rsidP="00B43AC6">
            <w:pPr>
              <w:jc w:val="center"/>
              <w:rPr>
                <w:szCs w:val="22"/>
              </w:rPr>
            </w:pPr>
            <w:r>
              <w:rPr>
                <w:szCs w:val="22"/>
              </w:rPr>
              <w:t>2013</w:t>
            </w:r>
          </w:p>
        </w:tc>
        <w:tc>
          <w:tcPr>
            <w:tcW w:w="1361" w:type="dxa"/>
            <w:shd w:val="clear" w:color="auto" w:fill="auto"/>
            <w:vAlign w:val="center"/>
          </w:tcPr>
          <w:p w:rsidR="005540D9" w:rsidRPr="00C660D6" w:rsidRDefault="005540D9" w:rsidP="00B43AC6">
            <w:pPr>
              <w:jc w:val="center"/>
              <w:rPr>
                <w:szCs w:val="22"/>
              </w:rPr>
            </w:pPr>
            <w:r>
              <w:rPr>
                <w:szCs w:val="22"/>
              </w:rPr>
              <w:t>2014</w:t>
            </w:r>
          </w:p>
        </w:tc>
        <w:tc>
          <w:tcPr>
            <w:tcW w:w="1361" w:type="dxa"/>
            <w:shd w:val="clear" w:color="auto" w:fill="auto"/>
            <w:vAlign w:val="center"/>
          </w:tcPr>
          <w:p w:rsidR="005540D9" w:rsidRPr="00C660D6" w:rsidRDefault="005540D9" w:rsidP="00B43AC6">
            <w:pPr>
              <w:jc w:val="center"/>
              <w:rPr>
                <w:szCs w:val="22"/>
              </w:rPr>
            </w:pPr>
            <w:r>
              <w:rPr>
                <w:szCs w:val="22"/>
              </w:rPr>
              <w:t>2015</w:t>
            </w:r>
          </w:p>
        </w:tc>
        <w:tc>
          <w:tcPr>
            <w:tcW w:w="1361" w:type="dxa"/>
            <w:shd w:val="clear" w:color="auto" w:fill="auto"/>
            <w:vAlign w:val="center"/>
          </w:tcPr>
          <w:p w:rsidR="005540D9" w:rsidRPr="00C660D6" w:rsidRDefault="005540D9" w:rsidP="00B43AC6">
            <w:pPr>
              <w:jc w:val="center"/>
              <w:rPr>
                <w:szCs w:val="22"/>
              </w:rPr>
            </w:pPr>
            <w:r>
              <w:rPr>
                <w:szCs w:val="22"/>
              </w:rPr>
              <w:t>2016</w:t>
            </w:r>
          </w:p>
        </w:tc>
      </w:tr>
      <w:tr w:rsidR="005540D9" w:rsidRPr="00C660D6" w:rsidTr="00B43AC6">
        <w:trPr>
          <w:cantSplit/>
        </w:trPr>
        <w:tc>
          <w:tcPr>
            <w:tcW w:w="2518" w:type="dxa"/>
            <w:shd w:val="clear" w:color="auto" w:fill="auto"/>
          </w:tcPr>
          <w:p w:rsidR="005540D9" w:rsidRPr="00C660D6" w:rsidRDefault="005540D9" w:rsidP="00B43AC6">
            <w:pPr>
              <w:rPr>
                <w:szCs w:val="22"/>
              </w:rPr>
            </w:pPr>
            <w:r w:rsidRPr="00C660D6">
              <w:rPr>
                <w:szCs w:val="22"/>
              </w:rPr>
              <w:t>Mechanical</w:t>
            </w:r>
          </w:p>
        </w:tc>
        <w:tc>
          <w:tcPr>
            <w:tcW w:w="1360" w:type="dxa"/>
            <w:shd w:val="clear" w:color="auto" w:fill="auto"/>
          </w:tcPr>
          <w:p w:rsidR="005540D9" w:rsidRPr="001C7FE7" w:rsidRDefault="005540D9" w:rsidP="001C7FE7">
            <w:pPr>
              <w:ind w:right="260"/>
              <w:jc w:val="right"/>
            </w:pPr>
            <w:r w:rsidRPr="001C7FE7">
              <w:t>841</w:t>
            </w:r>
          </w:p>
        </w:tc>
        <w:tc>
          <w:tcPr>
            <w:tcW w:w="1361" w:type="dxa"/>
            <w:shd w:val="clear" w:color="auto" w:fill="auto"/>
          </w:tcPr>
          <w:p w:rsidR="005540D9" w:rsidRPr="001C7FE7" w:rsidRDefault="005540D9" w:rsidP="001C7FE7">
            <w:pPr>
              <w:ind w:right="260"/>
              <w:jc w:val="right"/>
            </w:pPr>
            <w:r w:rsidRPr="001C7FE7">
              <w:t>731</w:t>
            </w:r>
          </w:p>
        </w:tc>
        <w:tc>
          <w:tcPr>
            <w:tcW w:w="1361" w:type="dxa"/>
            <w:shd w:val="clear" w:color="auto" w:fill="auto"/>
          </w:tcPr>
          <w:p w:rsidR="005540D9" w:rsidRPr="001C7FE7" w:rsidRDefault="005540D9" w:rsidP="001C7FE7">
            <w:pPr>
              <w:ind w:right="260"/>
              <w:jc w:val="right"/>
            </w:pPr>
            <w:r w:rsidRPr="001C7FE7">
              <w:t>706</w:t>
            </w:r>
          </w:p>
        </w:tc>
        <w:tc>
          <w:tcPr>
            <w:tcW w:w="1361" w:type="dxa"/>
            <w:shd w:val="clear" w:color="auto" w:fill="auto"/>
          </w:tcPr>
          <w:p w:rsidR="005540D9" w:rsidRPr="001C7FE7" w:rsidRDefault="005540D9" w:rsidP="001C7FE7">
            <w:pPr>
              <w:ind w:right="260"/>
              <w:jc w:val="right"/>
            </w:pPr>
            <w:r w:rsidRPr="001C7FE7">
              <w:t>674</w:t>
            </w:r>
          </w:p>
        </w:tc>
        <w:tc>
          <w:tcPr>
            <w:tcW w:w="1361" w:type="dxa"/>
            <w:shd w:val="clear" w:color="auto" w:fill="auto"/>
          </w:tcPr>
          <w:p w:rsidR="005540D9" w:rsidRPr="001C7FE7" w:rsidRDefault="005540D9" w:rsidP="001C7FE7">
            <w:pPr>
              <w:ind w:right="260"/>
              <w:jc w:val="right"/>
            </w:pPr>
            <w:r w:rsidRPr="001C7FE7">
              <w:t>623</w:t>
            </w:r>
          </w:p>
        </w:tc>
      </w:tr>
      <w:tr w:rsidR="005540D9" w:rsidRPr="00C660D6" w:rsidTr="00B43AC6">
        <w:trPr>
          <w:cantSplit/>
        </w:trPr>
        <w:tc>
          <w:tcPr>
            <w:tcW w:w="2518" w:type="dxa"/>
            <w:shd w:val="clear" w:color="auto" w:fill="auto"/>
          </w:tcPr>
          <w:p w:rsidR="005540D9" w:rsidRPr="00C660D6" w:rsidRDefault="005540D9" w:rsidP="00B43AC6">
            <w:pPr>
              <w:rPr>
                <w:szCs w:val="22"/>
              </w:rPr>
            </w:pPr>
            <w:r w:rsidRPr="00C660D6">
              <w:rPr>
                <w:szCs w:val="22"/>
              </w:rPr>
              <w:t>Electrical/electronic</w:t>
            </w:r>
          </w:p>
        </w:tc>
        <w:tc>
          <w:tcPr>
            <w:tcW w:w="1360" w:type="dxa"/>
            <w:shd w:val="clear" w:color="auto" w:fill="auto"/>
          </w:tcPr>
          <w:p w:rsidR="005540D9" w:rsidRPr="001C7FE7" w:rsidRDefault="005540D9" w:rsidP="001C7FE7">
            <w:pPr>
              <w:ind w:right="260"/>
              <w:jc w:val="right"/>
            </w:pPr>
            <w:r w:rsidRPr="001C7FE7">
              <w:t>409</w:t>
            </w:r>
          </w:p>
        </w:tc>
        <w:tc>
          <w:tcPr>
            <w:tcW w:w="1361" w:type="dxa"/>
            <w:shd w:val="clear" w:color="auto" w:fill="auto"/>
          </w:tcPr>
          <w:p w:rsidR="005540D9" w:rsidRPr="001C7FE7" w:rsidRDefault="005540D9" w:rsidP="001C7FE7">
            <w:pPr>
              <w:ind w:right="260"/>
              <w:jc w:val="right"/>
            </w:pPr>
            <w:r w:rsidRPr="001C7FE7">
              <w:t>444</w:t>
            </w:r>
          </w:p>
        </w:tc>
        <w:tc>
          <w:tcPr>
            <w:tcW w:w="1361" w:type="dxa"/>
            <w:shd w:val="clear" w:color="auto" w:fill="auto"/>
          </w:tcPr>
          <w:p w:rsidR="005540D9" w:rsidRPr="001C7FE7" w:rsidRDefault="005540D9" w:rsidP="001C7FE7">
            <w:pPr>
              <w:ind w:right="260"/>
              <w:jc w:val="right"/>
            </w:pPr>
            <w:r w:rsidRPr="001C7FE7">
              <w:t>371</w:t>
            </w:r>
          </w:p>
        </w:tc>
        <w:tc>
          <w:tcPr>
            <w:tcW w:w="1361" w:type="dxa"/>
            <w:shd w:val="clear" w:color="auto" w:fill="auto"/>
          </w:tcPr>
          <w:p w:rsidR="005540D9" w:rsidRPr="001C7FE7" w:rsidRDefault="005540D9" w:rsidP="001C7FE7">
            <w:pPr>
              <w:ind w:right="260"/>
              <w:jc w:val="right"/>
            </w:pPr>
            <w:r w:rsidRPr="001C7FE7">
              <w:t>318</w:t>
            </w:r>
          </w:p>
        </w:tc>
        <w:tc>
          <w:tcPr>
            <w:tcW w:w="1361" w:type="dxa"/>
            <w:shd w:val="clear" w:color="auto" w:fill="auto"/>
          </w:tcPr>
          <w:p w:rsidR="005540D9" w:rsidRPr="001C7FE7" w:rsidRDefault="005540D9" w:rsidP="001C7FE7">
            <w:pPr>
              <w:ind w:right="260"/>
              <w:jc w:val="right"/>
            </w:pPr>
            <w:r w:rsidRPr="001C7FE7">
              <w:t>346</w:t>
            </w:r>
          </w:p>
        </w:tc>
      </w:tr>
      <w:tr w:rsidR="005540D9" w:rsidRPr="00C660D6" w:rsidTr="00B43AC6">
        <w:trPr>
          <w:cantSplit/>
        </w:trPr>
        <w:tc>
          <w:tcPr>
            <w:tcW w:w="2518" w:type="dxa"/>
            <w:shd w:val="clear" w:color="auto" w:fill="auto"/>
          </w:tcPr>
          <w:p w:rsidR="005540D9" w:rsidRPr="00C660D6" w:rsidRDefault="005540D9" w:rsidP="00B43AC6">
            <w:pPr>
              <w:rPr>
                <w:szCs w:val="22"/>
              </w:rPr>
            </w:pPr>
            <w:r w:rsidRPr="00C660D6">
              <w:rPr>
                <w:szCs w:val="22"/>
              </w:rPr>
              <w:t>Chemistry</w:t>
            </w:r>
          </w:p>
        </w:tc>
        <w:tc>
          <w:tcPr>
            <w:tcW w:w="1360" w:type="dxa"/>
            <w:shd w:val="clear" w:color="auto" w:fill="auto"/>
          </w:tcPr>
          <w:p w:rsidR="005540D9" w:rsidRPr="001C7FE7" w:rsidRDefault="005540D9" w:rsidP="001C7FE7">
            <w:pPr>
              <w:ind w:right="260"/>
              <w:jc w:val="right"/>
            </w:pPr>
            <w:r w:rsidRPr="001C7FE7">
              <w:t>447</w:t>
            </w:r>
          </w:p>
        </w:tc>
        <w:tc>
          <w:tcPr>
            <w:tcW w:w="1361" w:type="dxa"/>
            <w:shd w:val="clear" w:color="auto" w:fill="auto"/>
          </w:tcPr>
          <w:p w:rsidR="005540D9" w:rsidRPr="001C7FE7" w:rsidRDefault="005540D9" w:rsidP="001C7FE7">
            <w:pPr>
              <w:ind w:right="260"/>
              <w:jc w:val="right"/>
            </w:pPr>
            <w:r w:rsidRPr="001C7FE7">
              <w:t>415</w:t>
            </w:r>
          </w:p>
        </w:tc>
        <w:tc>
          <w:tcPr>
            <w:tcW w:w="1361" w:type="dxa"/>
            <w:shd w:val="clear" w:color="auto" w:fill="auto"/>
          </w:tcPr>
          <w:p w:rsidR="005540D9" w:rsidRPr="001C7FE7" w:rsidRDefault="005540D9" w:rsidP="001C7FE7">
            <w:pPr>
              <w:ind w:right="260"/>
              <w:jc w:val="right"/>
            </w:pPr>
            <w:r w:rsidRPr="001C7FE7">
              <w:t>362</w:t>
            </w:r>
          </w:p>
        </w:tc>
        <w:tc>
          <w:tcPr>
            <w:tcW w:w="1361" w:type="dxa"/>
            <w:shd w:val="clear" w:color="auto" w:fill="auto"/>
          </w:tcPr>
          <w:p w:rsidR="005540D9" w:rsidRPr="001C7FE7" w:rsidRDefault="005540D9" w:rsidP="001C7FE7">
            <w:pPr>
              <w:ind w:right="260"/>
              <w:jc w:val="right"/>
            </w:pPr>
            <w:r w:rsidRPr="001C7FE7">
              <w:t>334</w:t>
            </w:r>
          </w:p>
        </w:tc>
        <w:tc>
          <w:tcPr>
            <w:tcW w:w="1361" w:type="dxa"/>
            <w:shd w:val="clear" w:color="auto" w:fill="auto"/>
          </w:tcPr>
          <w:p w:rsidR="005540D9" w:rsidRPr="001C7FE7" w:rsidRDefault="005540D9" w:rsidP="001C7FE7">
            <w:pPr>
              <w:ind w:right="260"/>
              <w:jc w:val="right"/>
            </w:pPr>
            <w:r w:rsidRPr="001C7FE7">
              <w:t>309</w:t>
            </w:r>
          </w:p>
        </w:tc>
      </w:tr>
      <w:tr w:rsidR="005540D9" w:rsidRPr="00C660D6" w:rsidTr="00B43AC6">
        <w:trPr>
          <w:cantSplit/>
        </w:trPr>
        <w:tc>
          <w:tcPr>
            <w:tcW w:w="2518" w:type="dxa"/>
            <w:shd w:val="clear" w:color="auto" w:fill="auto"/>
          </w:tcPr>
          <w:p w:rsidR="005540D9" w:rsidRPr="00C660D6" w:rsidRDefault="005540D9" w:rsidP="00B43AC6">
            <w:pPr>
              <w:rPr>
                <w:szCs w:val="22"/>
              </w:rPr>
            </w:pPr>
            <w:r w:rsidRPr="00C660D6">
              <w:rPr>
                <w:szCs w:val="22"/>
              </w:rPr>
              <w:t>Biotech</w:t>
            </w:r>
          </w:p>
        </w:tc>
        <w:tc>
          <w:tcPr>
            <w:tcW w:w="1360" w:type="dxa"/>
            <w:shd w:val="clear" w:color="auto" w:fill="auto"/>
          </w:tcPr>
          <w:p w:rsidR="005540D9" w:rsidRPr="001C7FE7" w:rsidRDefault="005540D9" w:rsidP="001C7FE7">
            <w:pPr>
              <w:ind w:right="260"/>
              <w:jc w:val="right"/>
            </w:pPr>
            <w:r w:rsidRPr="001C7FE7">
              <w:t>130</w:t>
            </w:r>
          </w:p>
        </w:tc>
        <w:tc>
          <w:tcPr>
            <w:tcW w:w="1361" w:type="dxa"/>
            <w:shd w:val="clear" w:color="auto" w:fill="auto"/>
          </w:tcPr>
          <w:p w:rsidR="005540D9" w:rsidRPr="001C7FE7" w:rsidRDefault="005540D9" w:rsidP="001C7FE7">
            <w:pPr>
              <w:ind w:right="260"/>
              <w:jc w:val="right"/>
            </w:pPr>
            <w:r w:rsidRPr="001C7FE7">
              <w:t>147</w:t>
            </w:r>
          </w:p>
        </w:tc>
        <w:tc>
          <w:tcPr>
            <w:tcW w:w="1361" w:type="dxa"/>
            <w:shd w:val="clear" w:color="auto" w:fill="auto"/>
          </w:tcPr>
          <w:p w:rsidR="005540D9" w:rsidRPr="001C7FE7" w:rsidRDefault="005540D9" w:rsidP="001C7FE7">
            <w:pPr>
              <w:ind w:right="260"/>
              <w:jc w:val="right"/>
            </w:pPr>
            <w:r w:rsidRPr="001C7FE7">
              <w:t>106</w:t>
            </w:r>
          </w:p>
        </w:tc>
        <w:tc>
          <w:tcPr>
            <w:tcW w:w="1361" w:type="dxa"/>
            <w:shd w:val="clear" w:color="auto" w:fill="auto"/>
          </w:tcPr>
          <w:p w:rsidR="005540D9" w:rsidRPr="001C7FE7" w:rsidRDefault="005540D9" w:rsidP="001C7FE7">
            <w:pPr>
              <w:ind w:right="260"/>
              <w:jc w:val="right"/>
            </w:pPr>
            <w:r w:rsidRPr="001C7FE7">
              <w:t>90</w:t>
            </w:r>
          </w:p>
        </w:tc>
        <w:tc>
          <w:tcPr>
            <w:tcW w:w="1361" w:type="dxa"/>
            <w:shd w:val="clear" w:color="auto" w:fill="auto"/>
          </w:tcPr>
          <w:p w:rsidR="005540D9" w:rsidRPr="001C7FE7" w:rsidRDefault="005540D9" w:rsidP="001C7FE7">
            <w:pPr>
              <w:ind w:right="260"/>
              <w:jc w:val="right"/>
            </w:pPr>
            <w:r w:rsidRPr="001C7FE7">
              <w:t>90</w:t>
            </w:r>
          </w:p>
        </w:tc>
      </w:tr>
      <w:tr w:rsidR="005540D9" w:rsidRPr="00C660D6" w:rsidTr="00B43AC6">
        <w:trPr>
          <w:cantSplit/>
        </w:trPr>
        <w:tc>
          <w:tcPr>
            <w:tcW w:w="2518" w:type="dxa"/>
            <w:shd w:val="clear" w:color="auto" w:fill="auto"/>
          </w:tcPr>
          <w:p w:rsidR="005540D9" w:rsidRPr="00C660D6" w:rsidRDefault="005540D9" w:rsidP="00B43AC6">
            <w:pPr>
              <w:rPr>
                <w:i/>
                <w:iCs/>
                <w:szCs w:val="22"/>
              </w:rPr>
            </w:pPr>
            <w:r w:rsidRPr="00C660D6">
              <w:rPr>
                <w:i/>
                <w:iCs/>
                <w:szCs w:val="22"/>
              </w:rPr>
              <w:t>Total</w:t>
            </w:r>
          </w:p>
        </w:tc>
        <w:tc>
          <w:tcPr>
            <w:tcW w:w="1360" w:type="dxa"/>
            <w:shd w:val="clear" w:color="auto" w:fill="auto"/>
          </w:tcPr>
          <w:p w:rsidR="005540D9" w:rsidRPr="001C7FE7" w:rsidRDefault="005540D9" w:rsidP="001C7FE7">
            <w:pPr>
              <w:ind w:right="260"/>
              <w:jc w:val="right"/>
            </w:pPr>
            <w:r w:rsidRPr="001C7FE7">
              <w:t>1</w:t>
            </w:r>
            <w:r w:rsidR="0076212A">
              <w:t>,</w:t>
            </w:r>
            <w:r w:rsidRPr="001C7FE7">
              <w:t>827</w:t>
            </w:r>
          </w:p>
        </w:tc>
        <w:tc>
          <w:tcPr>
            <w:tcW w:w="1361" w:type="dxa"/>
            <w:shd w:val="clear" w:color="auto" w:fill="auto"/>
          </w:tcPr>
          <w:p w:rsidR="005540D9" w:rsidRPr="001C7FE7" w:rsidRDefault="005540D9" w:rsidP="001C7FE7">
            <w:pPr>
              <w:ind w:right="260"/>
              <w:jc w:val="right"/>
            </w:pPr>
            <w:r w:rsidRPr="001C7FE7">
              <w:t>1</w:t>
            </w:r>
            <w:r w:rsidR="0076212A">
              <w:t>,</w:t>
            </w:r>
            <w:r w:rsidRPr="001C7FE7">
              <w:t>737</w:t>
            </w:r>
          </w:p>
        </w:tc>
        <w:tc>
          <w:tcPr>
            <w:tcW w:w="1361" w:type="dxa"/>
            <w:shd w:val="clear" w:color="auto" w:fill="auto"/>
          </w:tcPr>
          <w:p w:rsidR="005540D9" w:rsidRPr="001C7FE7" w:rsidRDefault="005540D9" w:rsidP="001C7FE7">
            <w:pPr>
              <w:ind w:right="260"/>
              <w:jc w:val="right"/>
            </w:pPr>
            <w:r w:rsidRPr="001C7FE7">
              <w:t>1</w:t>
            </w:r>
            <w:r w:rsidR="0076212A">
              <w:t>,</w:t>
            </w:r>
            <w:r w:rsidRPr="001C7FE7">
              <w:t>545</w:t>
            </w:r>
          </w:p>
        </w:tc>
        <w:tc>
          <w:tcPr>
            <w:tcW w:w="1361" w:type="dxa"/>
            <w:shd w:val="clear" w:color="auto" w:fill="auto"/>
          </w:tcPr>
          <w:p w:rsidR="005540D9" w:rsidRPr="001C7FE7" w:rsidRDefault="005540D9" w:rsidP="001C7FE7">
            <w:pPr>
              <w:ind w:right="260"/>
              <w:jc w:val="right"/>
            </w:pPr>
            <w:r w:rsidRPr="001C7FE7">
              <w:t>1</w:t>
            </w:r>
            <w:r w:rsidR="0076212A">
              <w:t>,</w:t>
            </w:r>
            <w:r w:rsidRPr="001C7FE7">
              <w:t>416</w:t>
            </w:r>
          </w:p>
        </w:tc>
        <w:tc>
          <w:tcPr>
            <w:tcW w:w="1361" w:type="dxa"/>
            <w:shd w:val="clear" w:color="auto" w:fill="auto"/>
          </w:tcPr>
          <w:p w:rsidR="005540D9" w:rsidRPr="001C7FE7" w:rsidRDefault="005540D9" w:rsidP="001C7FE7">
            <w:pPr>
              <w:ind w:right="260"/>
              <w:jc w:val="right"/>
            </w:pPr>
            <w:r w:rsidRPr="001C7FE7">
              <w:t>1</w:t>
            </w:r>
            <w:r w:rsidR="0076212A">
              <w:t>,</w:t>
            </w:r>
            <w:r w:rsidRPr="001C7FE7">
              <w:t>368</w:t>
            </w:r>
          </w:p>
        </w:tc>
      </w:tr>
    </w:tbl>
    <w:p w:rsidR="005540D9" w:rsidRPr="00297B24" w:rsidRDefault="005540D9" w:rsidP="005540D9">
      <w:pPr>
        <w:rPr>
          <w:szCs w:val="22"/>
        </w:rPr>
      </w:pPr>
    </w:p>
    <w:p w:rsidR="005540D9" w:rsidRPr="00297B24" w:rsidRDefault="005540D9" w:rsidP="005540D9">
      <w:pPr>
        <w:rPr>
          <w:b/>
          <w:bCs/>
          <w:szCs w:val="22"/>
        </w:rPr>
      </w:pPr>
      <w:r w:rsidRPr="00297B24">
        <w:rPr>
          <w:b/>
          <w:bCs/>
          <w:szCs w:val="22"/>
        </w:rPr>
        <w:t>Number of national applications received – by route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5540D9" w:rsidRPr="00C660D6" w:rsidTr="00B43AC6">
        <w:trPr>
          <w:cantSplit/>
        </w:trPr>
        <w:tc>
          <w:tcPr>
            <w:tcW w:w="2518" w:type="dxa"/>
            <w:tcBorders>
              <w:tl2br w:val="single" w:sz="4" w:space="0" w:color="auto"/>
            </w:tcBorders>
            <w:shd w:val="clear" w:color="auto" w:fill="auto"/>
          </w:tcPr>
          <w:p w:rsidR="005540D9" w:rsidRPr="00C660D6" w:rsidRDefault="005540D9" w:rsidP="00B43AC6">
            <w:pPr>
              <w:jc w:val="right"/>
              <w:rPr>
                <w:b/>
                <w:bCs/>
                <w:szCs w:val="22"/>
              </w:rPr>
            </w:pPr>
          </w:p>
          <w:p w:rsidR="005540D9" w:rsidRPr="00C660D6" w:rsidRDefault="005540D9" w:rsidP="00B43AC6">
            <w:pPr>
              <w:jc w:val="right"/>
              <w:rPr>
                <w:b/>
                <w:bCs/>
                <w:szCs w:val="22"/>
              </w:rPr>
            </w:pPr>
            <w:r w:rsidRPr="00C660D6">
              <w:rPr>
                <w:b/>
                <w:bCs/>
                <w:szCs w:val="22"/>
              </w:rPr>
              <w:t>Year</w:t>
            </w:r>
          </w:p>
          <w:p w:rsidR="005540D9" w:rsidRPr="00C660D6" w:rsidRDefault="005540D9" w:rsidP="00B43AC6">
            <w:pPr>
              <w:rPr>
                <w:b/>
                <w:bCs/>
                <w:szCs w:val="22"/>
              </w:rPr>
            </w:pPr>
            <w:r w:rsidRPr="00C660D6">
              <w:rPr>
                <w:b/>
                <w:bCs/>
                <w:szCs w:val="22"/>
              </w:rPr>
              <w:t>Route</w:t>
            </w:r>
          </w:p>
        </w:tc>
        <w:tc>
          <w:tcPr>
            <w:tcW w:w="1360" w:type="dxa"/>
            <w:shd w:val="clear" w:color="auto" w:fill="auto"/>
            <w:vAlign w:val="center"/>
          </w:tcPr>
          <w:p w:rsidR="005540D9" w:rsidRPr="00C660D6" w:rsidRDefault="005540D9" w:rsidP="00B43AC6">
            <w:pPr>
              <w:jc w:val="center"/>
              <w:rPr>
                <w:szCs w:val="22"/>
              </w:rPr>
            </w:pPr>
            <w:r>
              <w:rPr>
                <w:szCs w:val="22"/>
              </w:rPr>
              <w:t>2012</w:t>
            </w:r>
          </w:p>
        </w:tc>
        <w:tc>
          <w:tcPr>
            <w:tcW w:w="1361" w:type="dxa"/>
            <w:shd w:val="clear" w:color="auto" w:fill="auto"/>
            <w:vAlign w:val="center"/>
          </w:tcPr>
          <w:p w:rsidR="005540D9" w:rsidRPr="00C660D6" w:rsidRDefault="005540D9" w:rsidP="00B43AC6">
            <w:pPr>
              <w:jc w:val="center"/>
              <w:rPr>
                <w:szCs w:val="22"/>
              </w:rPr>
            </w:pPr>
            <w:r>
              <w:rPr>
                <w:szCs w:val="22"/>
              </w:rPr>
              <w:t>2013</w:t>
            </w:r>
          </w:p>
        </w:tc>
        <w:tc>
          <w:tcPr>
            <w:tcW w:w="1361" w:type="dxa"/>
            <w:shd w:val="clear" w:color="auto" w:fill="auto"/>
            <w:vAlign w:val="center"/>
          </w:tcPr>
          <w:p w:rsidR="005540D9" w:rsidRPr="00C660D6" w:rsidRDefault="005540D9" w:rsidP="00B43AC6">
            <w:pPr>
              <w:jc w:val="center"/>
              <w:rPr>
                <w:szCs w:val="22"/>
              </w:rPr>
            </w:pPr>
            <w:r>
              <w:rPr>
                <w:szCs w:val="22"/>
              </w:rPr>
              <w:t>2014</w:t>
            </w:r>
          </w:p>
        </w:tc>
        <w:tc>
          <w:tcPr>
            <w:tcW w:w="1361" w:type="dxa"/>
            <w:shd w:val="clear" w:color="auto" w:fill="auto"/>
            <w:vAlign w:val="center"/>
          </w:tcPr>
          <w:p w:rsidR="005540D9" w:rsidRPr="00C660D6" w:rsidRDefault="005540D9" w:rsidP="00B43AC6">
            <w:pPr>
              <w:jc w:val="center"/>
              <w:rPr>
                <w:szCs w:val="22"/>
              </w:rPr>
            </w:pPr>
            <w:r>
              <w:rPr>
                <w:szCs w:val="22"/>
              </w:rPr>
              <w:t>2015</w:t>
            </w:r>
          </w:p>
        </w:tc>
        <w:tc>
          <w:tcPr>
            <w:tcW w:w="1361" w:type="dxa"/>
            <w:shd w:val="clear" w:color="auto" w:fill="auto"/>
            <w:vAlign w:val="center"/>
          </w:tcPr>
          <w:p w:rsidR="005540D9" w:rsidRPr="00C660D6" w:rsidRDefault="005540D9" w:rsidP="00B43AC6">
            <w:pPr>
              <w:jc w:val="center"/>
              <w:rPr>
                <w:szCs w:val="22"/>
              </w:rPr>
            </w:pPr>
            <w:r>
              <w:rPr>
                <w:szCs w:val="22"/>
              </w:rPr>
              <w:t>2016</w:t>
            </w:r>
          </w:p>
        </w:tc>
      </w:tr>
      <w:tr w:rsidR="005540D9" w:rsidRPr="00C660D6" w:rsidTr="00B43AC6">
        <w:trPr>
          <w:cantSplit/>
        </w:trPr>
        <w:tc>
          <w:tcPr>
            <w:tcW w:w="2518" w:type="dxa"/>
            <w:shd w:val="clear" w:color="auto" w:fill="auto"/>
          </w:tcPr>
          <w:p w:rsidR="005540D9" w:rsidRPr="00C660D6" w:rsidRDefault="005540D9" w:rsidP="00B43AC6">
            <w:pPr>
              <w:rPr>
                <w:szCs w:val="22"/>
              </w:rPr>
            </w:pPr>
            <w:r w:rsidRPr="00C660D6">
              <w:rPr>
                <w:szCs w:val="22"/>
              </w:rPr>
              <w:t>National first filing/internal priority</w:t>
            </w:r>
          </w:p>
        </w:tc>
        <w:tc>
          <w:tcPr>
            <w:tcW w:w="1360" w:type="dxa"/>
            <w:shd w:val="clear" w:color="auto" w:fill="auto"/>
          </w:tcPr>
          <w:p w:rsidR="005540D9" w:rsidRPr="001C7FE7" w:rsidRDefault="005540D9" w:rsidP="001C7FE7">
            <w:pPr>
              <w:ind w:right="260"/>
              <w:jc w:val="right"/>
            </w:pPr>
            <w:r w:rsidRPr="001C7FE7">
              <w:t>1</w:t>
            </w:r>
            <w:r w:rsidR="0076212A">
              <w:t>,</w:t>
            </w:r>
            <w:r w:rsidRPr="001C7FE7">
              <w:t>740</w:t>
            </w:r>
          </w:p>
        </w:tc>
        <w:tc>
          <w:tcPr>
            <w:tcW w:w="1361" w:type="dxa"/>
            <w:shd w:val="clear" w:color="auto" w:fill="auto"/>
          </w:tcPr>
          <w:p w:rsidR="005540D9" w:rsidRPr="001C7FE7" w:rsidRDefault="005540D9" w:rsidP="001C7FE7">
            <w:pPr>
              <w:ind w:right="260"/>
              <w:jc w:val="right"/>
            </w:pPr>
            <w:r w:rsidRPr="001C7FE7">
              <w:t>1</w:t>
            </w:r>
            <w:r w:rsidR="0076212A">
              <w:t>,</w:t>
            </w:r>
            <w:r w:rsidRPr="001C7FE7">
              <w:t>639</w:t>
            </w:r>
          </w:p>
        </w:tc>
        <w:tc>
          <w:tcPr>
            <w:tcW w:w="1361" w:type="dxa"/>
            <w:shd w:val="clear" w:color="auto" w:fill="auto"/>
          </w:tcPr>
          <w:p w:rsidR="005540D9" w:rsidRPr="001C7FE7" w:rsidRDefault="005540D9" w:rsidP="001C7FE7">
            <w:pPr>
              <w:ind w:right="260"/>
              <w:jc w:val="right"/>
            </w:pPr>
            <w:r w:rsidRPr="001C7FE7">
              <w:t>1</w:t>
            </w:r>
            <w:r w:rsidR="0076212A">
              <w:t>,</w:t>
            </w:r>
            <w:r w:rsidRPr="001C7FE7">
              <w:t>474</w:t>
            </w:r>
          </w:p>
        </w:tc>
        <w:tc>
          <w:tcPr>
            <w:tcW w:w="1361" w:type="dxa"/>
            <w:shd w:val="clear" w:color="auto" w:fill="auto"/>
          </w:tcPr>
          <w:p w:rsidR="005540D9" w:rsidRPr="001C7FE7" w:rsidRDefault="005540D9" w:rsidP="001C7FE7">
            <w:pPr>
              <w:ind w:right="260"/>
              <w:jc w:val="right"/>
            </w:pPr>
            <w:r w:rsidRPr="001C7FE7">
              <w:t>1</w:t>
            </w:r>
            <w:r w:rsidR="0076212A">
              <w:t>,</w:t>
            </w:r>
            <w:r w:rsidRPr="001C7FE7">
              <w:t>333</w:t>
            </w:r>
          </w:p>
        </w:tc>
        <w:tc>
          <w:tcPr>
            <w:tcW w:w="1361" w:type="dxa"/>
            <w:shd w:val="clear" w:color="auto" w:fill="auto"/>
          </w:tcPr>
          <w:p w:rsidR="005540D9" w:rsidRPr="001C7FE7" w:rsidRDefault="005540D9" w:rsidP="001C7FE7">
            <w:pPr>
              <w:ind w:right="260"/>
              <w:jc w:val="right"/>
            </w:pPr>
            <w:r w:rsidRPr="001C7FE7">
              <w:t>1</w:t>
            </w:r>
            <w:r w:rsidR="0076212A">
              <w:t>,</w:t>
            </w:r>
            <w:r w:rsidRPr="001C7FE7">
              <w:t>313</w:t>
            </w:r>
          </w:p>
        </w:tc>
      </w:tr>
      <w:tr w:rsidR="005540D9" w:rsidRPr="00C660D6" w:rsidTr="00B43AC6">
        <w:trPr>
          <w:cantSplit/>
        </w:trPr>
        <w:tc>
          <w:tcPr>
            <w:tcW w:w="2518" w:type="dxa"/>
            <w:shd w:val="clear" w:color="auto" w:fill="auto"/>
          </w:tcPr>
          <w:p w:rsidR="005540D9" w:rsidRPr="00C660D6" w:rsidRDefault="005540D9" w:rsidP="00B43AC6">
            <w:pPr>
              <w:rPr>
                <w:szCs w:val="22"/>
              </w:rPr>
            </w:pPr>
            <w:r w:rsidRPr="00C660D6">
              <w:rPr>
                <w:szCs w:val="22"/>
              </w:rPr>
              <w:t>Paris priority</w:t>
            </w:r>
          </w:p>
        </w:tc>
        <w:tc>
          <w:tcPr>
            <w:tcW w:w="1360" w:type="dxa"/>
            <w:shd w:val="clear" w:color="auto" w:fill="auto"/>
          </w:tcPr>
          <w:p w:rsidR="005540D9" w:rsidRPr="001C7FE7" w:rsidRDefault="005540D9" w:rsidP="001C7FE7">
            <w:pPr>
              <w:ind w:right="260"/>
              <w:jc w:val="right"/>
            </w:pPr>
            <w:r w:rsidRPr="001C7FE7">
              <w:t>87</w:t>
            </w:r>
          </w:p>
        </w:tc>
        <w:tc>
          <w:tcPr>
            <w:tcW w:w="1361" w:type="dxa"/>
            <w:shd w:val="clear" w:color="auto" w:fill="auto"/>
          </w:tcPr>
          <w:p w:rsidR="005540D9" w:rsidRPr="001C7FE7" w:rsidRDefault="005540D9" w:rsidP="001C7FE7">
            <w:pPr>
              <w:ind w:right="260"/>
              <w:jc w:val="right"/>
            </w:pPr>
            <w:r w:rsidRPr="001C7FE7">
              <w:t>98</w:t>
            </w:r>
          </w:p>
        </w:tc>
        <w:tc>
          <w:tcPr>
            <w:tcW w:w="1361" w:type="dxa"/>
            <w:shd w:val="clear" w:color="auto" w:fill="auto"/>
          </w:tcPr>
          <w:p w:rsidR="005540D9" w:rsidRPr="001C7FE7" w:rsidRDefault="005540D9" w:rsidP="001C7FE7">
            <w:pPr>
              <w:ind w:right="260"/>
              <w:jc w:val="right"/>
            </w:pPr>
            <w:r w:rsidRPr="001C7FE7">
              <w:t>71</w:t>
            </w:r>
          </w:p>
        </w:tc>
        <w:tc>
          <w:tcPr>
            <w:tcW w:w="1361" w:type="dxa"/>
            <w:shd w:val="clear" w:color="auto" w:fill="auto"/>
          </w:tcPr>
          <w:p w:rsidR="005540D9" w:rsidRPr="001C7FE7" w:rsidRDefault="005540D9" w:rsidP="001C7FE7">
            <w:pPr>
              <w:ind w:right="260"/>
              <w:jc w:val="right"/>
            </w:pPr>
            <w:r w:rsidRPr="001C7FE7">
              <w:t>83</w:t>
            </w:r>
          </w:p>
        </w:tc>
        <w:tc>
          <w:tcPr>
            <w:tcW w:w="1361" w:type="dxa"/>
            <w:shd w:val="clear" w:color="auto" w:fill="auto"/>
          </w:tcPr>
          <w:p w:rsidR="005540D9" w:rsidRPr="001C7FE7" w:rsidRDefault="005540D9" w:rsidP="001C7FE7">
            <w:pPr>
              <w:ind w:right="260"/>
              <w:jc w:val="right"/>
            </w:pPr>
            <w:r w:rsidRPr="001C7FE7">
              <w:t>55</w:t>
            </w:r>
          </w:p>
        </w:tc>
      </w:tr>
      <w:tr w:rsidR="005540D9" w:rsidRPr="00C660D6" w:rsidTr="00B43AC6">
        <w:trPr>
          <w:cantSplit/>
        </w:trPr>
        <w:tc>
          <w:tcPr>
            <w:tcW w:w="2518" w:type="dxa"/>
            <w:shd w:val="clear" w:color="auto" w:fill="auto"/>
          </w:tcPr>
          <w:p w:rsidR="005540D9" w:rsidRPr="00C660D6" w:rsidRDefault="005540D9" w:rsidP="00B43AC6">
            <w:pPr>
              <w:rPr>
                <w:szCs w:val="22"/>
              </w:rPr>
            </w:pPr>
            <w:r w:rsidRPr="00C660D6">
              <w:rPr>
                <w:szCs w:val="22"/>
              </w:rPr>
              <w:t>PCT national phase entry</w:t>
            </w:r>
          </w:p>
        </w:tc>
        <w:tc>
          <w:tcPr>
            <w:tcW w:w="1360" w:type="dxa"/>
            <w:shd w:val="clear" w:color="auto" w:fill="auto"/>
          </w:tcPr>
          <w:p w:rsidR="005540D9" w:rsidRPr="001C7FE7" w:rsidRDefault="005540D9" w:rsidP="001C7FE7">
            <w:pPr>
              <w:ind w:right="260"/>
              <w:jc w:val="right"/>
            </w:pPr>
            <w:r w:rsidRPr="001C7FE7">
              <w:t>47</w:t>
            </w:r>
          </w:p>
        </w:tc>
        <w:tc>
          <w:tcPr>
            <w:tcW w:w="1361" w:type="dxa"/>
            <w:shd w:val="clear" w:color="auto" w:fill="auto"/>
          </w:tcPr>
          <w:p w:rsidR="005540D9" w:rsidRPr="001C7FE7" w:rsidRDefault="005540D9" w:rsidP="001C7FE7">
            <w:pPr>
              <w:ind w:right="260"/>
              <w:jc w:val="right"/>
            </w:pPr>
            <w:r w:rsidRPr="001C7FE7">
              <w:t>38</w:t>
            </w:r>
          </w:p>
        </w:tc>
        <w:tc>
          <w:tcPr>
            <w:tcW w:w="1361" w:type="dxa"/>
            <w:shd w:val="clear" w:color="auto" w:fill="auto"/>
          </w:tcPr>
          <w:p w:rsidR="005540D9" w:rsidRPr="001C7FE7" w:rsidRDefault="005540D9" w:rsidP="001C7FE7">
            <w:pPr>
              <w:ind w:right="260"/>
              <w:jc w:val="right"/>
            </w:pPr>
            <w:r w:rsidRPr="001C7FE7">
              <w:t>41</w:t>
            </w:r>
          </w:p>
        </w:tc>
        <w:tc>
          <w:tcPr>
            <w:tcW w:w="1361" w:type="dxa"/>
            <w:shd w:val="clear" w:color="auto" w:fill="auto"/>
          </w:tcPr>
          <w:p w:rsidR="005540D9" w:rsidRPr="001C7FE7" w:rsidRDefault="005540D9" w:rsidP="001C7FE7">
            <w:pPr>
              <w:ind w:right="260"/>
              <w:jc w:val="right"/>
            </w:pPr>
            <w:r w:rsidRPr="001C7FE7">
              <w:t>43</w:t>
            </w:r>
          </w:p>
        </w:tc>
        <w:tc>
          <w:tcPr>
            <w:tcW w:w="1361" w:type="dxa"/>
            <w:shd w:val="clear" w:color="auto" w:fill="auto"/>
          </w:tcPr>
          <w:p w:rsidR="005540D9" w:rsidRPr="001C7FE7" w:rsidRDefault="005540D9" w:rsidP="001C7FE7">
            <w:pPr>
              <w:ind w:right="260"/>
              <w:jc w:val="right"/>
            </w:pPr>
            <w:r w:rsidRPr="001C7FE7">
              <w:t>27</w:t>
            </w:r>
          </w:p>
        </w:tc>
      </w:tr>
    </w:tbl>
    <w:p w:rsidR="005540D9" w:rsidRPr="00297B24" w:rsidRDefault="005540D9" w:rsidP="005540D9">
      <w:pPr>
        <w:rPr>
          <w:szCs w:val="22"/>
        </w:rPr>
      </w:pPr>
    </w:p>
    <w:p w:rsidR="005540D9" w:rsidRPr="00297B24" w:rsidRDefault="005540D9" w:rsidP="005540D9">
      <w:pPr>
        <w:rPr>
          <w:b/>
          <w:bCs/>
          <w:szCs w:val="22"/>
        </w:rPr>
      </w:pPr>
      <w:r w:rsidRPr="00297B24">
        <w:rPr>
          <w:b/>
          <w:bCs/>
          <w:szCs w:val="22"/>
        </w:rPr>
        <w:t>Number of international applications received as RO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5540D9" w:rsidRPr="00C660D6" w:rsidTr="00B43AC6">
        <w:trPr>
          <w:cantSplit/>
        </w:trPr>
        <w:tc>
          <w:tcPr>
            <w:tcW w:w="2518" w:type="dxa"/>
            <w:tcBorders>
              <w:tl2br w:val="single" w:sz="4" w:space="0" w:color="auto"/>
            </w:tcBorders>
            <w:shd w:val="clear" w:color="auto" w:fill="auto"/>
          </w:tcPr>
          <w:p w:rsidR="005540D9" w:rsidRPr="00C660D6" w:rsidRDefault="005540D9" w:rsidP="00B43AC6">
            <w:pPr>
              <w:jc w:val="right"/>
              <w:rPr>
                <w:b/>
                <w:bCs/>
                <w:szCs w:val="22"/>
              </w:rPr>
            </w:pPr>
          </w:p>
          <w:p w:rsidR="005540D9" w:rsidRPr="00C660D6" w:rsidRDefault="005540D9" w:rsidP="00B43AC6">
            <w:pPr>
              <w:jc w:val="right"/>
              <w:rPr>
                <w:b/>
                <w:bCs/>
                <w:szCs w:val="22"/>
              </w:rPr>
            </w:pPr>
            <w:r w:rsidRPr="00C660D6">
              <w:rPr>
                <w:b/>
                <w:bCs/>
                <w:szCs w:val="22"/>
              </w:rPr>
              <w:t>Year</w:t>
            </w:r>
          </w:p>
          <w:p w:rsidR="005540D9" w:rsidRPr="00C660D6" w:rsidRDefault="005540D9" w:rsidP="00B43AC6">
            <w:pPr>
              <w:rPr>
                <w:b/>
                <w:bCs/>
                <w:szCs w:val="22"/>
              </w:rPr>
            </w:pPr>
            <w:r w:rsidRPr="00C660D6">
              <w:rPr>
                <w:b/>
                <w:bCs/>
                <w:szCs w:val="22"/>
              </w:rPr>
              <w:t>Technical Field</w:t>
            </w:r>
          </w:p>
        </w:tc>
        <w:tc>
          <w:tcPr>
            <w:tcW w:w="1360" w:type="dxa"/>
            <w:shd w:val="clear" w:color="auto" w:fill="auto"/>
            <w:vAlign w:val="center"/>
          </w:tcPr>
          <w:p w:rsidR="005540D9" w:rsidRPr="00C660D6" w:rsidRDefault="005540D9" w:rsidP="00B43AC6">
            <w:pPr>
              <w:jc w:val="center"/>
              <w:rPr>
                <w:szCs w:val="22"/>
              </w:rPr>
            </w:pPr>
            <w:r>
              <w:rPr>
                <w:szCs w:val="22"/>
              </w:rPr>
              <w:t>2012</w:t>
            </w:r>
          </w:p>
        </w:tc>
        <w:tc>
          <w:tcPr>
            <w:tcW w:w="1361" w:type="dxa"/>
            <w:shd w:val="clear" w:color="auto" w:fill="auto"/>
            <w:vAlign w:val="center"/>
          </w:tcPr>
          <w:p w:rsidR="005540D9" w:rsidRPr="00C660D6" w:rsidRDefault="005540D9" w:rsidP="00B43AC6">
            <w:pPr>
              <w:jc w:val="center"/>
              <w:rPr>
                <w:szCs w:val="22"/>
              </w:rPr>
            </w:pPr>
            <w:r>
              <w:rPr>
                <w:szCs w:val="22"/>
              </w:rPr>
              <w:t>2013</w:t>
            </w:r>
          </w:p>
        </w:tc>
        <w:tc>
          <w:tcPr>
            <w:tcW w:w="1361" w:type="dxa"/>
            <w:shd w:val="clear" w:color="auto" w:fill="auto"/>
            <w:vAlign w:val="center"/>
          </w:tcPr>
          <w:p w:rsidR="005540D9" w:rsidRDefault="005540D9" w:rsidP="00B43AC6">
            <w:pPr>
              <w:jc w:val="center"/>
              <w:rPr>
                <w:szCs w:val="22"/>
              </w:rPr>
            </w:pPr>
          </w:p>
          <w:p w:rsidR="005540D9" w:rsidRDefault="005540D9" w:rsidP="00B43AC6">
            <w:pPr>
              <w:jc w:val="center"/>
              <w:rPr>
                <w:szCs w:val="22"/>
              </w:rPr>
            </w:pPr>
            <w:r>
              <w:rPr>
                <w:szCs w:val="22"/>
              </w:rPr>
              <w:t>2014</w:t>
            </w:r>
          </w:p>
          <w:p w:rsidR="005540D9" w:rsidRPr="00C660D6" w:rsidRDefault="005540D9" w:rsidP="00B43AC6">
            <w:pPr>
              <w:jc w:val="center"/>
              <w:rPr>
                <w:szCs w:val="22"/>
              </w:rPr>
            </w:pPr>
          </w:p>
        </w:tc>
        <w:tc>
          <w:tcPr>
            <w:tcW w:w="1361" w:type="dxa"/>
            <w:shd w:val="clear" w:color="auto" w:fill="auto"/>
            <w:vAlign w:val="center"/>
          </w:tcPr>
          <w:p w:rsidR="005540D9" w:rsidRPr="00C660D6" w:rsidRDefault="005540D9" w:rsidP="00B43AC6">
            <w:pPr>
              <w:jc w:val="center"/>
              <w:rPr>
                <w:szCs w:val="22"/>
              </w:rPr>
            </w:pPr>
            <w:r>
              <w:rPr>
                <w:szCs w:val="22"/>
              </w:rPr>
              <w:t>2015</w:t>
            </w:r>
          </w:p>
        </w:tc>
        <w:tc>
          <w:tcPr>
            <w:tcW w:w="1361" w:type="dxa"/>
            <w:shd w:val="clear" w:color="auto" w:fill="auto"/>
            <w:vAlign w:val="center"/>
          </w:tcPr>
          <w:p w:rsidR="005540D9" w:rsidRPr="00C660D6" w:rsidRDefault="005540D9" w:rsidP="00B43AC6">
            <w:pPr>
              <w:jc w:val="center"/>
              <w:rPr>
                <w:szCs w:val="22"/>
              </w:rPr>
            </w:pPr>
            <w:r>
              <w:rPr>
                <w:szCs w:val="22"/>
              </w:rPr>
              <w:t>2016</w:t>
            </w:r>
          </w:p>
        </w:tc>
      </w:tr>
      <w:tr w:rsidR="005540D9" w:rsidRPr="00C660D6" w:rsidTr="00B43AC6">
        <w:trPr>
          <w:cantSplit/>
        </w:trPr>
        <w:tc>
          <w:tcPr>
            <w:tcW w:w="2518" w:type="dxa"/>
            <w:shd w:val="clear" w:color="auto" w:fill="auto"/>
          </w:tcPr>
          <w:p w:rsidR="005540D9" w:rsidRPr="001C7FE7" w:rsidRDefault="005540D9" w:rsidP="001C7FE7">
            <w:r w:rsidRPr="001C7FE7">
              <w:t>Mechanical</w:t>
            </w:r>
          </w:p>
        </w:tc>
        <w:tc>
          <w:tcPr>
            <w:tcW w:w="1360" w:type="dxa"/>
            <w:shd w:val="clear" w:color="auto" w:fill="auto"/>
          </w:tcPr>
          <w:p w:rsidR="005540D9" w:rsidRPr="001C7FE7" w:rsidRDefault="005540D9" w:rsidP="001C7FE7"/>
        </w:tc>
        <w:tc>
          <w:tcPr>
            <w:tcW w:w="1361" w:type="dxa"/>
            <w:shd w:val="clear" w:color="auto" w:fill="auto"/>
          </w:tcPr>
          <w:p w:rsidR="005540D9" w:rsidRPr="001C7FE7" w:rsidRDefault="005540D9" w:rsidP="001C7FE7"/>
        </w:tc>
        <w:tc>
          <w:tcPr>
            <w:tcW w:w="1361" w:type="dxa"/>
            <w:shd w:val="clear" w:color="auto" w:fill="auto"/>
          </w:tcPr>
          <w:p w:rsidR="005540D9" w:rsidRPr="001C7FE7" w:rsidRDefault="005540D9" w:rsidP="001C7FE7"/>
        </w:tc>
        <w:tc>
          <w:tcPr>
            <w:tcW w:w="1361" w:type="dxa"/>
            <w:shd w:val="clear" w:color="auto" w:fill="auto"/>
          </w:tcPr>
          <w:p w:rsidR="005540D9" w:rsidRPr="001C7FE7" w:rsidRDefault="005540D9" w:rsidP="001C7FE7"/>
        </w:tc>
        <w:tc>
          <w:tcPr>
            <w:tcW w:w="1361" w:type="dxa"/>
            <w:shd w:val="clear" w:color="auto" w:fill="auto"/>
          </w:tcPr>
          <w:p w:rsidR="005540D9" w:rsidRPr="001C7FE7" w:rsidRDefault="005540D9" w:rsidP="001C7FE7"/>
        </w:tc>
      </w:tr>
      <w:tr w:rsidR="005540D9" w:rsidRPr="00C660D6" w:rsidTr="00B43AC6">
        <w:trPr>
          <w:cantSplit/>
        </w:trPr>
        <w:tc>
          <w:tcPr>
            <w:tcW w:w="2518" w:type="dxa"/>
            <w:shd w:val="clear" w:color="auto" w:fill="auto"/>
          </w:tcPr>
          <w:p w:rsidR="005540D9" w:rsidRPr="001C7FE7" w:rsidRDefault="005540D9" w:rsidP="001C7FE7">
            <w:r w:rsidRPr="001C7FE7">
              <w:t>Electrical/electronic</w:t>
            </w:r>
          </w:p>
        </w:tc>
        <w:tc>
          <w:tcPr>
            <w:tcW w:w="1360" w:type="dxa"/>
            <w:shd w:val="clear" w:color="auto" w:fill="auto"/>
          </w:tcPr>
          <w:p w:rsidR="005540D9" w:rsidRPr="001C7FE7" w:rsidRDefault="005540D9" w:rsidP="001C7FE7"/>
        </w:tc>
        <w:tc>
          <w:tcPr>
            <w:tcW w:w="1361" w:type="dxa"/>
            <w:shd w:val="clear" w:color="auto" w:fill="auto"/>
          </w:tcPr>
          <w:p w:rsidR="005540D9" w:rsidRPr="001C7FE7" w:rsidRDefault="005540D9" w:rsidP="001C7FE7"/>
        </w:tc>
        <w:tc>
          <w:tcPr>
            <w:tcW w:w="1361" w:type="dxa"/>
            <w:shd w:val="clear" w:color="auto" w:fill="auto"/>
          </w:tcPr>
          <w:p w:rsidR="005540D9" w:rsidRPr="001C7FE7" w:rsidRDefault="005540D9" w:rsidP="001C7FE7"/>
        </w:tc>
        <w:tc>
          <w:tcPr>
            <w:tcW w:w="1361" w:type="dxa"/>
            <w:shd w:val="clear" w:color="auto" w:fill="auto"/>
          </w:tcPr>
          <w:p w:rsidR="005540D9" w:rsidRPr="001C7FE7" w:rsidRDefault="005540D9" w:rsidP="001C7FE7"/>
        </w:tc>
        <w:tc>
          <w:tcPr>
            <w:tcW w:w="1361" w:type="dxa"/>
            <w:shd w:val="clear" w:color="auto" w:fill="auto"/>
          </w:tcPr>
          <w:p w:rsidR="005540D9" w:rsidRPr="001C7FE7" w:rsidRDefault="005540D9" w:rsidP="001C7FE7"/>
        </w:tc>
      </w:tr>
      <w:tr w:rsidR="005540D9" w:rsidRPr="00C660D6" w:rsidTr="00B43AC6">
        <w:trPr>
          <w:cantSplit/>
        </w:trPr>
        <w:tc>
          <w:tcPr>
            <w:tcW w:w="2518" w:type="dxa"/>
            <w:shd w:val="clear" w:color="auto" w:fill="auto"/>
          </w:tcPr>
          <w:p w:rsidR="005540D9" w:rsidRPr="001C7FE7" w:rsidRDefault="005540D9" w:rsidP="001C7FE7">
            <w:r w:rsidRPr="001C7FE7">
              <w:t>Chemistry</w:t>
            </w:r>
          </w:p>
        </w:tc>
        <w:tc>
          <w:tcPr>
            <w:tcW w:w="1360" w:type="dxa"/>
            <w:shd w:val="clear" w:color="auto" w:fill="auto"/>
          </w:tcPr>
          <w:p w:rsidR="005540D9" w:rsidRPr="001C7FE7" w:rsidRDefault="005540D9" w:rsidP="001C7FE7"/>
        </w:tc>
        <w:tc>
          <w:tcPr>
            <w:tcW w:w="1361" w:type="dxa"/>
            <w:shd w:val="clear" w:color="auto" w:fill="auto"/>
          </w:tcPr>
          <w:p w:rsidR="005540D9" w:rsidRPr="001C7FE7" w:rsidRDefault="005540D9" w:rsidP="001C7FE7"/>
        </w:tc>
        <w:tc>
          <w:tcPr>
            <w:tcW w:w="1361" w:type="dxa"/>
            <w:shd w:val="clear" w:color="auto" w:fill="auto"/>
          </w:tcPr>
          <w:p w:rsidR="005540D9" w:rsidRPr="001C7FE7" w:rsidRDefault="005540D9" w:rsidP="001C7FE7"/>
        </w:tc>
        <w:tc>
          <w:tcPr>
            <w:tcW w:w="1361" w:type="dxa"/>
            <w:shd w:val="clear" w:color="auto" w:fill="auto"/>
          </w:tcPr>
          <w:p w:rsidR="005540D9" w:rsidRPr="001C7FE7" w:rsidRDefault="005540D9" w:rsidP="001C7FE7"/>
        </w:tc>
        <w:tc>
          <w:tcPr>
            <w:tcW w:w="1361" w:type="dxa"/>
            <w:shd w:val="clear" w:color="auto" w:fill="auto"/>
          </w:tcPr>
          <w:p w:rsidR="005540D9" w:rsidRPr="001C7FE7" w:rsidRDefault="005540D9" w:rsidP="001C7FE7"/>
        </w:tc>
      </w:tr>
      <w:tr w:rsidR="005540D9" w:rsidRPr="00C660D6" w:rsidTr="00B43AC6">
        <w:trPr>
          <w:cantSplit/>
        </w:trPr>
        <w:tc>
          <w:tcPr>
            <w:tcW w:w="2518" w:type="dxa"/>
            <w:shd w:val="clear" w:color="auto" w:fill="auto"/>
          </w:tcPr>
          <w:p w:rsidR="005540D9" w:rsidRPr="001C7FE7" w:rsidRDefault="005540D9" w:rsidP="001C7FE7">
            <w:r w:rsidRPr="001C7FE7">
              <w:t>Biotech</w:t>
            </w:r>
          </w:p>
        </w:tc>
        <w:tc>
          <w:tcPr>
            <w:tcW w:w="1360" w:type="dxa"/>
            <w:shd w:val="clear" w:color="auto" w:fill="auto"/>
          </w:tcPr>
          <w:p w:rsidR="005540D9" w:rsidRPr="001C7FE7" w:rsidRDefault="005540D9" w:rsidP="001C7FE7"/>
        </w:tc>
        <w:tc>
          <w:tcPr>
            <w:tcW w:w="1361" w:type="dxa"/>
            <w:shd w:val="clear" w:color="auto" w:fill="auto"/>
          </w:tcPr>
          <w:p w:rsidR="005540D9" w:rsidRPr="001C7FE7" w:rsidRDefault="005540D9" w:rsidP="001C7FE7"/>
        </w:tc>
        <w:tc>
          <w:tcPr>
            <w:tcW w:w="1361" w:type="dxa"/>
            <w:shd w:val="clear" w:color="auto" w:fill="auto"/>
          </w:tcPr>
          <w:p w:rsidR="005540D9" w:rsidRPr="001C7FE7" w:rsidRDefault="005540D9" w:rsidP="001C7FE7"/>
        </w:tc>
        <w:tc>
          <w:tcPr>
            <w:tcW w:w="1361" w:type="dxa"/>
            <w:shd w:val="clear" w:color="auto" w:fill="auto"/>
          </w:tcPr>
          <w:p w:rsidR="005540D9" w:rsidRPr="001C7FE7" w:rsidRDefault="005540D9" w:rsidP="001C7FE7"/>
        </w:tc>
        <w:tc>
          <w:tcPr>
            <w:tcW w:w="1361" w:type="dxa"/>
            <w:shd w:val="clear" w:color="auto" w:fill="auto"/>
          </w:tcPr>
          <w:p w:rsidR="005540D9" w:rsidRPr="001C7FE7" w:rsidRDefault="005540D9" w:rsidP="001C7FE7"/>
        </w:tc>
      </w:tr>
      <w:tr w:rsidR="005540D9" w:rsidRPr="00C660D6" w:rsidTr="00B43AC6">
        <w:trPr>
          <w:cantSplit/>
        </w:trPr>
        <w:tc>
          <w:tcPr>
            <w:tcW w:w="2518" w:type="dxa"/>
            <w:shd w:val="clear" w:color="auto" w:fill="auto"/>
          </w:tcPr>
          <w:p w:rsidR="005540D9" w:rsidRPr="001C7FE7" w:rsidRDefault="005540D9" w:rsidP="001C7FE7">
            <w:pPr>
              <w:rPr>
                <w:i/>
              </w:rPr>
            </w:pPr>
            <w:r w:rsidRPr="001C7FE7">
              <w:rPr>
                <w:i/>
              </w:rPr>
              <w:t>Total</w:t>
            </w:r>
          </w:p>
        </w:tc>
        <w:tc>
          <w:tcPr>
            <w:tcW w:w="1360" w:type="dxa"/>
            <w:shd w:val="clear" w:color="auto" w:fill="auto"/>
          </w:tcPr>
          <w:p w:rsidR="005540D9" w:rsidRPr="001C7FE7" w:rsidRDefault="005540D9" w:rsidP="001C7FE7">
            <w:pPr>
              <w:ind w:right="260"/>
              <w:jc w:val="right"/>
              <w:rPr>
                <w:i/>
              </w:rPr>
            </w:pPr>
            <w:r w:rsidRPr="001C7FE7">
              <w:rPr>
                <w:i/>
              </w:rPr>
              <w:t>1</w:t>
            </w:r>
            <w:r w:rsidR="0076212A">
              <w:rPr>
                <w:i/>
              </w:rPr>
              <w:t>,</w:t>
            </w:r>
            <w:r w:rsidRPr="001C7FE7">
              <w:rPr>
                <w:i/>
              </w:rPr>
              <w:t>358</w:t>
            </w:r>
          </w:p>
        </w:tc>
        <w:tc>
          <w:tcPr>
            <w:tcW w:w="1361" w:type="dxa"/>
            <w:shd w:val="clear" w:color="auto" w:fill="auto"/>
          </w:tcPr>
          <w:p w:rsidR="005540D9" w:rsidRPr="001C7FE7" w:rsidRDefault="005540D9" w:rsidP="001C7FE7">
            <w:pPr>
              <w:ind w:right="260"/>
              <w:jc w:val="right"/>
              <w:rPr>
                <w:i/>
              </w:rPr>
            </w:pPr>
            <w:r w:rsidRPr="001C7FE7">
              <w:rPr>
                <w:i/>
              </w:rPr>
              <w:t>1</w:t>
            </w:r>
            <w:r w:rsidR="0076212A">
              <w:rPr>
                <w:i/>
              </w:rPr>
              <w:t>,</w:t>
            </w:r>
            <w:r w:rsidRPr="001C7FE7">
              <w:rPr>
                <w:i/>
              </w:rPr>
              <w:t>265</w:t>
            </w:r>
          </w:p>
        </w:tc>
        <w:tc>
          <w:tcPr>
            <w:tcW w:w="1361" w:type="dxa"/>
            <w:shd w:val="clear" w:color="auto" w:fill="auto"/>
          </w:tcPr>
          <w:p w:rsidR="005540D9" w:rsidRPr="001C7FE7" w:rsidRDefault="005540D9" w:rsidP="001C7FE7">
            <w:pPr>
              <w:ind w:right="260"/>
              <w:jc w:val="right"/>
              <w:rPr>
                <w:i/>
              </w:rPr>
            </w:pPr>
            <w:r w:rsidRPr="001C7FE7">
              <w:rPr>
                <w:i/>
              </w:rPr>
              <w:t>1</w:t>
            </w:r>
            <w:r w:rsidR="0076212A">
              <w:rPr>
                <w:i/>
              </w:rPr>
              <w:t>,</w:t>
            </w:r>
            <w:r w:rsidRPr="001C7FE7">
              <w:rPr>
                <w:i/>
              </w:rPr>
              <w:t>112</w:t>
            </w:r>
          </w:p>
        </w:tc>
        <w:tc>
          <w:tcPr>
            <w:tcW w:w="1361" w:type="dxa"/>
            <w:shd w:val="clear" w:color="auto" w:fill="auto"/>
          </w:tcPr>
          <w:p w:rsidR="005540D9" w:rsidRPr="001C7FE7" w:rsidRDefault="005540D9" w:rsidP="001C7FE7">
            <w:pPr>
              <w:ind w:right="260"/>
              <w:jc w:val="right"/>
              <w:rPr>
                <w:i/>
              </w:rPr>
            </w:pPr>
            <w:r w:rsidRPr="001C7FE7">
              <w:rPr>
                <w:i/>
              </w:rPr>
              <w:t>1</w:t>
            </w:r>
            <w:r w:rsidR="0076212A">
              <w:rPr>
                <w:i/>
              </w:rPr>
              <w:t>,</w:t>
            </w:r>
            <w:r w:rsidRPr="001C7FE7">
              <w:rPr>
                <w:i/>
              </w:rPr>
              <w:t>005</w:t>
            </w:r>
          </w:p>
        </w:tc>
        <w:tc>
          <w:tcPr>
            <w:tcW w:w="1361" w:type="dxa"/>
            <w:shd w:val="clear" w:color="auto" w:fill="auto"/>
          </w:tcPr>
          <w:p w:rsidR="005540D9" w:rsidRPr="001C7FE7" w:rsidRDefault="005540D9" w:rsidP="001C7FE7">
            <w:pPr>
              <w:ind w:right="260"/>
              <w:jc w:val="right"/>
              <w:rPr>
                <w:i/>
              </w:rPr>
            </w:pPr>
            <w:r w:rsidRPr="001C7FE7">
              <w:rPr>
                <w:i/>
              </w:rPr>
              <w:t>969</w:t>
            </w:r>
          </w:p>
        </w:tc>
      </w:tr>
    </w:tbl>
    <w:p w:rsidR="005540D9" w:rsidRPr="00297B24" w:rsidRDefault="005540D9" w:rsidP="005540D9">
      <w:pPr>
        <w:rPr>
          <w:szCs w:val="22"/>
        </w:rPr>
      </w:pPr>
    </w:p>
    <w:p w:rsidR="005540D9" w:rsidRDefault="005540D9" w:rsidP="005540D9">
      <w:pPr>
        <w:rPr>
          <w:szCs w:val="22"/>
        </w:rPr>
      </w:pPr>
      <w:r w:rsidRPr="00297B24">
        <w:rPr>
          <w:b/>
          <w:bCs/>
          <w:szCs w:val="22"/>
        </w:rPr>
        <w:t>Main Offices/States in which priority is claimed from national applications:</w:t>
      </w:r>
      <w:r w:rsidRPr="00297B24">
        <w:rPr>
          <w:szCs w:val="22"/>
        </w:rPr>
        <w:t xml:space="preserve">  </w:t>
      </w:r>
    </w:p>
    <w:p w:rsidR="005540D9" w:rsidRPr="001C7FE7" w:rsidRDefault="005540D9" w:rsidP="001C7FE7"/>
    <w:p w:rsidR="005540D9" w:rsidRPr="001C7FE7" w:rsidRDefault="005540D9" w:rsidP="001C7FE7">
      <w:r w:rsidRPr="001C7FE7">
        <w:t>WO, EP, US, DE, CN, CA</w:t>
      </w:r>
    </w:p>
    <w:p w:rsidR="005540D9" w:rsidRPr="001C7FE7" w:rsidRDefault="005540D9" w:rsidP="001C7FE7"/>
    <w:p w:rsidR="005540D9" w:rsidRDefault="005540D9" w:rsidP="005540D9">
      <w:pPr>
        <w:rPr>
          <w:b/>
          <w:bCs/>
          <w:szCs w:val="22"/>
        </w:rPr>
      </w:pPr>
      <w:r w:rsidRPr="00297B24">
        <w:rPr>
          <w:b/>
          <w:bCs/>
          <w:szCs w:val="22"/>
        </w:rPr>
        <w:t>Average time taken for national patent processing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402"/>
        <w:gridCol w:w="3118"/>
      </w:tblGrid>
      <w:tr w:rsidR="005540D9" w:rsidRPr="00C660D6" w:rsidTr="00B43AC6">
        <w:trPr>
          <w:cantSplit/>
        </w:trPr>
        <w:tc>
          <w:tcPr>
            <w:tcW w:w="2518" w:type="dxa"/>
            <w:shd w:val="clear" w:color="auto" w:fill="auto"/>
          </w:tcPr>
          <w:p w:rsidR="005540D9" w:rsidRPr="00C660D6" w:rsidRDefault="005540D9" w:rsidP="00B43AC6">
            <w:pPr>
              <w:rPr>
                <w:b/>
                <w:bCs/>
                <w:szCs w:val="22"/>
              </w:rPr>
            </w:pPr>
            <w:r w:rsidRPr="00C660D6">
              <w:rPr>
                <w:b/>
                <w:bCs/>
                <w:szCs w:val="22"/>
              </w:rPr>
              <w:t>Indicator</w:t>
            </w:r>
          </w:p>
        </w:tc>
        <w:tc>
          <w:tcPr>
            <w:tcW w:w="3402" w:type="dxa"/>
            <w:shd w:val="clear" w:color="auto" w:fill="auto"/>
          </w:tcPr>
          <w:p w:rsidR="005540D9" w:rsidRPr="00C660D6" w:rsidRDefault="005540D9" w:rsidP="00B43AC6">
            <w:pPr>
              <w:rPr>
                <w:b/>
                <w:bCs/>
                <w:szCs w:val="22"/>
              </w:rPr>
            </w:pPr>
            <w:r w:rsidRPr="00C660D6">
              <w:rPr>
                <w:b/>
                <w:bCs/>
                <w:szCs w:val="22"/>
              </w:rPr>
              <w:t>Measured from</w:t>
            </w:r>
          </w:p>
        </w:tc>
        <w:tc>
          <w:tcPr>
            <w:tcW w:w="3118" w:type="dxa"/>
            <w:shd w:val="clear" w:color="auto" w:fill="auto"/>
          </w:tcPr>
          <w:p w:rsidR="005540D9" w:rsidRPr="00C660D6" w:rsidRDefault="005540D9" w:rsidP="00B43AC6">
            <w:pPr>
              <w:rPr>
                <w:b/>
                <w:bCs/>
                <w:szCs w:val="22"/>
              </w:rPr>
            </w:pPr>
            <w:r w:rsidRPr="00C660D6">
              <w:rPr>
                <w:b/>
                <w:bCs/>
                <w:szCs w:val="22"/>
              </w:rPr>
              <w:t>Time (months)</w:t>
            </w:r>
          </w:p>
        </w:tc>
      </w:tr>
      <w:tr w:rsidR="005540D9" w:rsidRPr="00C660D6" w:rsidTr="00B43AC6">
        <w:trPr>
          <w:cantSplit/>
        </w:trPr>
        <w:tc>
          <w:tcPr>
            <w:tcW w:w="2518" w:type="dxa"/>
            <w:shd w:val="clear" w:color="auto" w:fill="auto"/>
          </w:tcPr>
          <w:p w:rsidR="005540D9" w:rsidRPr="00C660D6" w:rsidRDefault="005540D9" w:rsidP="00B43AC6">
            <w:pPr>
              <w:rPr>
                <w:szCs w:val="22"/>
              </w:rPr>
            </w:pPr>
            <w:r w:rsidRPr="00C660D6">
              <w:rPr>
                <w:szCs w:val="22"/>
              </w:rPr>
              <w:t>To search</w:t>
            </w:r>
          </w:p>
        </w:tc>
        <w:tc>
          <w:tcPr>
            <w:tcW w:w="3402" w:type="dxa"/>
            <w:shd w:val="clear" w:color="auto" w:fill="auto"/>
          </w:tcPr>
          <w:p w:rsidR="005540D9" w:rsidRPr="001C7FE7" w:rsidRDefault="005540D9" w:rsidP="001C7FE7">
            <w:r w:rsidRPr="001C7FE7">
              <w:t>Filing</w:t>
            </w:r>
          </w:p>
        </w:tc>
        <w:tc>
          <w:tcPr>
            <w:tcW w:w="3118" w:type="dxa"/>
            <w:shd w:val="clear" w:color="auto" w:fill="auto"/>
          </w:tcPr>
          <w:p w:rsidR="005540D9" w:rsidRPr="001C7FE7" w:rsidRDefault="005540D9" w:rsidP="0076212A">
            <w:pPr>
              <w:ind w:right="2082"/>
              <w:jc w:val="right"/>
            </w:pPr>
            <w:r w:rsidRPr="001C7FE7">
              <w:t xml:space="preserve">6 </w:t>
            </w:r>
          </w:p>
        </w:tc>
      </w:tr>
      <w:tr w:rsidR="005540D9" w:rsidRPr="00C660D6" w:rsidTr="00B43AC6">
        <w:trPr>
          <w:cantSplit/>
        </w:trPr>
        <w:tc>
          <w:tcPr>
            <w:tcW w:w="2518" w:type="dxa"/>
            <w:shd w:val="clear" w:color="auto" w:fill="auto"/>
          </w:tcPr>
          <w:p w:rsidR="005540D9" w:rsidRPr="00C660D6" w:rsidRDefault="005540D9" w:rsidP="00B43AC6">
            <w:pPr>
              <w:rPr>
                <w:szCs w:val="22"/>
              </w:rPr>
            </w:pPr>
            <w:r w:rsidRPr="00C660D6">
              <w:rPr>
                <w:szCs w:val="22"/>
              </w:rPr>
              <w:t>To first examination</w:t>
            </w:r>
          </w:p>
        </w:tc>
        <w:tc>
          <w:tcPr>
            <w:tcW w:w="3402" w:type="dxa"/>
            <w:shd w:val="clear" w:color="auto" w:fill="auto"/>
          </w:tcPr>
          <w:p w:rsidR="005540D9" w:rsidRPr="001C7FE7" w:rsidRDefault="005540D9" w:rsidP="001C7FE7">
            <w:r w:rsidRPr="001C7FE7">
              <w:t>Filing</w:t>
            </w:r>
          </w:p>
        </w:tc>
        <w:tc>
          <w:tcPr>
            <w:tcW w:w="3118" w:type="dxa"/>
            <w:shd w:val="clear" w:color="auto" w:fill="auto"/>
          </w:tcPr>
          <w:p w:rsidR="005540D9" w:rsidRPr="001C7FE7" w:rsidRDefault="005540D9" w:rsidP="0076212A">
            <w:pPr>
              <w:ind w:right="2082"/>
              <w:jc w:val="right"/>
            </w:pPr>
            <w:r w:rsidRPr="001C7FE7">
              <w:t xml:space="preserve">6 </w:t>
            </w:r>
          </w:p>
        </w:tc>
      </w:tr>
      <w:tr w:rsidR="005540D9" w:rsidRPr="00C660D6" w:rsidTr="00B43AC6">
        <w:trPr>
          <w:cantSplit/>
          <w:trHeight w:val="174"/>
        </w:trPr>
        <w:tc>
          <w:tcPr>
            <w:tcW w:w="2518" w:type="dxa"/>
            <w:shd w:val="clear" w:color="auto" w:fill="auto"/>
          </w:tcPr>
          <w:p w:rsidR="005540D9" w:rsidRPr="00C660D6" w:rsidRDefault="005540D9" w:rsidP="00B43AC6">
            <w:pPr>
              <w:rPr>
                <w:szCs w:val="22"/>
              </w:rPr>
            </w:pPr>
            <w:r w:rsidRPr="00C660D6">
              <w:rPr>
                <w:szCs w:val="22"/>
              </w:rPr>
              <w:t>To grant</w:t>
            </w:r>
          </w:p>
        </w:tc>
        <w:tc>
          <w:tcPr>
            <w:tcW w:w="3402" w:type="dxa"/>
            <w:shd w:val="clear" w:color="auto" w:fill="auto"/>
          </w:tcPr>
          <w:p w:rsidR="005540D9" w:rsidRPr="001C7FE7" w:rsidRDefault="005540D9" w:rsidP="001C7FE7">
            <w:r w:rsidRPr="001C7FE7">
              <w:t>Filing</w:t>
            </w:r>
          </w:p>
        </w:tc>
        <w:tc>
          <w:tcPr>
            <w:tcW w:w="3118" w:type="dxa"/>
            <w:shd w:val="clear" w:color="auto" w:fill="auto"/>
          </w:tcPr>
          <w:p w:rsidR="005540D9" w:rsidRPr="001C7FE7" w:rsidRDefault="005540D9" w:rsidP="0076212A">
            <w:pPr>
              <w:ind w:right="2082"/>
              <w:jc w:val="right"/>
            </w:pPr>
            <w:r w:rsidRPr="001C7FE7">
              <w:t>38</w:t>
            </w:r>
          </w:p>
        </w:tc>
      </w:tr>
    </w:tbl>
    <w:p w:rsidR="001C7FE7" w:rsidRDefault="001C7FE7" w:rsidP="005540D9">
      <w:pPr>
        <w:keepNext/>
        <w:keepLines/>
        <w:rPr>
          <w:bCs/>
          <w:szCs w:val="22"/>
        </w:rPr>
      </w:pPr>
    </w:p>
    <w:p w:rsidR="005540D9" w:rsidRDefault="005540D9" w:rsidP="005540D9">
      <w:pPr>
        <w:keepNext/>
        <w:keepLines/>
        <w:rPr>
          <w:b/>
          <w:bCs/>
          <w:szCs w:val="22"/>
        </w:rPr>
      </w:pPr>
      <w:r w:rsidRPr="00297B24">
        <w:rPr>
          <w:b/>
          <w:bCs/>
          <w:szCs w:val="22"/>
        </w:rPr>
        <w:t>National backlogs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3403"/>
      </w:tblGrid>
      <w:tr w:rsidR="005540D9" w:rsidRPr="00C660D6" w:rsidTr="00B43AC6">
        <w:trPr>
          <w:cantSplit/>
        </w:trPr>
        <w:tc>
          <w:tcPr>
            <w:tcW w:w="4643" w:type="dxa"/>
            <w:shd w:val="clear" w:color="auto" w:fill="auto"/>
          </w:tcPr>
          <w:p w:rsidR="005540D9" w:rsidRPr="00C660D6" w:rsidRDefault="005540D9" w:rsidP="00B43AC6">
            <w:pPr>
              <w:keepNext/>
              <w:keepLines/>
              <w:rPr>
                <w:b/>
                <w:bCs/>
                <w:szCs w:val="22"/>
              </w:rPr>
            </w:pPr>
            <w:r w:rsidRPr="00C660D6">
              <w:rPr>
                <w:b/>
                <w:bCs/>
                <w:szCs w:val="22"/>
              </w:rPr>
              <w:t>Measure</w:t>
            </w:r>
          </w:p>
        </w:tc>
        <w:tc>
          <w:tcPr>
            <w:tcW w:w="3403" w:type="dxa"/>
            <w:shd w:val="clear" w:color="auto" w:fill="auto"/>
          </w:tcPr>
          <w:p w:rsidR="005540D9" w:rsidRPr="00C660D6" w:rsidRDefault="005540D9" w:rsidP="00B43AC6">
            <w:pPr>
              <w:keepNext/>
              <w:keepLines/>
              <w:rPr>
                <w:b/>
                <w:bCs/>
                <w:szCs w:val="22"/>
              </w:rPr>
            </w:pPr>
            <w:r w:rsidRPr="00C660D6">
              <w:rPr>
                <w:b/>
                <w:bCs/>
                <w:szCs w:val="22"/>
              </w:rPr>
              <w:t>Number of applications</w:t>
            </w:r>
          </w:p>
        </w:tc>
      </w:tr>
      <w:tr w:rsidR="005540D9" w:rsidRPr="00C660D6" w:rsidTr="00B43AC6">
        <w:trPr>
          <w:cantSplit/>
        </w:trPr>
        <w:tc>
          <w:tcPr>
            <w:tcW w:w="4643" w:type="dxa"/>
            <w:shd w:val="clear" w:color="auto" w:fill="auto"/>
          </w:tcPr>
          <w:p w:rsidR="005540D9" w:rsidRPr="00C660D6" w:rsidRDefault="005540D9" w:rsidP="00B43AC6">
            <w:pPr>
              <w:keepNext/>
              <w:keepLines/>
              <w:rPr>
                <w:szCs w:val="22"/>
              </w:rPr>
            </w:pPr>
            <w:r w:rsidRPr="00C660D6">
              <w:rPr>
                <w:szCs w:val="22"/>
              </w:rPr>
              <w:t>All pending applications</w:t>
            </w:r>
          </w:p>
        </w:tc>
        <w:tc>
          <w:tcPr>
            <w:tcW w:w="3403" w:type="dxa"/>
            <w:shd w:val="clear" w:color="auto" w:fill="auto"/>
          </w:tcPr>
          <w:p w:rsidR="005540D9" w:rsidRPr="001C7FE7" w:rsidRDefault="005540D9" w:rsidP="001C7FE7">
            <w:pPr>
              <w:ind w:right="1309"/>
              <w:jc w:val="right"/>
              <w:rPr>
                <w:highlight w:val="yellow"/>
              </w:rPr>
            </w:pPr>
            <w:r w:rsidRPr="001C7FE7">
              <w:t>3</w:t>
            </w:r>
            <w:r w:rsidR="0076212A">
              <w:t>,</w:t>
            </w:r>
            <w:r w:rsidRPr="001C7FE7">
              <w:t>300</w:t>
            </w:r>
          </w:p>
        </w:tc>
      </w:tr>
      <w:tr w:rsidR="005540D9" w:rsidRPr="00C660D6" w:rsidTr="00B43AC6">
        <w:trPr>
          <w:cantSplit/>
        </w:trPr>
        <w:tc>
          <w:tcPr>
            <w:tcW w:w="4643" w:type="dxa"/>
            <w:shd w:val="clear" w:color="auto" w:fill="auto"/>
          </w:tcPr>
          <w:p w:rsidR="005540D9" w:rsidRPr="00C660D6" w:rsidRDefault="005540D9" w:rsidP="00B43AC6">
            <w:pPr>
              <w:keepNext/>
              <w:keepLines/>
              <w:rPr>
                <w:szCs w:val="22"/>
              </w:rPr>
            </w:pPr>
            <w:r w:rsidRPr="00C660D6">
              <w:rPr>
                <w:szCs w:val="22"/>
              </w:rPr>
              <w:t>Applications awaiting search (where relevant fees paid)</w:t>
            </w:r>
          </w:p>
        </w:tc>
        <w:tc>
          <w:tcPr>
            <w:tcW w:w="3403" w:type="dxa"/>
            <w:shd w:val="clear" w:color="auto" w:fill="auto"/>
          </w:tcPr>
          <w:p w:rsidR="005540D9" w:rsidRPr="001C7FE7" w:rsidRDefault="005540D9" w:rsidP="001C7FE7">
            <w:pPr>
              <w:ind w:right="1309"/>
              <w:jc w:val="right"/>
            </w:pPr>
            <w:r w:rsidRPr="001C7FE7">
              <w:t>555</w:t>
            </w:r>
          </w:p>
        </w:tc>
      </w:tr>
      <w:tr w:rsidR="005540D9" w:rsidRPr="00C660D6" w:rsidTr="00B43AC6">
        <w:trPr>
          <w:cantSplit/>
        </w:trPr>
        <w:tc>
          <w:tcPr>
            <w:tcW w:w="4643" w:type="dxa"/>
            <w:shd w:val="clear" w:color="auto" w:fill="auto"/>
          </w:tcPr>
          <w:p w:rsidR="005540D9" w:rsidRPr="00C660D6" w:rsidRDefault="005540D9" w:rsidP="00B43AC6">
            <w:pPr>
              <w:keepLines/>
              <w:rPr>
                <w:szCs w:val="22"/>
              </w:rPr>
            </w:pPr>
            <w:r w:rsidRPr="00C660D6">
              <w:rPr>
                <w:szCs w:val="22"/>
              </w:rPr>
              <w:t>Applications awaiting first examination (where relevant fees paid)</w:t>
            </w:r>
          </w:p>
        </w:tc>
        <w:tc>
          <w:tcPr>
            <w:tcW w:w="3403" w:type="dxa"/>
            <w:shd w:val="clear" w:color="auto" w:fill="auto"/>
          </w:tcPr>
          <w:p w:rsidR="005540D9" w:rsidRPr="001C7FE7" w:rsidRDefault="005540D9" w:rsidP="001C7FE7">
            <w:pPr>
              <w:ind w:right="1309"/>
              <w:jc w:val="right"/>
            </w:pPr>
            <w:r w:rsidRPr="001C7FE7">
              <w:t>555</w:t>
            </w:r>
          </w:p>
        </w:tc>
      </w:tr>
    </w:tbl>
    <w:p w:rsidR="005540D9" w:rsidRPr="001C7FE7" w:rsidRDefault="005540D9" w:rsidP="001C7FE7">
      <w:pPr>
        <w:pStyle w:val="SectionHeading"/>
      </w:pPr>
      <w:r w:rsidRPr="001C7FE7">
        <w:t>7 – Support Required</w:t>
      </w:r>
    </w:p>
    <w:p w:rsidR="005540D9" w:rsidRPr="001C7FE7" w:rsidRDefault="001C7FE7" w:rsidP="001C7FE7">
      <w:r w:rsidRPr="001C7FE7">
        <w:t>N/A</w:t>
      </w:r>
    </w:p>
    <w:p w:rsidR="005540D9" w:rsidRPr="00297B24" w:rsidRDefault="005540D9" w:rsidP="005540D9">
      <w:pPr>
        <w:pStyle w:val="SectionHeading"/>
      </w:pPr>
      <w:r>
        <w:t>8 –</w:t>
      </w:r>
      <w:r w:rsidRPr="00297B24">
        <w:t xml:space="preserve"> Other</w:t>
      </w:r>
    </w:p>
    <w:p w:rsidR="005540D9" w:rsidRPr="00297B24" w:rsidRDefault="001C7FE7" w:rsidP="005540D9">
      <w:pPr>
        <w:rPr>
          <w:szCs w:val="22"/>
        </w:rPr>
      </w:pPr>
      <w:r>
        <w:rPr>
          <w:szCs w:val="22"/>
        </w:rPr>
        <w:t>N/A</w:t>
      </w:r>
    </w:p>
    <w:p w:rsidR="005540D9" w:rsidRPr="00297B24" w:rsidRDefault="005540D9" w:rsidP="005540D9">
      <w:pPr>
        <w:pStyle w:val="SectionHeading"/>
      </w:pPr>
      <w:r>
        <w:t>9 –</w:t>
      </w:r>
      <w:r w:rsidRPr="00297B24">
        <w:t xml:space="preserve"> Assessment by other Authorities</w:t>
      </w:r>
    </w:p>
    <w:p w:rsidR="005540D9" w:rsidRPr="001C7FE7" w:rsidRDefault="001C7FE7" w:rsidP="001C7FE7">
      <w:r w:rsidRPr="001C7FE7">
        <w:t>N/A</w:t>
      </w:r>
    </w:p>
    <w:p w:rsidR="00AA5F79" w:rsidRPr="001C7FE7" w:rsidRDefault="00AA5F79" w:rsidP="001C7FE7"/>
    <w:p w:rsidR="00AA5F79" w:rsidRPr="001C7FE7" w:rsidRDefault="00AA5F79" w:rsidP="001C7FE7"/>
    <w:p w:rsidR="00AA5F79" w:rsidRPr="005540D9" w:rsidRDefault="00AA5F79" w:rsidP="005540D9"/>
    <w:p w:rsidR="00AA5F79" w:rsidRPr="00AA5F79" w:rsidRDefault="00FA4CE0" w:rsidP="00FA4CE0">
      <w:pPr>
        <w:pStyle w:val="Endofdocument-Annex"/>
      </w:pPr>
      <w:r>
        <w:t>[End of Annex and of document]</w:t>
      </w:r>
    </w:p>
    <w:sectPr w:rsidR="00AA5F79" w:rsidRPr="00AA5F79" w:rsidSect="00AA5F79">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0A4" w:rsidRDefault="00C650A4">
      <w:r>
        <w:separator/>
      </w:r>
    </w:p>
  </w:endnote>
  <w:endnote w:type="continuationSeparator" w:id="0">
    <w:p w:rsidR="00C650A4" w:rsidRDefault="00C650A4" w:rsidP="003B38C1">
      <w:r>
        <w:separator/>
      </w:r>
    </w:p>
    <w:p w:rsidR="00C650A4" w:rsidRPr="003B38C1" w:rsidRDefault="00C650A4" w:rsidP="003B38C1">
      <w:pPr>
        <w:spacing w:after="60"/>
        <w:rPr>
          <w:sz w:val="17"/>
        </w:rPr>
      </w:pPr>
      <w:r>
        <w:rPr>
          <w:sz w:val="17"/>
        </w:rPr>
        <w:t>[Endnote continued from previous page]</w:t>
      </w:r>
    </w:p>
  </w:endnote>
  <w:endnote w:type="continuationNotice" w:id="1">
    <w:p w:rsidR="00C650A4" w:rsidRPr="003B38C1" w:rsidRDefault="00C650A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0"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0A4" w:rsidRDefault="00C650A4">
      <w:r>
        <w:separator/>
      </w:r>
    </w:p>
  </w:footnote>
  <w:footnote w:type="continuationSeparator" w:id="0">
    <w:p w:rsidR="00C650A4" w:rsidRDefault="00C650A4" w:rsidP="008B60B2">
      <w:r>
        <w:separator/>
      </w:r>
    </w:p>
    <w:p w:rsidR="00C650A4" w:rsidRPr="00ED77FB" w:rsidRDefault="00C650A4" w:rsidP="008B60B2">
      <w:pPr>
        <w:spacing w:after="60"/>
        <w:rPr>
          <w:sz w:val="17"/>
          <w:szCs w:val="17"/>
        </w:rPr>
      </w:pPr>
      <w:r w:rsidRPr="00ED77FB">
        <w:rPr>
          <w:sz w:val="17"/>
          <w:szCs w:val="17"/>
        </w:rPr>
        <w:t>[Footnote continued from previous page]</w:t>
      </w:r>
    </w:p>
  </w:footnote>
  <w:footnote w:type="continuationNotice" w:id="1">
    <w:p w:rsidR="00C650A4" w:rsidRPr="00ED77FB" w:rsidRDefault="00C650A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C650A4" w:rsidP="00477D6B">
    <w:pPr>
      <w:jc w:val="right"/>
    </w:pPr>
    <w:bookmarkStart w:id="5" w:name="Code2"/>
    <w:bookmarkEnd w:id="5"/>
    <w:r>
      <w:t>PCT/CTC/30</w:t>
    </w:r>
    <w:r w:rsidR="001C7FE7">
      <w:t>/12</w:t>
    </w:r>
  </w:p>
  <w:p w:rsidR="00EC4E49" w:rsidRDefault="00EC4E49" w:rsidP="00477D6B">
    <w:pPr>
      <w:jc w:val="right"/>
    </w:pPr>
    <w:r>
      <w:t xml:space="preserve">page </w:t>
    </w:r>
    <w:r>
      <w:fldChar w:fldCharType="begin"/>
    </w:r>
    <w:r>
      <w:instrText xml:space="preserve"> PAGE  \* MERGEFORMAT </w:instrText>
    </w:r>
    <w:r>
      <w:fldChar w:fldCharType="separate"/>
    </w:r>
    <w:r w:rsidR="00FA4CE0">
      <w:rPr>
        <w:noProof/>
      </w:rPr>
      <w:t>2</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79" w:rsidRPr="00AA5F79" w:rsidRDefault="00AA5F79" w:rsidP="00477D6B">
    <w:pPr>
      <w:jc w:val="right"/>
      <w:rPr>
        <w:lang w:val="fr-FR"/>
      </w:rPr>
    </w:pPr>
    <w:r w:rsidRPr="00AA5F79">
      <w:rPr>
        <w:lang w:val="fr-FR"/>
      </w:rPr>
      <w:t>PCT/CTC/30</w:t>
    </w:r>
    <w:r w:rsidR="001C7FE7">
      <w:rPr>
        <w:lang w:val="fr-FR"/>
      </w:rPr>
      <w:t>/12</w:t>
    </w:r>
  </w:p>
  <w:p w:rsidR="00AA5F79" w:rsidRPr="00AA5F79" w:rsidRDefault="00AA5F79" w:rsidP="00477D6B">
    <w:pPr>
      <w:jc w:val="right"/>
      <w:rPr>
        <w:lang w:val="fr-FR"/>
      </w:rPr>
    </w:pPr>
    <w:r w:rsidRPr="00AA5F79">
      <w:rPr>
        <w:lang w:val="fr-FR"/>
      </w:rPr>
      <w:t xml:space="preserve">Annex, page </w:t>
    </w:r>
    <w:r>
      <w:fldChar w:fldCharType="begin"/>
    </w:r>
    <w:r w:rsidRPr="00AA5F79">
      <w:rPr>
        <w:lang w:val="fr-FR"/>
      </w:rPr>
      <w:instrText xml:space="preserve"> PAGE  \* MERGEFORMAT </w:instrText>
    </w:r>
    <w:r>
      <w:fldChar w:fldCharType="separate"/>
    </w:r>
    <w:r w:rsidR="00B92424">
      <w:rPr>
        <w:noProof/>
        <w:lang w:val="fr-FR"/>
      </w:rPr>
      <w:t>3</w:t>
    </w:r>
    <w:r>
      <w:fldChar w:fldCharType="end"/>
    </w:r>
  </w:p>
  <w:p w:rsidR="00AA5F79" w:rsidRPr="00AA5F79" w:rsidRDefault="00AA5F79"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79" w:rsidRDefault="00AA5F79" w:rsidP="00AA5F79">
    <w:pPr>
      <w:pStyle w:val="Header"/>
      <w:jc w:val="right"/>
    </w:pPr>
    <w:r>
      <w:t>PCT/CTC/30</w:t>
    </w:r>
    <w:r w:rsidR="001C7FE7">
      <w:t>/12</w:t>
    </w:r>
  </w:p>
  <w:p w:rsidR="00AA5F79" w:rsidRDefault="00AA5F79" w:rsidP="00AA5F79">
    <w:pPr>
      <w:pStyle w:val="Header"/>
      <w:jc w:val="right"/>
    </w:pPr>
    <w:r>
      <w:t>ANNEX</w:t>
    </w:r>
  </w:p>
  <w:p w:rsidR="00AA5F79" w:rsidRDefault="00AA5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9F8D458"/>
    <w:lvl w:ilvl="0">
      <w:start w:val="1"/>
      <w:numFmt w:val="decimal"/>
      <w:lvlText w:val="%1."/>
      <w:lvlJc w:val="left"/>
      <w:pPr>
        <w:tabs>
          <w:tab w:val="num" w:pos="643"/>
        </w:tabs>
        <w:ind w:left="643" w:hanging="360"/>
      </w:pPr>
    </w:lvl>
  </w:abstractNum>
  <w:abstractNum w:abstractNumId="1">
    <w:nsid w:val="FFFFFF83"/>
    <w:multiLevelType w:val="singleLevel"/>
    <w:tmpl w:val="F6F23BDE"/>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2164524A"/>
    <w:lvl w:ilvl="0">
      <w:start w:val="1"/>
      <w:numFmt w:val="decimal"/>
      <w:lvlText w:val="%1."/>
      <w:lvlJc w:val="left"/>
      <w:pPr>
        <w:tabs>
          <w:tab w:val="num" w:pos="360"/>
        </w:tabs>
        <w:ind w:left="360" w:hanging="36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2"/>
  </w:num>
  <w:num w:numId="4">
    <w:abstractNumId w:val="7"/>
  </w:num>
  <w:num w:numId="5">
    <w:abstractNumId w:val="3"/>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A4"/>
    <w:rsid w:val="00011582"/>
    <w:rsid w:val="00043CAA"/>
    <w:rsid w:val="00075432"/>
    <w:rsid w:val="000968ED"/>
    <w:rsid w:val="000F5E56"/>
    <w:rsid w:val="001362EE"/>
    <w:rsid w:val="001832A6"/>
    <w:rsid w:val="001C7FE7"/>
    <w:rsid w:val="0021217E"/>
    <w:rsid w:val="002634C4"/>
    <w:rsid w:val="002928D3"/>
    <w:rsid w:val="002F1FE6"/>
    <w:rsid w:val="002F4E68"/>
    <w:rsid w:val="00312F7F"/>
    <w:rsid w:val="0035027E"/>
    <w:rsid w:val="00361450"/>
    <w:rsid w:val="003673CF"/>
    <w:rsid w:val="003845C1"/>
    <w:rsid w:val="003A6F89"/>
    <w:rsid w:val="003B38C1"/>
    <w:rsid w:val="00423E3E"/>
    <w:rsid w:val="00427AF4"/>
    <w:rsid w:val="004349E8"/>
    <w:rsid w:val="004647DA"/>
    <w:rsid w:val="00474062"/>
    <w:rsid w:val="00477D6B"/>
    <w:rsid w:val="004F74E6"/>
    <w:rsid w:val="005019FF"/>
    <w:rsid w:val="0053057A"/>
    <w:rsid w:val="005540D9"/>
    <w:rsid w:val="00560A29"/>
    <w:rsid w:val="005C40A3"/>
    <w:rsid w:val="005C6649"/>
    <w:rsid w:val="00605827"/>
    <w:rsid w:val="00646050"/>
    <w:rsid w:val="006713CA"/>
    <w:rsid w:val="00676C5C"/>
    <w:rsid w:val="0076212A"/>
    <w:rsid w:val="007D1613"/>
    <w:rsid w:val="007E4C0E"/>
    <w:rsid w:val="00837953"/>
    <w:rsid w:val="008B2CC1"/>
    <w:rsid w:val="008B50A2"/>
    <w:rsid w:val="008B60B2"/>
    <w:rsid w:val="0090731E"/>
    <w:rsid w:val="00916EE2"/>
    <w:rsid w:val="00940F40"/>
    <w:rsid w:val="00966A22"/>
    <w:rsid w:val="0096722F"/>
    <w:rsid w:val="00980843"/>
    <w:rsid w:val="009E2791"/>
    <w:rsid w:val="009E3F6F"/>
    <w:rsid w:val="009F499F"/>
    <w:rsid w:val="009F6A3C"/>
    <w:rsid w:val="00A42DAF"/>
    <w:rsid w:val="00A45BD8"/>
    <w:rsid w:val="00A869B7"/>
    <w:rsid w:val="00A93FC2"/>
    <w:rsid w:val="00AA5F79"/>
    <w:rsid w:val="00AC205C"/>
    <w:rsid w:val="00AF0A6B"/>
    <w:rsid w:val="00B05A69"/>
    <w:rsid w:val="00B92424"/>
    <w:rsid w:val="00B9734B"/>
    <w:rsid w:val="00BA30E2"/>
    <w:rsid w:val="00BD078D"/>
    <w:rsid w:val="00C11BFE"/>
    <w:rsid w:val="00C37C03"/>
    <w:rsid w:val="00C5068F"/>
    <w:rsid w:val="00C650A4"/>
    <w:rsid w:val="00CD04F1"/>
    <w:rsid w:val="00D45252"/>
    <w:rsid w:val="00D71B4D"/>
    <w:rsid w:val="00D93D55"/>
    <w:rsid w:val="00E15015"/>
    <w:rsid w:val="00E335FE"/>
    <w:rsid w:val="00E82D0C"/>
    <w:rsid w:val="00EC4E49"/>
    <w:rsid w:val="00ED77FB"/>
    <w:rsid w:val="00EE45FA"/>
    <w:rsid w:val="00F66152"/>
    <w:rsid w:val="00FA4CE0"/>
    <w:rsid w:val="00FD06A7"/>
    <w:rsid w:val="00FF2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customStyle="1" w:styleId="FootnoteTextChar">
    <w:name w:val="Footnote Text Char"/>
    <w:basedOn w:val="DefaultParagraphFont"/>
    <w:link w:val="FootnoteText"/>
    <w:semiHidden/>
    <w:rsid w:val="005540D9"/>
    <w:rPr>
      <w:rFonts w:ascii="Arial" w:eastAsia="SimSun" w:hAnsi="Arial" w:cs="Arial"/>
      <w:sz w:val="18"/>
      <w:lang w:eastAsia="zh-CN"/>
    </w:rPr>
  </w:style>
  <w:style w:type="character" w:styleId="FootnoteReference">
    <w:name w:val="footnote reference"/>
    <w:basedOn w:val="DefaultParagraphFont"/>
    <w:rsid w:val="005540D9"/>
    <w:rPr>
      <w:vertAlign w:val="superscript"/>
    </w:rPr>
  </w:style>
  <w:style w:type="character" w:customStyle="1" w:styleId="InsertedText">
    <w:name w:val="Inserted Text"/>
    <w:qFormat/>
    <w:rsid w:val="005540D9"/>
    <w:rPr>
      <w:color w:val="0000FF"/>
      <w:u w:val="single"/>
    </w:rPr>
  </w:style>
  <w:style w:type="paragraph" w:customStyle="1" w:styleId="SectionHeading">
    <w:name w:val="Section Heading"/>
    <w:basedOn w:val="Heading1"/>
    <w:link w:val="SectionHeadingChar"/>
    <w:qFormat/>
    <w:rsid w:val="005540D9"/>
    <w:pPr>
      <w:pBdr>
        <w:top w:val="single" w:sz="4" w:space="1" w:color="auto"/>
        <w:bottom w:val="single" w:sz="4" w:space="1" w:color="auto"/>
      </w:pBdr>
      <w:spacing w:before="360" w:after="200"/>
    </w:pPr>
    <w:rPr>
      <w:rFonts w:ascii="Arial Bold" w:hAnsi="Arial Bold"/>
    </w:rPr>
  </w:style>
  <w:style w:type="character" w:customStyle="1" w:styleId="SectionHeadingChar">
    <w:name w:val="Section Heading Char"/>
    <w:basedOn w:val="DefaultParagraphFont"/>
    <w:link w:val="SectionHeading"/>
    <w:rsid w:val="005540D9"/>
    <w:rPr>
      <w:rFonts w:ascii="Arial Bold" w:eastAsia="SimSun" w:hAnsi="Arial Bold" w:cs="Arial"/>
      <w:b/>
      <w:bCs/>
      <w:caps/>
      <w:kern w:val="32"/>
      <w:sz w:val="22"/>
      <w:szCs w:val="32"/>
      <w:lang w:eastAsia="zh-CN"/>
    </w:rPr>
  </w:style>
  <w:style w:type="character" w:styleId="Hyperlink">
    <w:name w:val="Hyperlink"/>
    <w:basedOn w:val="DefaultParagraphFont"/>
    <w:uiPriority w:val="99"/>
    <w:unhideWhenUsed/>
    <w:rsid w:val="004349E8"/>
  </w:style>
  <w:style w:type="paragraph" w:customStyle="1" w:styleId="mw-mmv-image-desc">
    <w:name w:val="mw-mmv-image-desc"/>
    <w:basedOn w:val="Normal"/>
    <w:rsid w:val="005540D9"/>
    <w:pPr>
      <w:spacing w:before="100" w:beforeAutospacing="1" w:after="100" w:afterAutospacing="1"/>
    </w:pPr>
    <w:rPr>
      <w:rFonts w:ascii="Times New Roman" w:eastAsia="Times New Roman" w:hAnsi="Times New Roman" w:cs="Times New Roman"/>
      <w:color w:val="555555"/>
      <w:sz w:val="23"/>
      <w:szCs w:val="23"/>
      <w:lang w:val="fi-FI" w:eastAsia="fi-FI"/>
    </w:rPr>
  </w:style>
  <w:style w:type="table" w:styleId="TableGrid">
    <w:name w:val="Table Grid"/>
    <w:basedOn w:val="TableNormal"/>
    <w:uiPriority w:val="39"/>
    <w:rsid w:val="005540D9"/>
    <w:rPr>
      <w:rFonts w:asciiTheme="minorHAnsi" w:eastAsiaTheme="minorHAnsi" w:hAnsiTheme="minorHAnsi" w:cstheme="minorBidi"/>
      <w:sz w:val="22"/>
      <w:szCs w:val="22"/>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customStyle="1" w:styleId="FootnoteTextChar">
    <w:name w:val="Footnote Text Char"/>
    <w:basedOn w:val="DefaultParagraphFont"/>
    <w:link w:val="FootnoteText"/>
    <w:semiHidden/>
    <w:rsid w:val="005540D9"/>
    <w:rPr>
      <w:rFonts w:ascii="Arial" w:eastAsia="SimSun" w:hAnsi="Arial" w:cs="Arial"/>
      <w:sz w:val="18"/>
      <w:lang w:eastAsia="zh-CN"/>
    </w:rPr>
  </w:style>
  <w:style w:type="character" w:styleId="FootnoteReference">
    <w:name w:val="footnote reference"/>
    <w:basedOn w:val="DefaultParagraphFont"/>
    <w:rsid w:val="005540D9"/>
    <w:rPr>
      <w:vertAlign w:val="superscript"/>
    </w:rPr>
  </w:style>
  <w:style w:type="character" w:customStyle="1" w:styleId="InsertedText">
    <w:name w:val="Inserted Text"/>
    <w:qFormat/>
    <w:rsid w:val="005540D9"/>
    <w:rPr>
      <w:color w:val="0000FF"/>
      <w:u w:val="single"/>
    </w:rPr>
  </w:style>
  <w:style w:type="paragraph" w:customStyle="1" w:styleId="SectionHeading">
    <w:name w:val="Section Heading"/>
    <w:basedOn w:val="Heading1"/>
    <w:link w:val="SectionHeadingChar"/>
    <w:qFormat/>
    <w:rsid w:val="005540D9"/>
    <w:pPr>
      <w:pBdr>
        <w:top w:val="single" w:sz="4" w:space="1" w:color="auto"/>
        <w:bottom w:val="single" w:sz="4" w:space="1" w:color="auto"/>
      </w:pBdr>
      <w:spacing w:before="360" w:after="200"/>
    </w:pPr>
    <w:rPr>
      <w:rFonts w:ascii="Arial Bold" w:hAnsi="Arial Bold"/>
    </w:rPr>
  </w:style>
  <w:style w:type="character" w:customStyle="1" w:styleId="SectionHeadingChar">
    <w:name w:val="Section Heading Char"/>
    <w:basedOn w:val="DefaultParagraphFont"/>
    <w:link w:val="SectionHeading"/>
    <w:rsid w:val="005540D9"/>
    <w:rPr>
      <w:rFonts w:ascii="Arial Bold" w:eastAsia="SimSun" w:hAnsi="Arial Bold" w:cs="Arial"/>
      <w:b/>
      <w:bCs/>
      <w:caps/>
      <w:kern w:val="32"/>
      <w:sz w:val="22"/>
      <w:szCs w:val="32"/>
      <w:lang w:eastAsia="zh-CN"/>
    </w:rPr>
  </w:style>
  <w:style w:type="character" w:styleId="Hyperlink">
    <w:name w:val="Hyperlink"/>
    <w:basedOn w:val="DefaultParagraphFont"/>
    <w:uiPriority w:val="99"/>
    <w:unhideWhenUsed/>
    <w:rsid w:val="004349E8"/>
  </w:style>
  <w:style w:type="paragraph" w:customStyle="1" w:styleId="mw-mmv-image-desc">
    <w:name w:val="mw-mmv-image-desc"/>
    <w:basedOn w:val="Normal"/>
    <w:rsid w:val="005540D9"/>
    <w:pPr>
      <w:spacing w:before="100" w:beforeAutospacing="1" w:after="100" w:afterAutospacing="1"/>
    </w:pPr>
    <w:rPr>
      <w:rFonts w:ascii="Times New Roman" w:eastAsia="Times New Roman" w:hAnsi="Times New Roman" w:cs="Times New Roman"/>
      <w:color w:val="555555"/>
      <w:sz w:val="23"/>
      <w:szCs w:val="23"/>
      <w:lang w:val="fi-FI" w:eastAsia="fi-FI"/>
    </w:rPr>
  </w:style>
  <w:style w:type="table" w:styleId="TableGrid">
    <w:name w:val="Table Grid"/>
    <w:basedOn w:val="TableNormal"/>
    <w:uiPriority w:val="39"/>
    <w:rsid w:val="005540D9"/>
    <w:rPr>
      <w:rFonts w:asciiTheme="minorHAnsi" w:eastAsiaTheme="minorHAnsi" w:hAnsiTheme="minorHAnsi" w:cstheme="minorBidi"/>
      <w:sz w:val="22"/>
      <w:szCs w:val="22"/>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pct/en/quality/authorities.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CTC%203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EC80E-8BD4-4E4B-A4D9-688600334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CTC 30 (E).dotm</Template>
  <TotalTime>31</TotalTime>
  <Pages>10</Pages>
  <Words>2681</Words>
  <Characters>15926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PCT/CTC/30/</vt:lpstr>
    </vt:vector>
  </TitlesOfParts>
  <Company>WIPO</Company>
  <LinksUpToDate>false</LinksUpToDate>
  <CharactersWithSpaces>18570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PCT/CTC/30/12</dc:title>
  <dc:subject>Extension of Appointment of the Finnish Patent and Registration Office as an International Searching and Preliminary Examining Authority Under the PCT</dc:subject>
  <dc:creator>MARLOW Thomas</dc:creator>
  <cp:lastModifiedBy>RICHARDSON Michael</cp:lastModifiedBy>
  <cp:revision>6</cp:revision>
  <cp:lastPrinted>2017-02-28T14:25:00Z</cp:lastPrinted>
  <dcterms:created xsi:type="dcterms:W3CDTF">2017-03-14T08:05:00Z</dcterms:created>
  <dcterms:modified xsi:type="dcterms:W3CDTF">2017-03-16T16:12:00Z</dcterms:modified>
</cp:coreProperties>
</file>