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D078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BD078D">
            <w:pPr>
              <w:jc w:val="right"/>
              <w:rPr>
                <w:rFonts w:ascii="Arial Black" w:hAnsi="Arial Black"/>
                <w:caps/>
                <w:sz w:val="15"/>
              </w:rPr>
            </w:pPr>
            <w:r>
              <w:rPr>
                <w:rFonts w:ascii="Arial Black" w:hAnsi="Arial Black"/>
                <w:caps/>
                <w:sz w:val="15"/>
              </w:rPr>
              <w:t>PCT/CTC/30</w:t>
            </w:r>
            <w:r w:rsidR="0002705D">
              <w:rPr>
                <w:rFonts w:ascii="Arial Black" w:hAnsi="Arial Black"/>
                <w:caps/>
                <w:sz w:val="15"/>
              </w:rPr>
              <w:t>/10</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0" w:name="Original"/>
            <w:bookmarkEnd w:id="0"/>
            <w:r w:rsidR="00C650A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84D4F">
            <w:pPr>
              <w:jc w:val="right"/>
              <w:rPr>
                <w:rFonts w:ascii="Arial Black" w:hAnsi="Arial Black"/>
                <w:caps/>
                <w:sz w:val="15"/>
              </w:rPr>
            </w:pPr>
            <w:r w:rsidRPr="0090731E">
              <w:rPr>
                <w:rFonts w:ascii="Arial Black" w:hAnsi="Arial Black"/>
                <w:caps/>
                <w:sz w:val="15"/>
              </w:rPr>
              <w:t xml:space="preserve">DATE: </w:t>
            </w:r>
            <w:bookmarkStart w:id="1" w:name="Date"/>
            <w:bookmarkEnd w:id="1"/>
            <w:r w:rsidR="00C650A4">
              <w:rPr>
                <w:rFonts w:ascii="Arial Black" w:hAnsi="Arial Black"/>
                <w:caps/>
                <w:sz w:val="15"/>
              </w:rPr>
              <w:t xml:space="preserve">March </w:t>
            </w:r>
            <w:r w:rsidR="0002705D">
              <w:rPr>
                <w:rFonts w:ascii="Arial Black" w:hAnsi="Arial Black"/>
                <w:caps/>
                <w:sz w:val="15"/>
              </w:rPr>
              <w:t>1</w:t>
            </w:r>
            <w:r w:rsidR="00084D4F">
              <w:rPr>
                <w:rFonts w:ascii="Arial Black" w:hAnsi="Arial Black"/>
                <w:caps/>
                <w:sz w:val="15"/>
              </w:rPr>
              <w:t>6</w:t>
            </w:r>
            <w:r w:rsidR="00C650A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650A4" w:rsidP="008B2CC1">
      <w:pPr>
        <w:rPr>
          <w:caps/>
          <w:sz w:val="24"/>
        </w:rPr>
      </w:pPr>
      <w:bookmarkStart w:id="2" w:name="TitleOfDoc"/>
      <w:bookmarkEnd w:id="2"/>
      <w:r>
        <w:rPr>
          <w:caps/>
          <w:sz w:val="24"/>
        </w:rPr>
        <w:t xml:space="preserve">Extension of Appointment of </w:t>
      </w:r>
      <w:r w:rsidR="00845175" w:rsidRPr="00845175">
        <w:rPr>
          <w:caps/>
          <w:sz w:val="24"/>
        </w:rPr>
        <w:t>the European Patent Office</w:t>
      </w:r>
      <w:r w:rsidR="00C37C03">
        <w:rPr>
          <w:caps/>
          <w:sz w:val="24"/>
        </w:rPr>
        <w:t xml:space="preserve"> as an International Searching and Preliminary Examining Authority Under the </w:t>
      </w:r>
      <w:r>
        <w:rPr>
          <w:caps/>
          <w:sz w:val="24"/>
        </w:rPr>
        <w:t>PCT</w:t>
      </w:r>
    </w:p>
    <w:p w:rsidR="008B2CC1" w:rsidRPr="008B2CC1" w:rsidRDefault="008B2CC1" w:rsidP="008B2CC1"/>
    <w:p w:rsidR="008B2CC1" w:rsidRPr="008B2CC1" w:rsidRDefault="00C650A4" w:rsidP="008B2CC1">
      <w:pPr>
        <w:rPr>
          <w:i/>
        </w:rPr>
      </w:pPr>
      <w:bookmarkStart w:id="3" w:name="Prepared"/>
      <w:bookmarkEnd w:id="3"/>
      <w:r>
        <w:rPr>
          <w:i/>
        </w:rPr>
        <w:t>Document prepared by the International Bureau</w:t>
      </w:r>
    </w:p>
    <w:p w:rsidR="00AC205C" w:rsidRDefault="00AC205C"/>
    <w:p w:rsidR="000F5E56" w:rsidRDefault="000F5E56"/>
    <w:p w:rsidR="002928D3" w:rsidRDefault="002928D3"/>
    <w:p w:rsidR="002928D3" w:rsidRDefault="002928D3" w:rsidP="0053057A"/>
    <w:p w:rsidR="005C40A3" w:rsidRDefault="00A93FC2" w:rsidP="005C40A3">
      <w:pPr>
        <w:pStyle w:val="ONUME"/>
      </w:pPr>
      <w:bookmarkStart w:id="4" w:name="_Ref447032909"/>
      <w:r>
        <w:t>All</w:t>
      </w:r>
      <w:r w:rsidR="005C40A3">
        <w:t xml:space="preserve"> of the existing International Authorities w</w:t>
      </w:r>
      <w:r>
        <w:t>ere</w:t>
      </w:r>
      <w:r w:rsidR="005C40A3">
        <w:t xml:space="preserve"> appointed by the </w:t>
      </w:r>
      <w:r w:rsidR="008B50A2">
        <w:t xml:space="preserve">PCT </w:t>
      </w:r>
      <w:r w:rsidR="005C40A3">
        <w:t>Assembly for a period ending on December 31, 2017.  In 2017, the Assembly will therefore need to make a decision on the extension of the appointment of each existing International Authority that wishes to seek an extension of its appointment, having first sought the advice of th</w:t>
      </w:r>
      <w:r w:rsidR="00FD06A7">
        <w:t xml:space="preserve">is Committee </w:t>
      </w:r>
      <w:r w:rsidR="005C40A3">
        <w:t>(see PCT Articles 16(3</w:t>
      </w:r>
      <w:proofErr w:type="gramStart"/>
      <w:r w:rsidR="005C40A3">
        <w:t>)(</w:t>
      </w:r>
      <w:proofErr w:type="gramEnd"/>
      <w:r w:rsidR="005C40A3">
        <w:t>e) and 32(3)).</w:t>
      </w:r>
      <w:bookmarkEnd w:id="4"/>
      <w:r w:rsidR="0035027E">
        <w:t xml:space="preserve">  </w:t>
      </w:r>
      <w:r w:rsidR="004F74E6">
        <w:t>I</w:t>
      </w:r>
      <w:r w:rsidR="0035027E">
        <w:t>nformation concerning this process and the role of the Committee is set out in document PCT/CTC/30/INF/1.</w:t>
      </w:r>
    </w:p>
    <w:p w:rsidR="005C40A3" w:rsidRDefault="00AA5F79" w:rsidP="005C40A3">
      <w:pPr>
        <w:pStyle w:val="ONUME"/>
      </w:pPr>
      <w:r>
        <w:t>On March </w:t>
      </w:r>
      <w:r w:rsidR="00845175">
        <w:t>2</w:t>
      </w:r>
      <w:r>
        <w:t>, 2017, t</w:t>
      </w:r>
      <w:r w:rsidR="005C40A3">
        <w:t xml:space="preserve">he </w:t>
      </w:r>
      <w:r w:rsidR="00845175">
        <w:t>European Patent Office</w:t>
      </w:r>
      <w:r w:rsidR="005C40A3">
        <w:t xml:space="preserve"> submitted its application </w:t>
      </w:r>
      <w:r>
        <w:t>to extend its appointment as an International Searching Authority and International Preliminary Examining Authority under the PCT.  This application is reproduced in the Annex to this document.</w:t>
      </w:r>
    </w:p>
    <w:p w:rsidR="005C40A3" w:rsidRPr="00AA5F79" w:rsidRDefault="00AA5F79" w:rsidP="0035027E">
      <w:pPr>
        <w:pStyle w:val="ONUME"/>
        <w:tabs>
          <w:tab w:val="left" w:pos="6096"/>
        </w:tabs>
        <w:ind w:left="5533"/>
        <w:rPr>
          <w:i/>
        </w:rPr>
      </w:pPr>
      <w:r w:rsidRPr="00AA5F79">
        <w:rPr>
          <w:i/>
        </w:rPr>
        <w:t>The Committee is invited to give its advice on this matter.</w:t>
      </w:r>
    </w:p>
    <w:p w:rsidR="00AA5F79" w:rsidRDefault="00AA5F79" w:rsidP="00AA5F79">
      <w:pPr>
        <w:pStyle w:val="ONUME"/>
        <w:numPr>
          <w:ilvl w:val="0"/>
          <w:numId w:val="0"/>
        </w:numPr>
      </w:pPr>
    </w:p>
    <w:p w:rsidR="00AA5F79" w:rsidRDefault="00AA5F79" w:rsidP="00AA5F79">
      <w:pPr>
        <w:pStyle w:val="ONUME"/>
        <w:numPr>
          <w:ilvl w:val="0"/>
          <w:numId w:val="0"/>
        </w:numPr>
        <w:ind w:left="5533"/>
        <w:sectPr w:rsidR="00AA5F79"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AA5F79">
        <w:t>[Annex follows]</w:t>
      </w:r>
    </w:p>
    <w:p w:rsidR="00AA5F79" w:rsidRPr="00AA5F79" w:rsidRDefault="00AA5F79" w:rsidP="00AA5F79">
      <w:pPr>
        <w:pStyle w:val="ONUME"/>
        <w:numPr>
          <w:ilvl w:val="0"/>
          <w:numId w:val="0"/>
        </w:numPr>
        <w:jc w:val="center"/>
        <w:rPr>
          <w:caps/>
        </w:rPr>
      </w:pPr>
      <w:r w:rsidRPr="00AA5F79">
        <w:rPr>
          <w:caps/>
        </w:rPr>
        <w:lastRenderedPageBreak/>
        <w:t xml:space="preserve">Application of </w:t>
      </w:r>
      <w:r w:rsidR="00845175" w:rsidRPr="00845175">
        <w:rPr>
          <w:caps/>
        </w:rPr>
        <w:t>the European Patent Office</w:t>
      </w:r>
      <w:r w:rsidRPr="00AA5F79">
        <w:rPr>
          <w:caps/>
        </w:rPr>
        <w:t xml:space="preserve"> for</w:t>
      </w:r>
      <w:r w:rsidR="00011582">
        <w:rPr>
          <w:caps/>
        </w:rPr>
        <w:t> Extension of </w:t>
      </w:r>
      <w:r w:rsidRPr="00AA5F79">
        <w:rPr>
          <w:caps/>
        </w:rPr>
        <w:t>Appointment</w:t>
      </w:r>
      <w:r>
        <w:rPr>
          <w:caps/>
        </w:rPr>
        <w:t xml:space="preserve"> </w:t>
      </w:r>
      <w:r>
        <w:rPr>
          <w:caps/>
        </w:rPr>
        <w:br/>
      </w:r>
      <w:r w:rsidR="00011582">
        <w:rPr>
          <w:caps/>
        </w:rPr>
        <w:t>as an International Searching </w:t>
      </w:r>
      <w:r>
        <w:rPr>
          <w:caps/>
        </w:rPr>
        <w:t xml:space="preserve">and </w:t>
      </w:r>
      <w:r w:rsidR="00011582">
        <w:rPr>
          <w:caps/>
        </w:rPr>
        <w:t>Preliminary Examining </w:t>
      </w:r>
      <w:r w:rsidRPr="00AA5F79">
        <w:rPr>
          <w:caps/>
        </w:rPr>
        <w:t>Authority</w:t>
      </w:r>
      <w:r w:rsidR="00011582">
        <w:rPr>
          <w:caps/>
        </w:rPr>
        <w:t> Under the </w:t>
      </w:r>
      <w:r w:rsidRPr="00AA5F79">
        <w:rPr>
          <w:caps/>
        </w:rPr>
        <w:t>PCT</w:t>
      </w:r>
    </w:p>
    <w:p w:rsidR="00AA5F79" w:rsidRDefault="00AA5F79" w:rsidP="00845175"/>
    <w:p w:rsidR="00845175" w:rsidRDefault="00845175" w:rsidP="00845175"/>
    <w:p w:rsidR="00845175" w:rsidRPr="00297B24" w:rsidRDefault="00845175" w:rsidP="00845175">
      <w:pPr>
        <w:pStyle w:val="SectionHeading"/>
      </w:pPr>
      <w:r w:rsidRPr="00297B24">
        <w:t>1 – General</w:t>
      </w:r>
    </w:p>
    <w:p w:rsidR="00845175" w:rsidRPr="00297B24" w:rsidRDefault="00845175" w:rsidP="00845175">
      <w:pPr>
        <w:rPr>
          <w:b/>
          <w:bCs/>
          <w:szCs w:val="22"/>
        </w:rPr>
      </w:pPr>
      <w:r w:rsidRPr="00297B24">
        <w:rPr>
          <w:b/>
          <w:bCs/>
          <w:szCs w:val="22"/>
        </w:rPr>
        <w:t xml:space="preserve">Name of </w:t>
      </w:r>
      <w:r w:rsidRPr="007557C7">
        <w:rPr>
          <w:b/>
          <w:bCs/>
          <w:szCs w:val="22"/>
        </w:rPr>
        <w:t>national</w:t>
      </w:r>
      <w:r>
        <w:rPr>
          <w:b/>
          <w:bCs/>
          <w:szCs w:val="22"/>
        </w:rPr>
        <w:t xml:space="preserve"> </w:t>
      </w:r>
      <w:r w:rsidRPr="00297B24">
        <w:rPr>
          <w:b/>
          <w:bCs/>
          <w:szCs w:val="22"/>
        </w:rPr>
        <w:t>Office</w:t>
      </w:r>
      <w:r>
        <w:rPr>
          <w:b/>
          <w:bCs/>
          <w:szCs w:val="22"/>
        </w:rPr>
        <w:t xml:space="preserve"> or </w:t>
      </w:r>
      <w:r w:rsidRPr="007557C7">
        <w:rPr>
          <w:b/>
          <w:bCs/>
          <w:szCs w:val="22"/>
        </w:rPr>
        <w:t>intergovernmental organization</w:t>
      </w:r>
      <w:r w:rsidRPr="00297B24">
        <w:rPr>
          <w:b/>
          <w:bCs/>
          <w:szCs w:val="22"/>
        </w:rPr>
        <w:t>:</w:t>
      </w:r>
      <w:r w:rsidRPr="00297B24">
        <w:rPr>
          <w:szCs w:val="22"/>
        </w:rPr>
        <w:t xml:space="preserve">  </w:t>
      </w:r>
      <w:r>
        <w:rPr>
          <w:szCs w:val="22"/>
        </w:rPr>
        <w:t>European Patent Office (EPO)</w:t>
      </w:r>
    </w:p>
    <w:p w:rsidR="00845175" w:rsidRDefault="00845175" w:rsidP="00845175">
      <w:pPr>
        <w:rPr>
          <w:szCs w:val="22"/>
        </w:rPr>
      </w:pPr>
    </w:p>
    <w:p w:rsidR="00845175" w:rsidRPr="00845175" w:rsidRDefault="00845175" w:rsidP="00845175">
      <w:pPr>
        <w:rPr>
          <w:szCs w:val="22"/>
        </w:rPr>
      </w:pPr>
      <w:r w:rsidRPr="007557C7">
        <w:rPr>
          <w:b/>
          <w:szCs w:val="22"/>
        </w:rPr>
        <w:t>Date on which application for appointment was received by the Director General:</w:t>
      </w:r>
      <w:r>
        <w:rPr>
          <w:szCs w:val="22"/>
        </w:rPr>
        <w:t xml:space="preserve">  March 2, 2017</w:t>
      </w:r>
    </w:p>
    <w:p w:rsidR="00845175" w:rsidRPr="00297B24" w:rsidRDefault="00845175" w:rsidP="00845175">
      <w:pPr>
        <w:rPr>
          <w:szCs w:val="22"/>
        </w:rPr>
      </w:pPr>
    </w:p>
    <w:p w:rsidR="00845175" w:rsidRPr="00297B24" w:rsidRDefault="00845175" w:rsidP="00845175">
      <w:pPr>
        <w:rPr>
          <w:szCs w:val="22"/>
        </w:rPr>
      </w:pPr>
      <w:r w:rsidRPr="00297B24">
        <w:rPr>
          <w:b/>
          <w:bCs/>
          <w:szCs w:val="22"/>
        </w:rPr>
        <w:t>Session of the Assembly at which appointment is to be sought:</w:t>
      </w:r>
      <w:r w:rsidRPr="00297B24">
        <w:rPr>
          <w:szCs w:val="22"/>
        </w:rPr>
        <w:t xml:space="preserve">  </w:t>
      </w:r>
      <w:r>
        <w:rPr>
          <w:szCs w:val="22"/>
        </w:rPr>
        <w:t>2017</w:t>
      </w:r>
    </w:p>
    <w:p w:rsidR="00845175" w:rsidRPr="00297B24" w:rsidRDefault="00845175" w:rsidP="00845175">
      <w:pPr>
        <w:rPr>
          <w:szCs w:val="22"/>
        </w:rPr>
      </w:pPr>
    </w:p>
    <w:p w:rsidR="00845175" w:rsidRPr="00297B24" w:rsidRDefault="00845175" w:rsidP="00845175">
      <w:pPr>
        <w:rPr>
          <w:szCs w:val="22"/>
        </w:rPr>
      </w:pPr>
      <w:r>
        <w:rPr>
          <w:b/>
          <w:bCs/>
          <w:szCs w:val="22"/>
        </w:rPr>
        <w:t>D</w:t>
      </w:r>
      <w:r w:rsidRPr="00297B24">
        <w:rPr>
          <w:b/>
          <w:bCs/>
          <w:szCs w:val="22"/>
        </w:rPr>
        <w:t>ate at which operation as ISA/IPEA commence</w:t>
      </w:r>
      <w:r>
        <w:rPr>
          <w:b/>
          <w:bCs/>
          <w:szCs w:val="22"/>
        </w:rPr>
        <w:t>d</w:t>
      </w:r>
      <w:r w:rsidRPr="00297B24">
        <w:rPr>
          <w:b/>
          <w:bCs/>
          <w:szCs w:val="22"/>
        </w:rPr>
        <w:t>:</w:t>
      </w:r>
      <w:r w:rsidRPr="00297B24">
        <w:rPr>
          <w:szCs w:val="22"/>
        </w:rPr>
        <w:t xml:space="preserve"> </w:t>
      </w:r>
      <w:r>
        <w:rPr>
          <w:szCs w:val="22"/>
        </w:rPr>
        <w:t>the EPO started operating as ISA and IPEA in 1978.</w:t>
      </w:r>
      <w:r w:rsidRPr="00297B24">
        <w:rPr>
          <w:szCs w:val="22"/>
        </w:rPr>
        <w:t xml:space="preserve"> </w:t>
      </w:r>
    </w:p>
    <w:p w:rsidR="00845175" w:rsidRPr="00297B24" w:rsidRDefault="00845175" w:rsidP="00845175">
      <w:pPr>
        <w:rPr>
          <w:szCs w:val="22"/>
        </w:rPr>
      </w:pPr>
    </w:p>
    <w:p w:rsidR="00845175" w:rsidRDefault="00845175" w:rsidP="00845175">
      <w:pPr>
        <w:rPr>
          <w:szCs w:val="22"/>
        </w:rPr>
      </w:pPr>
      <w:r w:rsidRPr="00297B24">
        <w:rPr>
          <w:b/>
          <w:bCs/>
          <w:szCs w:val="22"/>
        </w:rPr>
        <w:t>Existing ISA/IPEA(s) assisting in assessment of extent to which criteria met:</w:t>
      </w:r>
      <w:r w:rsidRPr="00297B24">
        <w:rPr>
          <w:szCs w:val="22"/>
        </w:rPr>
        <w:t xml:space="preserve">  </w:t>
      </w:r>
      <w:proofErr w:type="gramStart"/>
      <w:r>
        <w:rPr>
          <w:szCs w:val="22"/>
        </w:rPr>
        <w:t>n/a</w:t>
      </w:r>
      <w:proofErr w:type="gramEnd"/>
    </w:p>
    <w:p w:rsidR="00845175" w:rsidRPr="00845175" w:rsidRDefault="00845175" w:rsidP="00845175">
      <w:pPr>
        <w:pStyle w:val="SectionHeading"/>
      </w:pPr>
      <w:r w:rsidRPr="00845175">
        <w:t>2 – Substantive Criteria:  Minimum Requirements for Appointment</w:t>
      </w:r>
    </w:p>
    <w:p w:rsidR="00845175" w:rsidRPr="00845175" w:rsidRDefault="00845175" w:rsidP="00845175">
      <w:pPr>
        <w:rPr>
          <w:sz w:val="16"/>
          <w:szCs w:val="16"/>
        </w:rPr>
      </w:pPr>
    </w:p>
    <w:p w:rsidR="00845175" w:rsidRPr="00297B24" w:rsidRDefault="00845175" w:rsidP="00FA1150">
      <w:pPr>
        <w:pStyle w:val="SectionHeading"/>
        <w:spacing w:before="0"/>
      </w:pPr>
      <w:r>
        <w:t>2.1</w:t>
      </w:r>
      <w:r w:rsidRPr="00297B24">
        <w:t>– Search and Examination Capacity</w:t>
      </w:r>
    </w:p>
    <w:p w:rsidR="00845175" w:rsidRPr="00845175" w:rsidRDefault="00845175" w:rsidP="00845175">
      <w:pPr>
        <w:rPr>
          <w:b/>
          <w:i/>
        </w:rPr>
      </w:pPr>
      <w:r w:rsidRPr="00845175">
        <w:rPr>
          <w:b/>
          <w:i/>
        </w:rPr>
        <w:t>Rules 36.1(</w:t>
      </w:r>
      <w:proofErr w:type="spellStart"/>
      <w:r w:rsidRPr="00845175">
        <w:rPr>
          <w:b/>
          <w:i/>
        </w:rPr>
        <w:t>i</w:t>
      </w:r>
      <w:proofErr w:type="spellEnd"/>
      <w:r w:rsidRPr="00845175">
        <w:rPr>
          <w:b/>
          <w:i/>
        </w:rPr>
        <w:t>) and 63.1(</w:t>
      </w:r>
      <w:proofErr w:type="spellStart"/>
      <w:r w:rsidRPr="00845175">
        <w:rPr>
          <w:b/>
          <w:i/>
        </w:rPr>
        <w:t>i</w:t>
      </w:r>
      <w:proofErr w:type="spellEnd"/>
      <w:r w:rsidRPr="00845175">
        <w:rPr>
          <w:b/>
          <w:i/>
        </w:rPr>
        <w:t>):  The national Office or intergovernmental organization must have at least 100 full-time employees with sufficient technical qualifications to carry out searches and examinations.</w:t>
      </w:r>
    </w:p>
    <w:p w:rsidR="00845175" w:rsidRDefault="00845175" w:rsidP="00845175">
      <w:pPr>
        <w:keepNext/>
        <w:keepLines/>
        <w:rPr>
          <w:b/>
          <w:bCs/>
          <w:szCs w:val="22"/>
        </w:rPr>
      </w:pPr>
    </w:p>
    <w:p w:rsidR="00845175" w:rsidRPr="00297B24" w:rsidRDefault="00845175" w:rsidP="00845175">
      <w:pPr>
        <w:keepNext/>
        <w:keepLines/>
        <w:rPr>
          <w:b/>
          <w:bCs/>
          <w:szCs w:val="22"/>
        </w:rPr>
      </w:pPr>
      <w:r w:rsidRPr="00297B24">
        <w:rPr>
          <w:b/>
          <w:bCs/>
          <w:szCs w:val="22"/>
        </w:rPr>
        <w:t>Employees qualified to carry out search and examination</w:t>
      </w:r>
      <w:r>
        <w:rPr>
          <w:b/>
          <w:bCs/>
          <w:szCs w:val="22"/>
        </w:rPr>
        <w:t xml:space="preserve"> (end of </w:t>
      </w:r>
      <w:r w:rsidRPr="004A6FCA">
        <w:rPr>
          <w:b/>
          <w:bCs/>
          <w:szCs w:val="22"/>
        </w:rPr>
        <w:t>2015)</w:t>
      </w:r>
      <w:r w:rsidRPr="00297B24">
        <w:rPr>
          <w:b/>
          <w:bCs/>
          <w:szCs w:val="22"/>
        </w:rPr>
        <w:t>:</w:t>
      </w:r>
      <w:r w:rsidRPr="00297B24">
        <w:rPr>
          <w:szCs w:val="22"/>
        </w:rPr>
        <w:t xml:space="preserve">  </w:t>
      </w:r>
    </w:p>
    <w:p w:rsidR="00845175" w:rsidRPr="00297B24" w:rsidRDefault="00845175" w:rsidP="00845175">
      <w:pPr>
        <w:keepNext/>
        <w:keepLines/>
        <w:rPr>
          <w:szCs w:val="22"/>
        </w:rPr>
      </w:pP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7"/>
        <w:gridCol w:w="1719"/>
        <w:gridCol w:w="1910"/>
        <w:gridCol w:w="1851"/>
      </w:tblGrid>
      <w:tr w:rsidR="00845175" w:rsidRPr="00C660D6" w:rsidTr="00845175">
        <w:trPr>
          <w:cantSplit/>
          <w:trHeight w:val="1253"/>
        </w:trPr>
        <w:tc>
          <w:tcPr>
            <w:tcW w:w="2957" w:type="dxa"/>
            <w:shd w:val="clear" w:color="auto" w:fill="auto"/>
          </w:tcPr>
          <w:p w:rsidR="00845175" w:rsidRPr="00C660D6" w:rsidRDefault="00845175" w:rsidP="00845175">
            <w:pPr>
              <w:keepNext/>
              <w:keepLines/>
              <w:rPr>
                <w:b/>
                <w:bCs/>
                <w:szCs w:val="22"/>
              </w:rPr>
            </w:pPr>
            <w:r w:rsidRPr="00C660D6">
              <w:rPr>
                <w:b/>
                <w:bCs/>
                <w:szCs w:val="22"/>
              </w:rPr>
              <w:t>Technical field</w:t>
            </w:r>
          </w:p>
        </w:tc>
        <w:tc>
          <w:tcPr>
            <w:tcW w:w="1719" w:type="dxa"/>
            <w:shd w:val="clear" w:color="auto" w:fill="auto"/>
          </w:tcPr>
          <w:p w:rsidR="00845175" w:rsidRPr="00E763C3" w:rsidRDefault="00845175" w:rsidP="00845175">
            <w:pPr>
              <w:keepNext/>
              <w:keepLines/>
              <w:rPr>
                <w:b/>
                <w:bCs/>
                <w:szCs w:val="22"/>
                <w:highlight w:val="yellow"/>
              </w:rPr>
            </w:pPr>
            <w:r w:rsidRPr="00C17965">
              <w:rPr>
                <w:b/>
                <w:bCs/>
                <w:szCs w:val="22"/>
              </w:rPr>
              <w:t>N. examiners</w:t>
            </w:r>
          </w:p>
        </w:tc>
        <w:tc>
          <w:tcPr>
            <w:tcW w:w="1910" w:type="dxa"/>
            <w:shd w:val="clear" w:color="auto" w:fill="auto"/>
          </w:tcPr>
          <w:p w:rsidR="00845175" w:rsidRPr="00C660D6" w:rsidRDefault="00845175" w:rsidP="00845175">
            <w:pPr>
              <w:keepNext/>
              <w:keepLines/>
              <w:rPr>
                <w:b/>
                <w:bCs/>
                <w:szCs w:val="22"/>
              </w:rPr>
            </w:pPr>
            <w:r w:rsidRPr="00C660D6">
              <w:rPr>
                <w:b/>
                <w:bCs/>
                <w:szCs w:val="22"/>
              </w:rPr>
              <w:t>Number (in full-time equivalent)</w:t>
            </w:r>
            <w:r>
              <w:rPr>
                <w:b/>
                <w:bCs/>
                <w:szCs w:val="22"/>
              </w:rPr>
              <w:t>*</w:t>
            </w:r>
          </w:p>
        </w:tc>
        <w:tc>
          <w:tcPr>
            <w:tcW w:w="1851" w:type="dxa"/>
          </w:tcPr>
          <w:p w:rsidR="00845175" w:rsidRPr="00445D7D" w:rsidRDefault="00845175" w:rsidP="00845175">
            <w:pPr>
              <w:keepNext/>
              <w:keepLines/>
              <w:rPr>
                <w:rStyle w:val="InsertedText"/>
                <w:b/>
                <w:bCs/>
              </w:rPr>
            </w:pPr>
            <w:r w:rsidRPr="00CA4C13">
              <w:rPr>
                <w:b/>
                <w:bCs/>
                <w:szCs w:val="22"/>
              </w:rPr>
              <w:t>Average experience as examiners (years)</w:t>
            </w:r>
          </w:p>
        </w:tc>
      </w:tr>
      <w:tr w:rsidR="00845175" w:rsidRPr="00DD1DC3" w:rsidTr="00845175">
        <w:trPr>
          <w:cantSplit/>
          <w:trHeight w:val="253"/>
        </w:trPr>
        <w:tc>
          <w:tcPr>
            <w:tcW w:w="2957" w:type="dxa"/>
            <w:shd w:val="clear" w:color="auto" w:fill="auto"/>
          </w:tcPr>
          <w:p w:rsidR="00845175" w:rsidRPr="00C660D6" w:rsidRDefault="00845175" w:rsidP="00845175">
            <w:pPr>
              <w:keepNext/>
              <w:keepLines/>
              <w:rPr>
                <w:szCs w:val="22"/>
              </w:rPr>
            </w:pPr>
            <w:r w:rsidRPr="00C660D6">
              <w:rPr>
                <w:szCs w:val="22"/>
              </w:rPr>
              <w:t>Mechanical</w:t>
            </w:r>
          </w:p>
        </w:tc>
        <w:tc>
          <w:tcPr>
            <w:tcW w:w="1719" w:type="dxa"/>
            <w:shd w:val="clear" w:color="auto" w:fill="auto"/>
            <w:vAlign w:val="bottom"/>
          </w:tcPr>
          <w:p w:rsidR="00845175" w:rsidRPr="00E763C3" w:rsidRDefault="00845175" w:rsidP="00845175">
            <w:pPr>
              <w:keepNext/>
              <w:keepLines/>
              <w:ind w:right="491"/>
              <w:jc w:val="right"/>
              <w:rPr>
                <w:szCs w:val="22"/>
                <w:highlight w:val="yellow"/>
              </w:rPr>
            </w:pPr>
            <w:r>
              <w:rPr>
                <w:color w:val="000000"/>
              </w:rPr>
              <w:t>1,</w:t>
            </w:r>
            <w:r w:rsidRPr="00C17965">
              <w:rPr>
                <w:color w:val="000000"/>
              </w:rPr>
              <w:t>724</w:t>
            </w:r>
          </w:p>
        </w:tc>
        <w:tc>
          <w:tcPr>
            <w:tcW w:w="1910" w:type="dxa"/>
            <w:shd w:val="clear" w:color="auto" w:fill="auto"/>
            <w:vAlign w:val="bottom"/>
          </w:tcPr>
          <w:p w:rsidR="00845175" w:rsidRPr="00C660D6" w:rsidRDefault="00845175" w:rsidP="00845175">
            <w:pPr>
              <w:keepNext/>
              <w:keepLines/>
              <w:ind w:right="491"/>
              <w:jc w:val="right"/>
              <w:rPr>
                <w:szCs w:val="22"/>
              </w:rPr>
            </w:pPr>
            <w:r>
              <w:rPr>
                <w:color w:val="000000"/>
              </w:rPr>
              <w:t>1,499</w:t>
            </w:r>
          </w:p>
        </w:tc>
        <w:tc>
          <w:tcPr>
            <w:tcW w:w="1851" w:type="dxa"/>
            <w:vAlign w:val="bottom"/>
          </w:tcPr>
          <w:p w:rsidR="00845175" w:rsidRPr="00C660D6" w:rsidRDefault="00845175" w:rsidP="00845175">
            <w:pPr>
              <w:keepNext/>
              <w:keepLines/>
              <w:ind w:right="491"/>
              <w:jc w:val="right"/>
              <w:rPr>
                <w:szCs w:val="22"/>
              </w:rPr>
            </w:pPr>
            <w:r>
              <w:rPr>
                <w:color w:val="000000"/>
              </w:rPr>
              <w:t>12.5</w:t>
            </w:r>
          </w:p>
        </w:tc>
      </w:tr>
      <w:tr w:rsidR="00845175" w:rsidRPr="00C660D6" w:rsidTr="00845175">
        <w:trPr>
          <w:cantSplit/>
          <w:trHeight w:val="235"/>
        </w:trPr>
        <w:tc>
          <w:tcPr>
            <w:tcW w:w="2957" w:type="dxa"/>
            <w:shd w:val="clear" w:color="auto" w:fill="auto"/>
          </w:tcPr>
          <w:p w:rsidR="00845175" w:rsidRPr="00C660D6" w:rsidRDefault="00845175" w:rsidP="00845175">
            <w:pPr>
              <w:keepNext/>
              <w:keepLines/>
              <w:rPr>
                <w:szCs w:val="22"/>
              </w:rPr>
            </w:pPr>
            <w:r w:rsidRPr="00C660D6">
              <w:rPr>
                <w:szCs w:val="22"/>
              </w:rPr>
              <w:t>Electrical/electronic</w:t>
            </w:r>
          </w:p>
        </w:tc>
        <w:tc>
          <w:tcPr>
            <w:tcW w:w="1719" w:type="dxa"/>
            <w:shd w:val="clear" w:color="auto" w:fill="auto"/>
            <w:vAlign w:val="bottom"/>
          </w:tcPr>
          <w:p w:rsidR="00845175" w:rsidRPr="00C17965" w:rsidRDefault="00845175" w:rsidP="00845175">
            <w:pPr>
              <w:keepNext/>
              <w:keepLines/>
              <w:ind w:right="491"/>
              <w:jc w:val="right"/>
              <w:rPr>
                <w:szCs w:val="22"/>
              </w:rPr>
            </w:pPr>
            <w:r>
              <w:rPr>
                <w:color w:val="000000"/>
              </w:rPr>
              <w:t>1,</w:t>
            </w:r>
            <w:r w:rsidRPr="00C17965">
              <w:rPr>
                <w:color w:val="000000"/>
              </w:rPr>
              <w:t>467</w:t>
            </w:r>
          </w:p>
        </w:tc>
        <w:tc>
          <w:tcPr>
            <w:tcW w:w="1910" w:type="dxa"/>
            <w:shd w:val="clear" w:color="auto" w:fill="auto"/>
            <w:vAlign w:val="bottom"/>
          </w:tcPr>
          <w:p w:rsidR="00845175" w:rsidRPr="00C660D6" w:rsidRDefault="00845175" w:rsidP="00845175">
            <w:pPr>
              <w:keepNext/>
              <w:keepLines/>
              <w:ind w:right="491"/>
              <w:jc w:val="right"/>
              <w:rPr>
                <w:szCs w:val="22"/>
              </w:rPr>
            </w:pPr>
            <w:r>
              <w:rPr>
                <w:color w:val="000000"/>
              </w:rPr>
              <w:t>1,238</w:t>
            </w:r>
          </w:p>
        </w:tc>
        <w:tc>
          <w:tcPr>
            <w:tcW w:w="1851" w:type="dxa"/>
            <w:vAlign w:val="bottom"/>
          </w:tcPr>
          <w:p w:rsidR="00845175" w:rsidRPr="00C660D6" w:rsidRDefault="00845175" w:rsidP="00845175">
            <w:pPr>
              <w:keepNext/>
              <w:keepLines/>
              <w:ind w:right="491"/>
              <w:jc w:val="right"/>
              <w:rPr>
                <w:szCs w:val="22"/>
              </w:rPr>
            </w:pPr>
            <w:r>
              <w:rPr>
                <w:color w:val="000000"/>
              </w:rPr>
              <w:t>12.0</w:t>
            </w:r>
          </w:p>
        </w:tc>
      </w:tr>
      <w:tr w:rsidR="00845175" w:rsidRPr="00C660D6" w:rsidTr="00845175">
        <w:trPr>
          <w:cantSplit/>
          <w:trHeight w:val="253"/>
        </w:trPr>
        <w:tc>
          <w:tcPr>
            <w:tcW w:w="2957" w:type="dxa"/>
            <w:shd w:val="clear" w:color="auto" w:fill="auto"/>
          </w:tcPr>
          <w:p w:rsidR="00845175" w:rsidRPr="00C660D6" w:rsidRDefault="00845175" w:rsidP="00845175">
            <w:pPr>
              <w:keepNext/>
              <w:keepLines/>
              <w:rPr>
                <w:szCs w:val="22"/>
              </w:rPr>
            </w:pPr>
            <w:r w:rsidRPr="00C660D6">
              <w:rPr>
                <w:szCs w:val="22"/>
              </w:rPr>
              <w:t>Chemistry</w:t>
            </w:r>
          </w:p>
        </w:tc>
        <w:tc>
          <w:tcPr>
            <w:tcW w:w="1719" w:type="dxa"/>
            <w:shd w:val="clear" w:color="auto" w:fill="auto"/>
            <w:vAlign w:val="bottom"/>
          </w:tcPr>
          <w:p w:rsidR="00845175" w:rsidRPr="00C17965" w:rsidRDefault="00845175" w:rsidP="00845175">
            <w:pPr>
              <w:keepNext/>
              <w:keepLines/>
              <w:ind w:right="491"/>
              <w:jc w:val="right"/>
              <w:rPr>
                <w:szCs w:val="22"/>
              </w:rPr>
            </w:pPr>
            <w:r w:rsidRPr="00C17965">
              <w:rPr>
                <w:color w:val="000000"/>
              </w:rPr>
              <w:t>822</w:t>
            </w:r>
          </w:p>
        </w:tc>
        <w:tc>
          <w:tcPr>
            <w:tcW w:w="1910" w:type="dxa"/>
            <w:shd w:val="clear" w:color="auto" w:fill="auto"/>
            <w:vAlign w:val="bottom"/>
          </w:tcPr>
          <w:p w:rsidR="00845175" w:rsidRPr="00C660D6" w:rsidRDefault="00845175" w:rsidP="00845175">
            <w:pPr>
              <w:keepNext/>
              <w:keepLines/>
              <w:ind w:right="491"/>
              <w:jc w:val="right"/>
              <w:rPr>
                <w:szCs w:val="22"/>
              </w:rPr>
            </w:pPr>
            <w:r>
              <w:rPr>
                <w:color w:val="000000"/>
              </w:rPr>
              <w:t>683</w:t>
            </w:r>
          </w:p>
        </w:tc>
        <w:tc>
          <w:tcPr>
            <w:tcW w:w="1851" w:type="dxa"/>
            <w:vAlign w:val="bottom"/>
          </w:tcPr>
          <w:p w:rsidR="00845175" w:rsidRPr="00C660D6" w:rsidRDefault="00845175" w:rsidP="00845175">
            <w:pPr>
              <w:keepNext/>
              <w:keepLines/>
              <w:ind w:right="491"/>
              <w:jc w:val="right"/>
              <w:rPr>
                <w:szCs w:val="22"/>
              </w:rPr>
            </w:pPr>
            <w:r>
              <w:rPr>
                <w:color w:val="000000"/>
              </w:rPr>
              <w:t>13.8</w:t>
            </w:r>
          </w:p>
        </w:tc>
      </w:tr>
      <w:tr w:rsidR="00845175" w:rsidRPr="00C660D6" w:rsidTr="00845175">
        <w:trPr>
          <w:cantSplit/>
          <w:trHeight w:val="253"/>
        </w:trPr>
        <w:tc>
          <w:tcPr>
            <w:tcW w:w="2957" w:type="dxa"/>
            <w:shd w:val="clear" w:color="auto" w:fill="auto"/>
          </w:tcPr>
          <w:p w:rsidR="00845175" w:rsidRPr="00C660D6" w:rsidRDefault="00845175" w:rsidP="00845175">
            <w:pPr>
              <w:keepNext/>
              <w:keepLines/>
              <w:rPr>
                <w:szCs w:val="22"/>
              </w:rPr>
            </w:pPr>
            <w:r w:rsidRPr="00C660D6">
              <w:rPr>
                <w:szCs w:val="22"/>
              </w:rPr>
              <w:t>Biotech</w:t>
            </w:r>
          </w:p>
        </w:tc>
        <w:tc>
          <w:tcPr>
            <w:tcW w:w="1719" w:type="dxa"/>
            <w:shd w:val="clear" w:color="auto" w:fill="auto"/>
            <w:vAlign w:val="bottom"/>
          </w:tcPr>
          <w:p w:rsidR="00845175" w:rsidRPr="00C17965" w:rsidRDefault="00845175" w:rsidP="00845175">
            <w:pPr>
              <w:keepNext/>
              <w:keepLines/>
              <w:ind w:right="491"/>
              <w:jc w:val="right"/>
              <w:rPr>
                <w:szCs w:val="22"/>
              </w:rPr>
            </w:pPr>
            <w:r w:rsidRPr="00C17965">
              <w:rPr>
                <w:color w:val="000000"/>
              </w:rPr>
              <w:t>213</w:t>
            </w:r>
          </w:p>
        </w:tc>
        <w:tc>
          <w:tcPr>
            <w:tcW w:w="1910" w:type="dxa"/>
            <w:shd w:val="clear" w:color="auto" w:fill="auto"/>
            <w:vAlign w:val="bottom"/>
          </w:tcPr>
          <w:p w:rsidR="00845175" w:rsidRPr="00C660D6" w:rsidRDefault="00845175" w:rsidP="00845175">
            <w:pPr>
              <w:keepNext/>
              <w:keepLines/>
              <w:ind w:right="491"/>
              <w:jc w:val="right"/>
              <w:rPr>
                <w:szCs w:val="22"/>
              </w:rPr>
            </w:pPr>
            <w:r>
              <w:rPr>
                <w:color w:val="000000"/>
              </w:rPr>
              <w:t>177</w:t>
            </w:r>
          </w:p>
        </w:tc>
        <w:tc>
          <w:tcPr>
            <w:tcW w:w="1851" w:type="dxa"/>
            <w:vAlign w:val="bottom"/>
          </w:tcPr>
          <w:p w:rsidR="00845175" w:rsidRPr="00C660D6" w:rsidRDefault="00845175" w:rsidP="00845175">
            <w:pPr>
              <w:keepNext/>
              <w:keepLines/>
              <w:ind w:right="491"/>
              <w:jc w:val="right"/>
              <w:rPr>
                <w:szCs w:val="22"/>
              </w:rPr>
            </w:pPr>
            <w:r>
              <w:rPr>
                <w:color w:val="000000"/>
              </w:rPr>
              <w:t>15.2</w:t>
            </w:r>
          </w:p>
        </w:tc>
      </w:tr>
      <w:tr w:rsidR="00845175" w:rsidRPr="00C660D6" w:rsidTr="00845175">
        <w:trPr>
          <w:cantSplit/>
          <w:trHeight w:val="253"/>
        </w:trPr>
        <w:tc>
          <w:tcPr>
            <w:tcW w:w="2957" w:type="dxa"/>
            <w:shd w:val="clear" w:color="auto" w:fill="auto"/>
          </w:tcPr>
          <w:p w:rsidR="00845175" w:rsidRPr="00C660D6" w:rsidRDefault="00845175" w:rsidP="00845175">
            <w:pPr>
              <w:rPr>
                <w:i/>
                <w:iCs/>
                <w:szCs w:val="22"/>
              </w:rPr>
            </w:pPr>
            <w:r w:rsidRPr="00C660D6">
              <w:rPr>
                <w:i/>
                <w:iCs/>
                <w:szCs w:val="22"/>
              </w:rPr>
              <w:t>Total</w:t>
            </w:r>
          </w:p>
        </w:tc>
        <w:tc>
          <w:tcPr>
            <w:tcW w:w="1719" w:type="dxa"/>
            <w:shd w:val="clear" w:color="auto" w:fill="auto"/>
            <w:vAlign w:val="bottom"/>
          </w:tcPr>
          <w:p w:rsidR="00845175" w:rsidRPr="00C17965" w:rsidRDefault="00845175" w:rsidP="00845175">
            <w:pPr>
              <w:ind w:right="491"/>
              <w:jc w:val="right"/>
              <w:rPr>
                <w:i/>
                <w:iCs/>
                <w:szCs w:val="22"/>
              </w:rPr>
            </w:pPr>
            <w:r>
              <w:rPr>
                <w:b/>
                <w:bCs/>
                <w:color w:val="000000"/>
              </w:rPr>
              <w:t>4,</w:t>
            </w:r>
            <w:r w:rsidRPr="00C17965">
              <w:rPr>
                <w:b/>
                <w:bCs/>
                <w:color w:val="000000"/>
              </w:rPr>
              <w:t>226</w:t>
            </w:r>
          </w:p>
        </w:tc>
        <w:tc>
          <w:tcPr>
            <w:tcW w:w="1910" w:type="dxa"/>
            <w:shd w:val="clear" w:color="auto" w:fill="auto"/>
            <w:vAlign w:val="bottom"/>
          </w:tcPr>
          <w:p w:rsidR="00845175" w:rsidRPr="00C660D6" w:rsidRDefault="00845175" w:rsidP="00845175">
            <w:pPr>
              <w:ind w:right="491"/>
              <w:jc w:val="right"/>
              <w:rPr>
                <w:i/>
                <w:iCs/>
                <w:szCs w:val="22"/>
              </w:rPr>
            </w:pPr>
            <w:r>
              <w:rPr>
                <w:b/>
                <w:bCs/>
                <w:color w:val="000000"/>
              </w:rPr>
              <w:t>3,596</w:t>
            </w:r>
          </w:p>
        </w:tc>
        <w:tc>
          <w:tcPr>
            <w:tcW w:w="1851" w:type="dxa"/>
            <w:vAlign w:val="bottom"/>
          </w:tcPr>
          <w:p w:rsidR="00845175" w:rsidRPr="00C660D6" w:rsidRDefault="00845175" w:rsidP="00845175">
            <w:pPr>
              <w:ind w:right="491"/>
              <w:jc w:val="right"/>
              <w:rPr>
                <w:i/>
                <w:iCs/>
                <w:szCs w:val="22"/>
              </w:rPr>
            </w:pPr>
            <w:r>
              <w:rPr>
                <w:b/>
                <w:bCs/>
                <w:color w:val="000000"/>
              </w:rPr>
              <w:t>12.7</w:t>
            </w:r>
          </w:p>
        </w:tc>
      </w:tr>
    </w:tbl>
    <w:p w:rsidR="00845175" w:rsidRPr="002E43B6" w:rsidRDefault="00845175" w:rsidP="00845175">
      <w:pPr>
        <w:rPr>
          <w:rFonts w:ascii="Calibri" w:eastAsiaTheme="minorHAnsi" w:hAnsi="Calibri"/>
          <w:i/>
          <w:iCs/>
          <w:sz w:val="24"/>
          <w:szCs w:val="24"/>
          <w:lang w:val="fr-FR" w:eastAsia="en-US"/>
        </w:rPr>
      </w:pPr>
      <w:r w:rsidRPr="002E43B6">
        <w:rPr>
          <w:rFonts w:eastAsiaTheme="minorHAnsi"/>
          <w:i/>
          <w:iCs/>
          <w:sz w:val="24"/>
          <w:szCs w:val="24"/>
          <w:lang w:val="fr-FR" w:eastAsia="en-US"/>
        </w:rPr>
        <w:t xml:space="preserve">(*FTE= </w:t>
      </w:r>
      <w:proofErr w:type="spellStart"/>
      <w:r w:rsidRPr="002E43B6">
        <w:rPr>
          <w:rFonts w:eastAsiaTheme="minorHAnsi"/>
          <w:i/>
          <w:iCs/>
          <w:sz w:val="24"/>
          <w:szCs w:val="24"/>
          <w:lang w:val="fr-FR" w:eastAsia="en-US"/>
        </w:rPr>
        <w:t>SEOtime</w:t>
      </w:r>
      <w:proofErr w:type="spellEnd"/>
      <w:r w:rsidRPr="002E43B6">
        <w:rPr>
          <w:rFonts w:eastAsiaTheme="minorHAnsi"/>
          <w:i/>
          <w:iCs/>
          <w:sz w:val="24"/>
          <w:szCs w:val="24"/>
          <w:lang w:val="fr-FR" w:eastAsia="en-US"/>
        </w:rPr>
        <w:t>/200d)</w:t>
      </w:r>
    </w:p>
    <w:p w:rsidR="00845175" w:rsidRDefault="00845175" w:rsidP="00845175">
      <w:pPr>
        <w:rPr>
          <w:i/>
          <w:iCs/>
          <w:szCs w:val="22"/>
        </w:rPr>
      </w:pPr>
    </w:p>
    <w:p w:rsidR="00845175" w:rsidRPr="00845175" w:rsidRDefault="00845175" w:rsidP="00845175">
      <w:pPr>
        <w:rPr>
          <w:b/>
        </w:rPr>
      </w:pPr>
      <w:r w:rsidRPr="00845175">
        <w:rPr>
          <w:b/>
        </w:rPr>
        <w:t>Training Programs</w:t>
      </w:r>
    </w:p>
    <w:p w:rsidR="00845175" w:rsidRDefault="00845175" w:rsidP="00845175">
      <w:pPr>
        <w:rPr>
          <w:szCs w:val="22"/>
          <w:lang w:val="en-GB"/>
        </w:rPr>
      </w:pPr>
    </w:p>
    <w:p w:rsidR="00845175" w:rsidRPr="00DD1DC3" w:rsidRDefault="00845175" w:rsidP="00845175">
      <w:pPr>
        <w:rPr>
          <w:szCs w:val="22"/>
          <w:lang w:val="en-GB"/>
        </w:rPr>
      </w:pPr>
      <w:r w:rsidRPr="00DD1DC3">
        <w:rPr>
          <w:szCs w:val="22"/>
          <w:lang w:val="en-GB"/>
        </w:rPr>
        <w:t xml:space="preserve">The EPO has an extensive programme of training courses, both in the form of classroom training, workshops and e-Learning modules. </w:t>
      </w:r>
    </w:p>
    <w:p w:rsidR="00845175" w:rsidRPr="00DD1DC3" w:rsidRDefault="00845175" w:rsidP="00845175">
      <w:pPr>
        <w:rPr>
          <w:szCs w:val="22"/>
          <w:lang w:val="en-GB"/>
        </w:rPr>
      </w:pPr>
    </w:p>
    <w:p w:rsidR="00845175" w:rsidRPr="00DD1DC3" w:rsidRDefault="00845175" w:rsidP="00845175">
      <w:pPr>
        <w:rPr>
          <w:szCs w:val="22"/>
          <w:lang w:val="en-GB"/>
        </w:rPr>
      </w:pPr>
      <w:r w:rsidRPr="00DD1DC3">
        <w:rPr>
          <w:szCs w:val="22"/>
          <w:lang w:val="en-GB"/>
        </w:rPr>
        <w:t>For new examiners there is a mandatory training schedule with 39 days of classroom training spread over the first two year period. The training covers all aspects of search, examination and classification</w:t>
      </w:r>
      <w:r w:rsidR="00FA1150">
        <w:rPr>
          <w:szCs w:val="22"/>
          <w:lang w:val="en-GB"/>
        </w:rPr>
        <w:t xml:space="preserve">.  </w:t>
      </w:r>
      <w:r w:rsidRPr="00DD1DC3">
        <w:rPr>
          <w:szCs w:val="22"/>
          <w:lang w:val="en-GB"/>
        </w:rPr>
        <w:t>In addition, each new examiner is provided with two highly experienced examiners as coaches during the first two years.</w:t>
      </w:r>
    </w:p>
    <w:p w:rsidR="00845175" w:rsidRPr="00DD1DC3" w:rsidRDefault="00845175" w:rsidP="00845175">
      <w:pPr>
        <w:rPr>
          <w:szCs w:val="22"/>
          <w:lang w:val="en-GB"/>
        </w:rPr>
      </w:pPr>
    </w:p>
    <w:p w:rsidR="00845175" w:rsidRPr="00DD1DC3" w:rsidRDefault="00845175" w:rsidP="00FA1150">
      <w:pPr>
        <w:keepLines/>
        <w:rPr>
          <w:szCs w:val="22"/>
          <w:lang w:val="en-GB"/>
        </w:rPr>
      </w:pPr>
      <w:r w:rsidRPr="00DD1DC3">
        <w:rPr>
          <w:szCs w:val="22"/>
          <w:lang w:val="en-GB"/>
        </w:rPr>
        <w:lastRenderedPageBreak/>
        <w:t>For experienced examiners, there is an extensive programme of more advanced training covering specialised topics (e.g. searching in specific external databases), other roles which examiners take on at a later stage (e.g. opposition work) as well as courses focusing on specific aspects of search and/or examination</w:t>
      </w:r>
      <w:r w:rsidR="00FA1150">
        <w:rPr>
          <w:szCs w:val="22"/>
          <w:lang w:val="en-GB"/>
        </w:rPr>
        <w:t xml:space="preserve">.  </w:t>
      </w:r>
      <w:r w:rsidRPr="00DD1DC3">
        <w:rPr>
          <w:szCs w:val="22"/>
          <w:lang w:val="en-GB"/>
        </w:rPr>
        <w:t>These courses are provided as required for the examiners to fulfil the necessary functions to the best of their abilities</w:t>
      </w:r>
      <w:r w:rsidR="00FA1150">
        <w:rPr>
          <w:szCs w:val="22"/>
          <w:lang w:val="en-GB"/>
        </w:rPr>
        <w:t xml:space="preserve">.  </w:t>
      </w:r>
      <w:r w:rsidRPr="00DD1DC3">
        <w:rPr>
          <w:szCs w:val="22"/>
          <w:lang w:val="en-GB"/>
        </w:rPr>
        <w:t xml:space="preserve">In addition, technical areas also arrange peer-to-peer training adapted to the technical area’s specificities. </w:t>
      </w:r>
    </w:p>
    <w:p w:rsidR="00845175" w:rsidRPr="00DD1DC3" w:rsidRDefault="00845175" w:rsidP="00845175">
      <w:pPr>
        <w:rPr>
          <w:szCs w:val="22"/>
          <w:lang w:val="en-GB"/>
        </w:rPr>
      </w:pPr>
    </w:p>
    <w:p w:rsidR="00845175" w:rsidRPr="004E7546" w:rsidRDefault="00845175" w:rsidP="00845175">
      <w:pPr>
        <w:rPr>
          <w:szCs w:val="22"/>
          <w:highlight w:val="yellow"/>
        </w:rPr>
      </w:pPr>
    </w:p>
    <w:p w:rsidR="00845175" w:rsidRPr="00845175" w:rsidRDefault="00845175" w:rsidP="00845175">
      <w:pPr>
        <w:rPr>
          <w:b/>
          <w:i/>
        </w:rPr>
      </w:pPr>
      <w:r w:rsidRPr="00845175">
        <w:rPr>
          <w:b/>
          <w:i/>
        </w:rPr>
        <w:t>Rules 36.1(ii) and 63.1(ii):  That Office or organization must have in its possession, or have access to, at least the minimum documentation referred to in Rule 34, properly arranged for search purposes, on paper, in microform or stored on electronic media.</w:t>
      </w:r>
    </w:p>
    <w:p w:rsidR="00845175" w:rsidRDefault="00845175" w:rsidP="00845175">
      <w:pPr>
        <w:rPr>
          <w:szCs w:val="22"/>
        </w:rPr>
      </w:pPr>
    </w:p>
    <w:p w:rsidR="00845175" w:rsidRPr="00297B24" w:rsidRDefault="00845175" w:rsidP="00845175">
      <w:pPr>
        <w:keepNext/>
        <w:rPr>
          <w:b/>
          <w:bCs/>
          <w:szCs w:val="22"/>
        </w:rPr>
      </w:pPr>
      <w:r w:rsidRPr="00297B24">
        <w:rPr>
          <w:b/>
          <w:bCs/>
          <w:szCs w:val="22"/>
        </w:rPr>
        <w:t>Access to the minimum documentation for search purposes:</w:t>
      </w:r>
      <w:r w:rsidRPr="00297B24">
        <w:rPr>
          <w:szCs w:val="22"/>
        </w:rPr>
        <w:t xml:space="preserve">  </w:t>
      </w:r>
    </w:p>
    <w:p w:rsidR="00845175" w:rsidRPr="00297B24" w:rsidRDefault="00845175" w:rsidP="00845175">
      <w:pPr>
        <w:rPr>
          <w:szCs w:val="22"/>
        </w:rPr>
      </w:pPr>
      <w:r w:rsidRPr="00297B24">
        <w:rPr>
          <w:szCs w:val="22"/>
        </w:rPr>
        <w:t>(</w:t>
      </w:r>
      <w:r>
        <w:rPr>
          <w:szCs w:val="22"/>
        </w:rPr>
        <w:t>X</w:t>
      </w:r>
      <w:r w:rsidRPr="00297B24">
        <w:rPr>
          <w:szCs w:val="22"/>
        </w:rPr>
        <w:t>)</w:t>
      </w:r>
      <w:r w:rsidRPr="00297B24">
        <w:rPr>
          <w:szCs w:val="22"/>
        </w:rPr>
        <w:tab/>
        <w:t>Full access</w:t>
      </w:r>
    </w:p>
    <w:p w:rsidR="00845175" w:rsidRPr="00297B24" w:rsidRDefault="00845175" w:rsidP="00845175">
      <w:pPr>
        <w:rPr>
          <w:szCs w:val="22"/>
        </w:rPr>
      </w:pPr>
    </w:p>
    <w:p w:rsidR="00845175" w:rsidRPr="00297B24" w:rsidRDefault="00845175" w:rsidP="00845175">
      <w:pPr>
        <w:rPr>
          <w:szCs w:val="22"/>
        </w:rPr>
      </w:pPr>
      <w:r w:rsidRPr="00297B24">
        <w:rPr>
          <w:b/>
          <w:bCs/>
          <w:szCs w:val="22"/>
        </w:rPr>
        <w:t>Search systems:</w:t>
      </w:r>
      <w:r w:rsidRPr="00297B24">
        <w:rPr>
          <w:szCs w:val="22"/>
        </w:rPr>
        <w:t xml:space="preserve">  </w:t>
      </w:r>
    </w:p>
    <w:p w:rsidR="00845175" w:rsidRPr="00845175" w:rsidRDefault="00845175" w:rsidP="00845175"/>
    <w:p w:rsidR="00845175" w:rsidRPr="007557C7" w:rsidRDefault="00845175" w:rsidP="00845175">
      <w:pPr>
        <w:rPr>
          <w:szCs w:val="22"/>
        </w:rPr>
      </w:pPr>
      <w:r w:rsidRPr="007557C7">
        <w:rPr>
          <w:iCs/>
          <w:szCs w:val="22"/>
        </w:rPr>
        <w:t>The EPO uses its proprietary EPOQUE search system to search the Patent and Non-Patent Literature parts of the PCT Minimum Documentation</w:t>
      </w:r>
      <w:r w:rsidR="00FA1150">
        <w:rPr>
          <w:iCs/>
          <w:szCs w:val="22"/>
        </w:rPr>
        <w:t xml:space="preserve">.  </w:t>
      </w:r>
      <w:r w:rsidRPr="007557C7">
        <w:rPr>
          <w:iCs/>
          <w:szCs w:val="22"/>
        </w:rPr>
        <w:t>In addition we have an in-house Electronic Virtual Library providing online access to over 10,000 Scientific and technical Journals, as well as online access to specialized databases for searching genetic sequence listings and chemical compound structures.</w:t>
      </w:r>
    </w:p>
    <w:p w:rsidR="00845175" w:rsidRDefault="00845175" w:rsidP="00845175">
      <w:pPr>
        <w:rPr>
          <w:szCs w:val="22"/>
        </w:rPr>
      </w:pPr>
    </w:p>
    <w:p w:rsidR="00845175" w:rsidRPr="00297B24" w:rsidRDefault="00845175" w:rsidP="00845175">
      <w:pPr>
        <w:rPr>
          <w:szCs w:val="22"/>
        </w:rPr>
      </w:pPr>
    </w:p>
    <w:p w:rsidR="00845175" w:rsidRPr="00845175" w:rsidRDefault="00845175" w:rsidP="00845175">
      <w:pPr>
        <w:rPr>
          <w:b/>
          <w:i/>
        </w:rPr>
      </w:pPr>
      <w:r w:rsidRPr="00845175">
        <w:rPr>
          <w:b/>
          <w:i/>
        </w:rPr>
        <w:t>Rules 36.1(iii) and 63.1(iii):  That Office or organization must have a staff which is capable of searching and examining the required technical fields and which has the language facilities to understand at least those languages in which the minimum documentation referred to in Rule 34 is written or is translated.</w:t>
      </w:r>
    </w:p>
    <w:p w:rsidR="00845175" w:rsidRDefault="00845175" w:rsidP="00845175">
      <w:pPr>
        <w:rPr>
          <w:b/>
          <w:bCs/>
          <w:szCs w:val="22"/>
        </w:rPr>
      </w:pPr>
    </w:p>
    <w:p w:rsidR="00845175" w:rsidRPr="00DD1DC3" w:rsidRDefault="00845175" w:rsidP="00845175">
      <w:pPr>
        <w:rPr>
          <w:b/>
          <w:bCs/>
          <w:szCs w:val="22"/>
        </w:rPr>
      </w:pPr>
      <w:r w:rsidRPr="00DD1DC3">
        <w:rPr>
          <w:b/>
          <w:bCs/>
          <w:szCs w:val="22"/>
        </w:rPr>
        <w:t xml:space="preserve">Language(s) in which </w:t>
      </w:r>
      <w:r w:rsidR="008854D6">
        <w:rPr>
          <w:b/>
          <w:bCs/>
          <w:szCs w:val="22"/>
        </w:rPr>
        <w:t xml:space="preserve">regional </w:t>
      </w:r>
      <w:r w:rsidRPr="00DD1DC3">
        <w:rPr>
          <w:b/>
          <w:bCs/>
          <w:szCs w:val="22"/>
        </w:rPr>
        <w:t>applications may be filed and processed:</w:t>
      </w:r>
      <w:r w:rsidRPr="00DD1DC3">
        <w:rPr>
          <w:szCs w:val="22"/>
        </w:rPr>
        <w:t xml:space="preserve">  </w:t>
      </w:r>
    </w:p>
    <w:p w:rsidR="00845175" w:rsidRDefault="00845175" w:rsidP="00845175">
      <w:pPr>
        <w:rPr>
          <w:szCs w:val="22"/>
        </w:rPr>
      </w:pPr>
      <w:r w:rsidRPr="00CA4C13">
        <w:rPr>
          <w:szCs w:val="22"/>
        </w:rPr>
        <w:t>English, French, German, and Dutch</w:t>
      </w:r>
      <w:r w:rsidR="0047526F">
        <w:rPr>
          <w:szCs w:val="22"/>
        </w:rPr>
        <w:t xml:space="preserve"> </w:t>
      </w:r>
      <w:r w:rsidR="0047526F" w:rsidRPr="0047526F">
        <w:rPr>
          <w:szCs w:val="22"/>
        </w:rPr>
        <w:t>(only for applications filed in Belgium and the Netherlands)</w:t>
      </w:r>
    </w:p>
    <w:p w:rsidR="00845175" w:rsidRDefault="00845175" w:rsidP="00845175">
      <w:pPr>
        <w:rPr>
          <w:szCs w:val="22"/>
          <w:lang w:val="en-GB"/>
        </w:rPr>
      </w:pPr>
    </w:p>
    <w:p w:rsidR="00195650" w:rsidRPr="00195650" w:rsidRDefault="00195650" w:rsidP="00845175">
      <w:r w:rsidRPr="00195650">
        <w:t xml:space="preserve">In addition to its regional searches under the European Patent Convention, the European Patent Office prepares national search reports with written opinions in English, French or German for the following States:  Belgium, Cyprus, France, Greece, Italy, Latvia, Lithuania, Luxembourg, Malta, Monaco, Netherlands, </w:t>
      </w:r>
      <w:proofErr w:type="gramStart"/>
      <w:r w:rsidRPr="00195650">
        <w:t>San</w:t>
      </w:r>
      <w:proofErr w:type="gramEnd"/>
      <w:r w:rsidRPr="00195650">
        <w:t xml:space="preserve"> Marino. </w:t>
      </w:r>
      <w:r w:rsidR="008C5A0F">
        <w:t xml:space="preserve"> </w:t>
      </w:r>
      <w:r w:rsidRPr="00195650">
        <w:t xml:space="preserve">Besides, the European Patent Office prepares international-type search reports without written opinions for the following States: </w:t>
      </w:r>
      <w:r w:rsidR="0047526F">
        <w:t xml:space="preserve"> </w:t>
      </w:r>
      <w:r w:rsidRPr="00195650">
        <w:t>Denmark, Finland, Norway</w:t>
      </w:r>
      <w:r w:rsidR="0047526F">
        <w:t xml:space="preserve">, </w:t>
      </w:r>
      <w:r w:rsidR="0047526F" w:rsidRPr="00195650">
        <w:t>Switzerland</w:t>
      </w:r>
      <w:proofErr w:type="gramStart"/>
      <w:r w:rsidRPr="00195650">
        <w:t xml:space="preserve">; </w:t>
      </w:r>
      <w:r w:rsidR="008C5A0F">
        <w:t xml:space="preserve"> </w:t>
      </w:r>
      <w:r w:rsidRPr="00195650">
        <w:t>and</w:t>
      </w:r>
      <w:proofErr w:type="gramEnd"/>
      <w:r w:rsidRPr="00195650">
        <w:t xml:space="preserve"> international-type search reports with written opinions for the following States: </w:t>
      </w:r>
      <w:r w:rsidR="00FA1150">
        <w:t xml:space="preserve"> </w:t>
      </w:r>
      <w:r w:rsidRPr="00195650">
        <w:t>Belgium, Netherlands.</w:t>
      </w:r>
    </w:p>
    <w:p w:rsidR="00195650" w:rsidRPr="00DD1DC3" w:rsidRDefault="00195650" w:rsidP="00845175">
      <w:pPr>
        <w:rPr>
          <w:szCs w:val="22"/>
          <w:lang w:val="en-GB"/>
        </w:rPr>
      </w:pPr>
    </w:p>
    <w:p w:rsidR="00845175" w:rsidRPr="00DD1DC3" w:rsidRDefault="00845175" w:rsidP="00845175">
      <w:pPr>
        <w:rPr>
          <w:szCs w:val="22"/>
        </w:rPr>
      </w:pPr>
      <w:r w:rsidRPr="00DD1DC3">
        <w:rPr>
          <w:b/>
          <w:bCs/>
          <w:szCs w:val="22"/>
        </w:rPr>
        <w:t>Other languages in which large numbers of examiners are proficient:</w:t>
      </w:r>
      <w:r w:rsidRPr="00DD1DC3">
        <w:rPr>
          <w:szCs w:val="22"/>
        </w:rPr>
        <w:t xml:space="preserve">  </w:t>
      </w:r>
    </w:p>
    <w:p w:rsidR="00845175" w:rsidRPr="00DD1DC3" w:rsidRDefault="00845175" w:rsidP="00845175">
      <w:pPr>
        <w:rPr>
          <w:b/>
          <w:bCs/>
          <w:szCs w:val="22"/>
        </w:rPr>
      </w:pPr>
    </w:p>
    <w:p w:rsidR="00845175" w:rsidRDefault="00845175" w:rsidP="00845175">
      <w:pPr>
        <w:rPr>
          <w:szCs w:val="22"/>
        </w:rPr>
      </w:pPr>
      <w:r w:rsidRPr="00CA4C13">
        <w:rPr>
          <w:szCs w:val="22"/>
        </w:rPr>
        <w:t>Taking into account 50 or more employees at the EPO at the end of Dec</w:t>
      </w:r>
      <w:r>
        <w:rPr>
          <w:szCs w:val="22"/>
        </w:rPr>
        <w:t>ember 20</w:t>
      </w:r>
      <w:r w:rsidRPr="00CA4C13">
        <w:rPr>
          <w:szCs w:val="22"/>
        </w:rPr>
        <w:t>15 (some may be non-examining staff):</w:t>
      </w:r>
      <w:r>
        <w:rPr>
          <w:szCs w:val="22"/>
        </w:rPr>
        <w:t xml:space="preserve"> </w:t>
      </w:r>
    </w:p>
    <w:p w:rsidR="00845175" w:rsidRPr="00CA4C13" w:rsidRDefault="00845175" w:rsidP="00195650">
      <w:pPr>
        <w:rPr>
          <w:szCs w:val="22"/>
        </w:rPr>
      </w:pPr>
      <w:r w:rsidRPr="00CA4C13">
        <w:rPr>
          <w:szCs w:val="22"/>
        </w:rPr>
        <w:t>Italian, Dutch, Spanish, Greek, Romanian, Swedish, Portuguese, Polish, Danish.</w:t>
      </w:r>
    </w:p>
    <w:p w:rsidR="00195650" w:rsidRPr="00CA4C13" w:rsidRDefault="00195650" w:rsidP="00845175">
      <w:pPr>
        <w:rPr>
          <w:szCs w:val="22"/>
        </w:rPr>
      </w:pPr>
    </w:p>
    <w:p w:rsidR="00845175" w:rsidRPr="00DD1DC3" w:rsidRDefault="00845175" w:rsidP="00845175">
      <w:pPr>
        <w:rPr>
          <w:szCs w:val="22"/>
        </w:rPr>
      </w:pPr>
      <w:r w:rsidRPr="00DD1DC3">
        <w:rPr>
          <w:b/>
          <w:bCs/>
          <w:szCs w:val="22"/>
        </w:rPr>
        <w:t>Services available to assist search or understanding of prior art in other languages:</w:t>
      </w:r>
      <w:r w:rsidRPr="00DD1DC3">
        <w:rPr>
          <w:szCs w:val="22"/>
        </w:rPr>
        <w:t xml:space="preserve">  </w:t>
      </w:r>
    </w:p>
    <w:p w:rsidR="00845175" w:rsidRPr="00DD1DC3" w:rsidRDefault="00845175" w:rsidP="00845175">
      <w:pPr>
        <w:rPr>
          <w:szCs w:val="22"/>
        </w:rPr>
      </w:pPr>
    </w:p>
    <w:p w:rsidR="00845175" w:rsidRPr="00845175" w:rsidRDefault="00845175" w:rsidP="00845175">
      <w:pPr>
        <w:ind w:left="567" w:hanging="567"/>
      </w:pPr>
      <w:r>
        <w:t>–</w:t>
      </w:r>
      <w:r>
        <w:tab/>
      </w:r>
      <w:r w:rsidRPr="00845175">
        <w:t>Patent Translate offers on-the-fly-translation of patent documents for 28 official languages of the EPO's 38 member states, plus Chinese, Japanese, Korean and Russian.</w:t>
      </w:r>
    </w:p>
    <w:p w:rsidR="00845175" w:rsidRPr="00845175" w:rsidRDefault="0002705D" w:rsidP="00845175">
      <w:pPr>
        <w:ind w:left="567" w:hanging="567"/>
      </w:pPr>
      <w:r>
        <w:tab/>
      </w:r>
      <w:r w:rsidR="00845175" w:rsidRPr="00845175">
        <w:t>Detailed list</w:t>
      </w:r>
      <w:r w:rsidR="00FA1150">
        <w:t xml:space="preserve">:  </w:t>
      </w:r>
      <w:r w:rsidR="00845175" w:rsidRPr="00845175">
        <w:t>Albanian, Bulgarian, Croatian, Czech, Danish, Dutch, Estonian, Finnish, French, German, Greek, Hungarian, Icelandic, Italian, Latvian, Lithuanian, Macedonian, Norwegian, Polish, Portuguese, Romanian, Russian, Serbian, Slovak, Slovenian, Spanish, Swedish, Turkish</w:t>
      </w:r>
    </w:p>
    <w:p w:rsidR="00845175" w:rsidRPr="00845175" w:rsidRDefault="00845175" w:rsidP="00845175">
      <w:pPr>
        <w:ind w:left="567" w:hanging="567"/>
      </w:pPr>
    </w:p>
    <w:p w:rsidR="00845175" w:rsidRPr="00845175" w:rsidRDefault="00845175" w:rsidP="00845175">
      <w:pPr>
        <w:ind w:left="567" w:hanging="567"/>
      </w:pPr>
      <w:r>
        <w:lastRenderedPageBreak/>
        <w:t>–</w:t>
      </w:r>
      <w:r>
        <w:tab/>
      </w:r>
      <w:r w:rsidRPr="00845175">
        <w:t>Translation on the Fly (TFLY) is a browser-based application that handles translation requests from the Viewer used by examiners</w:t>
      </w:r>
      <w:r w:rsidR="00FA1150">
        <w:t xml:space="preserve">.  </w:t>
      </w:r>
      <w:r w:rsidRPr="00845175">
        <w:t xml:space="preserve">TFLY provides machine translation of either any </w:t>
      </w:r>
      <w:proofErr w:type="spellStart"/>
      <w:r w:rsidRPr="00845175">
        <w:t>fulltext</w:t>
      </w:r>
      <w:proofErr w:type="spellEnd"/>
      <w:r w:rsidRPr="00845175">
        <w:t xml:space="preserve"> or any patent document facsimile into many languages using the Google Translate engine</w:t>
      </w:r>
      <w:r w:rsidR="00FA1150">
        <w:t xml:space="preserve">.  </w:t>
      </w:r>
      <w:r w:rsidRPr="00845175">
        <w:t>In case only a facsimile is present, an OCR (Optical Character Recognition) will be performed on the document first, and followed by a translation</w:t>
      </w:r>
      <w:r w:rsidR="00FA1150">
        <w:t xml:space="preserve">.  </w:t>
      </w:r>
      <w:r w:rsidRPr="00845175">
        <w:t xml:space="preserve">This new powerful OCR functionality allows the translation of most of the patent documents in EPODOC. </w:t>
      </w:r>
    </w:p>
    <w:p w:rsidR="00845175" w:rsidRPr="00845175" w:rsidRDefault="00845175" w:rsidP="00845175">
      <w:pPr>
        <w:ind w:left="567" w:hanging="567"/>
      </w:pPr>
    </w:p>
    <w:p w:rsidR="00845175" w:rsidRPr="00845175" w:rsidRDefault="00845175" w:rsidP="00845175">
      <w:pPr>
        <w:ind w:left="567" w:hanging="567"/>
      </w:pPr>
      <w:r>
        <w:t>–</w:t>
      </w:r>
      <w:r>
        <w:tab/>
      </w:r>
      <w:r w:rsidRPr="00845175">
        <w:t>In addition to the TFLY application, other tools and services may be used in order to translate patent and non-patent documentation originally in Asian or other languages such as Russian or Spanish</w:t>
      </w:r>
      <w:r w:rsidR="00FA1150">
        <w:t xml:space="preserve">:  </w:t>
      </w:r>
      <w:r w:rsidRPr="00845175">
        <w:t>machine translation from other patent offices, human-enhanced machine translation (available in 2-3 days). </w:t>
      </w:r>
    </w:p>
    <w:p w:rsidR="00845175" w:rsidRPr="00845175" w:rsidRDefault="00845175" w:rsidP="00845175">
      <w:pPr>
        <w:ind w:left="567" w:hanging="567"/>
      </w:pPr>
    </w:p>
    <w:p w:rsidR="00845175" w:rsidRPr="00845175" w:rsidRDefault="00845175" w:rsidP="00845175">
      <w:pPr>
        <w:ind w:left="567" w:hanging="567"/>
      </w:pPr>
      <w:r>
        <w:t>–</w:t>
      </w:r>
      <w:r>
        <w:tab/>
      </w:r>
      <w:r w:rsidRPr="00845175">
        <w:t>Full human translation and translation performed by colleagues are also available to examiners.</w:t>
      </w:r>
    </w:p>
    <w:p w:rsidR="00845175" w:rsidRPr="00DD1DC3" w:rsidRDefault="00845175" w:rsidP="00845175">
      <w:pPr>
        <w:rPr>
          <w:szCs w:val="22"/>
          <w:lang w:val="en-GB"/>
        </w:rPr>
      </w:pPr>
    </w:p>
    <w:p w:rsidR="00845175" w:rsidRPr="00612061" w:rsidRDefault="00845175" w:rsidP="00845175">
      <w:pPr>
        <w:rPr>
          <w:szCs w:val="22"/>
          <w:lang w:val="en-GB"/>
        </w:rPr>
      </w:pPr>
      <w:r w:rsidRPr="00612061">
        <w:rPr>
          <w:szCs w:val="22"/>
          <w:lang w:val="en-GB"/>
        </w:rPr>
        <w:t>EPO Examiners have access to ca. 25 million records which have been machine translated into English, and can search these in a seamless manner</w:t>
      </w:r>
      <w:r w:rsidR="00FA1150">
        <w:rPr>
          <w:szCs w:val="22"/>
          <w:lang w:val="en-GB"/>
        </w:rPr>
        <w:t xml:space="preserve">.  </w:t>
      </w:r>
      <w:r w:rsidRPr="00612061">
        <w:rPr>
          <w:szCs w:val="22"/>
          <w:lang w:val="en-GB"/>
        </w:rPr>
        <w:t xml:space="preserve">The content of the </w:t>
      </w:r>
      <w:proofErr w:type="spellStart"/>
      <w:r w:rsidRPr="00612061">
        <w:rPr>
          <w:szCs w:val="22"/>
          <w:lang w:val="en-GB"/>
        </w:rPr>
        <w:t>fulltext</w:t>
      </w:r>
      <w:proofErr w:type="spellEnd"/>
      <w:r w:rsidRPr="00612061">
        <w:rPr>
          <w:szCs w:val="22"/>
          <w:lang w:val="en-GB"/>
        </w:rPr>
        <w:t xml:space="preserve"> translated patent databases are fed with a machine translation as provided by external providers (such as Thomson Reuters, </w:t>
      </w:r>
      <w:proofErr w:type="spellStart"/>
      <w:r w:rsidRPr="00612061">
        <w:rPr>
          <w:szCs w:val="22"/>
          <w:lang w:val="en-GB"/>
        </w:rPr>
        <w:t>SciPat</w:t>
      </w:r>
      <w:proofErr w:type="spellEnd"/>
      <w:r w:rsidRPr="00612061">
        <w:rPr>
          <w:szCs w:val="22"/>
          <w:lang w:val="en-GB"/>
        </w:rPr>
        <w:t>)</w:t>
      </w:r>
      <w:r w:rsidR="00FA1150">
        <w:rPr>
          <w:szCs w:val="22"/>
          <w:lang w:val="en-GB"/>
        </w:rPr>
        <w:t xml:space="preserve">.  </w:t>
      </w:r>
      <w:r w:rsidRPr="00612061">
        <w:rPr>
          <w:szCs w:val="22"/>
          <w:lang w:val="en-GB"/>
        </w:rPr>
        <w:t>They cover large numbers of Chinese published/granted patent applications and utility models (13.7 million English translations), Japanese published/granted patent applications (9.2 million English translations), and Korean published/granted patent applications (1.8 million English translations).</w:t>
      </w:r>
    </w:p>
    <w:p w:rsidR="00845175" w:rsidRPr="00DD1DC3" w:rsidRDefault="00845175" w:rsidP="00845175">
      <w:pPr>
        <w:rPr>
          <w:szCs w:val="22"/>
          <w:lang w:val="en-GB"/>
        </w:rPr>
      </w:pPr>
    </w:p>
    <w:p w:rsidR="00845175" w:rsidRPr="00840834" w:rsidRDefault="00845175" w:rsidP="00845175">
      <w:pPr>
        <w:rPr>
          <w:szCs w:val="22"/>
          <w:lang w:val="en-GB"/>
        </w:rPr>
      </w:pPr>
      <w:r w:rsidRPr="00DD1DC3">
        <w:rPr>
          <w:szCs w:val="22"/>
          <w:lang w:val="en-GB"/>
        </w:rPr>
        <w:t xml:space="preserve">The EPO Bulk Translation Project aims to translate, using </w:t>
      </w:r>
      <w:r w:rsidRPr="00CA4C13">
        <w:t>Patent Translate</w:t>
      </w:r>
      <w:r w:rsidRPr="00DD1DC3">
        <w:rPr>
          <w:szCs w:val="22"/>
          <w:lang w:val="en-GB"/>
        </w:rPr>
        <w:t xml:space="preserve"> (as in </w:t>
      </w:r>
      <w:proofErr w:type="spellStart"/>
      <w:r w:rsidRPr="00DD1DC3">
        <w:rPr>
          <w:szCs w:val="22"/>
          <w:lang w:val="en-GB"/>
        </w:rPr>
        <w:t>Tfly</w:t>
      </w:r>
      <w:proofErr w:type="spellEnd"/>
      <w:r w:rsidRPr="00DD1DC3">
        <w:rPr>
          <w:szCs w:val="22"/>
          <w:lang w:val="en-GB"/>
        </w:rPr>
        <w:t>), patent publications into English before making them available to examiners in the patent literature (PL) full-text collections</w:t>
      </w:r>
      <w:r w:rsidR="00FA1150">
        <w:rPr>
          <w:szCs w:val="22"/>
          <w:lang w:val="en-GB"/>
        </w:rPr>
        <w:t xml:space="preserve">.  </w:t>
      </w:r>
      <w:r w:rsidRPr="00DD1DC3">
        <w:rPr>
          <w:szCs w:val="22"/>
          <w:lang w:val="en-GB"/>
        </w:rPr>
        <w:t>More than 317,000 Spanish, Portuguese and Lithuanian documents from 1970-2016, and more than 103,000 Russian, Chinese, Japanese and Korean documents from 2014-2016 are now stored in our prior-art collections and therefore readily searchable</w:t>
      </w:r>
      <w:r w:rsidR="00FA1150">
        <w:rPr>
          <w:szCs w:val="22"/>
          <w:lang w:val="en-GB"/>
        </w:rPr>
        <w:t xml:space="preserve">.  </w:t>
      </w:r>
      <w:r w:rsidRPr="00DD1DC3">
        <w:rPr>
          <w:szCs w:val="22"/>
          <w:lang w:val="en-GB"/>
        </w:rPr>
        <w:t>The English machine translations become accessible in ANSERA and in EPOQUE (as of 20.09.2016)</w:t>
      </w:r>
      <w:r w:rsidR="00FA1150">
        <w:rPr>
          <w:szCs w:val="22"/>
          <w:lang w:val="en-GB"/>
        </w:rPr>
        <w:t xml:space="preserve">.  </w:t>
      </w:r>
      <w:r w:rsidRPr="00DD1DC3">
        <w:rPr>
          <w:szCs w:val="22"/>
          <w:lang w:val="en-GB"/>
        </w:rPr>
        <w:t>The translated collections will be complemented progressively, on a daily basis, with CN, JP, KR and RU publications from 1993-2013 and the corresponding EPOQUE database will be completed.</w:t>
      </w:r>
    </w:p>
    <w:p w:rsidR="00845175" w:rsidRPr="00840834" w:rsidRDefault="00845175" w:rsidP="00845175">
      <w:pPr>
        <w:rPr>
          <w:szCs w:val="22"/>
          <w:lang w:val="en-GB"/>
        </w:rPr>
      </w:pPr>
    </w:p>
    <w:p w:rsidR="00845175" w:rsidRPr="00297B24" w:rsidRDefault="00845175" w:rsidP="00845175">
      <w:pPr>
        <w:pStyle w:val="SectionHeading"/>
      </w:pPr>
      <w:r>
        <w:t>2.2</w:t>
      </w:r>
      <w:r>
        <w:rPr>
          <w:rFonts w:ascii="Arial Bold" w:hAnsi="Arial Bold"/>
          <w:i/>
          <w:iCs/>
          <w:caps w:val="0"/>
        </w:rPr>
        <w:t xml:space="preserve"> </w:t>
      </w:r>
      <w:r w:rsidRPr="00297B24">
        <w:t>– Quality Management</w:t>
      </w:r>
      <w:r>
        <w:t xml:space="preserve"> </w:t>
      </w:r>
    </w:p>
    <w:p w:rsidR="00845175" w:rsidRPr="0002705D" w:rsidRDefault="00845175" w:rsidP="0002705D">
      <w:pPr>
        <w:rPr>
          <w:b/>
          <w:i/>
        </w:rPr>
      </w:pPr>
      <w:r w:rsidRPr="0002705D">
        <w:rPr>
          <w:b/>
          <w:i/>
        </w:rPr>
        <w:t>Rules 36.1(iv) and 63.1(iv):  That Office or organization must have in place a quality management system and internal review arrangements in accordance with the common rules of international search,</w:t>
      </w:r>
    </w:p>
    <w:p w:rsidR="00845175" w:rsidRDefault="00845175" w:rsidP="00845175">
      <w:pPr>
        <w:rPr>
          <w:b/>
          <w:bCs/>
          <w:szCs w:val="22"/>
        </w:rPr>
      </w:pPr>
    </w:p>
    <w:p w:rsidR="00845175" w:rsidRDefault="00845175" w:rsidP="0002705D">
      <w:pPr>
        <w:rPr>
          <w:szCs w:val="22"/>
        </w:rPr>
      </w:pPr>
      <w:r w:rsidRPr="00297B24">
        <w:rPr>
          <w:b/>
          <w:bCs/>
          <w:szCs w:val="22"/>
        </w:rPr>
        <w:t>National quality managem</w:t>
      </w:r>
      <w:bookmarkStart w:id="6" w:name="_GoBack"/>
      <w:bookmarkEnd w:id="6"/>
      <w:r w:rsidRPr="00297B24">
        <w:rPr>
          <w:b/>
          <w:bCs/>
          <w:szCs w:val="22"/>
        </w:rPr>
        <w:t>ent system:</w:t>
      </w:r>
      <w:r w:rsidRPr="00297B24">
        <w:rPr>
          <w:szCs w:val="22"/>
        </w:rPr>
        <w:t xml:space="preserve">  </w:t>
      </w:r>
    </w:p>
    <w:p w:rsidR="00845175" w:rsidRDefault="00845175" w:rsidP="00845175">
      <w:pPr>
        <w:rPr>
          <w:szCs w:val="22"/>
        </w:rPr>
      </w:pPr>
    </w:p>
    <w:p w:rsidR="00845175" w:rsidRDefault="00845175" w:rsidP="00845175">
      <w:pPr>
        <w:rPr>
          <w:szCs w:val="22"/>
        </w:rPr>
      </w:pPr>
      <w:r>
        <w:rPr>
          <w:szCs w:val="22"/>
        </w:rPr>
        <w:t>See published report</w:t>
      </w:r>
      <w:r w:rsidR="0002705D">
        <w:rPr>
          <w:rStyle w:val="FootnoteReference"/>
          <w:szCs w:val="22"/>
        </w:rPr>
        <w:footnoteReference w:id="2"/>
      </w:r>
    </w:p>
    <w:p w:rsidR="00845175" w:rsidRDefault="00845175" w:rsidP="00845175">
      <w:pPr>
        <w:pStyle w:val="SectionHeading"/>
      </w:pPr>
      <w:r>
        <w:lastRenderedPageBreak/>
        <w:t>3 – Intended Scope of Operation</w:t>
      </w:r>
    </w:p>
    <w:p w:rsidR="00845175" w:rsidRPr="007B3004" w:rsidRDefault="00845175" w:rsidP="00FA1150">
      <w:pPr>
        <w:keepNext/>
        <w:rPr>
          <w:b/>
          <w:bCs/>
          <w:szCs w:val="22"/>
        </w:rPr>
      </w:pPr>
      <w:r>
        <w:rPr>
          <w:b/>
          <w:bCs/>
          <w:szCs w:val="22"/>
        </w:rPr>
        <w:t xml:space="preserve">Language(s) in which services would be offered: </w:t>
      </w:r>
    </w:p>
    <w:p w:rsidR="00845175" w:rsidRPr="00245094" w:rsidRDefault="00845175" w:rsidP="00FA1150">
      <w:pPr>
        <w:pStyle w:val="Default"/>
        <w:keepNext/>
        <w:spacing w:before="80" w:after="80"/>
      </w:pPr>
      <w:r w:rsidRPr="00477B46">
        <w:rPr>
          <w:rFonts w:ascii="Arial" w:eastAsia="SimSun" w:hAnsi="Arial" w:cs="Arial"/>
          <w:bCs/>
          <w:color w:val="auto"/>
          <w:sz w:val="22"/>
          <w:szCs w:val="22"/>
          <w:lang w:val="en-US" w:eastAsia="zh-CN"/>
        </w:rPr>
        <w:t xml:space="preserve">English, French, German </w:t>
      </w:r>
    </w:p>
    <w:p w:rsidR="00845175" w:rsidRDefault="00845175" w:rsidP="000A2AA3">
      <w:pPr>
        <w:keepNext/>
        <w:rPr>
          <w:szCs w:val="22"/>
        </w:rPr>
      </w:pPr>
    </w:p>
    <w:p w:rsidR="00845175" w:rsidRDefault="00845175" w:rsidP="000A2AA3">
      <w:pPr>
        <w:keepNext/>
        <w:rPr>
          <w:b/>
          <w:bCs/>
          <w:szCs w:val="22"/>
        </w:rPr>
      </w:pPr>
      <w:r>
        <w:rPr>
          <w:b/>
          <w:bCs/>
          <w:szCs w:val="22"/>
        </w:rPr>
        <w:t xml:space="preserve">State(s) or receiving Office(s) for which Authority would offer to be competent: </w:t>
      </w:r>
    </w:p>
    <w:p w:rsidR="00845175" w:rsidRPr="00477B46" w:rsidRDefault="00845175" w:rsidP="000A2AA3">
      <w:pPr>
        <w:keepNext/>
        <w:rPr>
          <w:bCs/>
          <w:szCs w:val="22"/>
        </w:rPr>
      </w:pPr>
      <w:r w:rsidRPr="00477B46">
        <w:rPr>
          <w:bCs/>
          <w:szCs w:val="22"/>
        </w:rPr>
        <w:t>The EPO acts as ISA for any RO which selects it.</w:t>
      </w:r>
    </w:p>
    <w:p w:rsidR="00845175" w:rsidRDefault="00845175" w:rsidP="00845175">
      <w:pPr>
        <w:rPr>
          <w:b/>
          <w:bCs/>
          <w:szCs w:val="22"/>
        </w:rPr>
      </w:pPr>
    </w:p>
    <w:p w:rsidR="00845175" w:rsidRPr="00477B46" w:rsidRDefault="00845175" w:rsidP="00845175">
      <w:pPr>
        <w:rPr>
          <w:bCs/>
          <w:szCs w:val="22"/>
        </w:rPr>
      </w:pPr>
      <w:r w:rsidRPr="00477B46">
        <w:rPr>
          <w:bCs/>
          <w:szCs w:val="22"/>
        </w:rPr>
        <w:t xml:space="preserve">The EPO acts as IPEA if </w:t>
      </w:r>
      <w:r w:rsidRPr="00477B46">
        <w:rPr>
          <w:bCs/>
          <w:iCs/>
          <w:szCs w:val="22"/>
          <w:lang w:val="en-GB"/>
        </w:rPr>
        <w:t>the EPO or a European ISA acted as ISA</w:t>
      </w:r>
      <w:r w:rsidRPr="00477B46">
        <w:rPr>
          <w:bCs/>
          <w:szCs w:val="22"/>
        </w:rPr>
        <w:t xml:space="preserve">. </w:t>
      </w:r>
    </w:p>
    <w:p w:rsidR="00845175" w:rsidRDefault="00845175" w:rsidP="00845175">
      <w:pPr>
        <w:rPr>
          <w:b/>
          <w:bCs/>
          <w:szCs w:val="22"/>
        </w:rPr>
      </w:pPr>
    </w:p>
    <w:p w:rsidR="00845175" w:rsidRPr="007B3004" w:rsidRDefault="00845175" w:rsidP="00845175">
      <w:pPr>
        <w:rPr>
          <w:szCs w:val="22"/>
        </w:rPr>
      </w:pPr>
      <w:r>
        <w:rPr>
          <w:b/>
          <w:bCs/>
          <w:szCs w:val="22"/>
        </w:rPr>
        <w:t>Limitations on scope of operation:</w:t>
      </w:r>
    </w:p>
    <w:p w:rsidR="00845175" w:rsidRPr="00477B46" w:rsidRDefault="00845175" w:rsidP="00845175">
      <w:pPr>
        <w:pStyle w:val="Default"/>
        <w:spacing w:before="120" w:after="120"/>
        <w:rPr>
          <w:rFonts w:ascii="Arial" w:eastAsia="SimSun" w:hAnsi="Arial" w:cs="Arial"/>
          <w:bCs/>
          <w:color w:val="auto"/>
          <w:sz w:val="22"/>
          <w:szCs w:val="22"/>
          <w:lang w:val="en-US" w:eastAsia="zh-CN"/>
        </w:rPr>
      </w:pPr>
      <w:r w:rsidRPr="00477B46">
        <w:rPr>
          <w:rFonts w:ascii="Arial" w:eastAsia="SimSun" w:hAnsi="Arial" w:cs="Arial"/>
          <w:bCs/>
          <w:color w:val="auto"/>
          <w:sz w:val="22"/>
          <w:szCs w:val="22"/>
          <w:lang w:val="en-US" w:eastAsia="zh-CN"/>
        </w:rPr>
        <w:t>As ISA</w:t>
      </w:r>
      <w:r w:rsidR="00FA1150">
        <w:rPr>
          <w:rFonts w:ascii="Arial" w:eastAsia="SimSun" w:hAnsi="Arial" w:cs="Arial"/>
          <w:bCs/>
          <w:color w:val="auto"/>
          <w:sz w:val="22"/>
          <w:szCs w:val="22"/>
          <w:lang w:val="en-US" w:eastAsia="zh-CN"/>
        </w:rPr>
        <w:t xml:space="preserve">:  </w:t>
      </w:r>
      <w:r w:rsidRPr="00477B46">
        <w:rPr>
          <w:rFonts w:ascii="Arial" w:eastAsia="SimSun" w:hAnsi="Arial" w:cs="Arial"/>
          <w:bCs/>
          <w:color w:val="auto"/>
          <w:sz w:val="22"/>
          <w:szCs w:val="22"/>
          <w:lang w:val="en-US" w:eastAsia="zh-CN"/>
        </w:rPr>
        <w:t>the subject matter specified in items (</w:t>
      </w:r>
      <w:proofErr w:type="spellStart"/>
      <w:r w:rsidRPr="00477B46">
        <w:rPr>
          <w:rFonts w:ascii="Arial" w:eastAsia="SimSun" w:hAnsi="Arial" w:cs="Arial"/>
          <w:bCs/>
          <w:color w:val="auto"/>
          <w:sz w:val="22"/>
          <w:szCs w:val="22"/>
          <w:lang w:val="en-US" w:eastAsia="zh-CN"/>
        </w:rPr>
        <w:t>i</w:t>
      </w:r>
      <w:proofErr w:type="spellEnd"/>
      <w:r w:rsidRPr="00477B46">
        <w:rPr>
          <w:rFonts w:ascii="Arial" w:eastAsia="SimSun" w:hAnsi="Arial" w:cs="Arial"/>
          <w:bCs/>
          <w:color w:val="auto"/>
          <w:sz w:val="22"/>
          <w:szCs w:val="22"/>
          <w:lang w:val="en-US" w:eastAsia="zh-CN"/>
        </w:rPr>
        <w:t xml:space="preserve">) to (vi) of PCT Rule 39.1 with the exception of all subject matter which is searched under the European patent grant procedure. </w:t>
      </w:r>
    </w:p>
    <w:p w:rsidR="00845175" w:rsidRPr="00477B46" w:rsidRDefault="00845175" w:rsidP="00845175">
      <w:pPr>
        <w:pStyle w:val="Default"/>
        <w:rPr>
          <w:rFonts w:ascii="Arial" w:eastAsia="SimSun" w:hAnsi="Arial" w:cs="Arial"/>
          <w:bCs/>
          <w:color w:val="auto"/>
          <w:sz w:val="22"/>
          <w:szCs w:val="22"/>
          <w:lang w:val="en-US" w:eastAsia="zh-CN"/>
        </w:rPr>
      </w:pPr>
    </w:p>
    <w:p w:rsidR="00845175" w:rsidRPr="0002705D" w:rsidRDefault="00845175" w:rsidP="0002705D">
      <w:pPr>
        <w:pStyle w:val="Default"/>
        <w:rPr>
          <w:rFonts w:ascii="Arial" w:eastAsia="SimSun" w:hAnsi="Arial" w:cs="Arial"/>
          <w:bCs/>
          <w:color w:val="auto"/>
          <w:sz w:val="22"/>
          <w:szCs w:val="22"/>
          <w:lang w:val="en-US" w:eastAsia="zh-CN"/>
        </w:rPr>
      </w:pPr>
      <w:r w:rsidRPr="00477B46">
        <w:rPr>
          <w:rFonts w:ascii="Arial" w:eastAsia="SimSun" w:hAnsi="Arial" w:cs="Arial"/>
          <w:bCs/>
          <w:color w:val="auto"/>
          <w:sz w:val="22"/>
          <w:szCs w:val="22"/>
          <w:lang w:val="en-US" w:eastAsia="zh-CN"/>
        </w:rPr>
        <w:t>As IPEA</w:t>
      </w:r>
      <w:r w:rsidR="00FA1150">
        <w:rPr>
          <w:rFonts w:ascii="Arial" w:eastAsia="SimSun" w:hAnsi="Arial" w:cs="Arial"/>
          <w:bCs/>
          <w:color w:val="auto"/>
          <w:sz w:val="22"/>
          <w:szCs w:val="22"/>
          <w:lang w:val="en-US" w:eastAsia="zh-CN"/>
        </w:rPr>
        <w:t xml:space="preserve">:  </w:t>
      </w:r>
      <w:r w:rsidRPr="00477B46">
        <w:rPr>
          <w:rFonts w:ascii="Arial" w:eastAsia="SimSun" w:hAnsi="Arial" w:cs="Arial"/>
          <w:bCs/>
          <w:color w:val="auto"/>
          <w:sz w:val="22"/>
          <w:szCs w:val="22"/>
          <w:lang w:val="en-US" w:eastAsia="zh-CN"/>
        </w:rPr>
        <w:t>the subject matter specified in items (</w:t>
      </w:r>
      <w:proofErr w:type="spellStart"/>
      <w:r w:rsidRPr="00477B46">
        <w:rPr>
          <w:rFonts w:ascii="Arial" w:eastAsia="SimSun" w:hAnsi="Arial" w:cs="Arial"/>
          <w:bCs/>
          <w:color w:val="auto"/>
          <w:sz w:val="22"/>
          <w:szCs w:val="22"/>
          <w:lang w:val="en-US" w:eastAsia="zh-CN"/>
        </w:rPr>
        <w:t>i</w:t>
      </w:r>
      <w:proofErr w:type="spellEnd"/>
      <w:r w:rsidRPr="00477B46">
        <w:rPr>
          <w:rFonts w:ascii="Arial" w:eastAsia="SimSun" w:hAnsi="Arial" w:cs="Arial"/>
          <w:bCs/>
          <w:color w:val="auto"/>
          <w:sz w:val="22"/>
          <w:szCs w:val="22"/>
          <w:lang w:val="en-US" w:eastAsia="zh-CN"/>
        </w:rPr>
        <w:t>) to (vi) of PCT Rule 67.1 with the exception of all subject matter which is examined under the E</w:t>
      </w:r>
      <w:r w:rsidR="0002705D">
        <w:rPr>
          <w:rFonts w:ascii="Arial" w:eastAsia="SimSun" w:hAnsi="Arial" w:cs="Arial"/>
          <w:bCs/>
          <w:color w:val="auto"/>
          <w:sz w:val="22"/>
          <w:szCs w:val="22"/>
          <w:lang w:val="en-US" w:eastAsia="zh-CN"/>
        </w:rPr>
        <w:t>uropean patent grant procedure.</w:t>
      </w:r>
    </w:p>
    <w:p w:rsidR="00845175" w:rsidRPr="00297B24" w:rsidRDefault="00845175" w:rsidP="00845175">
      <w:pPr>
        <w:pStyle w:val="SectionHeading"/>
        <w:shd w:val="clear" w:color="auto" w:fill="FFFFFF" w:themeFill="background1"/>
      </w:pPr>
      <w:r>
        <w:t xml:space="preserve">4 </w:t>
      </w:r>
      <w:r w:rsidRPr="00297B24">
        <w:t>– Statement of Motivation</w:t>
      </w:r>
    </w:p>
    <w:p w:rsidR="00845175" w:rsidRPr="003C089E" w:rsidRDefault="00845175" w:rsidP="00845175">
      <w:pPr>
        <w:shd w:val="clear" w:color="auto" w:fill="FFFFFF" w:themeFill="background1"/>
        <w:rPr>
          <w:szCs w:val="22"/>
          <w:lang w:val="en-GB"/>
        </w:rPr>
      </w:pPr>
      <w:r w:rsidRPr="003C089E">
        <w:rPr>
          <w:szCs w:val="22"/>
          <w:lang w:val="en-GB"/>
        </w:rPr>
        <w:t>The EPO has been deeply involved in the harmonisation process from the outset, leading to the adoption of the PCT</w:t>
      </w:r>
      <w:r w:rsidR="00FA1150">
        <w:rPr>
          <w:szCs w:val="22"/>
          <w:lang w:val="en-GB"/>
        </w:rPr>
        <w:t xml:space="preserve">.  </w:t>
      </w:r>
      <w:r w:rsidRPr="003C089E">
        <w:rPr>
          <w:szCs w:val="22"/>
          <w:lang w:val="en-GB"/>
        </w:rPr>
        <w:t>It has always strongly believed that such system brings enormous benefits to the users</w:t>
      </w:r>
      <w:r w:rsidR="00FA1150">
        <w:rPr>
          <w:szCs w:val="22"/>
          <w:lang w:val="en-GB"/>
        </w:rPr>
        <w:t xml:space="preserve">.  </w:t>
      </w:r>
      <w:r w:rsidRPr="003C089E">
        <w:rPr>
          <w:szCs w:val="22"/>
          <w:lang w:val="en-GB"/>
        </w:rPr>
        <w:t xml:space="preserve">Following the entry into force of the PCT, the EPO has continued to actively cooperate with the other Offices and the International Bureau to further improve the implemented system by </w:t>
      </w:r>
      <w:proofErr w:type="spellStart"/>
      <w:r w:rsidRPr="003C089E">
        <w:rPr>
          <w:szCs w:val="22"/>
          <w:lang w:val="en-GB"/>
        </w:rPr>
        <w:t>i.a</w:t>
      </w:r>
      <w:proofErr w:type="spellEnd"/>
      <w:r w:rsidRPr="003C089E">
        <w:rPr>
          <w:szCs w:val="22"/>
          <w:lang w:val="en-GB"/>
        </w:rPr>
        <w:t xml:space="preserve">. introducing new services, proposing changes to the legal framework aimed at increasing legal certainty, addressing diverging practices to ensure consistency.  </w:t>
      </w:r>
    </w:p>
    <w:p w:rsidR="00845175" w:rsidRPr="003C089E" w:rsidRDefault="00845175" w:rsidP="00845175">
      <w:pPr>
        <w:rPr>
          <w:szCs w:val="22"/>
          <w:lang w:val="en-GB"/>
        </w:rPr>
      </w:pPr>
    </w:p>
    <w:p w:rsidR="00845175" w:rsidRPr="003C089E" w:rsidRDefault="00845175" w:rsidP="00845175">
      <w:pPr>
        <w:rPr>
          <w:szCs w:val="22"/>
          <w:lang w:val="en-GB"/>
        </w:rPr>
      </w:pPr>
      <w:r w:rsidRPr="003C089E">
        <w:rPr>
          <w:szCs w:val="22"/>
          <w:lang w:val="en-GB"/>
        </w:rPr>
        <w:t>The EPO started offering its services as ISA and IPEA in 1978 and it is now selected by the majority of the ROs</w:t>
      </w:r>
      <w:r w:rsidR="00FA1150">
        <w:rPr>
          <w:szCs w:val="22"/>
          <w:lang w:val="en-GB"/>
        </w:rPr>
        <w:t xml:space="preserve">.  </w:t>
      </w:r>
      <w:r w:rsidRPr="003C089E">
        <w:rPr>
          <w:szCs w:val="22"/>
          <w:lang w:val="en-GB"/>
        </w:rPr>
        <w:t>The EPO searches in the international phase are global in scope and are performed applying the same high standard as for the European searches and using the same tools</w:t>
      </w:r>
      <w:r w:rsidR="00FA1150">
        <w:rPr>
          <w:szCs w:val="22"/>
          <w:lang w:val="en-GB"/>
        </w:rPr>
        <w:t xml:space="preserve">.  </w:t>
      </w:r>
      <w:r w:rsidRPr="003C089E">
        <w:rPr>
          <w:szCs w:val="22"/>
          <w:lang w:val="en-GB"/>
        </w:rPr>
        <w:t>Highly skilled examiners working in teams of three search and examine patent applications using the world’s most complete databases</w:t>
      </w:r>
      <w:r w:rsidR="00FA1150">
        <w:rPr>
          <w:szCs w:val="22"/>
          <w:lang w:val="en-GB"/>
        </w:rPr>
        <w:t xml:space="preserve">.  </w:t>
      </w:r>
      <w:r w:rsidRPr="003C089E">
        <w:rPr>
          <w:szCs w:val="22"/>
          <w:lang w:val="en-GB"/>
        </w:rPr>
        <w:t>The EPO gives great importance to the quality of its searches and assessments being aware that they have far-reaching consequences on users’ decisions concerning the future of the patent application</w:t>
      </w:r>
      <w:r w:rsidR="00FA1150">
        <w:rPr>
          <w:szCs w:val="22"/>
          <w:lang w:val="en-GB"/>
        </w:rPr>
        <w:t xml:space="preserve">.  </w:t>
      </w:r>
      <w:r w:rsidRPr="003C089E">
        <w:rPr>
          <w:szCs w:val="22"/>
          <w:lang w:val="en-GB"/>
        </w:rPr>
        <w:t>Despite the high volume of ISRs established (81</w:t>
      </w:r>
      <w:r w:rsidR="00245094">
        <w:rPr>
          <w:szCs w:val="22"/>
          <w:lang w:val="en-GB"/>
        </w:rPr>
        <w:t>,</w:t>
      </w:r>
      <w:r w:rsidRPr="003C089E">
        <w:rPr>
          <w:szCs w:val="22"/>
          <w:lang w:val="en-GB"/>
        </w:rPr>
        <w:t>131 in 2015), the EPO has moreover succeeded in the course of the years to considerably improve its timeliness to meet users’ need</w:t>
      </w:r>
      <w:r w:rsidR="00FA1150">
        <w:rPr>
          <w:szCs w:val="22"/>
          <w:lang w:val="en-GB"/>
        </w:rPr>
        <w:t xml:space="preserve">.  </w:t>
      </w:r>
      <w:r w:rsidRPr="003C089E">
        <w:rPr>
          <w:szCs w:val="22"/>
          <w:lang w:val="en-GB"/>
        </w:rPr>
        <w:t xml:space="preserve">Since 2010, the EPO has also been acting as SISA and is actively engaged in making such service more attractive for users.  </w:t>
      </w:r>
    </w:p>
    <w:p w:rsidR="00845175" w:rsidRPr="003C089E" w:rsidRDefault="00845175" w:rsidP="00845175">
      <w:pPr>
        <w:rPr>
          <w:szCs w:val="22"/>
          <w:lang w:val="en-GB"/>
        </w:rPr>
      </w:pPr>
    </w:p>
    <w:p w:rsidR="00845175" w:rsidRPr="003C089E" w:rsidRDefault="00845175" w:rsidP="00845175">
      <w:pPr>
        <w:rPr>
          <w:szCs w:val="22"/>
          <w:lang w:val="en-GB"/>
        </w:rPr>
      </w:pPr>
      <w:r w:rsidRPr="003C089E">
        <w:rPr>
          <w:szCs w:val="22"/>
          <w:lang w:val="en-GB"/>
        </w:rPr>
        <w:t>The international route is widely used by applicants who are interested in a global protection and that prefer to postpone major decisions and costs</w:t>
      </w:r>
      <w:r w:rsidR="00FA1150">
        <w:rPr>
          <w:szCs w:val="22"/>
          <w:lang w:val="en-GB"/>
        </w:rPr>
        <w:t xml:space="preserve">.  </w:t>
      </w:r>
      <w:r w:rsidRPr="003C089E">
        <w:rPr>
          <w:szCs w:val="22"/>
          <w:lang w:val="en-GB"/>
        </w:rPr>
        <w:t>In 2015, 61</w:t>
      </w:r>
      <w:r w:rsidR="00245094">
        <w:rPr>
          <w:szCs w:val="22"/>
          <w:lang w:val="en-GB"/>
        </w:rPr>
        <w:t>.</w:t>
      </w:r>
      <w:r w:rsidRPr="003C089E">
        <w:rPr>
          <w:szCs w:val="22"/>
          <w:lang w:val="en-GB"/>
        </w:rPr>
        <w:t>4</w:t>
      </w:r>
      <w:r w:rsidR="00245094">
        <w:rPr>
          <w:szCs w:val="22"/>
          <w:lang w:val="en-GB"/>
        </w:rPr>
        <w:t xml:space="preserve"> per cent</w:t>
      </w:r>
      <w:r w:rsidRPr="003C089E">
        <w:rPr>
          <w:szCs w:val="22"/>
          <w:lang w:val="en-GB"/>
        </w:rPr>
        <w:t xml:space="preserve"> of the applications received by the EPO in the regional phase were indeed Euro-PCT applications</w:t>
      </w:r>
      <w:r w:rsidR="00FA1150">
        <w:rPr>
          <w:szCs w:val="22"/>
          <w:lang w:val="en-GB"/>
        </w:rPr>
        <w:t xml:space="preserve">.  </w:t>
      </w:r>
      <w:r w:rsidRPr="003C089E">
        <w:rPr>
          <w:szCs w:val="22"/>
          <w:lang w:val="en-GB"/>
        </w:rPr>
        <w:t>The percentage of applications which entered the European phase after the international phase has incredibly increased over the years</w:t>
      </w:r>
      <w:r w:rsidR="00FA1150">
        <w:rPr>
          <w:szCs w:val="22"/>
          <w:lang w:val="en-GB"/>
        </w:rPr>
        <w:t xml:space="preserve">.  </w:t>
      </w:r>
      <w:r w:rsidRPr="003C089E">
        <w:rPr>
          <w:szCs w:val="22"/>
          <w:lang w:val="en-GB"/>
        </w:rPr>
        <w:t>The activity of the EPO as ISA and IPEA allows applicants interested in entering the European phase to understand the value of their patent at an early stage, and, in case of positive feedback, to get their patent quickly granted in the regional phase and at a minor cost.</w:t>
      </w:r>
    </w:p>
    <w:p w:rsidR="00845175" w:rsidRPr="003C089E" w:rsidRDefault="00845175" w:rsidP="00845175">
      <w:pPr>
        <w:rPr>
          <w:szCs w:val="22"/>
          <w:lang w:val="en-GB"/>
        </w:rPr>
      </w:pPr>
    </w:p>
    <w:p w:rsidR="00845175" w:rsidRPr="003C089E" w:rsidRDefault="00845175" w:rsidP="00845175">
      <w:pPr>
        <w:rPr>
          <w:szCs w:val="22"/>
          <w:lang w:val="en-GB"/>
        </w:rPr>
      </w:pPr>
      <w:r w:rsidRPr="003C089E">
        <w:rPr>
          <w:szCs w:val="22"/>
          <w:lang w:val="en-GB"/>
        </w:rPr>
        <w:t>The EPO would therefore be pleased to continue providing users with its services as International Authority and to further contribute to the maintenance and the improvement of PCT system in the international framework.</w:t>
      </w:r>
    </w:p>
    <w:p w:rsidR="00845175" w:rsidRPr="003C089E" w:rsidRDefault="00845175" w:rsidP="00845175">
      <w:pPr>
        <w:rPr>
          <w:szCs w:val="22"/>
          <w:lang w:val="en-GB"/>
        </w:rPr>
      </w:pPr>
    </w:p>
    <w:p w:rsidR="00845175" w:rsidRPr="00DD1DC3" w:rsidRDefault="00845175" w:rsidP="00845175">
      <w:pPr>
        <w:pStyle w:val="SectionHeading"/>
      </w:pPr>
      <w:r w:rsidRPr="00DD1DC3">
        <w:lastRenderedPageBreak/>
        <w:t>5 – Applicant State(s</w:t>
      </w:r>
      <w:r w:rsidRPr="00DD1DC3">
        <w:rPr>
          <w:b w:val="0"/>
        </w:rPr>
        <w:t xml:space="preserve">) </w:t>
      </w:r>
    </w:p>
    <w:p w:rsidR="00845175" w:rsidRPr="00DD1DC3" w:rsidRDefault="00845175" w:rsidP="00245094">
      <w:pPr>
        <w:keepNext/>
        <w:rPr>
          <w:b/>
          <w:bCs/>
          <w:szCs w:val="22"/>
        </w:rPr>
      </w:pPr>
      <w:r w:rsidRPr="00DD1DC3">
        <w:rPr>
          <w:b/>
          <w:bCs/>
          <w:szCs w:val="22"/>
        </w:rPr>
        <w:t>Regional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45175" w:rsidRPr="00DD1DC3" w:rsidTr="00845175">
        <w:trPr>
          <w:trHeight w:val="4234"/>
        </w:trPr>
        <w:tc>
          <w:tcPr>
            <w:tcW w:w="6165" w:type="dxa"/>
            <w:shd w:val="clear" w:color="auto" w:fill="auto"/>
          </w:tcPr>
          <w:p w:rsidR="00845175" w:rsidRPr="00DD1DC3" w:rsidRDefault="00845175" w:rsidP="00845175">
            <w:pPr>
              <w:rPr>
                <w:szCs w:val="22"/>
              </w:rPr>
            </w:pPr>
            <w:r w:rsidRPr="00DD1DC3">
              <w:rPr>
                <w:noProof/>
                <w:lang w:eastAsia="en-US"/>
              </w:rPr>
              <w:drawing>
                <wp:inline distT="0" distB="0" distL="0" distR="0" wp14:anchorId="3E745E2B" wp14:editId="114D5FA1">
                  <wp:extent cx="5973505" cy="4508205"/>
                  <wp:effectExtent l="0" t="0" r="8255" b="6985"/>
                  <wp:docPr id="2" name="Picture 2" descr="http://documents.epo.org/projects/babylon/eponet.nsf/0/8C003885190F73D2C1257EEE002E4EBB/$File/European_patents_coverage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uments.epo.org/projects/babylon/eponet.nsf/0/8C003885190F73D2C1257EEE002E4EBB/$File/European_patents_coverage_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7321" cy="4518632"/>
                          </a:xfrm>
                          <a:prstGeom prst="rect">
                            <a:avLst/>
                          </a:prstGeom>
                          <a:noFill/>
                          <a:ln>
                            <a:noFill/>
                          </a:ln>
                        </pic:spPr>
                      </pic:pic>
                    </a:graphicData>
                  </a:graphic>
                </wp:inline>
              </w:drawing>
            </w:r>
          </w:p>
        </w:tc>
      </w:tr>
    </w:tbl>
    <w:p w:rsidR="00845175" w:rsidRPr="00DD1DC3" w:rsidRDefault="00845175" w:rsidP="00845175">
      <w:pPr>
        <w:rPr>
          <w:i/>
          <w:iCs/>
          <w:szCs w:val="22"/>
        </w:rPr>
      </w:pPr>
      <w:r w:rsidRPr="00DD1DC3">
        <w:rPr>
          <w:i/>
          <w:iCs/>
          <w:szCs w:val="22"/>
        </w:rPr>
        <w:t>Map showing State(s)</w:t>
      </w:r>
      <w:r w:rsidR="0002705D">
        <w:rPr>
          <w:i/>
          <w:iCs/>
          <w:szCs w:val="22"/>
        </w:rPr>
        <w:t xml:space="preserve"> and neighboring States</w:t>
      </w:r>
    </w:p>
    <w:p w:rsidR="00845175" w:rsidRPr="00297B24" w:rsidRDefault="00845175" w:rsidP="00845175">
      <w:pPr>
        <w:pStyle w:val="SectionHeading"/>
      </w:pPr>
      <w:r>
        <w:t>6</w:t>
      </w:r>
      <w:r w:rsidRPr="00297B24">
        <w:t xml:space="preserve"> – Profile of Patent Applications</w:t>
      </w:r>
    </w:p>
    <w:p w:rsidR="00845175" w:rsidRPr="00297B24" w:rsidRDefault="00845175" w:rsidP="0002705D">
      <w:pPr>
        <w:keepNext/>
        <w:keepLines/>
        <w:rPr>
          <w:b/>
          <w:bCs/>
          <w:szCs w:val="22"/>
        </w:rPr>
      </w:pPr>
      <w:r w:rsidRPr="00297B24">
        <w:rPr>
          <w:b/>
          <w:bCs/>
          <w:szCs w:val="22"/>
        </w:rPr>
        <w:t>Number of national applications received – by technical field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845175" w:rsidRPr="00C660D6" w:rsidTr="00845175">
        <w:trPr>
          <w:cantSplit/>
        </w:trPr>
        <w:tc>
          <w:tcPr>
            <w:tcW w:w="2518" w:type="dxa"/>
            <w:tcBorders>
              <w:tl2br w:val="single" w:sz="4" w:space="0" w:color="auto"/>
            </w:tcBorders>
            <w:shd w:val="clear" w:color="auto" w:fill="auto"/>
          </w:tcPr>
          <w:p w:rsidR="00845175" w:rsidRPr="00C660D6" w:rsidRDefault="00845175" w:rsidP="0002705D">
            <w:pPr>
              <w:keepNext/>
              <w:jc w:val="right"/>
              <w:rPr>
                <w:b/>
                <w:bCs/>
                <w:szCs w:val="22"/>
              </w:rPr>
            </w:pPr>
          </w:p>
          <w:p w:rsidR="00845175" w:rsidRPr="00C660D6" w:rsidRDefault="00845175" w:rsidP="0002705D">
            <w:pPr>
              <w:keepNext/>
              <w:jc w:val="right"/>
              <w:rPr>
                <w:b/>
                <w:bCs/>
                <w:szCs w:val="22"/>
              </w:rPr>
            </w:pPr>
            <w:r w:rsidRPr="00C660D6">
              <w:rPr>
                <w:b/>
                <w:bCs/>
                <w:szCs w:val="22"/>
              </w:rPr>
              <w:t>Year</w:t>
            </w:r>
          </w:p>
          <w:p w:rsidR="00845175" w:rsidRPr="00C660D6" w:rsidRDefault="00845175" w:rsidP="0002705D">
            <w:pPr>
              <w:keepNext/>
              <w:rPr>
                <w:b/>
                <w:bCs/>
                <w:szCs w:val="22"/>
              </w:rPr>
            </w:pPr>
            <w:r w:rsidRPr="00C660D6">
              <w:rPr>
                <w:b/>
                <w:bCs/>
                <w:szCs w:val="22"/>
              </w:rPr>
              <w:t>Technical Field</w:t>
            </w:r>
          </w:p>
        </w:tc>
        <w:tc>
          <w:tcPr>
            <w:tcW w:w="1360" w:type="dxa"/>
            <w:shd w:val="clear" w:color="auto" w:fill="auto"/>
            <w:vAlign w:val="center"/>
          </w:tcPr>
          <w:p w:rsidR="00845175" w:rsidRPr="00C660D6" w:rsidRDefault="00845175" w:rsidP="0002705D">
            <w:pPr>
              <w:keepNext/>
              <w:jc w:val="center"/>
              <w:rPr>
                <w:szCs w:val="22"/>
              </w:rPr>
            </w:pPr>
            <w:r>
              <w:rPr>
                <w:szCs w:val="22"/>
              </w:rPr>
              <w:t>2011</w:t>
            </w:r>
          </w:p>
        </w:tc>
        <w:tc>
          <w:tcPr>
            <w:tcW w:w="1361" w:type="dxa"/>
            <w:shd w:val="clear" w:color="auto" w:fill="auto"/>
            <w:vAlign w:val="center"/>
          </w:tcPr>
          <w:p w:rsidR="00845175" w:rsidRPr="00C660D6" w:rsidRDefault="00845175" w:rsidP="0002705D">
            <w:pPr>
              <w:keepNext/>
              <w:jc w:val="center"/>
              <w:rPr>
                <w:szCs w:val="22"/>
              </w:rPr>
            </w:pPr>
            <w:r>
              <w:rPr>
                <w:szCs w:val="22"/>
              </w:rPr>
              <w:t>2012</w:t>
            </w:r>
          </w:p>
        </w:tc>
        <w:tc>
          <w:tcPr>
            <w:tcW w:w="1361" w:type="dxa"/>
            <w:shd w:val="clear" w:color="auto" w:fill="auto"/>
            <w:vAlign w:val="center"/>
          </w:tcPr>
          <w:p w:rsidR="00845175" w:rsidRPr="00C660D6" w:rsidRDefault="00845175" w:rsidP="0002705D">
            <w:pPr>
              <w:keepNext/>
              <w:jc w:val="center"/>
              <w:rPr>
                <w:szCs w:val="22"/>
              </w:rPr>
            </w:pPr>
            <w:r>
              <w:rPr>
                <w:szCs w:val="22"/>
              </w:rPr>
              <w:t>2013</w:t>
            </w:r>
          </w:p>
        </w:tc>
        <w:tc>
          <w:tcPr>
            <w:tcW w:w="1361" w:type="dxa"/>
            <w:shd w:val="clear" w:color="auto" w:fill="auto"/>
            <w:vAlign w:val="center"/>
          </w:tcPr>
          <w:p w:rsidR="00845175" w:rsidRPr="00C660D6" w:rsidRDefault="00845175" w:rsidP="0002705D">
            <w:pPr>
              <w:keepNext/>
              <w:jc w:val="center"/>
              <w:rPr>
                <w:szCs w:val="22"/>
              </w:rPr>
            </w:pPr>
            <w:r>
              <w:rPr>
                <w:szCs w:val="22"/>
              </w:rPr>
              <w:t>2014</w:t>
            </w:r>
          </w:p>
        </w:tc>
        <w:tc>
          <w:tcPr>
            <w:tcW w:w="1361" w:type="dxa"/>
            <w:shd w:val="clear" w:color="auto" w:fill="auto"/>
            <w:vAlign w:val="center"/>
          </w:tcPr>
          <w:p w:rsidR="00845175" w:rsidRPr="00C660D6" w:rsidRDefault="00845175" w:rsidP="0002705D">
            <w:pPr>
              <w:keepNext/>
              <w:jc w:val="center"/>
              <w:rPr>
                <w:szCs w:val="22"/>
              </w:rPr>
            </w:pPr>
            <w:r>
              <w:rPr>
                <w:szCs w:val="22"/>
              </w:rPr>
              <w:t>2015</w:t>
            </w:r>
          </w:p>
        </w:tc>
      </w:tr>
      <w:tr w:rsidR="00845175" w:rsidRPr="00C660D6" w:rsidTr="00845175">
        <w:trPr>
          <w:cantSplit/>
        </w:trPr>
        <w:tc>
          <w:tcPr>
            <w:tcW w:w="2518" w:type="dxa"/>
            <w:shd w:val="clear" w:color="auto" w:fill="auto"/>
          </w:tcPr>
          <w:p w:rsidR="00845175" w:rsidRPr="00C660D6" w:rsidRDefault="00845175" w:rsidP="0002705D">
            <w:pPr>
              <w:keepNext/>
              <w:rPr>
                <w:szCs w:val="22"/>
              </w:rPr>
            </w:pPr>
            <w:r w:rsidRPr="00C660D6">
              <w:rPr>
                <w:szCs w:val="22"/>
              </w:rPr>
              <w:t>Mechanical</w:t>
            </w:r>
          </w:p>
        </w:tc>
        <w:tc>
          <w:tcPr>
            <w:tcW w:w="1360" w:type="dxa"/>
            <w:shd w:val="clear" w:color="auto" w:fill="auto"/>
          </w:tcPr>
          <w:p w:rsidR="00845175" w:rsidRPr="00C660D6" w:rsidRDefault="00845175" w:rsidP="00245094">
            <w:pPr>
              <w:keepNext/>
              <w:ind w:right="260"/>
              <w:jc w:val="right"/>
              <w:rPr>
                <w:szCs w:val="22"/>
              </w:rPr>
            </w:pPr>
            <w:r>
              <w:rPr>
                <w:szCs w:val="22"/>
              </w:rPr>
              <w:t>29</w:t>
            </w:r>
            <w:r w:rsidR="00245094">
              <w:rPr>
                <w:szCs w:val="22"/>
              </w:rPr>
              <w:t>,</w:t>
            </w:r>
            <w:r>
              <w:rPr>
                <w:szCs w:val="22"/>
              </w:rPr>
              <w:t>942</w:t>
            </w:r>
          </w:p>
        </w:tc>
        <w:tc>
          <w:tcPr>
            <w:tcW w:w="1361" w:type="dxa"/>
            <w:shd w:val="clear" w:color="auto" w:fill="auto"/>
          </w:tcPr>
          <w:p w:rsidR="00845175" w:rsidRPr="00C660D6" w:rsidRDefault="00845175" w:rsidP="00245094">
            <w:pPr>
              <w:keepNext/>
              <w:ind w:right="260"/>
              <w:jc w:val="right"/>
              <w:rPr>
                <w:szCs w:val="22"/>
              </w:rPr>
            </w:pPr>
            <w:r>
              <w:rPr>
                <w:szCs w:val="22"/>
              </w:rPr>
              <w:t>33</w:t>
            </w:r>
            <w:r w:rsidR="00245094">
              <w:rPr>
                <w:szCs w:val="22"/>
              </w:rPr>
              <w:t>,</w:t>
            </w:r>
            <w:r>
              <w:rPr>
                <w:szCs w:val="22"/>
              </w:rPr>
              <w:t>075</w:t>
            </w:r>
          </w:p>
        </w:tc>
        <w:tc>
          <w:tcPr>
            <w:tcW w:w="1361" w:type="dxa"/>
            <w:shd w:val="clear" w:color="auto" w:fill="auto"/>
          </w:tcPr>
          <w:p w:rsidR="00845175" w:rsidRPr="00C660D6" w:rsidRDefault="00845175" w:rsidP="00245094">
            <w:pPr>
              <w:keepNext/>
              <w:ind w:right="260"/>
              <w:jc w:val="right"/>
              <w:rPr>
                <w:szCs w:val="22"/>
              </w:rPr>
            </w:pPr>
            <w:r>
              <w:rPr>
                <w:szCs w:val="22"/>
              </w:rPr>
              <w:t>32</w:t>
            </w:r>
            <w:r w:rsidR="00245094">
              <w:rPr>
                <w:szCs w:val="22"/>
              </w:rPr>
              <w:t>,</w:t>
            </w:r>
            <w:r>
              <w:rPr>
                <w:szCs w:val="22"/>
              </w:rPr>
              <w:t>801</w:t>
            </w:r>
          </w:p>
        </w:tc>
        <w:tc>
          <w:tcPr>
            <w:tcW w:w="1361" w:type="dxa"/>
            <w:shd w:val="clear" w:color="auto" w:fill="auto"/>
          </w:tcPr>
          <w:p w:rsidR="00845175" w:rsidRPr="00C660D6" w:rsidRDefault="00845175" w:rsidP="00245094">
            <w:pPr>
              <w:keepNext/>
              <w:ind w:right="260"/>
              <w:jc w:val="right"/>
              <w:rPr>
                <w:szCs w:val="22"/>
              </w:rPr>
            </w:pPr>
            <w:r>
              <w:rPr>
                <w:szCs w:val="22"/>
              </w:rPr>
              <w:t>33</w:t>
            </w:r>
            <w:r w:rsidR="00245094">
              <w:rPr>
                <w:szCs w:val="22"/>
              </w:rPr>
              <w:t>,</w:t>
            </w:r>
            <w:r>
              <w:rPr>
                <w:szCs w:val="22"/>
              </w:rPr>
              <w:t>380</w:t>
            </w:r>
          </w:p>
        </w:tc>
        <w:tc>
          <w:tcPr>
            <w:tcW w:w="1361" w:type="dxa"/>
            <w:shd w:val="clear" w:color="auto" w:fill="auto"/>
          </w:tcPr>
          <w:p w:rsidR="00845175" w:rsidRPr="00C660D6" w:rsidRDefault="00845175" w:rsidP="00245094">
            <w:pPr>
              <w:keepNext/>
              <w:ind w:right="260"/>
              <w:jc w:val="right"/>
              <w:rPr>
                <w:szCs w:val="22"/>
              </w:rPr>
            </w:pPr>
            <w:r>
              <w:rPr>
                <w:szCs w:val="22"/>
              </w:rPr>
              <w:t>36</w:t>
            </w:r>
            <w:r w:rsidR="00245094">
              <w:rPr>
                <w:szCs w:val="22"/>
              </w:rPr>
              <w:t>,</w:t>
            </w:r>
            <w:r>
              <w:rPr>
                <w:szCs w:val="22"/>
              </w:rPr>
              <w:t>016</w:t>
            </w:r>
          </w:p>
        </w:tc>
      </w:tr>
      <w:tr w:rsidR="00845175" w:rsidRPr="00C660D6" w:rsidTr="00845175">
        <w:trPr>
          <w:cantSplit/>
        </w:trPr>
        <w:tc>
          <w:tcPr>
            <w:tcW w:w="2518" w:type="dxa"/>
            <w:shd w:val="clear" w:color="auto" w:fill="auto"/>
          </w:tcPr>
          <w:p w:rsidR="00845175" w:rsidRPr="00C660D6" w:rsidRDefault="00845175" w:rsidP="0002705D">
            <w:pPr>
              <w:keepNext/>
              <w:rPr>
                <w:szCs w:val="22"/>
              </w:rPr>
            </w:pPr>
            <w:r w:rsidRPr="00C660D6">
              <w:rPr>
                <w:szCs w:val="22"/>
              </w:rPr>
              <w:t>Electrical/electronic</w:t>
            </w:r>
          </w:p>
        </w:tc>
        <w:tc>
          <w:tcPr>
            <w:tcW w:w="1360" w:type="dxa"/>
            <w:shd w:val="clear" w:color="auto" w:fill="auto"/>
          </w:tcPr>
          <w:p w:rsidR="00845175" w:rsidRPr="00C660D6" w:rsidRDefault="00845175" w:rsidP="00245094">
            <w:pPr>
              <w:keepNext/>
              <w:ind w:right="260"/>
              <w:jc w:val="right"/>
              <w:rPr>
                <w:szCs w:val="22"/>
              </w:rPr>
            </w:pPr>
            <w:r>
              <w:rPr>
                <w:szCs w:val="22"/>
              </w:rPr>
              <w:t>39</w:t>
            </w:r>
            <w:r w:rsidR="00245094">
              <w:rPr>
                <w:szCs w:val="22"/>
              </w:rPr>
              <w:t>,</w:t>
            </w:r>
            <w:r>
              <w:rPr>
                <w:szCs w:val="22"/>
              </w:rPr>
              <w:t>000</w:t>
            </w:r>
          </w:p>
        </w:tc>
        <w:tc>
          <w:tcPr>
            <w:tcW w:w="1361" w:type="dxa"/>
            <w:shd w:val="clear" w:color="auto" w:fill="auto"/>
          </w:tcPr>
          <w:p w:rsidR="00845175" w:rsidRPr="00C660D6" w:rsidRDefault="00845175" w:rsidP="00245094">
            <w:pPr>
              <w:keepNext/>
              <w:ind w:right="260"/>
              <w:jc w:val="right"/>
              <w:rPr>
                <w:szCs w:val="22"/>
              </w:rPr>
            </w:pPr>
            <w:r>
              <w:rPr>
                <w:szCs w:val="22"/>
              </w:rPr>
              <w:t>42</w:t>
            </w:r>
            <w:r w:rsidR="00245094">
              <w:rPr>
                <w:szCs w:val="22"/>
              </w:rPr>
              <w:t>,</w:t>
            </w:r>
            <w:r>
              <w:rPr>
                <w:szCs w:val="22"/>
              </w:rPr>
              <w:t>422</w:t>
            </w:r>
          </w:p>
        </w:tc>
        <w:tc>
          <w:tcPr>
            <w:tcW w:w="1361" w:type="dxa"/>
            <w:shd w:val="clear" w:color="auto" w:fill="auto"/>
          </w:tcPr>
          <w:p w:rsidR="00845175" w:rsidRPr="00C660D6" w:rsidRDefault="00845175" w:rsidP="00245094">
            <w:pPr>
              <w:keepNext/>
              <w:ind w:right="260"/>
              <w:jc w:val="right"/>
              <w:rPr>
                <w:szCs w:val="22"/>
              </w:rPr>
            </w:pPr>
            <w:r>
              <w:rPr>
                <w:szCs w:val="22"/>
              </w:rPr>
              <w:t>41</w:t>
            </w:r>
            <w:r w:rsidR="00245094">
              <w:rPr>
                <w:szCs w:val="22"/>
              </w:rPr>
              <w:t>,</w:t>
            </w:r>
            <w:r>
              <w:rPr>
                <w:szCs w:val="22"/>
              </w:rPr>
              <w:t>974</w:t>
            </w:r>
          </w:p>
        </w:tc>
        <w:tc>
          <w:tcPr>
            <w:tcW w:w="1361" w:type="dxa"/>
            <w:shd w:val="clear" w:color="auto" w:fill="auto"/>
          </w:tcPr>
          <w:p w:rsidR="00845175" w:rsidRPr="00C660D6" w:rsidRDefault="00845175" w:rsidP="00245094">
            <w:pPr>
              <w:keepNext/>
              <w:ind w:right="260"/>
              <w:jc w:val="right"/>
              <w:rPr>
                <w:szCs w:val="22"/>
              </w:rPr>
            </w:pPr>
            <w:r>
              <w:rPr>
                <w:szCs w:val="22"/>
              </w:rPr>
              <w:t>44</w:t>
            </w:r>
            <w:r w:rsidR="00245094">
              <w:rPr>
                <w:szCs w:val="22"/>
              </w:rPr>
              <w:t>,</w:t>
            </w:r>
            <w:r>
              <w:rPr>
                <w:szCs w:val="22"/>
              </w:rPr>
              <w:t>040</w:t>
            </w:r>
          </w:p>
        </w:tc>
        <w:tc>
          <w:tcPr>
            <w:tcW w:w="1361" w:type="dxa"/>
            <w:shd w:val="clear" w:color="auto" w:fill="auto"/>
          </w:tcPr>
          <w:p w:rsidR="00845175" w:rsidRPr="00C660D6" w:rsidRDefault="00845175" w:rsidP="00245094">
            <w:pPr>
              <w:keepNext/>
              <w:ind w:right="260"/>
              <w:jc w:val="right"/>
              <w:rPr>
                <w:szCs w:val="22"/>
              </w:rPr>
            </w:pPr>
            <w:r>
              <w:rPr>
                <w:szCs w:val="22"/>
              </w:rPr>
              <w:t>45</w:t>
            </w:r>
            <w:r w:rsidR="00245094">
              <w:rPr>
                <w:szCs w:val="22"/>
              </w:rPr>
              <w:t>,</w:t>
            </w:r>
            <w:r>
              <w:rPr>
                <w:szCs w:val="22"/>
              </w:rPr>
              <w:t>434</w:t>
            </w:r>
          </w:p>
        </w:tc>
      </w:tr>
      <w:tr w:rsidR="00845175" w:rsidRPr="00C660D6" w:rsidTr="00845175">
        <w:trPr>
          <w:cantSplit/>
        </w:trPr>
        <w:tc>
          <w:tcPr>
            <w:tcW w:w="2518" w:type="dxa"/>
            <w:shd w:val="clear" w:color="auto" w:fill="auto"/>
          </w:tcPr>
          <w:p w:rsidR="00845175" w:rsidRPr="00C660D6" w:rsidRDefault="00845175" w:rsidP="0002705D">
            <w:pPr>
              <w:keepNext/>
              <w:rPr>
                <w:szCs w:val="22"/>
              </w:rPr>
            </w:pPr>
            <w:r w:rsidRPr="00C660D6">
              <w:rPr>
                <w:szCs w:val="22"/>
              </w:rPr>
              <w:t>Chemistry</w:t>
            </w:r>
          </w:p>
        </w:tc>
        <w:tc>
          <w:tcPr>
            <w:tcW w:w="1360" w:type="dxa"/>
            <w:shd w:val="clear" w:color="auto" w:fill="auto"/>
          </w:tcPr>
          <w:p w:rsidR="00845175" w:rsidRPr="00C660D6" w:rsidRDefault="00845175" w:rsidP="00245094">
            <w:pPr>
              <w:keepNext/>
              <w:ind w:right="260"/>
              <w:jc w:val="right"/>
              <w:rPr>
                <w:szCs w:val="22"/>
              </w:rPr>
            </w:pPr>
            <w:r>
              <w:rPr>
                <w:szCs w:val="22"/>
              </w:rPr>
              <w:t>35</w:t>
            </w:r>
            <w:r w:rsidR="00245094">
              <w:rPr>
                <w:szCs w:val="22"/>
              </w:rPr>
              <w:t>,</w:t>
            </w:r>
            <w:r>
              <w:rPr>
                <w:szCs w:val="22"/>
              </w:rPr>
              <w:t>971</w:t>
            </w:r>
          </w:p>
        </w:tc>
        <w:tc>
          <w:tcPr>
            <w:tcW w:w="1361" w:type="dxa"/>
            <w:shd w:val="clear" w:color="auto" w:fill="auto"/>
          </w:tcPr>
          <w:p w:rsidR="00845175" w:rsidRPr="00C660D6" w:rsidRDefault="00845175" w:rsidP="00245094">
            <w:pPr>
              <w:keepNext/>
              <w:ind w:right="260"/>
              <w:jc w:val="right"/>
              <w:rPr>
                <w:szCs w:val="22"/>
              </w:rPr>
            </w:pPr>
            <w:r>
              <w:rPr>
                <w:szCs w:val="22"/>
              </w:rPr>
              <w:t>38</w:t>
            </w:r>
            <w:r w:rsidR="00245094">
              <w:rPr>
                <w:szCs w:val="22"/>
              </w:rPr>
              <w:t>,</w:t>
            </w:r>
            <w:r>
              <w:rPr>
                <w:szCs w:val="22"/>
              </w:rPr>
              <w:t>651</w:t>
            </w:r>
          </w:p>
        </w:tc>
        <w:tc>
          <w:tcPr>
            <w:tcW w:w="1361" w:type="dxa"/>
            <w:shd w:val="clear" w:color="auto" w:fill="auto"/>
          </w:tcPr>
          <w:p w:rsidR="00845175" w:rsidRPr="00C660D6" w:rsidRDefault="00845175" w:rsidP="00245094">
            <w:pPr>
              <w:keepNext/>
              <w:ind w:right="260"/>
              <w:jc w:val="right"/>
              <w:rPr>
                <w:szCs w:val="22"/>
              </w:rPr>
            </w:pPr>
            <w:r>
              <w:rPr>
                <w:szCs w:val="22"/>
              </w:rPr>
              <w:t>37</w:t>
            </w:r>
            <w:r w:rsidR="00245094">
              <w:rPr>
                <w:szCs w:val="22"/>
              </w:rPr>
              <w:t>,</w:t>
            </w:r>
            <w:r>
              <w:rPr>
                <w:szCs w:val="22"/>
              </w:rPr>
              <w:t>117</w:t>
            </w:r>
          </w:p>
        </w:tc>
        <w:tc>
          <w:tcPr>
            <w:tcW w:w="1361" w:type="dxa"/>
            <w:shd w:val="clear" w:color="auto" w:fill="auto"/>
          </w:tcPr>
          <w:p w:rsidR="00845175" w:rsidRPr="00C660D6" w:rsidRDefault="00845175" w:rsidP="00245094">
            <w:pPr>
              <w:keepNext/>
              <w:ind w:right="260"/>
              <w:jc w:val="right"/>
              <w:rPr>
                <w:szCs w:val="22"/>
              </w:rPr>
            </w:pPr>
            <w:r>
              <w:rPr>
                <w:szCs w:val="22"/>
              </w:rPr>
              <w:t>38</w:t>
            </w:r>
            <w:r w:rsidR="00245094">
              <w:rPr>
                <w:szCs w:val="22"/>
              </w:rPr>
              <w:t>,</w:t>
            </w:r>
            <w:r>
              <w:rPr>
                <w:szCs w:val="22"/>
              </w:rPr>
              <w:t>454</w:t>
            </w:r>
          </w:p>
        </w:tc>
        <w:tc>
          <w:tcPr>
            <w:tcW w:w="1361" w:type="dxa"/>
            <w:shd w:val="clear" w:color="auto" w:fill="auto"/>
          </w:tcPr>
          <w:p w:rsidR="00845175" w:rsidRPr="00C660D6" w:rsidRDefault="00845175" w:rsidP="00245094">
            <w:pPr>
              <w:keepNext/>
              <w:ind w:right="260"/>
              <w:jc w:val="right"/>
              <w:rPr>
                <w:szCs w:val="22"/>
              </w:rPr>
            </w:pPr>
            <w:r>
              <w:rPr>
                <w:szCs w:val="22"/>
              </w:rPr>
              <w:t>39</w:t>
            </w:r>
            <w:r w:rsidR="00245094">
              <w:rPr>
                <w:szCs w:val="22"/>
              </w:rPr>
              <w:t>,</w:t>
            </w:r>
            <w:r>
              <w:rPr>
                <w:szCs w:val="22"/>
              </w:rPr>
              <w:t>572</w:t>
            </w:r>
          </w:p>
        </w:tc>
      </w:tr>
      <w:tr w:rsidR="00845175" w:rsidRPr="00C660D6" w:rsidTr="00845175">
        <w:trPr>
          <w:cantSplit/>
        </w:trPr>
        <w:tc>
          <w:tcPr>
            <w:tcW w:w="2518" w:type="dxa"/>
            <w:shd w:val="clear" w:color="auto" w:fill="auto"/>
          </w:tcPr>
          <w:p w:rsidR="00845175" w:rsidRPr="00C660D6" w:rsidRDefault="00845175" w:rsidP="0002705D">
            <w:pPr>
              <w:keepNext/>
              <w:rPr>
                <w:szCs w:val="22"/>
              </w:rPr>
            </w:pPr>
            <w:r>
              <w:rPr>
                <w:szCs w:val="22"/>
              </w:rPr>
              <w:t>Instruments</w:t>
            </w:r>
          </w:p>
        </w:tc>
        <w:tc>
          <w:tcPr>
            <w:tcW w:w="1360" w:type="dxa"/>
            <w:shd w:val="clear" w:color="auto" w:fill="auto"/>
          </w:tcPr>
          <w:p w:rsidR="00845175" w:rsidRPr="00C660D6" w:rsidRDefault="00845175" w:rsidP="00245094">
            <w:pPr>
              <w:keepNext/>
              <w:ind w:right="260"/>
              <w:jc w:val="right"/>
              <w:rPr>
                <w:szCs w:val="22"/>
              </w:rPr>
            </w:pPr>
            <w:r>
              <w:rPr>
                <w:szCs w:val="22"/>
              </w:rPr>
              <w:t>23</w:t>
            </w:r>
            <w:r w:rsidR="00245094">
              <w:rPr>
                <w:szCs w:val="22"/>
              </w:rPr>
              <w:t>,</w:t>
            </w:r>
            <w:r>
              <w:rPr>
                <w:szCs w:val="22"/>
              </w:rPr>
              <w:t>207</w:t>
            </w:r>
          </w:p>
        </w:tc>
        <w:tc>
          <w:tcPr>
            <w:tcW w:w="1361" w:type="dxa"/>
            <w:shd w:val="clear" w:color="auto" w:fill="auto"/>
          </w:tcPr>
          <w:p w:rsidR="00845175" w:rsidRPr="00C660D6" w:rsidRDefault="00845175" w:rsidP="00245094">
            <w:pPr>
              <w:keepNext/>
              <w:ind w:right="260"/>
              <w:jc w:val="right"/>
              <w:rPr>
                <w:szCs w:val="22"/>
              </w:rPr>
            </w:pPr>
            <w:r>
              <w:rPr>
                <w:szCs w:val="22"/>
              </w:rPr>
              <w:t>23</w:t>
            </w:r>
            <w:r w:rsidR="00245094">
              <w:rPr>
                <w:szCs w:val="22"/>
              </w:rPr>
              <w:t>,</w:t>
            </w:r>
            <w:r>
              <w:rPr>
                <w:szCs w:val="22"/>
              </w:rPr>
              <w:t>943</w:t>
            </w:r>
          </w:p>
        </w:tc>
        <w:tc>
          <w:tcPr>
            <w:tcW w:w="1361" w:type="dxa"/>
            <w:shd w:val="clear" w:color="auto" w:fill="auto"/>
          </w:tcPr>
          <w:p w:rsidR="00845175" w:rsidRPr="00C660D6" w:rsidRDefault="00845175" w:rsidP="00245094">
            <w:pPr>
              <w:keepNext/>
              <w:ind w:right="260"/>
              <w:jc w:val="right"/>
              <w:rPr>
                <w:szCs w:val="22"/>
              </w:rPr>
            </w:pPr>
            <w:r>
              <w:rPr>
                <w:szCs w:val="22"/>
              </w:rPr>
              <w:t>23</w:t>
            </w:r>
            <w:r w:rsidR="00245094">
              <w:rPr>
                <w:szCs w:val="22"/>
              </w:rPr>
              <w:t>,</w:t>
            </w:r>
            <w:r>
              <w:rPr>
                <w:szCs w:val="22"/>
              </w:rPr>
              <w:t>963</w:t>
            </w:r>
          </w:p>
        </w:tc>
        <w:tc>
          <w:tcPr>
            <w:tcW w:w="1361" w:type="dxa"/>
            <w:shd w:val="clear" w:color="auto" w:fill="auto"/>
          </w:tcPr>
          <w:p w:rsidR="00845175" w:rsidRPr="00C660D6" w:rsidRDefault="00845175" w:rsidP="00245094">
            <w:pPr>
              <w:keepNext/>
              <w:ind w:right="260"/>
              <w:jc w:val="right"/>
              <w:rPr>
                <w:szCs w:val="22"/>
              </w:rPr>
            </w:pPr>
            <w:r>
              <w:rPr>
                <w:szCs w:val="22"/>
              </w:rPr>
              <w:t>25</w:t>
            </w:r>
            <w:r w:rsidR="00245094">
              <w:rPr>
                <w:szCs w:val="22"/>
              </w:rPr>
              <w:t>,</w:t>
            </w:r>
            <w:r>
              <w:rPr>
                <w:szCs w:val="22"/>
              </w:rPr>
              <w:t>405</w:t>
            </w:r>
          </w:p>
        </w:tc>
        <w:tc>
          <w:tcPr>
            <w:tcW w:w="1361" w:type="dxa"/>
            <w:shd w:val="clear" w:color="auto" w:fill="auto"/>
          </w:tcPr>
          <w:p w:rsidR="00845175" w:rsidRPr="00C660D6" w:rsidRDefault="00845175" w:rsidP="00245094">
            <w:pPr>
              <w:keepNext/>
              <w:ind w:right="260"/>
              <w:jc w:val="right"/>
              <w:rPr>
                <w:szCs w:val="22"/>
              </w:rPr>
            </w:pPr>
            <w:r>
              <w:rPr>
                <w:szCs w:val="22"/>
              </w:rPr>
              <w:t>27</w:t>
            </w:r>
            <w:r w:rsidR="00245094">
              <w:rPr>
                <w:szCs w:val="22"/>
              </w:rPr>
              <w:t>,</w:t>
            </w:r>
            <w:r>
              <w:rPr>
                <w:szCs w:val="22"/>
              </w:rPr>
              <w:t>464</w:t>
            </w:r>
          </w:p>
        </w:tc>
      </w:tr>
      <w:tr w:rsidR="00845175" w:rsidRPr="00C660D6" w:rsidTr="00845175">
        <w:trPr>
          <w:cantSplit/>
        </w:trPr>
        <w:tc>
          <w:tcPr>
            <w:tcW w:w="2518" w:type="dxa"/>
            <w:shd w:val="clear" w:color="auto" w:fill="auto"/>
          </w:tcPr>
          <w:p w:rsidR="00845175" w:rsidRPr="00C660D6" w:rsidRDefault="00845175" w:rsidP="0002705D">
            <w:pPr>
              <w:keepNext/>
              <w:rPr>
                <w:i/>
                <w:iCs/>
                <w:szCs w:val="22"/>
              </w:rPr>
            </w:pPr>
            <w:r>
              <w:rPr>
                <w:i/>
                <w:iCs/>
                <w:szCs w:val="22"/>
              </w:rPr>
              <w:t>Other fields (including not yet classified)</w:t>
            </w:r>
          </w:p>
        </w:tc>
        <w:tc>
          <w:tcPr>
            <w:tcW w:w="1360" w:type="dxa"/>
            <w:shd w:val="clear" w:color="auto" w:fill="auto"/>
          </w:tcPr>
          <w:p w:rsidR="00845175" w:rsidRPr="00C660D6" w:rsidRDefault="00845175" w:rsidP="00245094">
            <w:pPr>
              <w:keepNext/>
              <w:ind w:right="260"/>
              <w:jc w:val="right"/>
              <w:rPr>
                <w:szCs w:val="22"/>
              </w:rPr>
            </w:pPr>
            <w:r>
              <w:rPr>
                <w:szCs w:val="22"/>
              </w:rPr>
              <w:t>14</w:t>
            </w:r>
            <w:r w:rsidR="00245094">
              <w:rPr>
                <w:szCs w:val="22"/>
              </w:rPr>
              <w:t>,</w:t>
            </w:r>
            <w:r>
              <w:rPr>
                <w:szCs w:val="22"/>
              </w:rPr>
              <w:t>722</w:t>
            </w:r>
          </w:p>
        </w:tc>
        <w:tc>
          <w:tcPr>
            <w:tcW w:w="1361" w:type="dxa"/>
            <w:shd w:val="clear" w:color="auto" w:fill="auto"/>
          </w:tcPr>
          <w:p w:rsidR="00845175" w:rsidRPr="00C660D6" w:rsidRDefault="00845175" w:rsidP="00245094">
            <w:pPr>
              <w:keepNext/>
              <w:ind w:right="260"/>
              <w:jc w:val="right"/>
              <w:rPr>
                <w:szCs w:val="22"/>
              </w:rPr>
            </w:pPr>
            <w:r>
              <w:rPr>
                <w:szCs w:val="22"/>
              </w:rPr>
              <w:t>10</w:t>
            </w:r>
            <w:r w:rsidR="00245094">
              <w:rPr>
                <w:szCs w:val="22"/>
              </w:rPr>
              <w:t>,</w:t>
            </w:r>
            <w:r>
              <w:rPr>
                <w:szCs w:val="22"/>
              </w:rPr>
              <w:t>403</w:t>
            </w:r>
          </w:p>
        </w:tc>
        <w:tc>
          <w:tcPr>
            <w:tcW w:w="1361" w:type="dxa"/>
            <w:shd w:val="clear" w:color="auto" w:fill="auto"/>
          </w:tcPr>
          <w:p w:rsidR="00845175" w:rsidRPr="00C660D6" w:rsidRDefault="00845175" w:rsidP="00245094">
            <w:pPr>
              <w:keepNext/>
              <w:ind w:right="260"/>
              <w:jc w:val="right"/>
              <w:rPr>
                <w:szCs w:val="22"/>
              </w:rPr>
            </w:pPr>
            <w:r>
              <w:rPr>
                <w:szCs w:val="22"/>
              </w:rPr>
              <w:t>12</w:t>
            </w:r>
            <w:r w:rsidR="00245094">
              <w:rPr>
                <w:szCs w:val="22"/>
              </w:rPr>
              <w:t>,</w:t>
            </w:r>
            <w:r>
              <w:rPr>
                <w:szCs w:val="22"/>
              </w:rPr>
              <w:t>014</w:t>
            </w:r>
          </w:p>
        </w:tc>
        <w:tc>
          <w:tcPr>
            <w:tcW w:w="1361" w:type="dxa"/>
            <w:shd w:val="clear" w:color="auto" w:fill="auto"/>
          </w:tcPr>
          <w:p w:rsidR="00845175" w:rsidRPr="00C660D6" w:rsidRDefault="00845175" w:rsidP="00245094">
            <w:pPr>
              <w:keepNext/>
              <w:ind w:right="260"/>
              <w:jc w:val="right"/>
              <w:rPr>
                <w:szCs w:val="22"/>
              </w:rPr>
            </w:pPr>
            <w:r>
              <w:rPr>
                <w:szCs w:val="22"/>
              </w:rPr>
              <w:t>10</w:t>
            </w:r>
            <w:r w:rsidR="00245094">
              <w:rPr>
                <w:szCs w:val="22"/>
              </w:rPr>
              <w:t>,</w:t>
            </w:r>
            <w:r>
              <w:rPr>
                <w:szCs w:val="22"/>
              </w:rPr>
              <w:t>974</w:t>
            </w:r>
          </w:p>
        </w:tc>
        <w:tc>
          <w:tcPr>
            <w:tcW w:w="1361" w:type="dxa"/>
            <w:shd w:val="clear" w:color="auto" w:fill="auto"/>
          </w:tcPr>
          <w:p w:rsidR="00845175" w:rsidRPr="00C660D6" w:rsidRDefault="00845175" w:rsidP="00245094">
            <w:pPr>
              <w:keepNext/>
              <w:ind w:right="260"/>
              <w:jc w:val="right"/>
              <w:rPr>
                <w:szCs w:val="22"/>
              </w:rPr>
            </w:pPr>
            <w:r>
              <w:rPr>
                <w:szCs w:val="22"/>
              </w:rPr>
              <w:t>11</w:t>
            </w:r>
            <w:r w:rsidR="00245094">
              <w:rPr>
                <w:szCs w:val="22"/>
              </w:rPr>
              <w:t>,</w:t>
            </w:r>
            <w:r>
              <w:rPr>
                <w:szCs w:val="22"/>
              </w:rPr>
              <w:t>536</w:t>
            </w:r>
          </w:p>
        </w:tc>
      </w:tr>
      <w:tr w:rsidR="00845175" w:rsidRPr="00C660D6" w:rsidTr="00845175">
        <w:trPr>
          <w:cantSplit/>
        </w:trPr>
        <w:tc>
          <w:tcPr>
            <w:tcW w:w="2518" w:type="dxa"/>
            <w:shd w:val="clear" w:color="auto" w:fill="auto"/>
          </w:tcPr>
          <w:p w:rsidR="00845175" w:rsidRPr="00C660D6" w:rsidRDefault="00845175" w:rsidP="00845175">
            <w:pPr>
              <w:rPr>
                <w:i/>
                <w:iCs/>
                <w:szCs w:val="22"/>
              </w:rPr>
            </w:pPr>
            <w:r w:rsidRPr="00C660D6">
              <w:rPr>
                <w:i/>
                <w:iCs/>
                <w:szCs w:val="22"/>
              </w:rPr>
              <w:t>Total</w:t>
            </w:r>
          </w:p>
        </w:tc>
        <w:tc>
          <w:tcPr>
            <w:tcW w:w="1360" w:type="dxa"/>
            <w:shd w:val="clear" w:color="auto" w:fill="auto"/>
          </w:tcPr>
          <w:p w:rsidR="00845175" w:rsidRPr="00C660D6" w:rsidRDefault="00845175" w:rsidP="00245094">
            <w:pPr>
              <w:ind w:right="260"/>
              <w:jc w:val="right"/>
              <w:rPr>
                <w:szCs w:val="22"/>
              </w:rPr>
            </w:pPr>
            <w:r>
              <w:rPr>
                <w:szCs w:val="22"/>
              </w:rPr>
              <w:t>142</w:t>
            </w:r>
            <w:r w:rsidR="00245094">
              <w:rPr>
                <w:szCs w:val="22"/>
              </w:rPr>
              <w:t>,</w:t>
            </w:r>
            <w:r>
              <w:rPr>
                <w:szCs w:val="22"/>
              </w:rPr>
              <w:t>842</w:t>
            </w:r>
          </w:p>
        </w:tc>
        <w:tc>
          <w:tcPr>
            <w:tcW w:w="1361" w:type="dxa"/>
            <w:shd w:val="clear" w:color="auto" w:fill="auto"/>
          </w:tcPr>
          <w:p w:rsidR="00845175" w:rsidRPr="00C660D6" w:rsidRDefault="00845175" w:rsidP="00245094">
            <w:pPr>
              <w:ind w:right="260"/>
              <w:jc w:val="right"/>
              <w:rPr>
                <w:szCs w:val="22"/>
              </w:rPr>
            </w:pPr>
            <w:r>
              <w:rPr>
                <w:szCs w:val="22"/>
              </w:rPr>
              <w:t>148</w:t>
            </w:r>
            <w:r w:rsidR="00245094">
              <w:rPr>
                <w:szCs w:val="22"/>
              </w:rPr>
              <w:t>,</w:t>
            </w:r>
            <w:r>
              <w:rPr>
                <w:szCs w:val="22"/>
              </w:rPr>
              <w:t>494</w:t>
            </w:r>
          </w:p>
        </w:tc>
        <w:tc>
          <w:tcPr>
            <w:tcW w:w="1361" w:type="dxa"/>
            <w:shd w:val="clear" w:color="auto" w:fill="auto"/>
          </w:tcPr>
          <w:p w:rsidR="00845175" w:rsidRPr="00C660D6" w:rsidRDefault="00845175" w:rsidP="00245094">
            <w:pPr>
              <w:ind w:right="260"/>
              <w:jc w:val="right"/>
              <w:rPr>
                <w:szCs w:val="22"/>
              </w:rPr>
            </w:pPr>
            <w:r>
              <w:rPr>
                <w:szCs w:val="22"/>
              </w:rPr>
              <w:t>147</w:t>
            </w:r>
            <w:r w:rsidR="00245094">
              <w:rPr>
                <w:szCs w:val="22"/>
              </w:rPr>
              <w:t>,</w:t>
            </w:r>
            <w:r>
              <w:rPr>
                <w:szCs w:val="22"/>
              </w:rPr>
              <w:t>869</w:t>
            </w:r>
          </w:p>
        </w:tc>
        <w:tc>
          <w:tcPr>
            <w:tcW w:w="1361" w:type="dxa"/>
            <w:shd w:val="clear" w:color="auto" w:fill="auto"/>
          </w:tcPr>
          <w:p w:rsidR="00845175" w:rsidRPr="00C660D6" w:rsidRDefault="00845175" w:rsidP="00245094">
            <w:pPr>
              <w:ind w:right="260"/>
              <w:jc w:val="right"/>
              <w:rPr>
                <w:szCs w:val="22"/>
              </w:rPr>
            </w:pPr>
            <w:r>
              <w:rPr>
                <w:szCs w:val="22"/>
              </w:rPr>
              <w:t>152</w:t>
            </w:r>
            <w:r w:rsidR="00245094">
              <w:rPr>
                <w:szCs w:val="22"/>
              </w:rPr>
              <w:t>,</w:t>
            </w:r>
            <w:r>
              <w:rPr>
                <w:szCs w:val="22"/>
              </w:rPr>
              <w:t>703</w:t>
            </w:r>
          </w:p>
        </w:tc>
        <w:tc>
          <w:tcPr>
            <w:tcW w:w="1361" w:type="dxa"/>
            <w:shd w:val="clear" w:color="auto" w:fill="auto"/>
          </w:tcPr>
          <w:p w:rsidR="00845175" w:rsidRPr="00C660D6" w:rsidRDefault="00845175" w:rsidP="00245094">
            <w:pPr>
              <w:ind w:right="260"/>
              <w:jc w:val="right"/>
              <w:rPr>
                <w:szCs w:val="22"/>
              </w:rPr>
            </w:pPr>
            <w:r>
              <w:rPr>
                <w:szCs w:val="22"/>
              </w:rPr>
              <w:t>160</w:t>
            </w:r>
            <w:r w:rsidR="00245094">
              <w:rPr>
                <w:szCs w:val="22"/>
              </w:rPr>
              <w:t>,</w:t>
            </w:r>
            <w:r>
              <w:rPr>
                <w:szCs w:val="22"/>
              </w:rPr>
              <w:t>022</w:t>
            </w:r>
          </w:p>
        </w:tc>
      </w:tr>
    </w:tbl>
    <w:p w:rsidR="00845175" w:rsidRDefault="00845175" w:rsidP="00845175">
      <w:pPr>
        <w:rPr>
          <w:i/>
          <w:iCs/>
          <w:szCs w:val="22"/>
        </w:rPr>
      </w:pPr>
    </w:p>
    <w:p w:rsidR="00845175" w:rsidRPr="00297B24" w:rsidRDefault="00845175" w:rsidP="00FA1150">
      <w:pPr>
        <w:keepNext/>
        <w:rPr>
          <w:b/>
          <w:bCs/>
          <w:szCs w:val="22"/>
        </w:rPr>
      </w:pPr>
      <w:r w:rsidRPr="00297B24">
        <w:rPr>
          <w:b/>
          <w:bCs/>
          <w:szCs w:val="22"/>
        </w:rPr>
        <w:lastRenderedPageBreak/>
        <w:t>Number of national applications received – by route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845175" w:rsidRPr="00C660D6" w:rsidTr="00845175">
        <w:trPr>
          <w:cantSplit/>
        </w:trPr>
        <w:tc>
          <w:tcPr>
            <w:tcW w:w="2518" w:type="dxa"/>
            <w:tcBorders>
              <w:tl2br w:val="single" w:sz="4" w:space="0" w:color="auto"/>
            </w:tcBorders>
            <w:shd w:val="clear" w:color="auto" w:fill="auto"/>
          </w:tcPr>
          <w:p w:rsidR="00845175" w:rsidRPr="00C660D6" w:rsidRDefault="00845175" w:rsidP="00FA1150">
            <w:pPr>
              <w:keepNext/>
              <w:jc w:val="right"/>
              <w:rPr>
                <w:b/>
                <w:bCs/>
                <w:szCs w:val="22"/>
              </w:rPr>
            </w:pPr>
          </w:p>
          <w:p w:rsidR="00845175" w:rsidRPr="00C660D6" w:rsidRDefault="00845175" w:rsidP="00FA1150">
            <w:pPr>
              <w:keepNext/>
              <w:jc w:val="right"/>
              <w:rPr>
                <w:b/>
                <w:bCs/>
                <w:szCs w:val="22"/>
              </w:rPr>
            </w:pPr>
            <w:r w:rsidRPr="00C660D6">
              <w:rPr>
                <w:b/>
                <w:bCs/>
                <w:szCs w:val="22"/>
              </w:rPr>
              <w:t>Year</w:t>
            </w:r>
          </w:p>
          <w:p w:rsidR="00845175" w:rsidRPr="00C660D6" w:rsidRDefault="00845175" w:rsidP="00FA1150">
            <w:pPr>
              <w:keepNext/>
              <w:rPr>
                <w:b/>
                <w:bCs/>
                <w:szCs w:val="22"/>
              </w:rPr>
            </w:pPr>
            <w:r w:rsidRPr="00C660D6">
              <w:rPr>
                <w:b/>
                <w:bCs/>
                <w:szCs w:val="22"/>
              </w:rPr>
              <w:t>Route</w:t>
            </w:r>
          </w:p>
        </w:tc>
        <w:tc>
          <w:tcPr>
            <w:tcW w:w="1360" w:type="dxa"/>
            <w:shd w:val="clear" w:color="auto" w:fill="auto"/>
            <w:vAlign w:val="center"/>
          </w:tcPr>
          <w:p w:rsidR="00845175" w:rsidRPr="00C660D6" w:rsidRDefault="00845175" w:rsidP="00FA1150">
            <w:pPr>
              <w:keepNext/>
              <w:jc w:val="center"/>
              <w:rPr>
                <w:szCs w:val="22"/>
              </w:rPr>
            </w:pPr>
            <w:r>
              <w:rPr>
                <w:szCs w:val="22"/>
              </w:rPr>
              <w:t>2011</w:t>
            </w:r>
          </w:p>
        </w:tc>
        <w:tc>
          <w:tcPr>
            <w:tcW w:w="1361" w:type="dxa"/>
            <w:shd w:val="clear" w:color="auto" w:fill="auto"/>
            <w:vAlign w:val="center"/>
          </w:tcPr>
          <w:p w:rsidR="00845175" w:rsidRPr="00C660D6" w:rsidRDefault="00845175" w:rsidP="00FA1150">
            <w:pPr>
              <w:keepNext/>
              <w:jc w:val="center"/>
              <w:rPr>
                <w:szCs w:val="22"/>
              </w:rPr>
            </w:pPr>
            <w:r>
              <w:rPr>
                <w:szCs w:val="22"/>
              </w:rPr>
              <w:t>2012</w:t>
            </w:r>
          </w:p>
        </w:tc>
        <w:tc>
          <w:tcPr>
            <w:tcW w:w="1361" w:type="dxa"/>
            <w:shd w:val="clear" w:color="auto" w:fill="auto"/>
            <w:vAlign w:val="center"/>
          </w:tcPr>
          <w:p w:rsidR="00845175" w:rsidRPr="00C660D6" w:rsidRDefault="00845175" w:rsidP="00FA1150">
            <w:pPr>
              <w:keepNext/>
              <w:jc w:val="center"/>
              <w:rPr>
                <w:szCs w:val="22"/>
              </w:rPr>
            </w:pPr>
            <w:r>
              <w:rPr>
                <w:szCs w:val="22"/>
              </w:rPr>
              <w:t>2013</w:t>
            </w:r>
          </w:p>
        </w:tc>
        <w:tc>
          <w:tcPr>
            <w:tcW w:w="1361" w:type="dxa"/>
            <w:shd w:val="clear" w:color="auto" w:fill="auto"/>
            <w:vAlign w:val="center"/>
          </w:tcPr>
          <w:p w:rsidR="00845175" w:rsidRPr="00C660D6" w:rsidRDefault="00845175" w:rsidP="00FA1150">
            <w:pPr>
              <w:keepNext/>
              <w:jc w:val="center"/>
              <w:rPr>
                <w:szCs w:val="22"/>
              </w:rPr>
            </w:pPr>
            <w:r>
              <w:rPr>
                <w:szCs w:val="22"/>
              </w:rPr>
              <w:t>2014</w:t>
            </w:r>
          </w:p>
        </w:tc>
        <w:tc>
          <w:tcPr>
            <w:tcW w:w="1361" w:type="dxa"/>
            <w:shd w:val="clear" w:color="auto" w:fill="auto"/>
            <w:vAlign w:val="center"/>
          </w:tcPr>
          <w:p w:rsidR="00845175" w:rsidRPr="00C660D6" w:rsidRDefault="00845175" w:rsidP="00FA1150">
            <w:pPr>
              <w:keepNext/>
              <w:jc w:val="center"/>
              <w:rPr>
                <w:szCs w:val="22"/>
              </w:rPr>
            </w:pPr>
            <w:r>
              <w:rPr>
                <w:szCs w:val="22"/>
              </w:rPr>
              <w:t>2015</w:t>
            </w:r>
          </w:p>
        </w:tc>
      </w:tr>
      <w:tr w:rsidR="00845175" w:rsidRPr="00C660D6" w:rsidTr="00845175">
        <w:trPr>
          <w:cantSplit/>
        </w:trPr>
        <w:tc>
          <w:tcPr>
            <w:tcW w:w="2518" w:type="dxa"/>
            <w:shd w:val="clear" w:color="auto" w:fill="auto"/>
          </w:tcPr>
          <w:p w:rsidR="00845175" w:rsidRPr="00C660D6" w:rsidRDefault="00845175" w:rsidP="00FA1150">
            <w:pPr>
              <w:keepNext/>
              <w:rPr>
                <w:szCs w:val="22"/>
              </w:rPr>
            </w:pPr>
            <w:r>
              <w:rPr>
                <w:szCs w:val="22"/>
              </w:rPr>
              <w:t>F</w:t>
            </w:r>
            <w:r w:rsidRPr="00C660D6">
              <w:rPr>
                <w:szCs w:val="22"/>
              </w:rPr>
              <w:t>irst filing</w:t>
            </w:r>
          </w:p>
        </w:tc>
        <w:tc>
          <w:tcPr>
            <w:tcW w:w="1360" w:type="dxa"/>
            <w:shd w:val="clear" w:color="auto" w:fill="auto"/>
          </w:tcPr>
          <w:p w:rsidR="00845175" w:rsidRPr="00C660D6" w:rsidRDefault="00845175" w:rsidP="00FA1150">
            <w:pPr>
              <w:keepNext/>
              <w:ind w:right="260"/>
              <w:jc w:val="right"/>
              <w:rPr>
                <w:szCs w:val="22"/>
              </w:rPr>
            </w:pPr>
            <w:r>
              <w:rPr>
                <w:szCs w:val="22"/>
              </w:rPr>
              <w:t>20</w:t>
            </w:r>
            <w:r w:rsidR="00245094">
              <w:rPr>
                <w:szCs w:val="22"/>
              </w:rPr>
              <w:t>,</w:t>
            </w:r>
            <w:r>
              <w:rPr>
                <w:szCs w:val="22"/>
              </w:rPr>
              <w:t>879</w:t>
            </w:r>
          </w:p>
        </w:tc>
        <w:tc>
          <w:tcPr>
            <w:tcW w:w="1361" w:type="dxa"/>
            <w:shd w:val="clear" w:color="auto" w:fill="auto"/>
          </w:tcPr>
          <w:p w:rsidR="00845175" w:rsidRPr="00C660D6" w:rsidRDefault="00845175" w:rsidP="00FA1150">
            <w:pPr>
              <w:keepNext/>
              <w:ind w:right="260"/>
              <w:jc w:val="right"/>
              <w:rPr>
                <w:szCs w:val="22"/>
              </w:rPr>
            </w:pPr>
            <w:r>
              <w:rPr>
                <w:szCs w:val="22"/>
              </w:rPr>
              <w:t>21</w:t>
            </w:r>
            <w:r w:rsidR="00245094">
              <w:rPr>
                <w:szCs w:val="22"/>
              </w:rPr>
              <w:t>,</w:t>
            </w:r>
            <w:r>
              <w:rPr>
                <w:szCs w:val="22"/>
              </w:rPr>
              <w:t>345</w:t>
            </w:r>
          </w:p>
        </w:tc>
        <w:tc>
          <w:tcPr>
            <w:tcW w:w="1361" w:type="dxa"/>
            <w:shd w:val="clear" w:color="auto" w:fill="auto"/>
          </w:tcPr>
          <w:p w:rsidR="00845175" w:rsidRPr="00C660D6" w:rsidRDefault="00845175" w:rsidP="00FA1150">
            <w:pPr>
              <w:keepNext/>
              <w:ind w:right="260"/>
              <w:jc w:val="right"/>
              <w:rPr>
                <w:szCs w:val="22"/>
              </w:rPr>
            </w:pPr>
            <w:r>
              <w:rPr>
                <w:szCs w:val="22"/>
              </w:rPr>
              <w:t>22</w:t>
            </w:r>
            <w:r w:rsidR="00245094">
              <w:rPr>
                <w:szCs w:val="22"/>
              </w:rPr>
              <w:t>,</w:t>
            </w:r>
            <w:r>
              <w:rPr>
                <w:szCs w:val="22"/>
              </w:rPr>
              <w:t>373</w:t>
            </w:r>
          </w:p>
        </w:tc>
        <w:tc>
          <w:tcPr>
            <w:tcW w:w="1361" w:type="dxa"/>
            <w:shd w:val="clear" w:color="auto" w:fill="auto"/>
          </w:tcPr>
          <w:p w:rsidR="00845175" w:rsidRPr="00C660D6" w:rsidRDefault="00845175" w:rsidP="00FA1150">
            <w:pPr>
              <w:keepNext/>
              <w:ind w:right="260"/>
              <w:jc w:val="right"/>
              <w:rPr>
                <w:szCs w:val="22"/>
              </w:rPr>
            </w:pPr>
            <w:r>
              <w:rPr>
                <w:szCs w:val="22"/>
              </w:rPr>
              <w:t>23</w:t>
            </w:r>
            <w:r w:rsidR="00245094">
              <w:rPr>
                <w:szCs w:val="22"/>
              </w:rPr>
              <w:t>,</w:t>
            </w:r>
            <w:r>
              <w:rPr>
                <w:szCs w:val="22"/>
              </w:rPr>
              <w:t>437</w:t>
            </w:r>
          </w:p>
        </w:tc>
        <w:tc>
          <w:tcPr>
            <w:tcW w:w="1361" w:type="dxa"/>
            <w:shd w:val="clear" w:color="auto" w:fill="auto"/>
          </w:tcPr>
          <w:p w:rsidR="00845175" w:rsidRPr="00C660D6" w:rsidRDefault="00845175" w:rsidP="00FA1150">
            <w:pPr>
              <w:keepNext/>
              <w:ind w:right="260"/>
              <w:jc w:val="right"/>
              <w:rPr>
                <w:szCs w:val="22"/>
              </w:rPr>
            </w:pPr>
            <w:r>
              <w:rPr>
                <w:szCs w:val="22"/>
              </w:rPr>
              <w:t>23</w:t>
            </w:r>
            <w:r w:rsidR="00245094">
              <w:rPr>
                <w:szCs w:val="22"/>
              </w:rPr>
              <w:t>,</w:t>
            </w:r>
            <w:r>
              <w:rPr>
                <w:szCs w:val="22"/>
              </w:rPr>
              <w:t>390</w:t>
            </w:r>
          </w:p>
        </w:tc>
      </w:tr>
      <w:tr w:rsidR="00845175" w:rsidRPr="00C660D6" w:rsidTr="00845175">
        <w:trPr>
          <w:cantSplit/>
        </w:trPr>
        <w:tc>
          <w:tcPr>
            <w:tcW w:w="2518" w:type="dxa"/>
            <w:shd w:val="clear" w:color="auto" w:fill="auto"/>
          </w:tcPr>
          <w:p w:rsidR="00845175" w:rsidRPr="00C660D6" w:rsidRDefault="00845175" w:rsidP="00FA1150">
            <w:pPr>
              <w:keepNext/>
              <w:rPr>
                <w:szCs w:val="22"/>
              </w:rPr>
            </w:pPr>
            <w:r w:rsidRPr="00C660D6">
              <w:rPr>
                <w:szCs w:val="22"/>
              </w:rPr>
              <w:t>Paris priority</w:t>
            </w:r>
          </w:p>
        </w:tc>
        <w:tc>
          <w:tcPr>
            <w:tcW w:w="1360" w:type="dxa"/>
            <w:shd w:val="clear" w:color="auto" w:fill="auto"/>
          </w:tcPr>
          <w:p w:rsidR="00845175" w:rsidRPr="00C660D6" w:rsidRDefault="00845175" w:rsidP="00FA1150">
            <w:pPr>
              <w:keepNext/>
              <w:ind w:right="260"/>
              <w:jc w:val="right"/>
              <w:rPr>
                <w:szCs w:val="22"/>
              </w:rPr>
            </w:pPr>
            <w:r>
              <w:rPr>
                <w:szCs w:val="22"/>
              </w:rPr>
              <w:t>41</w:t>
            </w:r>
            <w:r w:rsidR="00245094">
              <w:rPr>
                <w:szCs w:val="22"/>
              </w:rPr>
              <w:t>,</w:t>
            </w:r>
            <w:r>
              <w:rPr>
                <w:szCs w:val="22"/>
              </w:rPr>
              <w:t>679</w:t>
            </w:r>
          </w:p>
        </w:tc>
        <w:tc>
          <w:tcPr>
            <w:tcW w:w="1361" w:type="dxa"/>
            <w:shd w:val="clear" w:color="auto" w:fill="auto"/>
          </w:tcPr>
          <w:p w:rsidR="00845175" w:rsidRPr="00C660D6" w:rsidRDefault="00845175" w:rsidP="00FA1150">
            <w:pPr>
              <w:keepNext/>
              <w:ind w:right="260"/>
              <w:jc w:val="right"/>
              <w:rPr>
                <w:szCs w:val="22"/>
              </w:rPr>
            </w:pPr>
            <w:r>
              <w:rPr>
                <w:szCs w:val="22"/>
              </w:rPr>
              <w:t>41</w:t>
            </w:r>
            <w:r w:rsidR="00245094">
              <w:rPr>
                <w:szCs w:val="22"/>
              </w:rPr>
              <w:t>,</w:t>
            </w:r>
            <w:r>
              <w:rPr>
                <w:szCs w:val="22"/>
              </w:rPr>
              <w:t>821</w:t>
            </w:r>
          </w:p>
        </w:tc>
        <w:tc>
          <w:tcPr>
            <w:tcW w:w="1361" w:type="dxa"/>
            <w:shd w:val="clear" w:color="auto" w:fill="auto"/>
          </w:tcPr>
          <w:p w:rsidR="00845175" w:rsidRPr="00C660D6" w:rsidRDefault="00845175" w:rsidP="00FA1150">
            <w:pPr>
              <w:keepNext/>
              <w:ind w:right="260"/>
              <w:jc w:val="right"/>
              <w:rPr>
                <w:szCs w:val="22"/>
              </w:rPr>
            </w:pPr>
            <w:r>
              <w:rPr>
                <w:szCs w:val="22"/>
              </w:rPr>
              <w:t>38</w:t>
            </w:r>
            <w:r w:rsidR="00245094">
              <w:rPr>
                <w:szCs w:val="22"/>
              </w:rPr>
              <w:t>,</w:t>
            </w:r>
            <w:r>
              <w:rPr>
                <w:szCs w:val="22"/>
              </w:rPr>
              <w:t>283</w:t>
            </w:r>
          </w:p>
        </w:tc>
        <w:tc>
          <w:tcPr>
            <w:tcW w:w="1361" w:type="dxa"/>
            <w:shd w:val="clear" w:color="auto" w:fill="auto"/>
          </w:tcPr>
          <w:p w:rsidR="00845175" w:rsidRPr="00C660D6" w:rsidRDefault="00845175" w:rsidP="00FA1150">
            <w:pPr>
              <w:keepNext/>
              <w:ind w:right="260"/>
              <w:jc w:val="right"/>
              <w:rPr>
                <w:szCs w:val="22"/>
              </w:rPr>
            </w:pPr>
            <w:r>
              <w:rPr>
                <w:szCs w:val="22"/>
              </w:rPr>
              <w:t>36</w:t>
            </w:r>
            <w:r w:rsidR="00245094">
              <w:rPr>
                <w:szCs w:val="22"/>
              </w:rPr>
              <w:t>,</w:t>
            </w:r>
            <w:r>
              <w:rPr>
                <w:szCs w:val="22"/>
              </w:rPr>
              <w:t>609</w:t>
            </w:r>
          </w:p>
        </w:tc>
        <w:tc>
          <w:tcPr>
            <w:tcW w:w="1361" w:type="dxa"/>
            <w:shd w:val="clear" w:color="auto" w:fill="auto"/>
          </w:tcPr>
          <w:p w:rsidR="00845175" w:rsidRPr="00C660D6" w:rsidRDefault="00845175" w:rsidP="00FA1150">
            <w:pPr>
              <w:keepNext/>
              <w:ind w:right="260"/>
              <w:jc w:val="right"/>
              <w:rPr>
                <w:szCs w:val="22"/>
              </w:rPr>
            </w:pPr>
            <w:r>
              <w:rPr>
                <w:szCs w:val="22"/>
              </w:rPr>
              <w:t>38</w:t>
            </w:r>
            <w:r w:rsidR="00245094">
              <w:rPr>
                <w:szCs w:val="22"/>
              </w:rPr>
              <w:t>,</w:t>
            </w:r>
            <w:r>
              <w:rPr>
                <w:szCs w:val="22"/>
              </w:rPr>
              <w:t>335</w:t>
            </w:r>
          </w:p>
        </w:tc>
      </w:tr>
      <w:tr w:rsidR="00845175" w:rsidRPr="00C660D6" w:rsidTr="00845175">
        <w:trPr>
          <w:cantSplit/>
        </w:trPr>
        <w:tc>
          <w:tcPr>
            <w:tcW w:w="2518" w:type="dxa"/>
            <w:shd w:val="clear" w:color="auto" w:fill="auto"/>
          </w:tcPr>
          <w:p w:rsidR="00845175" w:rsidRPr="00C660D6" w:rsidRDefault="00845175" w:rsidP="00845175">
            <w:pPr>
              <w:rPr>
                <w:szCs w:val="22"/>
              </w:rPr>
            </w:pPr>
            <w:r w:rsidRPr="00C660D6">
              <w:rPr>
                <w:szCs w:val="22"/>
              </w:rPr>
              <w:t xml:space="preserve">PCT </w:t>
            </w:r>
            <w:r>
              <w:rPr>
                <w:szCs w:val="22"/>
              </w:rPr>
              <w:t>regional</w:t>
            </w:r>
            <w:r w:rsidRPr="00C660D6">
              <w:rPr>
                <w:szCs w:val="22"/>
              </w:rPr>
              <w:t xml:space="preserve"> phase entry</w:t>
            </w:r>
          </w:p>
        </w:tc>
        <w:tc>
          <w:tcPr>
            <w:tcW w:w="1360" w:type="dxa"/>
            <w:shd w:val="clear" w:color="auto" w:fill="auto"/>
          </w:tcPr>
          <w:p w:rsidR="00845175" w:rsidRPr="00C660D6" w:rsidRDefault="00845175" w:rsidP="00245094">
            <w:pPr>
              <w:ind w:right="260"/>
              <w:jc w:val="right"/>
              <w:rPr>
                <w:szCs w:val="22"/>
              </w:rPr>
            </w:pPr>
            <w:r>
              <w:rPr>
                <w:szCs w:val="22"/>
              </w:rPr>
              <w:t>80</w:t>
            </w:r>
            <w:r w:rsidR="00245094">
              <w:rPr>
                <w:szCs w:val="22"/>
              </w:rPr>
              <w:t>,</w:t>
            </w:r>
            <w:r>
              <w:rPr>
                <w:szCs w:val="22"/>
              </w:rPr>
              <w:t>264</w:t>
            </w:r>
          </w:p>
        </w:tc>
        <w:tc>
          <w:tcPr>
            <w:tcW w:w="1361" w:type="dxa"/>
            <w:shd w:val="clear" w:color="auto" w:fill="auto"/>
          </w:tcPr>
          <w:p w:rsidR="00845175" w:rsidRPr="00C660D6" w:rsidRDefault="00845175" w:rsidP="00245094">
            <w:pPr>
              <w:ind w:right="260"/>
              <w:jc w:val="right"/>
              <w:rPr>
                <w:szCs w:val="22"/>
              </w:rPr>
            </w:pPr>
            <w:r>
              <w:rPr>
                <w:szCs w:val="22"/>
              </w:rPr>
              <w:t>85</w:t>
            </w:r>
            <w:r w:rsidR="00245094">
              <w:rPr>
                <w:szCs w:val="22"/>
              </w:rPr>
              <w:t>,</w:t>
            </w:r>
            <w:r>
              <w:rPr>
                <w:szCs w:val="22"/>
              </w:rPr>
              <w:t>396</w:t>
            </w:r>
          </w:p>
        </w:tc>
        <w:tc>
          <w:tcPr>
            <w:tcW w:w="1361" w:type="dxa"/>
            <w:shd w:val="clear" w:color="auto" w:fill="auto"/>
          </w:tcPr>
          <w:p w:rsidR="00845175" w:rsidRPr="00C660D6" w:rsidRDefault="00845175" w:rsidP="00245094">
            <w:pPr>
              <w:ind w:right="260"/>
              <w:jc w:val="right"/>
              <w:rPr>
                <w:szCs w:val="22"/>
              </w:rPr>
            </w:pPr>
            <w:r>
              <w:rPr>
                <w:szCs w:val="22"/>
              </w:rPr>
              <w:t>87</w:t>
            </w:r>
            <w:r w:rsidR="00245094">
              <w:rPr>
                <w:szCs w:val="22"/>
              </w:rPr>
              <w:t>,</w:t>
            </w:r>
            <w:r>
              <w:rPr>
                <w:szCs w:val="22"/>
              </w:rPr>
              <w:t>377</w:t>
            </w:r>
          </w:p>
        </w:tc>
        <w:tc>
          <w:tcPr>
            <w:tcW w:w="1361" w:type="dxa"/>
            <w:shd w:val="clear" w:color="auto" w:fill="auto"/>
          </w:tcPr>
          <w:p w:rsidR="00845175" w:rsidRPr="00C660D6" w:rsidRDefault="00845175" w:rsidP="00245094">
            <w:pPr>
              <w:ind w:right="260"/>
              <w:jc w:val="right"/>
              <w:rPr>
                <w:szCs w:val="22"/>
              </w:rPr>
            </w:pPr>
            <w:r>
              <w:rPr>
                <w:szCs w:val="22"/>
              </w:rPr>
              <w:t>92</w:t>
            </w:r>
            <w:r w:rsidR="00245094">
              <w:rPr>
                <w:szCs w:val="22"/>
              </w:rPr>
              <w:t>,</w:t>
            </w:r>
            <w:r>
              <w:rPr>
                <w:szCs w:val="22"/>
              </w:rPr>
              <w:t>657</w:t>
            </w:r>
          </w:p>
        </w:tc>
        <w:tc>
          <w:tcPr>
            <w:tcW w:w="1361" w:type="dxa"/>
            <w:shd w:val="clear" w:color="auto" w:fill="auto"/>
          </w:tcPr>
          <w:p w:rsidR="00845175" w:rsidRPr="00C660D6" w:rsidRDefault="00845175" w:rsidP="00245094">
            <w:pPr>
              <w:ind w:right="260"/>
              <w:jc w:val="right"/>
              <w:rPr>
                <w:szCs w:val="22"/>
              </w:rPr>
            </w:pPr>
            <w:r>
              <w:rPr>
                <w:szCs w:val="22"/>
              </w:rPr>
              <w:t>98</w:t>
            </w:r>
            <w:r w:rsidR="00245094">
              <w:rPr>
                <w:szCs w:val="22"/>
              </w:rPr>
              <w:t>,</w:t>
            </w:r>
            <w:r>
              <w:rPr>
                <w:szCs w:val="22"/>
              </w:rPr>
              <w:t>297</w:t>
            </w:r>
          </w:p>
        </w:tc>
      </w:tr>
    </w:tbl>
    <w:p w:rsidR="00845175" w:rsidRPr="00297B24" w:rsidRDefault="00845175" w:rsidP="00845175">
      <w:pPr>
        <w:rPr>
          <w:szCs w:val="22"/>
        </w:rPr>
      </w:pPr>
    </w:p>
    <w:p w:rsidR="00845175" w:rsidRPr="00297B24" w:rsidRDefault="00845175" w:rsidP="00245094">
      <w:pPr>
        <w:keepNext/>
        <w:rPr>
          <w:b/>
          <w:bCs/>
          <w:szCs w:val="22"/>
        </w:rPr>
      </w:pPr>
      <w:r w:rsidRPr="00297B24">
        <w:rPr>
          <w:b/>
          <w:bCs/>
          <w:szCs w:val="22"/>
        </w:rPr>
        <w:t>Number of international applications received as RO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845175" w:rsidRPr="00C660D6" w:rsidTr="00845175">
        <w:trPr>
          <w:cantSplit/>
        </w:trPr>
        <w:tc>
          <w:tcPr>
            <w:tcW w:w="2518" w:type="dxa"/>
            <w:tcBorders>
              <w:tl2br w:val="single" w:sz="4" w:space="0" w:color="auto"/>
            </w:tcBorders>
            <w:shd w:val="clear" w:color="auto" w:fill="auto"/>
          </w:tcPr>
          <w:p w:rsidR="00845175" w:rsidRPr="00C660D6" w:rsidRDefault="00845175" w:rsidP="00845175">
            <w:pPr>
              <w:jc w:val="right"/>
              <w:rPr>
                <w:b/>
                <w:bCs/>
                <w:szCs w:val="22"/>
              </w:rPr>
            </w:pPr>
          </w:p>
          <w:p w:rsidR="00845175" w:rsidRPr="00C660D6" w:rsidRDefault="00845175" w:rsidP="00845175">
            <w:pPr>
              <w:jc w:val="right"/>
              <w:rPr>
                <w:b/>
                <w:bCs/>
                <w:szCs w:val="22"/>
              </w:rPr>
            </w:pPr>
            <w:r w:rsidRPr="00C660D6">
              <w:rPr>
                <w:b/>
                <w:bCs/>
                <w:szCs w:val="22"/>
              </w:rPr>
              <w:t>Year</w:t>
            </w:r>
          </w:p>
          <w:p w:rsidR="00845175" w:rsidRPr="00C660D6" w:rsidRDefault="00845175" w:rsidP="00845175">
            <w:pPr>
              <w:rPr>
                <w:b/>
                <w:bCs/>
                <w:szCs w:val="22"/>
              </w:rPr>
            </w:pPr>
            <w:r w:rsidRPr="00C660D6">
              <w:rPr>
                <w:b/>
                <w:bCs/>
                <w:szCs w:val="22"/>
              </w:rPr>
              <w:t>Technical Field</w:t>
            </w:r>
          </w:p>
        </w:tc>
        <w:tc>
          <w:tcPr>
            <w:tcW w:w="1360" w:type="dxa"/>
            <w:shd w:val="clear" w:color="auto" w:fill="auto"/>
            <w:vAlign w:val="center"/>
          </w:tcPr>
          <w:p w:rsidR="00845175" w:rsidRPr="00C660D6" w:rsidRDefault="00845175" w:rsidP="00845175">
            <w:pPr>
              <w:jc w:val="center"/>
              <w:rPr>
                <w:szCs w:val="22"/>
              </w:rPr>
            </w:pPr>
            <w:r>
              <w:rPr>
                <w:szCs w:val="22"/>
              </w:rPr>
              <w:t>2011</w:t>
            </w:r>
          </w:p>
        </w:tc>
        <w:tc>
          <w:tcPr>
            <w:tcW w:w="1361" w:type="dxa"/>
            <w:shd w:val="clear" w:color="auto" w:fill="auto"/>
            <w:vAlign w:val="center"/>
          </w:tcPr>
          <w:p w:rsidR="00845175" w:rsidRPr="00C660D6" w:rsidRDefault="00845175" w:rsidP="00845175">
            <w:pPr>
              <w:jc w:val="center"/>
              <w:rPr>
                <w:szCs w:val="22"/>
              </w:rPr>
            </w:pPr>
            <w:r>
              <w:rPr>
                <w:szCs w:val="22"/>
              </w:rPr>
              <w:t>2012</w:t>
            </w:r>
          </w:p>
        </w:tc>
        <w:tc>
          <w:tcPr>
            <w:tcW w:w="1361" w:type="dxa"/>
            <w:shd w:val="clear" w:color="auto" w:fill="auto"/>
            <w:vAlign w:val="center"/>
          </w:tcPr>
          <w:p w:rsidR="00845175" w:rsidRPr="00C660D6" w:rsidRDefault="00845175" w:rsidP="00845175">
            <w:pPr>
              <w:jc w:val="center"/>
              <w:rPr>
                <w:szCs w:val="22"/>
              </w:rPr>
            </w:pPr>
            <w:r>
              <w:rPr>
                <w:szCs w:val="22"/>
              </w:rPr>
              <w:t>2013</w:t>
            </w:r>
          </w:p>
        </w:tc>
        <w:tc>
          <w:tcPr>
            <w:tcW w:w="1361" w:type="dxa"/>
            <w:shd w:val="clear" w:color="auto" w:fill="auto"/>
            <w:vAlign w:val="center"/>
          </w:tcPr>
          <w:p w:rsidR="00845175" w:rsidRPr="00C660D6" w:rsidRDefault="00845175" w:rsidP="00845175">
            <w:pPr>
              <w:jc w:val="center"/>
              <w:rPr>
                <w:szCs w:val="22"/>
              </w:rPr>
            </w:pPr>
            <w:r>
              <w:rPr>
                <w:szCs w:val="22"/>
              </w:rPr>
              <w:t>2014</w:t>
            </w:r>
          </w:p>
        </w:tc>
        <w:tc>
          <w:tcPr>
            <w:tcW w:w="1361" w:type="dxa"/>
            <w:shd w:val="clear" w:color="auto" w:fill="auto"/>
            <w:vAlign w:val="center"/>
          </w:tcPr>
          <w:p w:rsidR="00845175" w:rsidRPr="00C660D6" w:rsidRDefault="00845175" w:rsidP="00845175">
            <w:pPr>
              <w:jc w:val="center"/>
              <w:rPr>
                <w:szCs w:val="22"/>
              </w:rPr>
            </w:pPr>
            <w:r>
              <w:rPr>
                <w:szCs w:val="22"/>
              </w:rPr>
              <w:t>2015</w:t>
            </w:r>
          </w:p>
        </w:tc>
      </w:tr>
      <w:tr w:rsidR="00845175" w:rsidRPr="00C660D6" w:rsidTr="00845175">
        <w:trPr>
          <w:cantSplit/>
        </w:trPr>
        <w:tc>
          <w:tcPr>
            <w:tcW w:w="2518" w:type="dxa"/>
            <w:shd w:val="clear" w:color="auto" w:fill="auto"/>
          </w:tcPr>
          <w:p w:rsidR="00845175" w:rsidRPr="00245094" w:rsidRDefault="00845175" w:rsidP="00845175">
            <w:pPr>
              <w:rPr>
                <w:szCs w:val="22"/>
              </w:rPr>
            </w:pPr>
            <w:r w:rsidRPr="00245094">
              <w:rPr>
                <w:szCs w:val="22"/>
              </w:rPr>
              <w:t>Mechanical</w:t>
            </w:r>
          </w:p>
        </w:tc>
        <w:tc>
          <w:tcPr>
            <w:tcW w:w="1360" w:type="dxa"/>
            <w:shd w:val="clear" w:color="auto" w:fill="auto"/>
          </w:tcPr>
          <w:p w:rsidR="00845175" w:rsidRPr="00245094" w:rsidRDefault="00845175" w:rsidP="00245094">
            <w:pPr>
              <w:ind w:right="324"/>
              <w:jc w:val="right"/>
              <w:rPr>
                <w:szCs w:val="22"/>
              </w:rPr>
            </w:pPr>
            <w:r w:rsidRPr="00245094">
              <w:rPr>
                <w:szCs w:val="22"/>
              </w:rPr>
              <w:t>8</w:t>
            </w:r>
            <w:r w:rsidR="00245094" w:rsidRPr="00245094">
              <w:rPr>
                <w:szCs w:val="22"/>
              </w:rPr>
              <w:t>,</w:t>
            </w:r>
            <w:r w:rsidRPr="00245094">
              <w:rPr>
                <w:szCs w:val="22"/>
              </w:rPr>
              <w:t>437</w:t>
            </w:r>
          </w:p>
        </w:tc>
        <w:tc>
          <w:tcPr>
            <w:tcW w:w="1361" w:type="dxa"/>
            <w:shd w:val="clear" w:color="auto" w:fill="auto"/>
          </w:tcPr>
          <w:p w:rsidR="00845175" w:rsidRPr="00245094" w:rsidRDefault="00845175" w:rsidP="00245094">
            <w:pPr>
              <w:ind w:right="324"/>
              <w:jc w:val="right"/>
              <w:rPr>
                <w:szCs w:val="22"/>
              </w:rPr>
            </w:pPr>
            <w:r w:rsidRPr="00245094">
              <w:rPr>
                <w:szCs w:val="22"/>
              </w:rPr>
              <w:t>8</w:t>
            </w:r>
            <w:r w:rsidR="00245094" w:rsidRPr="00245094">
              <w:rPr>
                <w:szCs w:val="22"/>
              </w:rPr>
              <w:t>,</w:t>
            </w:r>
            <w:r w:rsidRPr="00245094">
              <w:rPr>
                <w:szCs w:val="22"/>
              </w:rPr>
              <w:t>735</w:t>
            </w:r>
          </w:p>
        </w:tc>
        <w:tc>
          <w:tcPr>
            <w:tcW w:w="1361" w:type="dxa"/>
            <w:shd w:val="clear" w:color="auto" w:fill="auto"/>
          </w:tcPr>
          <w:p w:rsidR="00845175" w:rsidRPr="00245094" w:rsidRDefault="00845175" w:rsidP="00245094">
            <w:pPr>
              <w:ind w:right="324"/>
              <w:jc w:val="right"/>
              <w:rPr>
                <w:szCs w:val="22"/>
              </w:rPr>
            </w:pPr>
            <w:r w:rsidRPr="00245094">
              <w:rPr>
                <w:szCs w:val="22"/>
              </w:rPr>
              <w:t>8</w:t>
            </w:r>
            <w:r w:rsidR="00245094" w:rsidRPr="00245094">
              <w:rPr>
                <w:szCs w:val="22"/>
              </w:rPr>
              <w:t>,</w:t>
            </w:r>
            <w:r w:rsidRPr="00245094">
              <w:rPr>
                <w:szCs w:val="22"/>
              </w:rPr>
              <w:t>566</w:t>
            </w:r>
          </w:p>
        </w:tc>
        <w:tc>
          <w:tcPr>
            <w:tcW w:w="1361" w:type="dxa"/>
            <w:shd w:val="clear" w:color="auto" w:fill="auto"/>
          </w:tcPr>
          <w:p w:rsidR="00845175" w:rsidRPr="00245094" w:rsidRDefault="00845175" w:rsidP="00245094">
            <w:pPr>
              <w:ind w:right="324"/>
              <w:jc w:val="right"/>
              <w:rPr>
                <w:szCs w:val="22"/>
              </w:rPr>
            </w:pPr>
            <w:r w:rsidRPr="00245094">
              <w:rPr>
                <w:szCs w:val="22"/>
              </w:rPr>
              <w:t>8</w:t>
            </w:r>
            <w:r w:rsidR="00245094" w:rsidRPr="00245094">
              <w:rPr>
                <w:szCs w:val="22"/>
              </w:rPr>
              <w:t>,</w:t>
            </w:r>
            <w:r w:rsidRPr="00245094">
              <w:rPr>
                <w:szCs w:val="22"/>
              </w:rPr>
              <w:t>904</w:t>
            </w:r>
          </w:p>
        </w:tc>
        <w:tc>
          <w:tcPr>
            <w:tcW w:w="1361" w:type="dxa"/>
            <w:shd w:val="clear" w:color="auto" w:fill="auto"/>
          </w:tcPr>
          <w:p w:rsidR="00845175" w:rsidRPr="00245094" w:rsidRDefault="00845175" w:rsidP="00245094">
            <w:pPr>
              <w:ind w:right="324"/>
              <w:jc w:val="right"/>
              <w:rPr>
                <w:szCs w:val="22"/>
              </w:rPr>
            </w:pPr>
            <w:r w:rsidRPr="00245094">
              <w:rPr>
                <w:szCs w:val="22"/>
              </w:rPr>
              <w:t>8</w:t>
            </w:r>
            <w:r w:rsidR="00245094" w:rsidRPr="00245094">
              <w:rPr>
                <w:szCs w:val="22"/>
              </w:rPr>
              <w:t>,</w:t>
            </w:r>
            <w:r w:rsidRPr="00245094">
              <w:rPr>
                <w:szCs w:val="22"/>
              </w:rPr>
              <w:t>586</w:t>
            </w:r>
          </w:p>
        </w:tc>
      </w:tr>
      <w:tr w:rsidR="00845175" w:rsidRPr="00C660D6" w:rsidTr="00845175">
        <w:trPr>
          <w:cantSplit/>
        </w:trPr>
        <w:tc>
          <w:tcPr>
            <w:tcW w:w="2518" w:type="dxa"/>
            <w:shd w:val="clear" w:color="auto" w:fill="auto"/>
          </w:tcPr>
          <w:p w:rsidR="00845175" w:rsidRPr="00245094" w:rsidRDefault="00845175" w:rsidP="00845175">
            <w:pPr>
              <w:rPr>
                <w:szCs w:val="22"/>
              </w:rPr>
            </w:pPr>
            <w:r w:rsidRPr="00245094">
              <w:rPr>
                <w:szCs w:val="22"/>
              </w:rPr>
              <w:t>Electrical/electronic</w:t>
            </w:r>
          </w:p>
        </w:tc>
        <w:tc>
          <w:tcPr>
            <w:tcW w:w="1360" w:type="dxa"/>
            <w:shd w:val="clear" w:color="auto" w:fill="auto"/>
          </w:tcPr>
          <w:p w:rsidR="00845175" w:rsidRPr="00245094" w:rsidRDefault="00845175" w:rsidP="00245094">
            <w:pPr>
              <w:ind w:right="324"/>
              <w:jc w:val="right"/>
              <w:rPr>
                <w:szCs w:val="22"/>
              </w:rPr>
            </w:pPr>
            <w:r w:rsidRPr="00245094">
              <w:rPr>
                <w:szCs w:val="22"/>
              </w:rPr>
              <w:t>6</w:t>
            </w:r>
            <w:r w:rsidR="00245094" w:rsidRPr="00245094">
              <w:rPr>
                <w:szCs w:val="22"/>
              </w:rPr>
              <w:t>,</w:t>
            </w:r>
            <w:r w:rsidRPr="00245094">
              <w:rPr>
                <w:szCs w:val="22"/>
              </w:rPr>
              <w:t>938</w:t>
            </w:r>
          </w:p>
        </w:tc>
        <w:tc>
          <w:tcPr>
            <w:tcW w:w="1361" w:type="dxa"/>
            <w:shd w:val="clear" w:color="auto" w:fill="auto"/>
          </w:tcPr>
          <w:p w:rsidR="00845175" w:rsidRPr="00245094" w:rsidRDefault="00845175" w:rsidP="00245094">
            <w:pPr>
              <w:ind w:right="324"/>
              <w:jc w:val="right"/>
              <w:rPr>
                <w:szCs w:val="22"/>
              </w:rPr>
            </w:pPr>
            <w:r w:rsidRPr="00245094">
              <w:rPr>
                <w:szCs w:val="22"/>
              </w:rPr>
              <w:t>7</w:t>
            </w:r>
            <w:r w:rsidR="00245094" w:rsidRPr="00245094">
              <w:rPr>
                <w:szCs w:val="22"/>
              </w:rPr>
              <w:t>,</w:t>
            </w:r>
            <w:r w:rsidRPr="00245094">
              <w:rPr>
                <w:szCs w:val="22"/>
              </w:rPr>
              <w:t>382</w:t>
            </w:r>
          </w:p>
        </w:tc>
        <w:tc>
          <w:tcPr>
            <w:tcW w:w="1361" w:type="dxa"/>
            <w:shd w:val="clear" w:color="auto" w:fill="auto"/>
          </w:tcPr>
          <w:p w:rsidR="00845175" w:rsidRPr="00245094" w:rsidRDefault="00845175" w:rsidP="00245094">
            <w:pPr>
              <w:ind w:right="324"/>
              <w:jc w:val="right"/>
              <w:rPr>
                <w:szCs w:val="22"/>
              </w:rPr>
            </w:pPr>
            <w:r w:rsidRPr="00245094">
              <w:rPr>
                <w:szCs w:val="22"/>
              </w:rPr>
              <w:t>7</w:t>
            </w:r>
            <w:r w:rsidR="00245094" w:rsidRPr="00245094">
              <w:rPr>
                <w:szCs w:val="22"/>
              </w:rPr>
              <w:t>,</w:t>
            </w:r>
            <w:r w:rsidRPr="00245094">
              <w:rPr>
                <w:szCs w:val="22"/>
              </w:rPr>
              <w:t>241</w:t>
            </w:r>
          </w:p>
        </w:tc>
        <w:tc>
          <w:tcPr>
            <w:tcW w:w="1361" w:type="dxa"/>
            <w:shd w:val="clear" w:color="auto" w:fill="auto"/>
          </w:tcPr>
          <w:p w:rsidR="00845175" w:rsidRPr="00245094" w:rsidRDefault="00845175" w:rsidP="00245094">
            <w:pPr>
              <w:ind w:right="324"/>
              <w:jc w:val="right"/>
              <w:rPr>
                <w:szCs w:val="22"/>
              </w:rPr>
            </w:pPr>
            <w:r w:rsidRPr="00245094">
              <w:rPr>
                <w:szCs w:val="22"/>
              </w:rPr>
              <w:t>7</w:t>
            </w:r>
            <w:r w:rsidR="00245094" w:rsidRPr="00245094">
              <w:rPr>
                <w:szCs w:val="22"/>
              </w:rPr>
              <w:t>,</w:t>
            </w:r>
            <w:r w:rsidRPr="00245094">
              <w:rPr>
                <w:szCs w:val="22"/>
              </w:rPr>
              <w:t>249</w:t>
            </w:r>
          </w:p>
        </w:tc>
        <w:tc>
          <w:tcPr>
            <w:tcW w:w="1361" w:type="dxa"/>
            <w:shd w:val="clear" w:color="auto" w:fill="auto"/>
          </w:tcPr>
          <w:p w:rsidR="00845175" w:rsidRPr="00245094" w:rsidRDefault="00845175" w:rsidP="00245094">
            <w:pPr>
              <w:ind w:right="324"/>
              <w:jc w:val="right"/>
              <w:rPr>
                <w:szCs w:val="22"/>
              </w:rPr>
            </w:pPr>
            <w:r w:rsidRPr="00245094">
              <w:rPr>
                <w:szCs w:val="22"/>
              </w:rPr>
              <w:t>6</w:t>
            </w:r>
            <w:r w:rsidR="00245094" w:rsidRPr="00245094">
              <w:rPr>
                <w:szCs w:val="22"/>
              </w:rPr>
              <w:t>,</w:t>
            </w:r>
            <w:r w:rsidRPr="00245094">
              <w:rPr>
                <w:szCs w:val="22"/>
              </w:rPr>
              <w:t>293</w:t>
            </w:r>
          </w:p>
        </w:tc>
      </w:tr>
      <w:tr w:rsidR="00845175" w:rsidRPr="00C660D6" w:rsidTr="00845175">
        <w:trPr>
          <w:cantSplit/>
        </w:trPr>
        <w:tc>
          <w:tcPr>
            <w:tcW w:w="2518" w:type="dxa"/>
            <w:shd w:val="clear" w:color="auto" w:fill="auto"/>
          </w:tcPr>
          <w:p w:rsidR="00845175" w:rsidRPr="00245094" w:rsidRDefault="00845175" w:rsidP="00845175">
            <w:pPr>
              <w:rPr>
                <w:szCs w:val="22"/>
              </w:rPr>
            </w:pPr>
            <w:r w:rsidRPr="00245094">
              <w:rPr>
                <w:szCs w:val="22"/>
              </w:rPr>
              <w:t>Chemistry</w:t>
            </w:r>
          </w:p>
        </w:tc>
        <w:tc>
          <w:tcPr>
            <w:tcW w:w="1360" w:type="dxa"/>
            <w:shd w:val="clear" w:color="auto" w:fill="auto"/>
          </w:tcPr>
          <w:p w:rsidR="00845175" w:rsidRPr="00245094" w:rsidRDefault="00845175" w:rsidP="00245094">
            <w:pPr>
              <w:ind w:right="324"/>
              <w:jc w:val="right"/>
              <w:rPr>
                <w:szCs w:val="22"/>
              </w:rPr>
            </w:pPr>
            <w:r w:rsidRPr="00245094">
              <w:rPr>
                <w:szCs w:val="22"/>
              </w:rPr>
              <w:t>8</w:t>
            </w:r>
            <w:r w:rsidR="00245094" w:rsidRPr="00245094">
              <w:rPr>
                <w:szCs w:val="22"/>
              </w:rPr>
              <w:t>,</w:t>
            </w:r>
            <w:r w:rsidRPr="00245094">
              <w:rPr>
                <w:szCs w:val="22"/>
              </w:rPr>
              <w:t>608</w:t>
            </w:r>
          </w:p>
        </w:tc>
        <w:tc>
          <w:tcPr>
            <w:tcW w:w="1361" w:type="dxa"/>
            <w:shd w:val="clear" w:color="auto" w:fill="auto"/>
          </w:tcPr>
          <w:p w:rsidR="00845175" w:rsidRPr="00245094" w:rsidRDefault="00845175" w:rsidP="00245094">
            <w:pPr>
              <w:ind w:right="324"/>
              <w:jc w:val="right"/>
              <w:rPr>
                <w:szCs w:val="22"/>
              </w:rPr>
            </w:pPr>
            <w:r w:rsidRPr="00245094">
              <w:rPr>
                <w:szCs w:val="22"/>
              </w:rPr>
              <w:t>9</w:t>
            </w:r>
            <w:r w:rsidR="00245094" w:rsidRPr="00245094">
              <w:rPr>
                <w:szCs w:val="22"/>
              </w:rPr>
              <w:t>,</w:t>
            </w:r>
            <w:r w:rsidRPr="00245094">
              <w:rPr>
                <w:szCs w:val="22"/>
              </w:rPr>
              <w:t>131</w:t>
            </w:r>
          </w:p>
        </w:tc>
        <w:tc>
          <w:tcPr>
            <w:tcW w:w="1361" w:type="dxa"/>
            <w:shd w:val="clear" w:color="auto" w:fill="auto"/>
          </w:tcPr>
          <w:p w:rsidR="00845175" w:rsidRPr="00245094" w:rsidRDefault="00845175" w:rsidP="00245094">
            <w:pPr>
              <w:ind w:right="324"/>
              <w:jc w:val="right"/>
              <w:rPr>
                <w:szCs w:val="22"/>
              </w:rPr>
            </w:pPr>
            <w:r w:rsidRPr="00245094">
              <w:rPr>
                <w:szCs w:val="22"/>
              </w:rPr>
              <w:t>8</w:t>
            </w:r>
            <w:r w:rsidR="00245094" w:rsidRPr="00245094">
              <w:rPr>
                <w:szCs w:val="22"/>
              </w:rPr>
              <w:t>,</w:t>
            </w:r>
            <w:r w:rsidRPr="00245094">
              <w:rPr>
                <w:szCs w:val="22"/>
              </w:rPr>
              <w:t>826</w:t>
            </w:r>
          </w:p>
        </w:tc>
        <w:tc>
          <w:tcPr>
            <w:tcW w:w="1361" w:type="dxa"/>
            <w:shd w:val="clear" w:color="auto" w:fill="auto"/>
          </w:tcPr>
          <w:p w:rsidR="00845175" w:rsidRPr="00245094" w:rsidRDefault="00845175" w:rsidP="00245094">
            <w:pPr>
              <w:ind w:right="324"/>
              <w:jc w:val="right"/>
              <w:rPr>
                <w:szCs w:val="22"/>
              </w:rPr>
            </w:pPr>
            <w:r w:rsidRPr="00245094">
              <w:rPr>
                <w:szCs w:val="22"/>
              </w:rPr>
              <w:t>8</w:t>
            </w:r>
            <w:r w:rsidR="00245094" w:rsidRPr="00245094">
              <w:rPr>
                <w:szCs w:val="22"/>
              </w:rPr>
              <w:t>,</w:t>
            </w:r>
            <w:r w:rsidRPr="00245094">
              <w:rPr>
                <w:szCs w:val="22"/>
              </w:rPr>
              <w:t>773</w:t>
            </w:r>
          </w:p>
        </w:tc>
        <w:tc>
          <w:tcPr>
            <w:tcW w:w="1361" w:type="dxa"/>
            <w:shd w:val="clear" w:color="auto" w:fill="auto"/>
          </w:tcPr>
          <w:p w:rsidR="00845175" w:rsidRPr="00245094" w:rsidRDefault="00845175" w:rsidP="00245094">
            <w:pPr>
              <w:ind w:right="324"/>
              <w:jc w:val="right"/>
              <w:rPr>
                <w:szCs w:val="22"/>
              </w:rPr>
            </w:pPr>
            <w:r w:rsidRPr="00245094">
              <w:rPr>
                <w:szCs w:val="22"/>
              </w:rPr>
              <w:t>8</w:t>
            </w:r>
            <w:r w:rsidR="00245094" w:rsidRPr="00245094">
              <w:rPr>
                <w:szCs w:val="22"/>
              </w:rPr>
              <w:t>,</w:t>
            </w:r>
            <w:r w:rsidRPr="00245094">
              <w:rPr>
                <w:szCs w:val="22"/>
              </w:rPr>
              <w:t>623</w:t>
            </w:r>
          </w:p>
        </w:tc>
      </w:tr>
      <w:tr w:rsidR="00845175" w:rsidRPr="00C660D6" w:rsidTr="00845175">
        <w:trPr>
          <w:cantSplit/>
        </w:trPr>
        <w:tc>
          <w:tcPr>
            <w:tcW w:w="2518" w:type="dxa"/>
            <w:shd w:val="clear" w:color="auto" w:fill="auto"/>
          </w:tcPr>
          <w:p w:rsidR="00845175" w:rsidRPr="00245094" w:rsidRDefault="00845175" w:rsidP="00845175">
            <w:pPr>
              <w:rPr>
                <w:szCs w:val="22"/>
              </w:rPr>
            </w:pPr>
            <w:r w:rsidRPr="00245094">
              <w:rPr>
                <w:szCs w:val="22"/>
              </w:rPr>
              <w:t>Instrument</w:t>
            </w:r>
          </w:p>
        </w:tc>
        <w:tc>
          <w:tcPr>
            <w:tcW w:w="1360" w:type="dxa"/>
            <w:shd w:val="clear" w:color="auto" w:fill="auto"/>
          </w:tcPr>
          <w:p w:rsidR="00845175" w:rsidRPr="00245094" w:rsidRDefault="00845175" w:rsidP="00245094">
            <w:pPr>
              <w:ind w:right="324"/>
              <w:jc w:val="right"/>
              <w:rPr>
                <w:szCs w:val="22"/>
              </w:rPr>
            </w:pPr>
            <w:r w:rsidRPr="00245094">
              <w:rPr>
                <w:szCs w:val="22"/>
              </w:rPr>
              <w:t>4</w:t>
            </w:r>
            <w:r w:rsidR="00245094" w:rsidRPr="00245094">
              <w:rPr>
                <w:szCs w:val="22"/>
              </w:rPr>
              <w:t>,</w:t>
            </w:r>
            <w:r w:rsidRPr="00245094">
              <w:rPr>
                <w:szCs w:val="22"/>
              </w:rPr>
              <w:t>152</w:t>
            </w:r>
          </w:p>
        </w:tc>
        <w:tc>
          <w:tcPr>
            <w:tcW w:w="1361" w:type="dxa"/>
            <w:shd w:val="clear" w:color="auto" w:fill="auto"/>
          </w:tcPr>
          <w:p w:rsidR="00845175" w:rsidRPr="00245094" w:rsidRDefault="00845175" w:rsidP="00245094">
            <w:pPr>
              <w:ind w:right="324"/>
              <w:jc w:val="right"/>
              <w:rPr>
                <w:szCs w:val="22"/>
              </w:rPr>
            </w:pPr>
            <w:r w:rsidRPr="00245094">
              <w:rPr>
                <w:szCs w:val="22"/>
              </w:rPr>
              <w:t>4</w:t>
            </w:r>
            <w:r w:rsidR="00245094" w:rsidRPr="00245094">
              <w:rPr>
                <w:szCs w:val="22"/>
              </w:rPr>
              <w:t>,</w:t>
            </w:r>
            <w:r w:rsidRPr="00245094">
              <w:rPr>
                <w:szCs w:val="22"/>
              </w:rPr>
              <w:t>484</w:t>
            </w:r>
          </w:p>
        </w:tc>
        <w:tc>
          <w:tcPr>
            <w:tcW w:w="1361" w:type="dxa"/>
            <w:shd w:val="clear" w:color="auto" w:fill="auto"/>
          </w:tcPr>
          <w:p w:rsidR="00845175" w:rsidRPr="00245094" w:rsidRDefault="00845175" w:rsidP="00245094">
            <w:pPr>
              <w:ind w:right="324"/>
              <w:jc w:val="right"/>
              <w:rPr>
                <w:szCs w:val="22"/>
              </w:rPr>
            </w:pPr>
            <w:r w:rsidRPr="00245094">
              <w:rPr>
                <w:szCs w:val="22"/>
              </w:rPr>
              <w:t>4</w:t>
            </w:r>
            <w:r w:rsidR="00245094" w:rsidRPr="00245094">
              <w:rPr>
                <w:szCs w:val="22"/>
              </w:rPr>
              <w:t>,</w:t>
            </w:r>
            <w:r w:rsidRPr="00245094">
              <w:rPr>
                <w:szCs w:val="22"/>
              </w:rPr>
              <w:t>643</w:t>
            </w:r>
          </w:p>
        </w:tc>
        <w:tc>
          <w:tcPr>
            <w:tcW w:w="1361" w:type="dxa"/>
            <w:shd w:val="clear" w:color="auto" w:fill="auto"/>
          </w:tcPr>
          <w:p w:rsidR="00845175" w:rsidRPr="00245094" w:rsidRDefault="00845175" w:rsidP="00245094">
            <w:pPr>
              <w:ind w:right="324"/>
              <w:jc w:val="right"/>
              <w:rPr>
                <w:szCs w:val="22"/>
              </w:rPr>
            </w:pPr>
            <w:r w:rsidRPr="00245094">
              <w:rPr>
                <w:szCs w:val="22"/>
              </w:rPr>
              <w:t>5</w:t>
            </w:r>
            <w:r w:rsidR="00245094" w:rsidRPr="00245094">
              <w:rPr>
                <w:szCs w:val="22"/>
              </w:rPr>
              <w:t>,</w:t>
            </w:r>
            <w:r w:rsidRPr="00245094">
              <w:rPr>
                <w:szCs w:val="22"/>
              </w:rPr>
              <w:t>152</w:t>
            </w:r>
          </w:p>
        </w:tc>
        <w:tc>
          <w:tcPr>
            <w:tcW w:w="1361" w:type="dxa"/>
            <w:shd w:val="clear" w:color="auto" w:fill="auto"/>
          </w:tcPr>
          <w:p w:rsidR="00845175" w:rsidRPr="00245094" w:rsidRDefault="00845175" w:rsidP="00245094">
            <w:pPr>
              <w:ind w:right="324"/>
              <w:jc w:val="right"/>
              <w:rPr>
                <w:szCs w:val="22"/>
              </w:rPr>
            </w:pPr>
            <w:r w:rsidRPr="00245094">
              <w:rPr>
                <w:szCs w:val="22"/>
              </w:rPr>
              <w:t>4</w:t>
            </w:r>
            <w:r w:rsidR="00245094" w:rsidRPr="00245094">
              <w:rPr>
                <w:szCs w:val="22"/>
              </w:rPr>
              <w:t>,</w:t>
            </w:r>
            <w:r w:rsidRPr="00245094">
              <w:rPr>
                <w:szCs w:val="22"/>
              </w:rPr>
              <w:t>771</w:t>
            </w:r>
          </w:p>
        </w:tc>
      </w:tr>
      <w:tr w:rsidR="00845175" w:rsidRPr="00C660D6" w:rsidTr="00845175">
        <w:trPr>
          <w:cantSplit/>
        </w:trPr>
        <w:tc>
          <w:tcPr>
            <w:tcW w:w="2518" w:type="dxa"/>
            <w:shd w:val="clear" w:color="auto" w:fill="auto"/>
          </w:tcPr>
          <w:p w:rsidR="00845175" w:rsidRPr="00245094" w:rsidRDefault="00845175" w:rsidP="00845175">
            <w:pPr>
              <w:rPr>
                <w:i/>
                <w:iCs/>
                <w:szCs w:val="22"/>
              </w:rPr>
            </w:pPr>
            <w:r w:rsidRPr="00245094">
              <w:rPr>
                <w:i/>
                <w:iCs/>
                <w:szCs w:val="22"/>
              </w:rPr>
              <w:t>Other fields (including not yet classified)</w:t>
            </w:r>
          </w:p>
        </w:tc>
        <w:tc>
          <w:tcPr>
            <w:tcW w:w="1360" w:type="dxa"/>
            <w:shd w:val="clear" w:color="auto" w:fill="auto"/>
          </w:tcPr>
          <w:p w:rsidR="00845175" w:rsidRPr="00245094" w:rsidRDefault="00845175" w:rsidP="00245094">
            <w:pPr>
              <w:ind w:right="324"/>
              <w:jc w:val="right"/>
              <w:rPr>
                <w:szCs w:val="22"/>
              </w:rPr>
            </w:pPr>
            <w:r w:rsidRPr="00245094">
              <w:rPr>
                <w:szCs w:val="22"/>
              </w:rPr>
              <w:t>2</w:t>
            </w:r>
            <w:r w:rsidR="00245094" w:rsidRPr="00245094">
              <w:rPr>
                <w:szCs w:val="22"/>
              </w:rPr>
              <w:t>,</w:t>
            </w:r>
            <w:r w:rsidRPr="00245094">
              <w:rPr>
                <w:szCs w:val="22"/>
              </w:rPr>
              <w:t>758</w:t>
            </w:r>
          </w:p>
        </w:tc>
        <w:tc>
          <w:tcPr>
            <w:tcW w:w="1361" w:type="dxa"/>
            <w:shd w:val="clear" w:color="auto" w:fill="auto"/>
          </w:tcPr>
          <w:p w:rsidR="00845175" w:rsidRPr="00245094" w:rsidRDefault="00845175" w:rsidP="00245094">
            <w:pPr>
              <w:ind w:right="324"/>
              <w:jc w:val="right"/>
              <w:rPr>
                <w:szCs w:val="22"/>
              </w:rPr>
            </w:pPr>
            <w:r w:rsidRPr="00245094">
              <w:rPr>
                <w:szCs w:val="22"/>
              </w:rPr>
              <w:t>2</w:t>
            </w:r>
            <w:r w:rsidR="00245094" w:rsidRPr="00245094">
              <w:rPr>
                <w:szCs w:val="22"/>
              </w:rPr>
              <w:t>,</w:t>
            </w:r>
            <w:r w:rsidRPr="00245094">
              <w:rPr>
                <w:szCs w:val="22"/>
              </w:rPr>
              <w:t>698</w:t>
            </w:r>
          </w:p>
        </w:tc>
        <w:tc>
          <w:tcPr>
            <w:tcW w:w="1361" w:type="dxa"/>
            <w:shd w:val="clear" w:color="auto" w:fill="auto"/>
          </w:tcPr>
          <w:p w:rsidR="00845175" w:rsidRPr="00245094" w:rsidRDefault="00845175" w:rsidP="00245094">
            <w:pPr>
              <w:ind w:right="324"/>
              <w:jc w:val="right"/>
              <w:rPr>
                <w:szCs w:val="22"/>
              </w:rPr>
            </w:pPr>
            <w:r w:rsidRPr="00245094">
              <w:rPr>
                <w:szCs w:val="22"/>
              </w:rPr>
              <w:t>2</w:t>
            </w:r>
            <w:r w:rsidR="00245094" w:rsidRPr="00245094">
              <w:rPr>
                <w:szCs w:val="22"/>
              </w:rPr>
              <w:t>,</w:t>
            </w:r>
            <w:r w:rsidRPr="00245094">
              <w:rPr>
                <w:szCs w:val="22"/>
              </w:rPr>
              <w:t>760</w:t>
            </w:r>
          </w:p>
        </w:tc>
        <w:tc>
          <w:tcPr>
            <w:tcW w:w="1361" w:type="dxa"/>
            <w:shd w:val="clear" w:color="auto" w:fill="auto"/>
          </w:tcPr>
          <w:p w:rsidR="00845175" w:rsidRPr="00245094" w:rsidRDefault="00845175" w:rsidP="00245094">
            <w:pPr>
              <w:ind w:right="324"/>
              <w:jc w:val="right"/>
              <w:rPr>
                <w:szCs w:val="22"/>
              </w:rPr>
            </w:pPr>
            <w:r w:rsidRPr="00245094">
              <w:rPr>
                <w:szCs w:val="22"/>
              </w:rPr>
              <w:t>2</w:t>
            </w:r>
            <w:r w:rsidR="00245094" w:rsidRPr="00245094">
              <w:rPr>
                <w:szCs w:val="22"/>
              </w:rPr>
              <w:t>,</w:t>
            </w:r>
            <w:r w:rsidRPr="00245094">
              <w:rPr>
                <w:szCs w:val="22"/>
              </w:rPr>
              <w:t>824</w:t>
            </w:r>
          </w:p>
        </w:tc>
        <w:tc>
          <w:tcPr>
            <w:tcW w:w="1361" w:type="dxa"/>
            <w:shd w:val="clear" w:color="auto" w:fill="auto"/>
          </w:tcPr>
          <w:p w:rsidR="00845175" w:rsidRPr="00245094" w:rsidRDefault="00845175" w:rsidP="00245094">
            <w:pPr>
              <w:ind w:right="324"/>
              <w:jc w:val="right"/>
              <w:rPr>
                <w:szCs w:val="22"/>
              </w:rPr>
            </w:pPr>
            <w:r w:rsidRPr="00245094">
              <w:rPr>
                <w:szCs w:val="22"/>
              </w:rPr>
              <w:t>5</w:t>
            </w:r>
            <w:r w:rsidR="00245094" w:rsidRPr="00245094">
              <w:rPr>
                <w:szCs w:val="22"/>
              </w:rPr>
              <w:t>,</w:t>
            </w:r>
            <w:r w:rsidRPr="00245094">
              <w:rPr>
                <w:szCs w:val="22"/>
              </w:rPr>
              <w:t>878</w:t>
            </w:r>
          </w:p>
        </w:tc>
      </w:tr>
      <w:tr w:rsidR="00845175" w:rsidRPr="00C660D6" w:rsidTr="00845175">
        <w:trPr>
          <w:cantSplit/>
        </w:trPr>
        <w:tc>
          <w:tcPr>
            <w:tcW w:w="2518" w:type="dxa"/>
            <w:shd w:val="clear" w:color="auto" w:fill="auto"/>
          </w:tcPr>
          <w:p w:rsidR="00845175" w:rsidRPr="00245094" w:rsidRDefault="00845175" w:rsidP="00845175">
            <w:pPr>
              <w:rPr>
                <w:i/>
                <w:iCs/>
                <w:szCs w:val="22"/>
              </w:rPr>
            </w:pPr>
            <w:r w:rsidRPr="00245094">
              <w:rPr>
                <w:i/>
                <w:iCs/>
                <w:szCs w:val="22"/>
              </w:rPr>
              <w:t>Total</w:t>
            </w:r>
          </w:p>
        </w:tc>
        <w:tc>
          <w:tcPr>
            <w:tcW w:w="1360" w:type="dxa"/>
            <w:shd w:val="clear" w:color="auto" w:fill="auto"/>
          </w:tcPr>
          <w:p w:rsidR="00845175" w:rsidRPr="00245094" w:rsidRDefault="00845175" w:rsidP="00245094">
            <w:pPr>
              <w:ind w:right="324"/>
              <w:jc w:val="right"/>
              <w:rPr>
                <w:szCs w:val="22"/>
              </w:rPr>
            </w:pPr>
            <w:r w:rsidRPr="00245094">
              <w:rPr>
                <w:szCs w:val="22"/>
              </w:rPr>
              <w:t>30</w:t>
            </w:r>
            <w:r w:rsidR="00245094" w:rsidRPr="00245094">
              <w:rPr>
                <w:szCs w:val="22"/>
              </w:rPr>
              <w:t>,</w:t>
            </w:r>
            <w:r w:rsidRPr="00245094">
              <w:rPr>
                <w:szCs w:val="22"/>
              </w:rPr>
              <w:t>893</w:t>
            </w:r>
          </w:p>
        </w:tc>
        <w:tc>
          <w:tcPr>
            <w:tcW w:w="1361" w:type="dxa"/>
            <w:shd w:val="clear" w:color="auto" w:fill="auto"/>
          </w:tcPr>
          <w:p w:rsidR="00845175" w:rsidRPr="00245094" w:rsidRDefault="00845175" w:rsidP="00245094">
            <w:pPr>
              <w:ind w:right="324"/>
              <w:jc w:val="right"/>
              <w:rPr>
                <w:szCs w:val="22"/>
              </w:rPr>
            </w:pPr>
            <w:r w:rsidRPr="00245094">
              <w:rPr>
                <w:szCs w:val="22"/>
              </w:rPr>
              <w:t>32</w:t>
            </w:r>
            <w:r w:rsidR="00245094" w:rsidRPr="00245094">
              <w:rPr>
                <w:szCs w:val="22"/>
              </w:rPr>
              <w:t>,</w:t>
            </w:r>
            <w:r w:rsidRPr="00245094">
              <w:rPr>
                <w:szCs w:val="22"/>
              </w:rPr>
              <w:t>430</w:t>
            </w:r>
          </w:p>
        </w:tc>
        <w:tc>
          <w:tcPr>
            <w:tcW w:w="1361" w:type="dxa"/>
            <w:shd w:val="clear" w:color="auto" w:fill="auto"/>
          </w:tcPr>
          <w:p w:rsidR="00845175" w:rsidRPr="00245094" w:rsidRDefault="00845175" w:rsidP="00245094">
            <w:pPr>
              <w:ind w:right="324"/>
              <w:jc w:val="right"/>
              <w:rPr>
                <w:szCs w:val="22"/>
              </w:rPr>
            </w:pPr>
            <w:r w:rsidRPr="00245094">
              <w:rPr>
                <w:szCs w:val="22"/>
              </w:rPr>
              <w:t>32</w:t>
            </w:r>
            <w:r w:rsidR="00245094" w:rsidRPr="00245094">
              <w:rPr>
                <w:szCs w:val="22"/>
              </w:rPr>
              <w:t>,</w:t>
            </w:r>
            <w:r w:rsidRPr="00245094">
              <w:rPr>
                <w:szCs w:val="22"/>
              </w:rPr>
              <w:t>036</w:t>
            </w:r>
          </w:p>
        </w:tc>
        <w:tc>
          <w:tcPr>
            <w:tcW w:w="1361" w:type="dxa"/>
            <w:shd w:val="clear" w:color="auto" w:fill="auto"/>
          </w:tcPr>
          <w:p w:rsidR="00845175" w:rsidRPr="00245094" w:rsidRDefault="00845175" w:rsidP="00245094">
            <w:pPr>
              <w:ind w:right="324"/>
              <w:jc w:val="right"/>
              <w:rPr>
                <w:szCs w:val="22"/>
              </w:rPr>
            </w:pPr>
            <w:r w:rsidRPr="00245094">
              <w:rPr>
                <w:szCs w:val="22"/>
              </w:rPr>
              <w:t>32</w:t>
            </w:r>
            <w:r w:rsidR="00245094" w:rsidRPr="00245094">
              <w:rPr>
                <w:szCs w:val="22"/>
              </w:rPr>
              <w:t>,</w:t>
            </w:r>
            <w:r w:rsidRPr="00245094">
              <w:rPr>
                <w:szCs w:val="22"/>
              </w:rPr>
              <w:t>902</w:t>
            </w:r>
          </w:p>
        </w:tc>
        <w:tc>
          <w:tcPr>
            <w:tcW w:w="1361" w:type="dxa"/>
            <w:shd w:val="clear" w:color="auto" w:fill="auto"/>
          </w:tcPr>
          <w:p w:rsidR="00845175" w:rsidRPr="00245094" w:rsidRDefault="00845175" w:rsidP="00245094">
            <w:pPr>
              <w:ind w:right="324"/>
              <w:jc w:val="right"/>
              <w:rPr>
                <w:szCs w:val="22"/>
              </w:rPr>
            </w:pPr>
            <w:r w:rsidRPr="00245094">
              <w:rPr>
                <w:szCs w:val="22"/>
              </w:rPr>
              <w:t>34</w:t>
            </w:r>
            <w:r w:rsidR="00245094" w:rsidRPr="00245094">
              <w:rPr>
                <w:szCs w:val="22"/>
              </w:rPr>
              <w:t>,</w:t>
            </w:r>
            <w:r w:rsidRPr="00245094">
              <w:rPr>
                <w:szCs w:val="22"/>
              </w:rPr>
              <w:t>151</w:t>
            </w:r>
          </w:p>
        </w:tc>
      </w:tr>
    </w:tbl>
    <w:p w:rsidR="00845175" w:rsidRDefault="00845175" w:rsidP="00845175">
      <w:pPr>
        <w:rPr>
          <w:szCs w:val="22"/>
        </w:rPr>
      </w:pPr>
    </w:p>
    <w:p w:rsidR="00845175" w:rsidRPr="002E43B6" w:rsidRDefault="00845175" w:rsidP="00845175">
      <w:pPr>
        <w:rPr>
          <w:b/>
          <w:bCs/>
          <w:szCs w:val="22"/>
        </w:rPr>
      </w:pPr>
      <w:r w:rsidRPr="00297B24">
        <w:rPr>
          <w:b/>
          <w:bCs/>
          <w:szCs w:val="22"/>
        </w:rPr>
        <w:t>Average time taken for national patent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845175" w:rsidRPr="00C660D6" w:rsidTr="00845175">
        <w:trPr>
          <w:cantSplit/>
        </w:trPr>
        <w:tc>
          <w:tcPr>
            <w:tcW w:w="2518" w:type="dxa"/>
            <w:shd w:val="clear" w:color="auto" w:fill="auto"/>
          </w:tcPr>
          <w:p w:rsidR="00845175" w:rsidRPr="00C660D6" w:rsidRDefault="00845175" w:rsidP="00845175">
            <w:pPr>
              <w:rPr>
                <w:b/>
                <w:bCs/>
                <w:szCs w:val="22"/>
              </w:rPr>
            </w:pPr>
            <w:r w:rsidRPr="00C660D6">
              <w:rPr>
                <w:b/>
                <w:bCs/>
                <w:szCs w:val="22"/>
              </w:rPr>
              <w:t>Indicator</w:t>
            </w:r>
          </w:p>
        </w:tc>
        <w:tc>
          <w:tcPr>
            <w:tcW w:w="3402" w:type="dxa"/>
            <w:shd w:val="clear" w:color="auto" w:fill="auto"/>
          </w:tcPr>
          <w:p w:rsidR="00845175" w:rsidRPr="00C660D6" w:rsidRDefault="00845175" w:rsidP="00845175">
            <w:pPr>
              <w:rPr>
                <w:b/>
                <w:bCs/>
                <w:szCs w:val="22"/>
              </w:rPr>
            </w:pPr>
            <w:r w:rsidRPr="00C660D6">
              <w:rPr>
                <w:b/>
                <w:bCs/>
                <w:szCs w:val="22"/>
              </w:rPr>
              <w:t>Measured from</w:t>
            </w:r>
          </w:p>
        </w:tc>
        <w:tc>
          <w:tcPr>
            <w:tcW w:w="3118" w:type="dxa"/>
            <w:shd w:val="clear" w:color="auto" w:fill="auto"/>
          </w:tcPr>
          <w:p w:rsidR="00845175" w:rsidRPr="00C660D6" w:rsidRDefault="00845175" w:rsidP="00845175">
            <w:pPr>
              <w:rPr>
                <w:b/>
                <w:bCs/>
                <w:szCs w:val="22"/>
              </w:rPr>
            </w:pPr>
            <w:r w:rsidRPr="00C660D6">
              <w:rPr>
                <w:b/>
                <w:bCs/>
                <w:szCs w:val="22"/>
              </w:rPr>
              <w:t>Time (months)</w:t>
            </w:r>
            <w:r>
              <w:rPr>
                <w:b/>
                <w:bCs/>
                <w:szCs w:val="22"/>
              </w:rPr>
              <w:t xml:space="preserve"> in 2015</w:t>
            </w:r>
          </w:p>
        </w:tc>
      </w:tr>
      <w:tr w:rsidR="00845175" w:rsidRPr="00C660D6" w:rsidTr="00845175">
        <w:trPr>
          <w:cantSplit/>
        </w:trPr>
        <w:tc>
          <w:tcPr>
            <w:tcW w:w="2518" w:type="dxa"/>
            <w:shd w:val="clear" w:color="auto" w:fill="auto"/>
          </w:tcPr>
          <w:p w:rsidR="00845175" w:rsidRPr="00C660D6" w:rsidRDefault="00845175" w:rsidP="00845175">
            <w:pPr>
              <w:rPr>
                <w:szCs w:val="22"/>
              </w:rPr>
            </w:pPr>
            <w:r w:rsidRPr="00C660D6">
              <w:rPr>
                <w:szCs w:val="22"/>
              </w:rPr>
              <w:t>To search</w:t>
            </w:r>
          </w:p>
        </w:tc>
        <w:tc>
          <w:tcPr>
            <w:tcW w:w="3402" w:type="dxa"/>
            <w:shd w:val="clear" w:color="auto" w:fill="auto"/>
          </w:tcPr>
          <w:p w:rsidR="00845175" w:rsidRPr="00C660D6" w:rsidRDefault="00845175" w:rsidP="00845175">
            <w:pPr>
              <w:rPr>
                <w:szCs w:val="22"/>
              </w:rPr>
            </w:pPr>
            <w:r w:rsidRPr="00C660D6">
              <w:rPr>
                <w:szCs w:val="22"/>
              </w:rPr>
              <w:t xml:space="preserve"> </w:t>
            </w:r>
            <w:r>
              <w:rPr>
                <w:szCs w:val="22"/>
              </w:rPr>
              <w:t>filing date</w:t>
            </w:r>
          </w:p>
        </w:tc>
        <w:tc>
          <w:tcPr>
            <w:tcW w:w="3118" w:type="dxa"/>
            <w:shd w:val="clear" w:color="auto" w:fill="auto"/>
          </w:tcPr>
          <w:p w:rsidR="00845175" w:rsidRPr="00C660D6" w:rsidRDefault="00845175" w:rsidP="00245094">
            <w:pPr>
              <w:ind w:right="1309"/>
              <w:jc w:val="right"/>
              <w:rPr>
                <w:szCs w:val="22"/>
              </w:rPr>
            </w:pPr>
            <w:r>
              <w:rPr>
                <w:szCs w:val="22"/>
              </w:rPr>
              <w:t>5.7</w:t>
            </w:r>
          </w:p>
        </w:tc>
      </w:tr>
      <w:tr w:rsidR="00845175" w:rsidRPr="00C660D6" w:rsidTr="00845175">
        <w:trPr>
          <w:cantSplit/>
        </w:trPr>
        <w:tc>
          <w:tcPr>
            <w:tcW w:w="2518" w:type="dxa"/>
            <w:shd w:val="clear" w:color="auto" w:fill="auto"/>
          </w:tcPr>
          <w:p w:rsidR="00845175" w:rsidRPr="00C660D6" w:rsidRDefault="00845175" w:rsidP="00845175">
            <w:pPr>
              <w:rPr>
                <w:szCs w:val="22"/>
              </w:rPr>
            </w:pPr>
            <w:r w:rsidRPr="00C660D6">
              <w:rPr>
                <w:szCs w:val="22"/>
              </w:rPr>
              <w:t>To first examination</w:t>
            </w:r>
          </w:p>
        </w:tc>
        <w:tc>
          <w:tcPr>
            <w:tcW w:w="3402" w:type="dxa"/>
            <w:shd w:val="clear" w:color="auto" w:fill="auto"/>
          </w:tcPr>
          <w:p w:rsidR="00845175" w:rsidRPr="00C660D6" w:rsidRDefault="00845175" w:rsidP="00845175">
            <w:pPr>
              <w:rPr>
                <w:szCs w:val="22"/>
              </w:rPr>
            </w:pPr>
          </w:p>
        </w:tc>
        <w:tc>
          <w:tcPr>
            <w:tcW w:w="3118" w:type="dxa"/>
            <w:shd w:val="clear" w:color="auto" w:fill="auto"/>
          </w:tcPr>
          <w:p w:rsidR="00845175" w:rsidRPr="00C660D6" w:rsidRDefault="00845175" w:rsidP="00245094">
            <w:pPr>
              <w:ind w:right="1309"/>
              <w:jc w:val="right"/>
              <w:rPr>
                <w:szCs w:val="22"/>
              </w:rPr>
            </w:pPr>
          </w:p>
        </w:tc>
      </w:tr>
      <w:tr w:rsidR="00845175" w:rsidRPr="00C660D6" w:rsidTr="00845175">
        <w:trPr>
          <w:cantSplit/>
        </w:trPr>
        <w:tc>
          <w:tcPr>
            <w:tcW w:w="2518" w:type="dxa"/>
            <w:shd w:val="clear" w:color="auto" w:fill="auto"/>
          </w:tcPr>
          <w:p w:rsidR="00845175" w:rsidRPr="00C660D6" w:rsidRDefault="00845175" w:rsidP="00845175">
            <w:pPr>
              <w:rPr>
                <w:szCs w:val="22"/>
              </w:rPr>
            </w:pPr>
            <w:r w:rsidRPr="00C660D6">
              <w:rPr>
                <w:szCs w:val="22"/>
              </w:rPr>
              <w:t>To grant</w:t>
            </w:r>
          </w:p>
        </w:tc>
        <w:tc>
          <w:tcPr>
            <w:tcW w:w="3402" w:type="dxa"/>
            <w:shd w:val="clear" w:color="auto" w:fill="auto"/>
          </w:tcPr>
          <w:p w:rsidR="00845175" w:rsidRPr="00C660D6" w:rsidRDefault="00845175" w:rsidP="00845175">
            <w:pPr>
              <w:rPr>
                <w:szCs w:val="22"/>
              </w:rPr>
            </w:pPr>
            <w:r>
              <w:rPr>
                <w:szCs w:val="22"/>
              </w:rPr>
              <w:t>Formal check of examination request</w:t>
            </w:r>
          </w:p>
        </w:tc>
        <w:tc>
          <w:tcPr>
            <w:tcW w:w="3118" w:type="dxa"/>
            <w:shd w:val="clear" w:color="auto" w:fill="auto"/>
          </w:tcPr>
          <w:p w:rsidR="00845175" w:rsidRPr="00C660D6" w:rsidRDefault="00845175" w:rsidP="00245094">
            <w:pPr>
              <w:ind w:right="1309"/>
              <w:jc w:val="right"/>
              <w:rPr>
                <w:szCs w:val="22"/>
              </w:rPr>
            </w:pPr>
            <w:r>
              <w:rPr>
                <w:szCs w:val="22"/>
              </w:rPr>
              <w:t>28.9</w:t>
            </w:r>
          </w:p>
        </w:tc>
      </w:tr>
    </w:tbl>
    <w:p w:rsidR="00845175" w:rsidRPr="00297B24" w:rsidRDefault="00845175" w:rsidP="00845175">
      <w:pPr>
        <w:rPr>
          <w:szCs w:val="22"/>
        </w:rPr>
      </w:pPr>
    </w:p>
    <w:p w:rsidR="00845175" w:rsidRPr="00FA59EF" w:rsidRDefault="00845175" w:rsidP="00845175">
      <w:pPr>
        <w:keepNext/>
        <w:keepLines/>
        <w:shd w:val="clear" w:color="auto" w:fill="FFFFFF" w:themeFill="background1"/>
        <w:rPr>
          <w:b/>
          <w:bCs/>
          <w:szCs w:val="22"/>
        </w:rPr>
      </w:pPr>
      <w:r w:rsidRPr="009E7134">
        <w:rPr>
          <w:b/>
          <w:bCs/>
          <w:szCs w:val="22"/>
        </w:rPr>
        <w:t xml:space="preserve">National </w:t>
      </w:r>
      <w:r w:rsidR="00FA59EF">
        <w:rPr>
          <w:b/>
          <w:bCs/>
          <w:szCs w:val="22"/>
        </w:rPr>
        <w:t xml:space="preserve">workload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3"/>
        <w:gridCol w:w="3403"/>
      </w:tblGrid>
      <w:tr w:rsidR="00845175" w:rsidRPr="009E7134" w:rsidTr="00845175">
        <w:trPr>
          <w:cantSplit/>
        </w:trPr>
        <w:tc>
          <w:tcPr>
            <w:tcW w:w="4643" w:type="dxa"/>
            <w:shd w:val="clear" w:color="auto" w:fill="FFFFFF" w:themeFill="background1"/>
          </w:tcPr>
          <w:p w:rsidR="00845175" w:rsidRPr="009E7134" w:rsidRDefault="00845175" w:rsidP="00845175">
            <w:pPr>
              <w:keepNext/>
              <w:keepLines/>
              <w:shd w:val="clear" w:color="auto" w:fill="FFFFFF" w:themeFill="background1"/>
              <w:rPr>
                <w:b/>
                <w:bCs/>
                <w:szCs w:val="22"/>
              </w:rPr>
            </w:pPr>
            <w:r w:rsidRPr="009E7134">
              <w:rPr>
                <w:b/>
                <w:bCs/>
                <w:szCs w:val="22"/>
              </w:rPr>
              <w:t>Measure</w:t>
            </w:r>
          </w:p>
        </w:tc>
        <w:tc>
          <w:tcPr>
            <w:tcW w:w="3403" w:type="dxa"/>
            <w:shd w:val="clear" w:color="auto" w:fill="FFFFFF" w:themeFill="background1"/>
          </w:tcPr>
          <w:p w:rsidR="00845175" w:rsidRPr="009E7134" w:rsidRDefault="00845175" w:rsidP="00845175">
            <w:pPr>
              <w:keepNext/>
              <w:keepLines/>
              <w:shd w:val="clear" w:color="auto" w:fill="FFFFFF" w:themeFill="background1"/>
              <w:rPr>
                <w:b/>
                <w:bCs/>
                <w:szCs w:val="22"/>
              </w:rPr>
            </w:pPr>
            <w:r w:rsidRPr="009E7134">
              <w:rPr>
                <w:b/>
                <w:bCs/>
                <w:szCs w:val="22"/>
              </w:rPr>
              <w:t>Number of applications</w:t>
            </w:r>
          </w:p>
        </w:tc>
      </w:tr>
      <w:tr w:rsidR="00845175" w:rsidRPr="009E7134" w:rsidTr="00845175">
        <w:trPr>
          <w:cantSplit/>
        </w:trPr>
        <w:tc>
          <w:tcPr>
            <w:tcW w:w="4643" w:type="dxa"/>
            <w:shd w:val="clear" w:color="auto" w:fill="FFFFFF" w:themeFill="background1"/>
          </w:tcPr>
          <w:p w:rsidR="00845175" w:rsidRPr="009E7134" w:rsidRDefault="00845175" w:rsidP="00845175">
            <w:pPr>
              <w:keepNext/>
              <w:keepLines/>
              <w:shd w:val="clear" w:color="auto" w:fill="FFFFFF" w:themeFill="background1"/>
              <w:rPr>
                <w:szCs w:val="22"/>
              </w:rPr>
            </w:pPr>
            <w:r w:rsidRPr="009E7134">
              <w:rPr>
                <w:szCs w:val="22"/>
              </w:rPr>
              <w:t>All pending applications</w:t>
            </w:r>
          </w:p>
        </w:tc>
        <w:tc>
          <w:tcPr>
            <w:tcW w:w="3403" w:type="dxa"/>
            <w:shd w:val="clear" w:color="auto" w:fill="FFFFFF" w:themeFill="background1"/>
          </w:tcPr>
          <w:p w:rsidR="00845175" w:rsidRPr="009E7134" w:rsidRDefault="00845175" w:rsidP="00845175">
            <w:pPr>
              <w:keepNext/>
              <w:keepLines/>
              <w:shd w:val="clear" w:color="auto" w:fill="FFFFFF" w:themeFill="background1"/>
              <w:rPr>
                <w:szCs w:val="22"/>
              </w:rPr>
            </w:pPr>
            <w:r>
              <w:rPr>
                <w:szCs w:val="22"/>
              </w:rPr>
              <w:t>684,004 in 2015 (WIPO intellectual Property Indicators, 2016 - WIPO statistics database)</w:t>
            </w:r>
          </w:p>
        </w:tc>
      </w:tr>
      <w:tr w:rsidR="00845175" w:rsidRPr="009E7134" w:rsidTr="00845175">
        <w:trPr>
          <w:cantSplit/>
        </w:trPr>
        <w:tc>
          <w:tcPr>
            <w:tcW w:w="4643" w:type="dxa"/>
            <w:shd w:val="clear" w:color="auto" w:fill="FFFFFF" w:themeFill="background1"/>
          </w:tcPr>
          <w:p w:rsidR="00845175" w:rsidRPr="009E7134" w:rsidRDefault="00845175" w:rsidP="00845175">
            <w:pPr>
              <w:keepNext/>
              <w:keepLines/>
              <w:shd w:val="clear" w:color="auto" w:fill="FFFFFF" w:themeFill="background1"/>
              <w:rPr>
                <w:szCs w:val="22"/>
              </w:rPr>
            </w:pPr>
            <w:r w:rsidRPr="009E7134">
              <w:rPr>
                <w:szCs w:val="22"/>
              </w:rPr>
              <w:t>Applications awaiting search (where relevant fees paid)</w:t>
            </w:r>
          </w:p>
        </w:tc>
        <w:tc>
          <w:tcPr>
            <w:tcW w:w="3403" w:type="dxa"/>
            <w:shd w:val="clear" w:color="auto" w:fill="FFFFFF" w:themeFill="background1"/>
          </w:tcPr>
          <w:p w:rsidR="00845175" w:rsidRPr="009E7134" w:rsidRDefault="00845175" w:rsidP="00845175">
            <w:pPr>
              <w:keepNext/>
              <w:keepLines/>
              <w:shd w:val="clear" w:color="auto" w:fill="FFFFFF" w:themeFill="background1"/>
              <w:rPr>
                <w:szCs w:val="22"/>
              </w:rPr>
            </w:pPr>
            <w:r>
              <w:rPr>
                <w:szCs w:val="22"/>
              </w:rPr>
              <w:t>-</w:t>
            </w:r>
          </w:p>
        </w:tc>
      </w:tr>
      <w:tr w:rsidR="00845175" w:rsidRPr="00C660D6" w:rsidTr="00845175">
        <w:trPr>
          <w:cantSplit/>
        </w:trPr>
        <w:tc>
          <w:tcPr>
            <w:tcW w:w="4643" w:type="dxa"/>
            <w:shd w:val="clear" w:color="auto" w:fill="FFFFFF" w:themeFill="background1"/>
          </w:tcPr>
          <w:p w:rsidR="00845175" w:rsidRPr="00C660D6" w:rsidRDefault="00845175" w:rsidP="00845175">
            <w:pPr>
              <w:keepLines/>
              <w:shd w:val="clear" w:color="auto" w:fill="FFFFFF" w:themeFill="background1"/>
              <w:rPr>
                <w:szCs w:val="22"/>
              </w:rPr>
            </w:pPr>
            <w:r w:rsidRPr="009E7134">
              <w:rPr>
                <w:szCs w:val="22"/>
              </w:rPr>
              <w:t>Applications awaiting first examination (where relevant fees paid)</w:t>
            </w:r>
          </w:p>
        </w:tc>
        <w:tc>
          <w:tcPr>
            <w:tcW w:w="3403" w:type="dxa"/>
            <w:shd w:val="clear" w:color="auto" w:fill="FFFFFF" w:themeFill="background1"/>
          </w:tcPr>
          <w:p w:rsidR="00845175" w:rsidRPr="00C660D6" w:rsidRDefault="00845175" w:rsidP="00845175">
            <w:pPr>
              <w:shd w:val="clear" w:color="auto" w:fill="FFFFFF" w:themeFill="background1"/>
              <w:rPr>
                <w:szCs w:val="22"/>
              </w:rPr>
            </w:pPr>
            <w:r>
              <w:rPr>
                <w:szCs w:val="22"/>
              </w:rPr>
              <w:t>-</w:t>
            </w:r>
          </w:p>
        </w:tc>
      </w:tr>
    </w:tbl>
    <w:p w:rsidR="00AA5F79" w:rsidRDefault="00AA5F79" w:rsidP="00845175"/>
    <w:p w:rsidR="007D1FA3" w:rsidRPr="00845175" w:rsidRDefault="007D1FA3" w:rsidP="00845175"/>
    <w:p w:rsidR="00AA5F79" w:rsidRPr="00AA5F79" w:rsidRDefault="00845175" w:rsidP="00FA4CE0">
      <w:pPr>
        <w:pStyle w:val="Endofdocument-Annex"/>
      </w:pPr>
      <w:r>
        <w:t xml:space="preserve"> </w:t>
      </w:r>
      <w:r w:rsidR="00FA4CE0">
        <w:t>[End of Annex and of document]</w:t>
      </w:r>
    </w:p>
    <w:sectPr w:rsidR="00AA5F79" w:rsidRPr="00AA5F79" w:rsidSect="00FA1150">
      <w:headerReference w:type="default" r:id="rId12"/>
      <w:headerReference w:type="first" r:id="rId13"/>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9EF" w:rsidRDefault="00FA59EF">
      <w:r>
        <w:separator/>
      </w:r>
    </w:p>
  </w:endnote>
  <w:endnote w:type="continuationSeparator" w:id="0">
    <w:p w:rsidR="00FA59EF" w:rsidRDefault="00FA59EF" w:rsidP="003B38C1">
      <w:r>
        <w:separator/>
      </w:r>
    </w:p>
    <w:p w:rsidR="00FA59EF" w:rsidRPr="003B38C1" w:rsidRDefault="00FA59EF" w:rsidP="003B38C1">
      <w:pPr>
        <w:spacing w:after="60"/>
        <w:rPr>
          <w:sz w:val="17"/>
        </w:rPr>
      </w:pPr>
      <w:r>
        <w:rPr>
          <w:sz w:val="17"/>
        </w:rPr>
        <w:t>[Endnote continued from previous page]</w:t>
      </w:r>
    </w:p>
  </w:endnote>
  <w:endnote w:type="continuationNotice" w:id="1">
    <w:p w:rsidR="00FA59EF" w:rsidRPr="003B38C1" w:rsidRDefault="00FA59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9EF" w:rsidRDefault="00FA59EF">
      <w:r>
        <w:separator/>
      </w:r>
    </w:p>
  </w:footnote>
  <w:footnote w:type="continuationSeparator" w:id="0">
    <w:p w:rsidR="00FA59EF" w:rsidRDefault="00FA59EF" w:rsidP="008B60B2">
      <w:r>
        <w:separator/>
      </w:r>
    </w:p>
    <w:p w:rsidR="00FA59EF" w:rsidRPr="00ED77FB" w:rsidRDefault="00FA59EF" w:rsidP="008B60B2">
      <w:pPr>
        <w:spacing w:after="60"/>
        <w:rPr>
          <w:sz w:val="17"/>
          <w:szCs w:val="17"/>
        </w:rPr>
      </w:pPr>
      <w:r w:rsidRPr="00ED77FB">
        <w:rPr>
          <w:sz w:val="17"/>
          <w:szCs w:val="17"/>
        </w:rPr>
        <w:t>[Footnote continued from previous page]</w:t>
      </w:r>
    </w:p>
  </w:footnote>
  <w:footnote w:type="continuationNotice" w:id="1">
    <w:p w:rsidR="00FA59EF" w:rsidRPr="00ED77FB" w:rsidRDefault="00FA59EF" w:rsidP="008B60B2">
      <w:pPr>
        <w:spacing w:before="60"/>
        <w:jc w:val="right"/>
        <w:rPr>
          <w:sz w:val="17"/>
          <w:szCs w:val="17"/>
        </w:rPr>
      </w:pPr>
      <w:r w:rsidRPr="00ED77FB">
        <w:rPr>
          <w:sz w:val="17"/>
          <w:szCs w:val="17"/>
        </w:rPr>
        <w:t>[Footnote continued on next page]</w:t>
      </w:r>
    </w:p>
  </w:footnote>
  <w:footnote w:id="2">
    <w:p w:rsidR="00FA59EF" w:rsidRDefault="00FA59EF">
      <w:pPr>
        <w:pStyle w:val="FootnoteText"/>
      </w:pPr>
      <w:r>
        <w:rPr>
          <w:rStyle w:val="FootnoteReference"/>
        </w:rPr>
        <w:footnoteRef/>
      </w:r>
      <w:r>
        <w:t xml:space="preserve"> </w:t>
      </w:r>
      <w:r>
        <w:tab/>
        <w:t xml:space="preserve">Available from the WIPO website at </w:t>
      </w:r>
      <w:hyperlink r:id="rId1" w:history="1">
        <w:r w:rsidRPr="00F526A6">
          <w:rPr>
            <w:rStyle w:val="Hyperlink"/>
          </w:rPr>
          <w:t>http://www.wipo.int/pct/en/quality/authorities.html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EF" w:rsidRDefault="00FA59EF" w:rsidP="00477D6B">
    <w:pPr>
      <w:jc w:val="right"/>
    </w:pPr>
    <w:bookmarkStart w:id="5" w:name="Code2"/>
    <w:bookmarkEnd w:id="5"/>
    <w:r>
      <w:t>PCT/CTC/30/10</w:t>
    </w:r>
  </w:p>
  <w:p w:rsidR="00FA59EF" w:rsidRDefault="00FA59EF"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9</w:t>
    </w:r>
    <w:r>
      <w:fldChar w:fldCharType="end"/>
    </w:r>
  </w:p>
  <w:p w:rsidR="00FA59EF" w:rsidRDefault="00FA59E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EF" w:rsidRPr="00AA5F79" w:rsidRDefault="00FA59EF" w:rsidP="00477D6B">
    <w:pPr>
      <w:jc w:val="right"/>
      <w:rPr>
        <w:lang w:val="fr-FR"/>
      </w:rPr>
    </w:pPr>
    <w:r w:rsidRPr="00AA5F79">
      <w:rPr>
        <w:lang w:val="fr-FR"/>
      </w:rPr>
      <w:t>PCT/CTC/30</w:t>
    </w:r>
    <w:r>
      <w:rPr>
        <w:lang w:val="fr-FR"/>
      </w:rPr>
      <w:t>/10</w:t>
    </w:r>
  </w:p>
  <w:p w:rsidR="00FA59EF" w:rsidRPr="00AA5F79" w:rsidRDefault="00FA59EF" w:rsidP="00477D6B">
    <w:pPr>
      <w:jc w:val="right"/>
      <w:rPr>
        <w:lang w:val="fr-FR"/>
      </w:rPr>
    </w:pPr>
    <w:proofErr w:type="spellStart"/>
    <w:r w:rsidRPr="00AA5F79">
      <w:rPr>
        <w:lang w:val="fr-FR"/>
      </w:rPr>
      <w:t>Annex</w:t>
    </w:r>
    <w:proofErr w:type="spellEnd"/>
    <w:r w:rsidRPr="00AA5F79">
      <w:rPr>
        <w:lang w:val="fr-FR"/>
      </w:rPr>
      <w:t xml:space="preserve">, page </w:t>
    </w:r>
    <w:r>
      <w:fldChar w:fldCharType="begin"/>
    </w:r>
    <w:r w:rsidRPr="00AA5F79">
      <w:rPr>
        <w:lang w:val="fr-FR"/>
      </w:rPr>
      <w:instrText xml:space="preserve"> PAGE  \* MERGEFORMAT </w:instrText>
    </w:r>
    <w:r>
      <w:fldChar w:fldCharType="separate"/>
    </w:r>
    <w:r w:rsidR="000A2AA3">
      <w:rPr>
        <w:noProof/>
        <w:lang w:val="fr-FR"/>
      </w:rPr>
      <w:t>5</w:t>
    </w:r>
    <w:r>
      <w:fldChar w:fldCharType="end"/>
    </w:r>
  </w:p>
  <w:p w:rsidR="00FA59EF" w:rsidRPr="00AA5F79" w:rsidRDefault="00FA59EF" w:rsidP="00477D6B">
    <w:pPr>
      <w:jc w:val="right"/>
      <w:rPr>
        <w:lang w:val="fr-FR"/>
      </w:rPr>
    </w:pPr>
  </w:p>
  <w:p w:rsidR="00FA59EF" w:rsidRDefault="00FA59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9EF" w:rsidRDefault="00FA59EF" w:rsidP="00AA5F79">
    <w:pPr>
      <w:pStyle w:val="Header"/>
      <w:jc w:val="right"/>
    </w:pPr>
    <w:r>
      <w:t>PCT/CTC/30/10</w:t>
    </w:r>
  </w:p>
  <w:p w:rsidR="00FA59EF" w:rsidRDefault="00FA59EF" w:rsidP="00AA5F79">
    <w:pPr>
      <w:pStyle w:val="Header"/>
      <w:jc w:val="right"/>
    </w:pPr>
    <w:r>
      <w:t>ANNEX</w:t>
    </w:r>
  </w:p>
  <w:p w:rsidR="00FA59EF" w:rsidRDefault="00FA5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24AB36"/>
    <w:lvl w:ilvl="0">
      <w:start w:val="1"/>
      <w:numFmt w:val="decimal"/>
      <w:lvlText w:val="%1."/>
      <w:lvlJc w:val="left"/>
      <w:pPr>
        <w:tabs>
          <w:tab w:val="num" w:pos="1492"/>
        </w:tabs>
        <w:ind w:left="1492" w:hanging="360"/>
      </w:pPr>
    </w:lvl>
  </w:abstractNum>
  <w:abstractNum w:abstractNumId="1">
    <w:nsid w:val="FFFFFF7D"/>
    <w:multiLevelType w:val="singleLevel"/>
    <w:tmpl w:val="54280B3E"/>
    <w:lvl w:ilvl="0">
      <w:start w:val="1"/>
      <w:numFmt w:val="decimal"/>
      <w:lvlText w:val="%1."/>
      <w:lvlJc w:val="left"/>
      <w:pPr>
        <w:tabs>
          <w:tab w:val="num" w:pos="1209"/>
        </w:tabs>
        <w:ind w:left="1209" w:hanging="360"/>
      </w:pPr>
    </w:lvl>
  </w:abstractNum>
  <w:abstractNum w:abstractNumId="2">
    <w:nsid w:val="FFFFFF7E"/>
    <w:multiLevelType w:val="singleLevel"/>
    <w:tmpl w:val="7A92CF6E"/>
    <w:lvl w:ilvl="0">
      <w:start w:val="1"/>
      <w:numFmt w:val="decimal"/>
      <w:lvlText w:val="%1."/>
      <w:lvlJc w:val="left"/>
      <w:pPr>
        <w:tabs>
          <w:tab w:val="num" w:pos="926"/>
        </w:tabs>
        <w:ind w:left="926" w:hanging="360"/>
      </w:pPr>
    </w:lvl>
  </w:abstractNum>
  <w:abstractNum w:abstractNumId="3">
    <w:nsid w:val="FFFFFF7F"/>
    <w:multiLevelType w:val="singleLevel"/>
    <w:tmpl w:val="59220224"/>
    <w:lvl w:ilvl="0">
      <w:start w:val="1"/>
      <w:numFmt w:val="decimal"/>
      <w:lvlText w:val="%1."/>
      <w:lvlJc w:val="left"/>
      <w:pPr>
        <w:tabs>
          <w:tab w:val="num" w:pos="643"/>
        </w:tabs>
        <w:ind w:left="643" w:hanging="360"/>
      </w:pPr>
    </w:lvl>
  </w:abstractNum>
  <w:abstractNum w:abstractNumId="4">
    <w:nsid w:val="FFFFFF80"/>
    <w:multiLevelType w:val="singleLevel"/>
    <w:tmpl w:val="F24E38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56A9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DE70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1AD2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BE38E990"/>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51A2126"/>
    <w:multiLevelType w:val="hybridMultilevel"/>
    <w:tmpl w:val="A61AC6C8"/>
    <w:lvl w:ilvl="0" w:tplc="94F61C30">
      <w:start w:val="1"/>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8"/>
  </w:num>
  <w:num w:numId="4">
    <w:abstractNumId w:val="15"/>
  </w:num>
  <w:num w:numId="5">
    <w:abstractNumId w:val="10"/>
  </w:num>
  <w:num w:numId="6">
    <w:abstractNumId w:val="12"/>
  </w:num>
  <w:num w:numId="7">
    <w:abstractNumId w:val="13"/>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1582"/>
    <w:rsid w:val="0002705D"/>
    <w:rsid w:val="00043CAA"/>
    <w:rsid w:val="00075432"/>
    <w:rsid w:val="00084D4F"/>
    <w:rsid w:val="000968ED"/>
    <w:rsid w:val="000A2AA3"/>
    <w:rsid w:val="000F5E56"/>
    <w:rsid w:val="001362EE"/>
    <w:rsid w:val="001832A6"/>
    <w:rsid w:val="00195650"/>
    <w:rsid w:val="0021217E"/>
    <w:rsid w:val="00245094"/>
    <w:rsid w:val="002634C4"/>
    <w:rsid w:val="002928D3"/>
    <w:rsid w:val="002F1FE6"/>
    <w:rsid w:val="002F4E68"/>
    <w:rsid w:val="00312F7F"/>
    <w:rsid w:val="0035027E"/>
    <w:rsid w:val="00361450"/>
    <w:rsid w:val="003673CF"/>
    <w:rsid w:val="003845C1"/>
    <w:rsid w:val="003A6F89"/>
    <w:rsid w:val="003B38C1"/>
    <w:rsid w:val="00423E3E"/>
    <w:rsid w:val="00427AF4"/>
    <w:rsid w:val="004647DA"/>
    <w:rsid w:val="00474062"/>
    <w:rsid w:val="0047526F"/>
    <w:rsid w:val="00477D6B"/>
    <w:rsid w:val="004F74E6"/>
    <w:rsid w:val="005019FF"/>
    <w:rsid w:val="0053057A"/>
    <w:rsid w:val="00560A29"/>
    <w:rsid w:val="005C40A3"/>
    <w:rsid w:val="005C6649"/>
    <w:rsid w:val="00605827"/>
    <w:rsid w:val="00646050"/>
    <w:rsid w:val="006713CA"/>
    <w:rsid w:val="00676C5C"/>
    <w:rsid w:val="006A2EF2"/>
    <w:rsid w:val="0072168B"/>
    <w:rsid w:val="007D1613"/>
    <w:rsid w:val="007D1FA3"/>
    <w:rsid w:val="007E4C0E"/>
    <w:rsid w:val="00837953"/>
    <w:rsid w:val="00845175"/>
    <w:rsid w:val="008854D6"/>
    <w:rsid w:val="008B2CC1"/>
    <w:rsid w:val="008B50A2"/>
    <w:rsid w:val="008B60B2"/>
    <w:rsid w:val="008C5A0F"/>
    <w:rsid w:val="008D0B53"/>
    <w:rsid w:val="0090731E"/>
    <w:rsid w:val="00913100"/>
    <w:rsid w:val="00916EE2"/>
    <w:rsid w:val="00966A22"/>
    <w:rsid w:val="0096722F"/>
    <w:rsid w:val="00980843"/>
    <w:rsid w:val="009E2791"/>
    <w:rsid w:val="009E3F6F"/>
    <w:rsid w:val="009F499F"/>
    <w:rsid w:val="00A42DAF"/>
    <w:rsid w:val="00A45BD8"/>
    <w:rsid w:val="00A869B7"/>
    <w:rsid w:val="00A93FC2"/>
    <w:rsid w:val="00AA5F79"/>
    <w:rsid w:val="00AC205C"/>
    <w:rsid w:val="00AF0A6B"/>
    <w:rsid w:val="00B05A69"/>
    <w:rsid w:val="00B9734B"/>
    <w:rsid w:val="00BA30E2"/>
    <w:rsid w:val="00BD078D"/>
    <w:rsid w:val="00C11BFE"/>
    <w:rsid w:val="00C37C03"/>
    <w:rsid w:val="00C5068F"/>
    <w:rsid w:val="00C650A4"/>
    <w:rsid w:val="00CD04F1"/>
    <w:rsid w:val="00D45252"/>
    <w:rsid w:val="00D71B4D"/>
    <w:rsid w:val="00D93D55"/>
    <w:rsid w:val="00E15015"/>
    <w:rsid w:val="00E335FE"/>
    <w:rsid w:val="00E82D0C"/>
    <w:rsid w:val="00EC4E49"/>
    <w:rsid w:val="00ED77FB"/>
    <w:rsid w:val="00EE45FA"/>
    <w:rsid w:val="00F526A6"/>
    <w:rsid w:val="00F66152"/>
    <w:rsid w:val="00FA1150"/>
    <w:rsid w:val="00FA4CE0"/>
    <w:rsid w:val="00FA59EF"/>
    <w:rsid w:val="00FD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FA3"/>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7D1FA3"/>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FootnoteReference">
    <w:name w:val="footnote reference"/>
    <w:basedOn w:val="DefaultParagraphFont"/>
    <w:rsid w:val="00845175"/>
    <w:rPr>
      <w:vertAlign w:val="superscript"/>
    </w:rPr>
  </w:style>
  <w:style w:type="character" w:customStyle="1" w:styleId="InsertedText">
    <w:name w:val="Inserted Text"/>
    <w:qFormat/>
    <w:rsid w:val="00845175"/>
    <w:rPr>
      <w:color w:val="0000FF"/>
      <w:u w:val="single"/>
    </w:rPr>
  </w:style>
  <w:style w:type="paragraph" w:customStyle="1" w:styleId="Default">
    <w:name w:val="Default"/>
    <w:rsid w:val="00845175"/>
    <w:pPr>
      <w:autoSpaceDE w:val="0"/>
      <w:autoSpaceDN w:val="0"/>
      <w:adjustRightInd w:val="0"/>
    </w:pPr>
    <w:rPr>
      <w:color w:val="000000"/>
      <w:sz w:val="24"/>
      <w:szCs w:val="24"/>
      <w:lang w:val="en-AU" w:eastAsia="en-AU"/>
    </w:rPr>
  </w:style>
  <w:style w:type="character" w:customStyle="1" w:styleId="FootnoteTextChar">
    <w:name w:val="Footnote Text Char"/>
    <w:basedOn w:val="DefaultParagraphFont"/>
    <w:link w:val="FootnoteText"/>
    <w:semiHidden/>
    <w:rsid w:val="007D1FA3"/>
    <w:rPr>
      <w:rFonts w:ascii="Arial" w:eastAsia="SimSun" w:hAnsi="Arial" w:cs="Arial"/>
      <w:lang w:eastAsia="zh-CN"/>
    </w:rPr>
  </w:style>
  <w:style w:type="paragraph" w:customStyle="1" w:styleId="SectionHeading">
    <w:name w:val="Section Heading"/>
    <w:basedOn w:val="Heading1"/>
    <w:link w:val="SectionHeadingChar"/>
    <w:qFormat/>
    <w:rsid w:val="00845175"/>
    <w:pPr>
      <w:pBdr>
        <w:top w:val="single" w:sz="4" w:space="1" w:color="auto"/>
        <w:bottom w:val="single" w:sz="4" w:space="1" w:color="auto"/>
      </w:pBdr>
      <w:spacing w:before="360" w:after="200"/>
    </w:pPr>
  </w:style>
  <w:style w:type="character" w:customStyle="1" w:styleId="SectionHeadingChar">
    <w:name w:val="Section Heading Char"/>
    <w:basedOn w:val="DefaultParagraphFont"/>
    <w:link w:val="SectionHeading"/>
    <w:rsid w:val="00845175"/>
    <w:rPr>
      <w:rFonts w:ascii="Arial" w:eastAsia="SimSun" w:hAnsi="Arial" w:cs="Arial"/>
      <w:b/>
      <w:bCs/>
      <w:caps/>
      <w:kern w:val="32"/>
      <w:sz w:val="22"/>
      <w:szCs w:val="32"/>
      <w:lang w:eastAsia="zh-CN"/>
    </w:rPr>
  </w:style>
  <w:style w:type="paragraph" w:styleId="ListParagraph">
    <w:name w:val="List Paragraph"/>
    <w:basedOn w:val="Normal"/>
    <w:uiPriority w:val="34"/>
    <w:qFormat/>
    <w:rsid w:val="00845175"/>
    <w:pPr>
      <w:ind w:left="720"/>
      <w:contextualSpacing/>
    </w:pPr>
  </w:style>
  <w:style w:type="character" w:styleId="Hyperlink">
    <w:name w:val="Hyperlink"/>
    <w:basedOn w:val="DefaultParagraphFont"/>
    <w:rsid w:val="00F526A6"/>
    <w:rPr>
      <w:color w:val="auto"/>
      <w:u w:val="none"/>
    </w:rPr>
  </w:style>
  <w:style w:type="character" w:customStyle="1" w:styleId="BodyTextChar">
    <w:name w:val="Body Text Char"/>
    <w:basedOn w:val="DefaultParagraphFont"/>
    <w:link w:val="BodyText"/>
    <w:rsid w:val="00845175"/>
    <w:rPr>
      <w:rFonts w:ascii="Arial" w:eastAsia="SimSun" w:hAnsi="Arial" w:cs="Arial"/>
      <w:sz w:val="22"/>
      <w:lang w:eastAsia="zh-CN"/>
    </w:rPr>
  </w:style>
  <w:style w:type="character" w:customStyle="1" w:styleId="CommentTextChar">
    <w:name w:val="Comment Text Char"/>
    <w:basedOn w:val="DefaultParagraphFont"/>
    <w:link w:val="CommentText"/>
    <w:semiHidden/>
    <w:rsid w:val="00845175"/>
    <w:rPr>
      <w:rFonts w:ascii="Arial" w:eastAsia="SimSun" w:hAnsi="Arial" w:cs="Arial"/>
      <w:sz w:val="18"/>
      <w:lang w:eastAsia="zh-CN"/>
    </w:rPr>
  </w:style>
  <w:style w:type="table" w:styleId="TableGrid">
    <w:name w:val="Table Grid"/>
    <w:basedOn w:val="TableNormal"/>
    <w:rsid w:val="00FA59EF"/>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FA3"/>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7D1FA3"/>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FootnoteReference">
    <w:name w:val="footnote reference"/>
    <w:basedOn w:val="DefaultParagraphFont"/>
    <w:rsid w:val="00845175"/>
    <w:rPr>
      <w:vertAlign w:val="superscript"/>
    </w:rPr>
  </w:style>
  <w:style w:type="character" w:customStyle="1" w:styleId="InsertedText">
    <w:name w:val="Inserted Text"/>
    <w:qFormat/>
    <w:rsid w:val="00845175"/>
    <w:rPr>
      <w:color w:val="0000FF"/>
      <w:u w:val="single"/>
    </w:rPr>
  </w:style>
  <w:style w:type="paragraph" w:customStyle="1" w:styleId="Default">
    <w:name w:val="Default"/>
    <w:rsid w:val="00845175"/>
    <w:pPr>
      <w:autoSpaceDE w:val="0"/>
      <w:autoSpaceDN w:val="0"/>
      <w:adjustRightInd w:val="0"/>
    </w:pPr>
    <w:rPr>
      <w:color w:val="000000"/>
      <w:sz w:val="24"/>
      <w:szCs w:val="24"/>
      <w:lang w:val="en-AU" w:eastAsia="en-AU"/>
    </w:rPr>
  </w:style>
  <w:style w:type="character" w:customStyle="1" w:styleId="FootnoteTextChar">
    <w:name w:val="Footnote Text Char"/>
    <w:basedOn w:val="DefaultParagraphFont"/>
    <w:link w:val="FootnoteText"/>
    <w:semiHidden/>
    <w:rsid w:val="007D1FA3"/>
    <w:rPr>
      <w:rFonts w:ascii="Arial" w:eastAsia="SimSun" w:hAnsi="Arial" w:cs="Arial"/>
      <w:lang w:eastAsia="zh-CN"/>
    </w:rPr>
  </w:style>
  <w:style w:type="paragraph" w:customStyle="1" w:styleId="SectionHeading">
    <w:name w:val="Section Heading"/>
    <w:basedOn w:val="Heading1"/>
    <w:link w:val="SectionHeadingChar"/>
    <w:qFormat/>
    <w:rsid w:val="00845175"/>
    <w:pPr>
      <w:pBdr>
        <w:top w:val="single" w:sz="4" w:space="1" w:color="auto"/>
        <w:bottom w:val="single" w:sz="4" w:space="1" w:color="auto"/>
      </w:pBdr>
      <w:spacing w:before="360" w:after="200"/>
    </w:pPr>
  </w:style>
  <w:style w:type="character" w:customStyle="1" w:styleId="SectionHeadingChar">
    <w:name w:val="Section Heading Char"/>
    <w:basedOn w:val="DefaultParagraphFont"/>
    <w:link w:val="SectionHeading"/>
    <w:rsid w:val="00845175"/>
    <w:rPr>
      <w:rFonts w:ascii="Arial" w:eastAsia="SimSun" w:hAnsi="Arial" w:cs="Arial"/>
      <w:b/>
      <w:bCs/>
      <w:caps/>
      <w:kern w:val="32"/>
      <w:sz w:val="22"/>
      <w:szCs w:val="32"/>
      <w:lang w:eastAsia="zh-CN"/>
    </w:rPr>
  </w:style>
  <w:style w:type="paragraph" w:styleId="ListParagraph">
    <w:name w:val="List Paragraph"/>
    <w:basedOn w:val="Normal"/>
    <w:uiPriority w:val="34"/>
    <w:qFormat/>
    <w:rsid w:val="00845175"/>
    <w:pPr>
      <w:ind w:left="720"/>
      <w:contextualSpacing/>
    </w:pPr>
  </w:style>
  <w:style w:type="character" w:styleId="Hyperlink">
    <w:name w:val="Hyperlink"/>
    <w:basedOn w:val="DefaultParagraphFont"/>
    <w:rsid w:val="00F526A6"/>
    <w:rPr>
      <w:color w:val="auto"/>
      <w:u w:val="none"/>
    </w:rPr>
  </w:style>
  <w:style w:type="character" w:customStyle="1" w:styleId="BodyTextChar">
    <w:name w:val="Body Text Char"/>
    <w:basedOn w:val="DefaultParagraphFont"/>
    <w:link w:val="BodyText"/>
    <w:rsid w:val="00845175"/>
    <w:rPr>
      <w:rFonts w:ascii="Arial" w:eastAsia="SimSun" w:hAnsi="Arial" w:cs="Arial"/>
      <w:sz w:val="22"/>
      <w:lang w:eastAsia="zh-CN"/>
    </w:rPr>
  </w:style>
  <w:style w:type="character" w:customStyle="1" w:styleId="CommentTextChar">
    <w:name w:val="Comment Text Char"/>
    <w:basedOn w:val="DefaultParagraphFont"/>
    <w:link w:val="CommentText"/>
    <w:semiHidden/>
    <w:rsid w:val="00845175"/>
    <w:rPr>
      <w:rFonts w:ascii="Arial" w:eastAsia="SimSun" w:hAnsi="Arial" w:cs="Arial"/>
      <w:sz w:val="18"/>
      <w:lang w:eastAsia="zh-CN"/>
    </w:rPr>
  </w:style>
  <w:style w:type="table" w:styleId="TableGrid">
    <w:name w:val="Table Grid"/>
    <w:basedOn w:val="TableNormal"/>
    <w:rsid w:val="00FA59EF"/>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69688">
      <w:bodyDiv w:val="1"/>
      <w:marLeft w:val="0"/>
      <w:marRight w:val="0"/>
      <w:marTop w:val="0"/>
      <w:marBottom w:val="0"/>
      <w:divBdr>
        <w:top w:val="none" w:sz="0" w:space="0" w:color="auto"/>
        <w:left w:val="none" w:sz="0" w:space="0" w:color="auto"/>
        <w:bottom w:val="none" w:sz="0" w:space="0" w:color="auto"/>
        <w:right w:val="none" w:sz="0" w:space="0" w:color="auto"/>
      </w:divBdr>
    </w:div>
    <w:div w:id="10864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pct/en/quality/authoriti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E74B0-39B7-47FD-B5F6-9473FC34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Template>
  <TotalTime>111</TotalTime>
  <Pages>7</Pages>
  <Words>1991</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PCT/CTC/30/</vt:lpstr>
    </vt:vector>
  </TitlesOfParts>
  <Company>WIPO</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PCT/CTC/30/10</dc:title>
  <dc:subject>Extension of Appointment of the European Patent Office as an International Searching and Preliminary Examining Authority Under the PCT</dc:subject>
  <dc:creator>MARLOW Thomas</dc:creator>
  <cp:lastModifiedBy>MARLOW Thomas</cp:lastModifiedBy>
  <cp:revision>13</cp:revision>
  <cp:lastPrinted>2017-02-28T14:25:00Z</cp:lastPrinted>
  <dcterms:created xsi:type="dcterms:W3CDTF">2017-03-13T13:54:00Z</dcterms:created>
  <dcterms:modified xsi:type="dcterms:W3CDTF">2017-03-29T16:53:00Z</dcterms:modified>
</cp:coreProperties>
</file>