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1E3F88">
            <w:pPr>
              <w:pStyle w:val="DocumentCodeAR"/>
              <w:bidi/>
              <w:rPr>
                <w:rtl/>
              </w:rPr>
            </w:pPr>
            <w:r>
              <w:t>PCT</w:t>
            </w:r>
            <w:r w:rsidR="00772E46">
              <w:t>/</w:t>
            </w:r>
            <w:r w:rsidR="00C742C5">
              <w:t>WG</w:t>
            </w:r>
            <w:r w:rsidR="00100F97">
              <w:t>/</w:t>
            </w:r>
            <w:r w:rsidR="001E3F88">
              <w:t>9</w:t>
            </w:r>
            <w:r w:rsidR="00821BC9">
              <w:t>/6</w:t>
            </w:r>
          </w:p>
        </w:tc>
      </w:tr>
      <w:tr w:rsidR="001667B6" w:rsidTr="00BF164F">
        <w:tc>
          <w:tcPr>
            <w:tcW w:w="9571" w:type="dxa"/>
            <w:gridSpan w:val="3"/>
          </w:tcPr>
          <w:p w:rsidR="001667B6" w:rsidRPr="00B6101C" w:rsidRDefault="00B6101C" w:rsidP="00821BC9">
            <w:pPr>
              <w:pStyle w:val="DocumentLanguageAR"/>
              <w:bidi/>
              <w:rPr>
                <w:rtl/>
              </w:rPr>
            </w:pPr>
            <w:r w:rsidRPr="00B6101C">
              <w:rPr>
                <w:rFonts w:hint="cs"/>
                <w:rtl/>
              </w:rPr>
              <w:t xml:space="preserve">الأصل: </w:t>
            </w:r>
            <w:r w:rsidR="00821BC9">
              <w:rPr>
                <w:rFonts w:hint="cs"/>
                <w:rtl/>
              </w:rPr>
              <w:t>بالإنكليزية</w:t>
            </w:r>
          </w:p>
        </w:tc>
      </w:tr>
      <w:tr w:rsidR="001667B6" w:rsidTr="00BF164F">
        <w:tc>
          <w:tcPr>
            <w:tcW w:w="9571" w:type="dxa"/>
            <w:gridSpan w:val="3"/>
          </w:tcPr>
          <w:p w:rsidR="001667B6" w:rsidRPr="00B6101C" w:rsidRDefault="00B6101C" w:rsidP="00821BC9">
            <w:pPr>
              <w:pStyle w:val="DocumentDateAR"/>
              <w:bidi/>
              <w:rPr>
                <w:rtl/>
              </w:rPr>
            </w:pPr>
            <w:r w:rsidRPr="00B6101C">
              <w:rPr>
                <w:rFonts w:hint="cs"/>
                <w:rtl/>
              </w:rPr>
              <w:t xml:space="preserve">التاريخ: </w:t>
            </w:r>
            <w:r w:rsidR="00821BC9">
              <w:rPr>
                <w:rFonts w:hint="cs"/>
                <w:rtl/>
              </w:rPr>
              <w:t>26</w:t>
            </w:r>
            <w:r w:rsidRPr="00B6101C">
              <w:rPr>
                <w:rFonts w:hint="cs"/>
                <w:rtl/>
              </w:rPr>
              <w:t xml:space="preserve"> </w:t>
            </w:r>
            <w:r w:rsidR="00821BC9">
              <w:rPr>
                <w:rFonts w:hint="cs"/>
                <w:rtl/>
              </w:rPr>
              <w:t>فبراير</w:t>
            </w:r>
            <w:r w:rsidRPr="00B6101C">
              <w:rPr>
                <w:rFonts w:hint="cs"/>
                <w:rtl/>
              </w:rPr>
              <w:t xml:space="preserve"> </w:t>
            </w:r>
            <w:r w:rsidR="005C64F7">
              <w:rPr>
                <w:rFonts w:hint="cs"/>
                <w:rtl/>
              </w:rPr>
              <w:t>201</w:t>
            </w:r>
            <w:r w:rsidR="001E3F88">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Pr>
      </w:pPr>
    </w:p>
    <w:p w:rsidR="001667B6" w:rsidRPr="00783D11" w:rsidRDefault="00F27305" w:rsidP="001E3F88">
      <w:pPr>
        <w:pStyle w:val="MeetingSessionAR"/>
        <w:bidi/>
        <w:rPr>
          <w:rFonts w:ascii="Cambria Math" w:hAnsi="Cambria Math"/>
          <w:rtl/>
        </w:rPr>
      </w:pPr>
      <w:r w:rsidRPr="00783D11">
        <w:rPr>
          <w:rFonts w:ascii="Cambria Math" w:hAnsi="Cambria Math"/>
          <w:rtl/>
        </w:rPr>
        <w:t xml:space="preserve">الدورة </w:t>
      </w:r>
      <w:r w:rsidR="001E3F88">
        <w:rPr>
          <w:rFonts w:ascii="Cambria Math" w:hAnsi="Cambria Math" w:hint="cs"/>
          <w:rtl/>
        </w:rPr>
        <w:t>التاسعة</w:t>
      </w:r>
    </w:p>
    <w:p w:rsidR="00D61541" w:rsidRPr="00D61541" w:rsidRDefault="00D61541" w:rsidP="00D07291">
      <w:pPr>
        <w:pStyle w:val="MeetingDatesAR"/>
        <w:bidi/>
        <w:rPr>
          <w:rtl/>
        </w:rPr>
      </w:pPr>
      <w:r w:rsidRPr="00D61541">
        <w:rPr>
          <w:rFonts w:hint="cs"/>
          <w:rtl/>
        </w:rPr>
        <w:t xml:space="preserve">جنيف، من </w:t>
      </w:r>
      <w:r w:rsidR="00D07291">
        <w:rPr>
          <w:rFonts w:hint="cs"/>
          <w:rtl/>
        </w:rPr>
        <w:t>17</w:t>
      </w:r>
      <w:r w:rsidR="00C742C5">
        <w:rPr>
          <w:rFonts w:hint="cs"/>
          <w:rtl/>
        </w:rPr>
        <w:t xml:space="preserve"> إلى </w:t>
      </w:r>
      <w:r w:rsidR="00D07291">
        <w:rPr>
          <w:rFonts w:hint="cs"/>
          <w:rtl/>
        </w:rPr>
        <w:t>20 مايو</w:t>
      </w:r>
      <w:r w:rsidR="00C742C5">
        <w:rPr>
          <w:rFonts w:hint="cs"/>
          <w:rtl/>
        </w:rPr>
        <w:t xml:space="preserve"> </w:t>
      </w:r>
      <w:r w:rsidR="005C64F7">
        <w:rPr>
          <w:rFonts w:hint="cs"/>
          <w:rtl/>
        </w:rPr>
        <w:t>201</w:t>
      </w:r>
      <w:r w:rsidR="00D07291">
        <w:rPr>
          <w:rFonts w:hint="cs"/>
          <w:rtl/>
        </w:rPr>
        <w:t>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711A4A" w:rsidP="00711A4A">
      <w:pPr>
        <w:pStyle w:val="DocumentTitleAR"/>
        <w:bidi/>
        <w:rPr>
          <w:rtl/>
        </w:rPr>
      </w:pPr>
      <w:r>
        <w:rPr>
          <w:rFonts w:hint="cs"/>
          <w:rtl/>
        </w:rPr>
        <w:t>ا</w:t>
      </w:r>
      <w:r w:rsidRPr="00711A4A">
        <w:rPr>
          <w:rtl/>
        </w:rPr>
        <w:t xml:space="preserve">لتحسينات </w:t>
      </w:r>
      <w:r>
        <w:rPr>
          <w:rFonts w:hint="cs"/>
          <w:rtl/>
        </w:rPr>
        <w:t>الممكن</w:t>
      </w:r>
      <w:r w:rsidRPr="00711A4A">
        <w:rPr>
          <w:rtl/>
        </w:rPr>
        <w:t xml:space="preserve"> إدخالها</w:t>
      </w:r>
      <w:r>
        <w:rPr>
          <w:rtl/>
        </w:rPr>
        <w:t xml:space="preserve"> على نظام البحث </w:t>
      </w:r>
      <w:r w:rsidR="006B7A1E">
        <w:rPr>
          <w:rtl/>
        </w:rPr>
        <w:t>الإضافي الدولي</w:t>
      </w:r>
    </w:p>
    <w:p w:rsidR="00D61541" w:rsidRPr="00D61541" w:rsidRDefault="00711A4A"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5C64F7" w:rsidRPr="00711A4A" w:rsidRDefault="00711A4A" w:rsidP="00711A4A">
      <w:pPr>
        <w:pStyle w:val="NormalParaAR"/>
        <w:keepNext/>
        <w:rPr>
          <w:b/>
          <w:bCs/>
          <w:sz w:val="40"/>
          <w:szCs w:val="40"/>
          <w:rtl/>
        </w:rPr>
      </w:pPr>
      <w:r w:rsidRPr="00711A4A">
        <w:rPr>
          <w:rFonts w:hint="cs"/>
          <w:b/>
          <w:bCs/>
          <w:sz w:val="40"/>
          <w:szCs w:val="40"/>
          <w:rtl/>
        </w:rPr>
        <w:t>ملخص</w:t>
      </w:r>
    </w:p>
    <w:p w:rsidR="00711A4A" w:rsidRDefault="00711A4A" w:rsidP="00014239">
      <w:pPr>
        <w:pStyle w:val="NumberedParaAR"/>
      </w:pPr>
      <w:r>
        <w:rPr>
          <w:rFonts w:hint="cs"/>
          <w:rtl/>
        </w:rPr>
        <w:t xml:space="preserve">تناقش هذه الوثيقة التحسينات الممكن إدخالها على نظام البحث </w:t>
      </w:r>
      <w:r w:rsidR="006B7A1E">
        <w:rPr>
          <w:rFonts w:hint="cs"/>
          <w:rtl/>
        </w:rPr>
        <w:t>الإضافي الدولي</w:t>
      </w:r>
      <w:r>
        <w:rPr>
          <w:rFonts w:hint="cs"/>
          <w:rtl/>
        </w:rPr>
        <w:t xml:space="preserve"> استجابة لطلب قدمه الفريق العامل في دورته ال</w:t>
      </w:r>
      <w:r w:rsidR="00014239">
        <w:rPr>
          <w:rFonts w:hint="cs"/>
          <w:rtl/>
        </w:rPr>
        <w:t>ثامنة في عام</w:t>
      </w:r>
      <w:r w:rsidR="00014239">
        <w:rPr>
          <w:rFonts w:hint="eastAsia"/>
          <w:rtl/>
        </w:rPr>
        <w:t> </w:t>
      </w:r>
      <w:r w:rsidR="00014239">
        <w:rPr>
          <w:rFonts w:hint="cs"/>
          <w:rtl/>
        </w:rPr>
        <w:t xml:space="preserve">2015. وتقترح الوثيقة، تحديدا، إدخال التعديلين التاليين على اللائحة التنفيذية لمعاهدة التعاون بشأن البراءات بخصوص البحث </w:t>
      </w:r>
      <w:r w:rsidR="006B7A1E">
        <w:rPr>
          <w:rFonts w:hint="cs"/>
          <w:rtl/>
        </w:rPr>
        <w:t>الإضافي الدولي</w:t>
      </w:r>
      <w:r w:rsidR="00014239">
        <w:rPr>
          <w:rFonts w:hint="cs"/>
          <w:rtl/>
        </w:rPr>
        <w:t>:</w:t>
      </w:r>
    </w:p>
    <w:p w:rsidR="00014239" w:rsidRDefault="00091410" w:rsidP="003D1718">
      <w:pPr>
        <w:pStyle w:val="NumberedParaAR"/>
        <w:numPr>
          <w:ilvl w:val="0"/>
          <w:numId w:val="21"/>
        </w:numPr>
      </w:pPr>
      <w:r>
        <w:rPr>
          <w:rFonts w:hint="cs"/>
          <w:rtl/>
        </w:rPr>
        <w:t xml:space="preserve">تمديد </w:t>
      </w:r>
      <w:r w:rsidR="003D1718">
        <w:rPr>
          <w:rFonts w:hint="cs"/>
          <w:rtl/>
        </w:rPr>
        <w:t xml:space="preserve">المهلة </w:t>
      </w:r>
      <w:r w:rsidR="00140D36">
        <w:rPr>
          <w:rFonts w:hint="cs"/>
          <w:rtl/>
        </w:rPr>
        <w:t>المح</w:t>
      </w:r>
      <w:r w:rsidR="003D1718">
        <w:rPr>
          <w:rFonts w:hint="cs"/>
          <w:rtl/>
        </w:rPr>
        <w:t>دّدة ل</w:t>
      </w:r>
      <w:r w:rsidR="00A82125">
        <w:rPr>
          <w:rFonts w:hint="cs"/>
          <w:rtl/>
        </w:rPr>
        <w:t>التماس</w:t>
      </w:r>
      <w:r>
        <w:rPr>
          <w:rFonts w:hint="cs"/>
          <w:rtl/>
        </w:rPr>
        <w:t xml:space="preserve"> </w:t>
      </w:r>
      <w:r w:rsidR="00014239">
        <w:rPr>
          <w:rFonts w:hint="cs"/>
          <w:rtl/>
        </w:rPr>
        <w:t>بحث دولي إضافي من 19 إلى 22 شهرا اعتبارا من تاريخ الأولوية؛</w:t>
      </w:r>
    </w:p>
    <w:p w:rsidR="00014239" w:rsidRDefault="00014239" w:rsidP="00A33E05">
      <w:pPr>
        <w:pStyle w:val="NumberedParaAR"/>
        <w:numPr>
          <w:ilvl w:val="0"/>
          <w:numId w:val="21"/>
        </w:numPr>
      </w:pPr>
      <w:r>
        <w:rPr>
          <w:rFonts w:hint="cs"/>
          <w:rtl/>
        </w:rPr>
        <w:t xml:space="preserve">وتزويد الإدارة </w:t>
      </w:r>
      <w:r w:rsidR="00A33E05">
        <w:rPr>
          <w:rFonts w:hint="cs"/>
          <w:rtl/>
        </w:rPr>
        <w:t xml:space="preserve">المحدّدة لأغراض البحث الإضافي بإمكانية إصدار رأي مكتوب مع كل تقاريرها الخاصة بالبحث </w:t>
      </w:r>
      <w:r w:rsidR="006B7A1E">
        <w:rPr>
          <w:rFonts w:hint="cs"/>
          <w:rtl/>
        </w:rPr>
        <w:t>الإضافي الدولي</w:t>
      </w:r>
      <w:r w:rsidR="00A33E05">
        <w:rPr>
          <w:rFonts w:hint="cs"/>
          <w:rtl/>
        </w:rPr>
        <w:t>.</w:t>
      </w:r>
    </w:p>
    <w:p w:rsidR="00A33E05" w:rsidRPr="00A33E05" w:rsidRDefault="00A33E05" w:rsidP="00A33E05">
      <w:pPr>
        <w:pStyle w:val="NormalParaAR"/>
        <w:keepNext/>
        <w:rPr>
          <w:b/>
          <w:bCs/>
          <w:sz w:val="40"/>
          <w:szCs w:val="40"/>
          <w:rtl/>
        </w:rPr>
      </w:pPr>
      <w:r w:rsidRPr="00A33E05">
        <w:rPr>
          <w:rFonts w:hint="cs"/>
          <w:b/>
          <w:bCs/>
          <w:sz w:val="40"/>
          <w:szCs w:val="40"/>
          <w:rtl/>
        </w:rPr>
        <w:t>مقدمة</w:t>
      </w:r>
    </w:p>
    <w:p w:rsidR="00A33E05" w:rsidRDefault="00626D4B" w:rsidP="003D408D">
      <w:pPr>
        <w:pStyle w:val="NumberedParaAR"/>
      </w:pPr>
      <w:r>
        <w:rPr>
          <w:rFonts w:hint="cs"/>
          <w:rtl/>
        </w:rPr>
        <w:t>ناق</w:t>
      </w:r>
      <w:r w:rsidR="00A33E05">
        <w:rPr>
          <w:rFonts w:hint="cs"/>
          <w:rtl/>
        </w:rPr>
        <w:t>ش الفريق العامل، في دورته الثامنة المعقودة في مايو</w:t>
      </w:r>
      <w:r w:rsidR="00A33E05">
        <w:rPr>
          <w:rFonts w:hint="eastAsia"/>
          <w:rtl/>
        </w:rPr>
        <w:t> </w:t>
      </w:r>
      <w:r w:rsidR="00A33E05">
        <w:rPr>
          <w:rFonts w:hint="cs"/>
          <w:rtl/>
        </w:rPr>
        <w:t>2015، وثيقة (الوثيقة</w:t>
      </w:r>
      <w:r w:rsidR="00A33E05">
        <w:rPr>
          <w:rFonts w:hint="eastAsia"/>
          <w:rtl/>
        </w:rPr>
        <w:t> </w:t>
      </w:r>
      <w:r w:rsidR="00A33E05" w:rsidRPr="00A33E05">
        <w:t>PCT/WG/8/6</w:t>
      </w:r>
      <w:r w:rsidR="00A33E05">
        <w:rPr>
          <w:rFonts w:hint="cs"/>
          <w:rtl/>
        </w:rPr>
        <w:t xml:space="preserve">) تحضيرا لاستعراض نظام البحث </w:t>
      </w:r>
      <w:r w:rsidR="006B7A1E">
        <w:rPr>
          <w:rFonts w:hint="cs"/>
          <w:rtl/>
        </w:rPr>
        <w:t>الإضافي الدولي</w:t>
      </w:r>
      <w:r w:rsidR="00A33E05">
        <w:rPr>
          <w:rFonts w:hint="cs"/>
          <w:rtl/>
        </w:rPr>
        <w:t xml:space="preserve"> من قبل جمعية معاهدة التعاون بشأن البراءات في دورتها السابعة والأربعين في</w:t>
      </w:r>
      <w:r w:rsidR="00A33E05">
        <w:rPr>
          <w:rFonts w:hint="eastAsia"/>
          <w:rtl/>
        </w:rPr>
        <w:t> </w:t>
      </w:r>
      <w:r w:rsidR="00A33E05">
        <w:rPr>
          <w:rFonts w:hint="cs"/>
          <w:rtl/>
        </w:rPr>
        <w:t>أكتوبر</w:t>
      </w:r>
      <w:r w:rsidR="00A33E05">
        <w:rPr>
          <w:rFonts w:hint="eastAsia"/>
          <w:rtl/>
        </w:rPr>
        <w:t> </w:t>
      </w:r>
      <w:r w:rsidR="00A33E05">
        <w:rPr>
          <w:rFonts w:hint="cs"/>
          <w:rtl/>
        </w:rPr>
        <w:t>2015. ويرد ملخص تلك المناقشات في الفقرات من</w:t>
      </w:r>
      <w:r w:rsidR="003D408D">
        <w:rPr>
          <w:rFonts w:hint="eastAsia"/>
          <w:rtl/>
        </w:rPr>
        <w:t> </w:t>
      </w:r>
      <w:r w:rsidR="00A33E05">
        <w:rPr>
          <w:rFonts w:hint="cs"/>
          <w:rtl/>
        </w:rPr>
        <w:t>84 إلى</w:t>
      </w:r>
      <w:r w:rsidR="003D408D">
        <w:rPr>
          <w:rFonts w:hint="eastAsia"/>
          <w:rtl/>
        </w:rPr>
        <w:t> </w:t>
      </w:r>
      <w:r w:rsidR="00A33E05">
        <w:rPr>
          <w:rFonts w:hint="cs"/>
          <w:rtl/>
        </w:rPr>
        <w:t>90 من ملخص الرئيس (الوثيقة</w:t>
      </w:r>
      <w:r w:rsidR="00A33E05">
        <w:rPr>
          <w:rFonts w:hint="eastAsia"/>
          <w:rtl/>
        </w:rPr>
        <w:t> </w:t>
      </w:r>
      <w:r w:rsidR="00A33E05" w:rsidRPr="00A33E05">
        <w:t>PCT/WG/8/25</w:t>
      </w:r>
      <w:r w:rsidR="00A33E05">
        <w:rPr>
          <w:rFonts w:hint="cs"/>
          <w:rtl/>
        </w:rPr>
        <w:t>)؛ وتورد الفقرات من</w:t>
      </w:r>
      <w:r w:rsidR="003D408D">
        <w:rPr>
          <w:rFonts w:hint="eastAsia"/>
          <w:rtl/>
        </w:rPr>
        <w:t> </w:t>
      </w:r>
      <w:r w:rsidR="00A33E05">
        <w:rPr>
          <w:rFonts w:hint="cs"/>
          <w:rtl/>
        </w:rPr>
        <w:t>239 إلى</w:t>
      </w:r>
      <w:r w:rsidR="003D408D">
        <w:rPr>
          <w:rFonts w:hint="eastAsia"/>
          <w:rtl/>
        </w:rPr>
        <w:t> </w:t>
      </w:r>
      <w:r w:rsidR="00A33E05">
        <w:rPr>
          <w:rFonts w:hint="cs"/>
          <w:rtl/>
        </w:rPr>
        <w:t xml:space="preserve">251 من التقرير (الوثيقة </w:t>
      </w:r>
      <w:r w:rsidR="00A33E05" w:rsidRPr="00A33E05">
        <w:t>PCT/WG/8/26</w:t>
      </w:r>
      <w:r w:rsidR="00A33E05">
        <w:rPr>
          <w:rFonts w:hint="cs"/>
          <w:rtl/>
        </w:rPr>
        <w:t>) تفاصيل كل المداخلات.</w:t>
      </w:r>
    </w:p>
    <w:p w:rsidR="00943FD0" w:rsidRDefault="00E90C23" w:rsidP="003D408D">
      <w:pPr>
        <w:pStyle w:val="NumberedParaAR"/>
      </w:pPr>
      <w:r>
        <w:rPr>
          <w:rFonts w:hint="cs"/>
          <w:rtl/>
        </w:rPr>
        <w:lastRenderedPageBreak/>
        <w:t>وتستجيب هذه الوثيقة لدعوة أصدرها الفريق العامل العام الماضي ودعا</w:t>
      </w:r>
      <w:r w:rsidR="003D408D">
        <w:rPr>
          <w:rFonts w:hint="cs"/>
          <w:rtl/>
        </w:rPr>
        <w:t xml:space="preserve"> فيها إلى تقديم وثيقة إلى دورته</w:t>
      </w:r>
      <w:r>
        <w:rPr>
          <w:rFonts w:hint="cs"/>
          <w:rtl/>
        </w:rPr>
        <w:t xml:space="preserve"> القادمة لمناقشة التحسينات الممكن إدخالها على نظام البحث الإضافي (انظر الفقرة</w:t>
      </w:r>
      <w:r w:rsidR="003D408D">
        <w:rPr>
          <w:rFonts w:hint="eastAsia"/>
          <w:rtl/>
        </w:rPr>
        <w:t> </w:t>
      </w:r>
      <w:r>
        <w:rPr>
          <w:rFonts w:hint="cs"/>
          <w:rtl/>
        </w:rPr>
        <w:t>250 من الوثيقة</w:t>
      </w:r>
      <w:r>
        <w:rPr>
          <w:rFonts w:hint="eastAsia"/>
          <w:rtl/>
        </w:rPr>
        <w:t> </w:t>
      </w:r>
      <w:r w:rsidRPr="00E90C23">
        <w:t>PCT/WG/8/26</w:t>
      </w:r>
      <w:r>
        <w:rPr>
          <w:rFonts w:hint="cs"/>
          <w:rtl/>
        </w:rPr>
        <w:t>).</w:t>
      </w:r>
    </w:p>
    <w:p w:rsidR="00E90C23" w:rsidRPr="00E90C23" w:rsidRDefault="00E90C23" w:rsidP="00E90C23">
      <w:pPr>
        <w:pStyle w:val="NormalParaAR"/>
        <w:keepNext/>
        <w:rPr>
          <w:b/>
          <w:bCs/>
          <w:sz w:val="40"/>
          <w:szCs w:val="40"/>
          <w:rtl/>
        </w:rPr>
      </w:pPr>
      <w:r w:rsidRPr="00E90C23">
        <w:rPr>
          <w:rFonts w:hint="cs"/>
          <w:b/>
          <w:bCs/>
          <w:sz w:val="40"/>
          <w:szCs w:val="40"/>
          <w:rtl/>
        </w:rPr>
        <w:t>المناقشة  التي دارت في اجتماع الإدارات الدولية</w:t>
      </w:r>
    </w:p>
    <w:p w:rsidR="00E90C23" w:rsidRDefault="00D155F0" w:rsidP="003D408D">
      <w:pPr>
        <w:pStyle w:val="NumberedParaAR"/>
      </w:pPr>
      <w:r>
        <w:rPr>
          <w:rFonts w:hint="cs"/>
          <w:rtl/>
        </w:rPr>
        <w:t>تحضيرا لمناقشات الفريق العامل في دورته الحالية، ناقش اجتماع الإدارات الدولية، في دورته الثالثة والعشرين المعقودة في يناير</w:t>
      </w:r>
      <w:r w:rsidR="003D408D">
        <w:rPr>
          <w:rFonts w:hint="eastAsia"/>
          <w:rtl/>
        </w:rPr>
        <w:t> </w:t>
      </w:r>
      <w:r>
        <w:rPr>
          <w:rFonts w:hint="cs"/>
          <w:rtl/>
        </w:rPr>
        <w:t xml:space="preserve">2016، ثلاثة تغييرات يمكن إدخالها على نظام البحث </w:t>
      </w:r>
      <w:r w:rsidR="006B7A1E">
        <w:rPr>
          <w:rFonts w:hint="cs"/>
          <w:rtl/>
        </w:rPr>
        <w:t>الإضافي الدولي</w:t>
      </w:r>
      <w:r>
        <w:rPr>
          <w:rFonts w:hint="cs"/>
          <w:rtl/>
        </w:rPr>
        <w:t>، استنادا إلى الوثيقة</w:t>
      </w:r>
      <w:r>
        <w:rPr>
          <w:rFonts w:hint="eastAsia"/>
          <w:rtl/>
        </w:rPr>
        <w:t> </w:t>
      </w:r>
      <w:r w:rsidRPr="00D155F0">
        <w:t>PCT/MIA/23/4</w:t>
      </w:r>
      <w:r>
        <w:rPr>
          <w:rFonts w:hint="cs"/>
          <w:rtl/>
        </w:rPr>
        <w:t>، وهي كالتالي:</w:t>
      </w:r>
    </w:p>
    <w:p w:rsidR="00D155F0" w:rsidRDefault="00D155F0" w:rsidP="00091410">
      <w:pPr>
        <w:pStyle w:val="NumberedParaAR"/>
        <w:numPr>
          <w:ilvl w:val="0"/>
          <w:numId w:val="24"/>
        </w:numPr>
      </w:pPr>
      <w:r>
        <w:rPr>
          <w:rFonts w:hint="cs"/>
          <w:rtl/>
        </w:rPr>
        <w:t>التصريح بأن يكون البحث الدول</w:t>
      </w:r>
      <w:r w:rsidR="003D408D">
        <w:rPr>
          <w:rFonts w:hint="cs"/>
          <w:rtl/>
        </w:rPr>
        <w:t>ي</w:t>
      </w:r>
      <w:r>
        <w:rPr>
          <w:rFonts w:hint="cs"/>
          <w:rtl/>
        </w:rPr>
        <w:t xml:space="preserve"> الإضافي مستندا إلى مطالب </w:t>
      </w:r>
      <w:r w:rsidR="00091410">
        <w:rPr>
          <w:rFonts w:hint="cs"/>
          <w:rtl/>
        </w:rPr>
        <w:t>مُعدّلة</w:t>
      </w:r>
      <w:r>
        <w:rPr>
          <w:rFonts w:hint="cs"/>
          <w:rtl/>
        </w:rPr>
        <w:t xml:space="preserve"> بناء على المادة</w:t>
      </w:r>
      <w:r w:rsidR="00091410">
        <w:rPr>
          <w:rFonts w:hint="eastAsia"/>
          <w:rtl/>
        </w:rPr>
        <w:t> </w:t>
      </w:r>
      <w:r>
        <w:rPr>
          <w:rFonts w:hint="cs"/>
          <w:rtl/>
        </w:rPr>
        <w:t>19؛</w:t>
      </w:r>
    </w:p>
    <w:p w:rsidR="00D155F0" w:rsidRDefault="00D155F0" w:rsidP="003D1718">
      <w:pPr>
        <w:pStyle w:val="NumberedParaAR"/>
        <w:numPr>
          <w:ilvl w:val="0"/>
          <w:numId w:val="24"/>
        </w:numPr>
      </w:pPr>
      <w:r>
        <w:rPr>
          <w:rFonts w:hint="cs"/>
          <w:rtl/>
        </w:rPr>
        <w:t xml:space="preserve">تمديد </w:t>
      </w:r>
      <w:r w:rsidR="003D1718">
        <w:rPr>
          <w:rFonts w:hint="cs"/>
          <w:rtl/>
        </w:rPr>
        <w:t>المهلة ال</w:t>
      </w:r>
      <w:r w:rsidR="00140D36">
        <w:rPr>
          <w:rFonts w:hint="cs"/>
          <w:rtl/>
        </w:rPr>
        <w:t>مح</w:t>
      </w:r>
      <w:r w:rsidR="003D1718">
        <w:rPr>
          <w:rFonts w:hint="cs"/>
          <w:rtl/>
        </w:rPr>
        <w:t>دّدة ل</w:t>
      </w:r>
      <w:r w:rsidR="00A82125">
        <w:rPr>
          <w:rFonts w:hint="cs"/>
          <w:rtl/>
        </w:rPr>
        <w:t>التماس</w:t>
      </w:r>
      <w:r>
        <w:rPr>
          <w:rFonts w:hint="cs"/>
          <w:rtl/>
        </w:rPr>
        <w:t xml:space="preserve"> </w:t>
      </w:r>
      <w:r w:rsidR="00091410">
        <w:rPr>
          <w:rFonts w:hint="cs"/>
          <w:rtl/>
        </w:rPr>
        <w:t xml:space="preserve">بحث </w:t>
      </w:r>
      <w:r>
        <w:rPr>
          <w:rFonts w:hint="cs"/>
          <w:rtl/>
        </w:rPr>
        <w:t>دولي إضافي إلى تاريخ لاحق؛</w:t>
      </w:r>
    </w:p>
    <w:p w:rsidR="00D155F0" w:rsidRDefault="00D155F0" w:rsidP="00D155F0">
      <w:pPr>
        <w:pStyle w:val="NumberedParaAR"/>
        <w:numPr>
          <w:ilvl w:val="0"/>
          <w:numId w:val="24"/>
        </w:numPr>
      </w:pPr>
      <w:r>
        <w:rPr>
          <w:rFonts w:hint="cs"/>
          <w:rtl/>
        </w:rPr>
        <w:t xml:space="preserve">إدراج رأي مكتوب في نظام البحث </w:t>
      </w:r>
      <w:r w:rsidR="006B7A1E">
        <w:rPr>
          <w:rFonts w:hint="cs"/>
          <w:rtl/>
        </w:rPr>
        <w:t>الإضافي الدولي</w:t>
      </w:r>
      <w:r>
        <w:rPr>
          <w:rFonts w:hint="cs"/>
          <w:rtl/>
        </w:rPr>
        <w:t>.</w:t>
      </w:r>
    </w:p>
    <w:p w:rsidR="00D155F0" w:rsidRDefault="00D155F0" w:rsidP="003D408D">
      <w:pPr>
        <w:pStyle w:val="NumberedParaAR"/>
      </w:pPr>
      <w:r>
        <w:rPr>
          <w:rFonts w:hint="cs"/>
          <w:rtl/>
        </w:rPr>
        <w:t>وترد مناقشة اجتماع الإدارات الدولية لتلك التغييرات في الفقرات من</w:t>
      </w:r>
      <w:r w:rsidR="003D408D">
        <w:rPr>
          <w:rFonts w:hint="eastAsia"/>
          <w:rtl/>
        </w:rPr>
        <w:t> </w:t>
      </w:r>
      <w:r>
        <w:rPr>
          <w:rFonts w:hint="cs"/>
          <w:rtl/>
        </w:rPr>
        <w:t>52 إلى</w:t>
      </w:r>
      <w:r w:rsidR="003D408D">
        <w:rPr>
          <w:rFonts w:hint="eastAsia"/>
          <w:rtl/>
        </w:rPr>
        <w:t> </w:t>
      </w:r>
      <w:r>
        <w:rPr>
          <w:rFonts w:hint="cs"/>
          <w:rtl/>
        </w:rPr>
        <w:t>58 من ملخص الرئيس (انظر الوثيقة</w:t>
      </w:r>
      <w:r w:rsidR="003D408D">
        <w:rPr>
          <w:rFonts w:hint="eastAsia"/>
          <w:rtl/>
        </w:rPr>
        <w:t> </w:t>
      </w:r>
      <w:r w:rsidRPr="00D155F0">
        <w:t>PCT/MIA/23/14</w:t>
      </w:r>
      <w:r>
        <w:rPr>
          <w:rFonts w:hint="cs"/>
          <w:rtl/>
        </w:rPr>
        <w:t>، الواردة في مرفق الوثيقة</w:t>
      </w:r>
      <w:r>
        <w:rPr>
          <w:rFonts w:hint="eastAsia"/>
          <w:rtl/>
        </w:rPr>
        <w:t> </w:t>
      </w:r>
      <w:r w:rsidRPr="00D155F0">
        <w:t>PCT/WG/9/2</w:t>
      </w:r>
      <w:r>
        <w:rPr>
          <w:rFonts w:hint="cs"/>
          <w:rtl/>
        </w:rPr>
        <w:t>). و</w:t>
      </w:r>
      <w:r w:rsidR="00372E87">
        <w:rPr>
          <w:rFonts w:hint="cs"/>
          <w:rtl/>
        </w:rPr>
        <w:t>على وجه الخصوص</w:t>
      </w:r>
      <w:r w:rsidR="003D408D">
        <w:rPr>
          <w:rFonts w:hint="cs"/>
          <w:rtl/>
        </w:rPr>
        <w:t>،</w:t>
      </w:r>
      <w:r w:rsidR="00372E87">
        <w:rPr>
          <w:rFonts w:hint="cs"/>
          <w:rtl/>
        </w:rPr>
        <w:t xml:space="preserve"> </w:t>
      </w:r>
      <w:r>
        <w:rPr>
          <w:rFonts w:hint="cs"/>
          <w:rtl/>
        </w:rPr>
        <w:t>توجز الفقرات من</w:t>
      </w:r>
      <w:r w:rsidR="007D21EF">
        <w:rPr>
          <w:rFonts w:hint="eastAsia"/>
          <w:rtl/>
        </w:rPr>
        <w:t> </w:t>
      </w:r>
      <w:r>
        <w:rPr>
          <w:rFonts w:hint="cs"/>
          <w:rtl/>
        </w:rPr>
        <w:t>53 إلى</w:t>
      </w:r>
      <w:r w:rsidR="007D21EF">
        <w:rPr>
          <w:rFonts w:hint="eastAsia"/>
          <w:rtl/>
        </w:rPr>
        <w:t> </w:t>
      </w:r>
      <w:r>
        <w:rPr>
          <w:rFonts w:hint="cs"/>
          <w:rtl/>
        </w:rPr>
        <w:t xml:space="preserve">55، </w:t>
      </w:r>
      <w:r w:rsidR="00372E87">
        <w:rPr>
          <w:rFonts w:hint="cs"/>
          <w:rtl/>
        </w:rPr>
        <w:t>الواردة أدناه</w:t>
      </w:r>
      <w:r>
        <w:rPr>
          <w:rFonts w:hint="cs"/>
          <w:rtl/>
        </w:rPr>
        <w:t xml:space="preserve">، </w:t>
      </w:r>
      <w:r w:rsidR="00372E87">
        <w:rPr>
          <w:rFonts w:hint="cs"/>
          <w:rtl/>
        </w:rPr>
        <w:t>التعليقات المُقدمة بشأن التغييرات المقترحة الثلاثة المبيّنة في الفقرة</w:t>
      </w:r>
      <w:r w:rsidR="00372E87">
        <w:rPr>
          <w:rFonts w:hint="eastAsia"/>
          <w:rtl/>
        </w:rPr>
        <w:t> </w:t>
      </w:r>
      <w:r w:rsidR="00372E87">
        <w:rPr>
          <w:rFonts w:hint="cs"/>
          <w:rtl/>
        </w:rPr>
        <w:t>4 أعلاه:</w:t>
      </w:r>
    </w:p>
    <w:p w:rsidR="00372E87" w:rsidRDefault="00372E87" w:rsidP="00372E87">
      <w:pPr>
        <w:pStyle w:val="NormalParaAR"/>
        <w:ind w:left="566"/>
        <w:rPr>
          <w:rtl/>
        </w:rPr>
      </w:pPr>
      <w:r>
        <w:rPr>
          <w:rFonts w:hint="cs"/>
          <w:rtl/>
        </w:rPr>
        <w:t>"52</w:t>
      </w:r>
      <w:r>
        <w:rPr>
          <w:rtl/>
        </w:rPr>
        <w:t>.</w:t>
      </w:r>
      <w:r>
        <w:rPr>
          <w:rtl/>
        </w:rPr>
        <w:tab/>
        <w:t>استندت المناقشات إلى الوثيقة</w:t>
      </w:r>
      <w:r>
        <w:rPr>
          <w:rFonts w:hint="cs"/>
          <w:rtl/>
        </w:rPr>
        <w:t> </w:t>
      </w:r>
      <w:r>
        <w:t>PCT/MIA/23/4</w:t>
      </w:r>
      <w:r>
        <w:rPr>
          <w:rtl/>
        </w:rPr>
        <w:t>.</w:t>
      </w:r>
    </w:p>
    <w:p w:rsidR="00372E87" w:rsidRDefault="00372E87" w:rsidP="00372E87">
      <w:pPr>
        <w:pStyle w:val="NormalParaAR"/>
        <w:ind w:left="566"/>
        <w:rPr>
          <w:rtl/>
        </w:rPr>
      </w:pPr>
      <w:r>
        <w:rPr>
          <w:rFonts w:hint="cs"/>
          <w:rtl/>
        </w:rPr>
        <w:t>"53</w:t>
      </w:r>
      <w:r>
        <w:rPr>
          <w:rtl/>
        </w:rPr>
        <w:t>.</w:t>
      </w:r>
      <w:r>
        <w:rPr>
          <w:rtl/>
        </w:rPr>
        <w:tab/>
        <w:t xml:space="preserve">وأيدت الإدارات تغيير الأجل الخاص بطلب البحث </w:t>
      </w:r>
      <w:r w:rsidR="006B7A1E">
        <w:rPr>
          <w:rtl/>
        </w:rPr>
        <w:t>الإضافي الدولي</w:t>
      </w:r>
      <w:r>
        <w:rPr>
          <w:rtl/>
        </w:rPr>
        <w:t xml:space="preserve"> من 19 إلى 22 شهراً اعتباراً من تاريخ الأولوية، بما يناسب الأجل الخاص بإيداع طلب للفحص التمهيدي الدولي.</w:t>
      </w:r>
    </w:p>
    <w:p w:rsidR="00372E87" w:rsidRDefault="00372E87" w:rsidP="00B51CCB">
      <w:pPr>
        <w:pStyle w:val="NormalParaAR"/>
        <w:ind w:left="566"/>
        <w:rPr>
          <w:rtl/>
        </w:rPr>
      </w:pPr>
      <w:r>
        <w:rPr>
          <w:rFonts w:hint="cs"/>
          <w:rtl/>
        </w:rPr>
        <w:t>"54</w:t>
      </w:r>
      <w:r>
        <w:rPr>
          <w:rtl/>
        </w:rPr>
        <w:t>.</w:t>
      </w:r>
      <w:r>
        <w:rPr>
          <w:rtl/>
        </w:rPr>
        <w:tab/>
        <w:t>وأعربت بعض الإدارات عن قلقها إزاء إتاحة الإمكانية لطلب بحث دولي</w:t>
      </w:r>
      <w:r w:rsidR="00B51CCB">
        <w:rPr>
          <w:rFonts w:hint="cs"/>
          <w:rtl/>
        </w:rPr>
        <w:t xml:space="preserve"> إضافي</w:t>
      </w:r>
      <w:r>
        <w:rPr>
          <w:rtl/>
        </w:rPr>
        <w:t xml:space="preserve"> استناداً إلى مطالب معدلة. ومن بواعث قلقها أن بحثاً </w:t>
      </w:r>
      <w:r w:rsidR="00B51CCB">
        <w:rPr>
          <w:rFonts w:hint="cs"/>
          <w:rtl/>
        </w:rPr>
        <w:t>إضافيا</w:t>
      </w:r>
      <w:r>
        <w:rPr>
          <w:rtl/>
        </w:rPr>
        <w:t xml:space="preserve"> من هذا القبيل سيكون منافياً للنية الأصلية في جعل البحث </w:t>
      </w:r>
      <w:r w:rsidR="00B51CCB">
        <w:rPr>
          <w:rFonts w:hint="cs"/>
          <w:rtl/>
        </w:rPr>
        <w:t>الإضافي</w:t>
      </w:r>
      <w:r>
        <w:rPr>
          <w:rtl/>
        </w:rPr>
        <w:t xml:space="preserve"> مقتصراً على المجموعات أو الوثائق الوطنية بلغات معينة، وأنه ينبغي بحث الموضوع المعدل أصلاً حسبما </w:t>
      </w:r>
      <w:proofErr w:type="spellStart"/>
      <w:r>
        <w:rPr>
          <w:rtl/>
        </w:rPr>
        <w:t>تقتضيه</w:t>
      </w:r>
      <w:proofErr w:type="spellEnd"/>
      <w:r>
        <w:rPr>
          <w:rtl/>
        </w:rPr>
        <w:t xml:space="preserve"> الفقرة 15-25 من المبادئ التوجيهية الخاصة بالبحث والفحص التمهيدي الدوليين، والقيمة الإضافية المحدودة التي سيولدها ذلك مقارنة بالفصل الثاني.</w:t>
      </w:r>
    </w:p>
    <w:p w:rsidR="00372E87" w:rsidRDefault="00372E87" w:rsidP="00974885">
      <w:pPr>
        <w:pStyle w:val="NormalParaAR"/>
        <w:ind w:left="566"/>
        <w:rPr>
          <w:rtl/>
        </w:rPr>
      </w:pPr>
      <w:r>
        <w:rPr>
          <w:rFonts w:hint="cs"/>
          <w:rtl/>
        </w:rPr>
        <w:t>"55</w:t>
      </w:r>
      <w:r>
        <w:rPr>
          <w:rtl/>
        </w:rPr>
        <w:t>.</w:t>
      </w:r>
      <w:r>
        <w:rPr>
          <w:rtl/>
        </w:rPr>
        <w:tab/>
        <w:t xml:space="preserve">وذكرت بعض الإدارات أنه إذا ما أُدخل رأي مكتوب في إطار البحث </w:t>
      </w:r>
      <w:r w:rsidR="006B7A1E">
        <w:rPr>
          <w:rtl/>
        </w:rPr>
        <w:t>الإضافي الدولي</w:t>
      </w:r>
      <w:r>
        <w:rPr>
          <w:rtl/>
        </w:rPr>
        <w:t xml:space="preserve">، فإنه ينبغي ترك المسألة تحت تقدير الإدارة التي تقدم البحث </w:t>
      </w:r>
      <w:r w:rsidR="00B51CCB">
        <w:rPr>
          <w:rFonts w:hint="cs"/>
          <w:rtl/>
        </w:rPr>
        <w:t>الإضافي</w:t>
      </w:r>
      <w:r>
        <w:rPr>
          <w:rtl/>
        </w:rPr>
        <w:t xml:space="preserve">. وفي هذا الصدد، أُعربَ أيضاً عن القلق من أن جعل الرأي المكتوب إلزامياً قد يثبط الإدارات الأخرى عن إتاحة البحث </w:t>
      </w:r>
      <w:r w:rsidR="006B7A1E">
        <w:rPr>
          <w:rtl/>
        </w:rPr>
        <w:t>الإضافي الدولي</w:t>
      </w:r>
      <w:r>
        <w:rPr>
          <w:rtl/>
        </w:rPr>
        <w:t xml:space="preserve">. كما أبدت بعض تلك الإدارات تعليقات مفادها أن الإدارات التي تمنح رأياً مكتوبا قد ترفع الرسوم المفروضة على البحث </w:t>
      </w:r>
      <w:r w:rsidR="006B7A1E">
        <w:rPr>
          <w:rtl/>
        </w:rPr>
        <w:t>الإضافي الدولي</w:t>
      </w:r>
      <w:r>
        <w:rPr>
          <w:rtl/>
        </w:rPr>
        <w:t xml:space="preserve"> لتغطية العمل الإضافي الذي </w:t>
      </w:r>
      <w:proofErr w:type="spellStart"/>
      <w:r>
        <w:rPr>
          <w:rtl/>
        </w:rPr>
        <w:t>يقتضيه</w:t>
      </w:r>
      <w:proofErr w:type="spellEnd"/>
      <w:r>
        <w:rPr>
          <w:rtl/>
        </w:rPr>
        <w:t xml:space="preserve"> منح الرأي. ومع ذلك، أشارت إحدى الإدارات إلى أنها قد تؤيد تعديل القاعدة 45</w:t>
      </w:r>
      <w:r w:rsidRPr="00974885">
        <w:rPr>
          <w:vertAlign w:val="superscript"/>
          <w:rtl/>
        </w:rPr>
        <w:t>(ثانياً)</w:t>
      </w:r>
      <w:r>
        <w:rPr>
          <w:rtl/>
        </w:rPr>
        <w:t xml:space="preserve">7(ه)(ط) لجعل مسألة إدراج تفسيرات بخصوص الوثائق المستشهد بها التي تعتبر مهمة مسألة إلزامية. وأعربت إدارة أخرى عن أسفها من أن الرأي الذي </w:t>
      </w:r>
      <w:r w:rsidR="00974885">
        <w:rPr>
          <w:rFonts w:hint="cs"/>
          <w:rtl/>
        </w:rPr>
        <w:t>تقدمه</w:t>
      </w:r>
      <w:r>
        <w:rPr>
          <w:rtl/>
        </w:rPr>
        <w:t xml:space="preserve"> </w:t>
      </w:r>
      <w:r w:rsidR="00974885">
        <w:rPr>
          <w:rFonts w:hint="cs"/>
          <w:rtl/>
        </w:rPr>
        <w:t>فعلا</w:t>
      </w:r>
      <w:r>
        <w:rPr>
          <w:rtl/>
        </w:rPr>
        <w:t xml:space="preserve"> مع تقرير البحث </w:t>
      </w:r>
      <w:r w:rsidR="006B7A1E">
        <w:rPr>
          <w:rtl/>
        </w:rPr>
        <w:t>الإضافي الدولي</w:t>
      </w:r>
      <w:r>
        <w:rPr>
          <w:rtl/>
        </w:rPr>
        <w:t xml:space="preserve"> </w:t>
      </w:r>
      <w:r w:rsidR="00974885">
        <w:rPr>
          <w:rFonts w:hint="cs"/>
          <w:rtl/>
        </w:rPr>
        <w:t>يُعد</w:t>
      </w:r>
      <w:r>
        <w:rPr>
          <w:rtl/>
        </w:rPr>
        <w:t xml:space="preserve"> بمثابة رأي مكتوب مصاحب ل</w:t>
      </w:r>
      <w:r w:rsidR="00974885">
        <w:rPr>
          <w:rtl/>
        </w:rPr>
        <w:t>لبحث الدولي "الرئيسي"، ولكن</w:t>
      </w:r>
      <w:r w:rsidR="00974885">
        <w:rPr>
          <w:rFonts w:hint="cs"/>
          <w:rtl/>
        </w:rPr>
        <w:t xml:space="preserve"> لا يمكنه أن </w:t>
      </w:r>
      <w:r>
        <w:rPr>
          <w:rtl/>
        </w:rPr>
        <w:t xml:space="preserve">يشكل أساس الطلب المقدم بموجب </w:t>
      </w:r>
      <w:r w:rsidR="00974885">
        <w:rPr>
          <w:rFonts w:hint="cs"/>
          <w:rtl/>
        </w:rPr>
        <w:t>المسار السريع لمعالجة</w:t>
      </w:r>
      <w:r>
        <w:rPr>
          <w:rtl/>
        </w:rPr>
        <w:t xml:space="preserve"> البراءات (</w:t>
      </w:r>
      <w:r>
        <w:t>PPH</w:t>
      </w:r>
      <w:r>
        <w:rPr>
          <w:rtl/>
        </w:rPr>
        <w:t xml:space="preserve">). وعليه، اقترحت تلك الإدارة اعتبار رأي من هذا القبيل، رهناً بخيار الإدارة التي </w:t>
      </w:r>
      <w:r w:rsidR="00974885">
        <w:rPr>
          <w:rFonts w:hint="cs"/>
          <w:rtl/>
        </w:rPr>
        <w:t>توفر</w:t>
      </w:r>
      <w:r>
        <w:rPr>
          <w:rtl/>
        </w:rPr>
        <w:t xml:space="preserve"> البحث </w:t>
      </w:r>
      <w:r w:rsidR="006B7A1E">
        <w:rPr>
          <w:rtl/>
        </w:rPr>
        <w:t>الإضافي الدولي</w:t>
      </w:r>
      <w:r>
        <w:rPr>
          <w:rtl/>
        </w:rPr>
        <w:t>، في نفس المكانة التي يحتلها أي رأي مكتوب آخر بموجب الفصل الأول أو الثاني.</w:t>
      </w:r>
      <w:r>
        <w:rPr>
          <w:rFonts w:hint="cs"/>
          <w:rtl/>
        </w:rPr>
        <w:t>"</w:t>
      </w:r>
    </w:p>
    <w:p w:rsidR="00372E87" w:rsidRPr="006B5612" w:rsidRDefault="006B5612" w:rsidP="006B5612">
      <w:pPr>
        <w:pStyle w:val="NormalParaAR"/>
        <w:keepNext/>
        <w:rPr>
          <w:b/>
          <w:bCs/>
          <w:sz w:val="40"/>
          <w:szCs w:val="40"/>
          <w:rtl/>
        </w:rPr>
      </w:pPr>
      <w:r w:rsidRPr="006B5612">
        <w:rPr>
          <w:rFonts w:hint="cs"/>
          <w:b/>
          <w:bCs/>
          <w:sz w:val="40"/>
          <w:szCs w:val="40"/>
          <w:rtl/>
        </w:rPr>
        <w:lastRenderedPageBreak/>
        <w:t xml:space="preserve">التحديثات </w:t>
      </w:r>
      <w:r w:rsidR="002D5647">
        <w:rPr>
          <w:rFonts w:hint="cs"/>
          <w:b/>
          <w:bCs/>
          <w:sz w:val="40"/>
          <w:szCs w:val="40"/>
          <w:rtl/>
        </w:rPr>
        <w:t>الم</w:t>
      </w:r>
      <w:r w:rsidRPr="006B5612">
        <w:rPr>
          <w:rFonts w:hint="cs"/>
          <w:b/>
          <w:bCs/>
          <w:sz w:val="40"/>
          <w:szCs w:val="40"/>
          <w:rtl/>
        </w:rPr>
        <w:t>مكنة</w:t>
      </w:r>
    </w:p>
    <w:p w:rsidR="006B5612" w:rsidRPr="003B4FEA" w:rsidRDefault="003B4FEA" w:rsidP="003B4FEA">
      <w:pPr>
        <w:pStyle w:val="NormalParaAR"/>
        <w:keepNext/>
        <w:rPr>
          <w:sz w:val="40"/>
          <w:szCs w:val="40"/>
          <w:rtl/>
        </w:rPr>
      </w:pPr>
      <w:r w:rsidRPr="003B4FEA">
        <w:rPr>
          <w:rFonts w:hint="cs"/>
          <w:sz w:val="40"/>
          <w:szCs w:val="40"/>
          <w:rtl/>
        </w:rPr>
        <w:t xml:space="preserve">البحث </w:t>
      </w:r>
      <w:r w:rsidR="006B7A1E">
        <w:rPr>
          <w:rFonts w:hint="cs"/>
          <w:sz w:val="40"/>
          <w:szCs w:val="40"/>
          <w:rtl/>
        </w:rPr>
        <w:t>الإضافي الدولي</w:t>
      </w:r>
      <w:r w:rsidRPr="003B4FEA">
        <w:rPr>
          <w:rFonts w:hint="cs"/>
          <w:sz w:val="40"/>
          <w:szCs w:val="40"/>
          <w:rtl/>
        </w:rPr>
        <w:t xml:space="preserve"> المستند إلى مطالب مُعدّلة</w:t>
      </w:r>
    </w:p>
    <w:p w:rsidR="003B4FEA" w:rsidRDefault="00FD71DA" w:rsidP="00C74F06">
      <w:pPr>
        <w:pStyle w:val="NumberedParaAR"/>
      </w:pPr>
      <w:r>
        <w:rPr>
          <w:rFonts w:hint="cs"/>
          <w:rtl/>
        </w:rPr>
        <w:t xml:space="preserve">تحلّل الفقرات من 7 إلى 21 من الوثيقة </w:t>
      </w:r>
      <w:r w:rsidRPr="00FD71DA">
        <w:t>PCT/MIA/23/4</w:t>
      </w:r>
      <w:r>
        <w:rPr>
          <w:rFonts w:hint="cs"/>
          <w:rtl/>
        </w:rPr>
        <w:t xml:space="preserve"> إمكانية التصريح بأن يستند البحث </w:t>
      </w:r>
      <w:r w:rsidR="006B7A1E">
        <w:rPr>
          <w:rFonts w:hint="cs"/>
          <w:rtl/>
        </w:rPr>
        <w:t>الإضافي الدولي</w:t>
      </w:r>
      <w:r>
        <w:rPr>
          <w:rFonts w:hint="cs"/>
          <w:rtl/>
        </w:rPr>
        <w:t xml:space="preserve"> إلى مطالب مُعدّلة. ويبيّن ذل</w:t>
      </w:r>
      <w:r w:rsidR="00AF2B48">
        <w:rPr>
          <w:rFonts w:hint="cs"/>
          <w:rtl/>
        </w:rPr>
        <w:t>ك التحليل أنه من الصعب تصوّر كيف</w:t>
      </w:r>
      <w:r w:rsidR="00857350">
        <w:rPr>
          <w:rFonts w:hint="cs"/>
          <w:rtl/>
        </w:rPr>
        <w:t>ية</w:t>
      </w:r>
      <w:r w:rsidR="00AF2B48">
        <w:rPr>
          <w:rFonts w:hint="cs"/>
          <w:rtl/>
        </w:rPr>
        <w:t xml:space="preserve"> </w:t>
      </w:r>
      <w:r w:rsidR="00857350">
        <w:rPr>
          <w:rFonts w:hint="cs"/>
          <w:rtl/>
        </w:rPr>
        <w:t>إضافة</w:t>
      </w:r>
      <w:r w:rsidR="00AF2B48">
        <w:rPr>
          <w:rFonts w:hint="cs"/>
          <w:rtl/>
        </w:rPr>
        <w:t xml:space="preserve"> بحث مستند إلى مطالب مُعدّلة </w:t>
      </w:r>
      <w:r w:rsidR="00857350">
        <w:rPr>
          <w:rFonts w:hint="cs"/>
          <w:rtl/>
        </w:rPr>
        <w:t xml:space="preserve">إلى </w:t>
      </w:r>
      <w:r w:rsidR="00AF2B48">
        <w:rPr>
          <w:rFonts w:hint="cs"/>
          <w:rtl/>
        </w:rPr>
        <w:t>البحث الدولي الرئيسي بدلا من "</w:t>
      </w:r>
      <w:r w:rsidR="00C74F06">
        <w:rPr>
          <w:rFonts w:hint="cs"/>
          <w:rtl/>
        </w:rPr>
        <w:t>معاودة</w:t>
      </w:r>
      <w:r w:rsidR="00AF2B48">
        <w:rPr>
          <w:rFonts w:hint="cs"/>
          <w:rtl/>
        </w:rPr>
        <w:t xml:space="preserve">" </w:t>
      </w:r>
      <w:r w:rsidR="00857350">
        <w:rPr>
          <w:rFonts w:hint="cs"/>
          <w:rtl/>
        </w:rPr>
        <w:t>البحث الدولي.</w:t>
      </w:r>
    </w:p>
    <w:p w:rsidR="00857350" w:rsidRDefault="00857350" w:rsidP="00857350">
      <w:pPr>
        <w:pStyle w:val="NumberedParaAR"/>
      </w:pPr>
      <w:r>
        <w:rPr>
          <w:rFonts w:hint="cs"/>
          <w:rtl/>
        </w:rPr>
        <w:t>ومن الوا</w:t>
      </w:r>
      <w:r w:rsidR="00C74F06">
        <w:rPr>
          <w:rFonts w:hint="cs"/>
          <w:rtl/>
        </w:rPr>
        <w:t>ضح أن البحث الدولي "المعاوَد</w:t>
      </w:r>
      <w:r>
        <w:rPr>
          <w:rFonts w:hint="cs"/>
          <w:rtl/>
        </w:rPr>
        <w:t xml:space="preserve">" على أساس مطالب مُعدّلة لن يتسق مع الإطار القانوني الحالي الخاص بالبحث </w:t>
      </w:r>
      <w:r w:rsidR="006B7A1E">
        <w:rPr>
          <w:rFonts w:hint="cs"/>
          <w:rtl/>
        </w:rPr>
        <w:t>الإضافي الدولي</w:t>
      </w:r>
      <w:r>
        <w:rPr>
          <w:rFonts w:hint="cs"/>
          <w:rtl/>
        </w:rPr>
        <w:t xml:space="preserve"> وسيطرح مشكلات مختلفة:</w:t>
      </w:r>
    </w:p>
    <w:p w:rsidR="00857350" w:rsidRDefault="00857350" w:rsidP="00857350">
      <w:pPr>
        <w:pStyle w:val="NumberedParaAR"/>
        <w:numPr>
          <w:ilvl w:val="0"/>
          <w:numId w:val="28"/>
        </w:numPr>
      </w:pPr>
      <w:r>
        <w:rPr>
          <w:rFonts w:hint="cs"/>
          <w:rtl/>
        </w:rPr>
        <w:t>لن يكو</w:t>
      </w:r>
      <w:r w:rsidR="00C74F06">
        <w:rPr>
          <w:rFonts w:hint="cs"/>
          <w:rtl/>
        </w:rPr>
        <w:t>ن البحث الدولي "المعاوَد</w:t>
      </w:r>
      <w:r>
        <w:rPr>
          <w:rFonts w:hint="cs"/>
          <w:rtl/>
        </w:rPr>
        <w:t xml:space="preserve">" خيارا من الخيارات المتاحة ضمن نظام البحث </w:t>
      </w:r>
      <w:r w:rsidR="006B7A1E">
        <w:rPr>
          <w:rFonts w:hint="cs"/>
          <w:rtl/>
        </w:rPr>
        <w:t>الإضافي الدولي</w:t>
      </w:r>
      <w:r>
        <w:rPr>
          <w:rFonts w:hint="cs"/>
          <w:rtl/>
        </w:rPr>
        <w:t>، ولكنه سيدرج عنصرا جديدا (أي بحث ثان على أساس مجموعة مختلفة من المطالب) في البحث الدولي؛</w:t>
      </w:r>
    </w:p>
    <w:p w:rsidR="00857350" w:rsidRDefault="002F04C9" w:rsidP="00857350">
      <w:pPr>
        <w:pStyle w:val="NumberedParaAR"/>
        <w:numPr>
          <w:ilvl w:val="0"/>
          <w:numId w:val="28"/>
        </w:numPr>
      </w:pPr>
      <w:r>
        <w:rPr>
          <w:rFonts w:hint="cs"/>
          <w:rtl/>
        </w:rPr>
        <w:t>و</w:t>
      </w:r>
      <w:r w:rsidR="00857350">
        <w:rPr>
          <w:rFonts w:hint="cs"/>
          <w:rtl/>
        </w:rPr>
        <w:t xml:space="preserve">من غير الواضح كيف سيجلب </w:t>
      </w:r>
      <w:r w:rsidR="00C74F06">
        <w:rPr>
          <w:rFonts w:hint="cs"/>
          <w:rtl/>
        </w:rPr>
        <w:t>البحث الدولي "المعاوَد</w:t>
      </w:r>
      <w:r w:rsidR="00857350">
        <w:rPr>
          <w:rFonts w:hint="cs"/>
          <w:rtl/>
        </w:rPr>
        <w:t>" قيمة مضافة إلى المودع مقارنة بالإجراء المنصوص عليه في الفصل الثاني؛</w:t>
      </w:r>
    </w:p>
    <w:p w:rsidR="00857350" w:rsidRDefault="002F04C9" w:rsidP="00A82125">
      <w:pPr>
        <w:pStyle w:val="NumberedParaAR"/>
        <w:numPr>
          <w:ilvl w:val="0"/>
          <w:numId w:val="28"/>
        </w:numPr>
      </w:pPr>
      <w:r>
        <w:rPr>
          <w:rFonts w:hint="cs"/>
          <w:rtl/>
        </w:rPr>
        <w:t xml:space="preserve">وسيُشترط من </w:t>
      </w:r>
      <w:r w:rsidR="00C74F06">
        <w:rPr>
          <w:rFonts w:hint="cs"/>
          <w:rtl/>
        </w:rPr>
        <w:t>الإدارة المختارة "لمعاودة</w:t>
      </w:r>
      <w:r>
        <w:rPr>
          <w:rFonts w:hint="cs"/>
          <w:rtl/>
        </w:rPr>
        <w:t xml:space="preserve">" البحث الدولي تحديد ما </w:t>
      </w:r>
      <w:r w:rsidR="003D408D">
        <w:rPr>
          <w:rFonts w:hint="cs"/>
          <w:rtl/>
        </w:rPr>
        <w:t xml:space="preserve">إذا </w:t>
      </w:r>
      <w:r>
        <w:rPr>
          <w:rFonts w:hint="cs"/>
          <w:rtl/>
        </w:rPr>
        <w:t>كانت المطالب المُعدّلة تنطوي على مسألة تتجاوز الكشف عن الطلب الدولي بالصيغة المودع بها أصل</w:t>
      </w:r>
      <w:r w:rsidR="003D408D">
        <w:rPr>
          <w:rFonts w:hint="cs"/>
          <w:rtl/>
        </w:rPr>
        <w:t xml:space="preserve">ا؛ وإذا كان الأمر كذلك، فلن </w:t>
      </w:r>
      <w:r>
        <w:rPr>
          <w:rFonts w:hint="cs"/>
          <w:rtl/>
        </w:rPr>
        <w:t>تُتاح للمودع إمكانية استدراك ذلك أثناء الإجراء المنصوص عليه في الفصل الأول بغ</w:t>
      </w:r>
      <w:r w:rsidR="003D408D">
        <w:rPr>
          <w:rFonts w:hint="cs"/>
          <w:rtl/>
        </w:rPr>
        <w:t>ر</w:t>
      </w:r>
      <w:r>
        <w:rPr>
          <w:rFonts w:hint="cs"/>
          <w:rtl/>
        </w:rPr>
        <w:t>ض مواصل</w:t>
      </w:r>
      <w:r w:rsidR="00C74F06">
        <w:rPr>
          <w:rFonts w:hint="cs"/>
          <w:rtl/>
        </w:rPr>
        <w:t>ة البحث الدولي "المعاوَد</w:t>
      </w:r>
      <w:r>
        <w:rPr>
          <w:rFonts w:hint="cs"/>
          <w:rtl/>
        </w:rPr>
        <w:t xml:space="preserve">"، وسيضطر بدلا من ذلك إلى إيداع </w:t>
      </w:r>
      <w:r w:rsidR="00A82125">
        <w:rPr>
          <w:rFonts w:hint="cs"/>
          <w:rtl/>
        </w:rPr>
        <w:t>طلب</w:t>
      </w:r>
      <w:r>
        <w:rPr>
          <w:rFonts w:hint="cs"/>
          <w:rtl/>
        </w:rPr>
        <w:t xml:space="preserve"> بموجب الفصل الثاني لإزالة المسألة المضافة في المرحلة الدولية</w:t>
      </w:r>
      <w:r w:rsidR="00010D49">
        <w:rPr>
          <w:rFonts w:hint="cs"/>
          <w:rtl/>
        </w:rPr>
        <w:t>؛</w:t>
      </w:r>
    </w:p>
    <w:p w:rsidR="00010D49" w:rsidRDefault="00010D49" w:rsidP="00010D49">
      <w:pPr>
        <w:pStyle w:val="NumberedParaAR"/>
        <w:numPr>
          <w:ilvl w:val="0"/>
          <w:numId w:val="28"/>
        </w:numPr>
      </w:pPr>
      <w:r>
        <w:rPr>
          <w:rFonts w:hint="cs"/>
          <w:rtl/>
        </w:rPr>
        <w:t>وسيكون من الصعب تحديد نطاق المطالب المُعدّلة موضو</w:t>
      </w:r>
      <w:r w:rsidR="00C74F06">
        <w:rPr>
          <w:rFonts w:hint="cs"/>
          <w:rtl/>
        </w:rPr>
        <w:t>ع البحث الدولي "المعاوَد</w:t>
      </w:r>
      <w:r>
        <w:rPr>
          <w:rFonts w:hint="cs"/>
          <w:rtl/>
        </w:rPr>
        <w:t>"؛</w:t>
      </w:r>
    </w:p>
    <w:p w:rsidR="00010D49" w:rsidRDefault="00357EA5" w:rsidP="00357EA5">
      <w:pPr>
        <w:pStyle w:val="NumberedParaAR"/>
        <w:numPr>
          <w:ilvl w:val="0"/>
          <w:numId w:val="28"/>
        </w:numPr>
      </w:pPr>
      <w:r>
        <w:rPr>
          <w:rFonts w:hint="cs"/>
          <w:rtl/>
        </w:rPr>
        <w:t xml:space="preserve">وقد لا يكون الإطار القانوني الحالي الذي يحدّد اختصاص إدارات البحث الدولي لإجراء بحوث إضافية وافيا بالغرض فيما يخص البحوث الدولية </w:t>
      </w:r>
      <w:r w:rsidR="00C74F06">
        <w:rPr>
          <w:rFonts w:hint="cs"/>
          <w:rtl/>
        </w:rPr>
        <w:t>"المعاوَد"؛ وعلى وجه الخصوص، سيؤدي استبعاد إدارة البحث الدولي الرئيسي من إجراء بحث دولي "معاوَد"</w:t>
      </w:r>
      <w:r w:rsidR="003D1718">
        <w:rPr>
          <w:rFonts w:hint="cs"/>
          <w:rtl/>
        </w:rPr>
        <w:t xml:space="preserve"> إلى التقليل من دور البحث الدولي الرئيسي لجعله مجرّد بحث دولي "أولي"؛</w:t>
      </w:r>
    </w:p>
    <w:p w:rsidR="003D1718" w:rsidRDefault="003D1718" w:rsidP="00357EA5">
      <w:pPr>
        <w:pStyle w:val="NumberedParaAR"/>
        <w:numPr>
          <w:ilvl w:val="0"/>
          <w:numId w:val="28"/>
        </w:numPr>
      </w:pPr>
      <w:r>
        <w:rPr>
          <w:rFonts w:hint="cs"/>
          <w:rtl/>
        </w:rPr>
        <w:t>وسيتزايد احتمال تداخل وثائق البحث وازدواجية العمل بين مختلف إدارات البحث الدولي.</w:t>
      </w:r>
    </w:p>
    <w:p w:rsidR="003D1718" w:rsidRDefault="003D1718" w:rsidP="00A82125">
      <w:pPr>
        <w:pStyle w:val="NumberedParaAR"/>
      </w:pPr>
      <w:r>
        <w:rPr>
          <w:rFonts w:hint="cs"/>
          <w:rtl/>
        </w:rPr>
        <w:t xml:space="preserve">وفي ضوء الاستنتاجات والشواغل المبيّنة أعلاه، يرى المكتب الدولي أنه من غير الملائم اقتراح أن تُتاح إمكانية </w:t>
      </w:r>
      <w:r w:rsidR="00A82125">
        <w:rPr>
          <w:rFonts w:hint="cs"/>
          <w:rtl/>
        </w:rPr>
        <w:t>التماس</w:t>
      </w:r>
      <w:r>
        <w:rPr>
          <w:rFonts w:hint="cs"/>
          <w:rtl/>
        </w:rPr>
        <w:t xml:space="preserve"> بحث دولي إضافي على أساس مطالب مُعدّلة بناء على المادة</w:t>
      </w:r>
      <w:r>
        <w:rPr>
          <w:rFonts w:hint="eastAsia"/>
          <w:rtl/>
        </w:rPr>
        <w:t> </w:t>
      </w:r>
      <w:r>
        <w:rPr>
          <w:rFonts w:hint="cs"/>
          <w:rtl/>
        </w:rPr>
        <w:t>19.</w:t>
      </w:r>
    </w:p>
    <w:p w:rsidR="003D1718" w:rsidRPr="00DE3592" w:rsidRDefault="00DE3592" w:rsidP="00DE3592">
      <w:pPr>
        <w:pStyle w:val="NormalParaAR"/>
        <w:keepNext/>
        <w:rPr>
          <w:sz w:val="40"/>
          <w:szCs w:val="40"/>
          <w:rtl/>
        </w:rPr>
      </w:pPr>
      <w:r w:rsidRPr="00DE3592">
        <w:rPr>
          <w:rFonts w:hint="cs"/>
          <w:sz w:val="40"/>
          <w:szCs w:val="40"/>
          <w:rtl/>
        </w:rPr>
        <w:t xml:space="preserve">المهلة </w:t>
      </w:r>
      <w:r w:rsidR="00140D36">
        <w:rPr>
          <w:rFonts w:hint="cs"/>
          <w:sz w:val="40"/>
          <w:szCs w:val="40"/>
          <w:rtl/>
        </w:rPr>
        <w:t>الم</w:t>
      </w:r>
      <w:r w:rsidR="00A82125">
        <w:rPr>
          <w:rFonts w:hint="cs"/>
          <w:sz w:val="40"/>
          <w:szCs w:val="40"/>
          <w:rtl/>
        </w:rPr>
        <w:t>حدّدة لالتماس</w:t>
      </w:r>
      <w:r w:rsidRPr="00DE3592">
        <w:rPr>
          <w:rFonts w:hint="cs"/>
          <w:sz w:val="40"/>
          <w:szCs w:val="40"/>
          <w:rtl/>
        </w:rPr>
        <w:t xml:space="preserve"> بحث دولي إضافي</w:t>
      </w:r>
    </w:p>
    <w:p w:rsidR="00DE3592" w:rsidRDefault="00140D36" w:rsidP="00433EEC">
      <w:pPr>
        <w:pStyle w:val="NumberedParaAR"/>
      </w:pPr>
      <w:r>
        <w:rPr>
          <w:rFonts w:hint="cs"/>
          <w:rtl/>
        </w:rPr>
        <w:t xml:space="preserve">فيما يخص اقتراح تعديل اللائحة التنفيذية لتمديد المهلة المحدّدة </w:t>
      </w:r>
      <w:r w:rsidR="00A82125">
        <w:rPr>
          <w:rFonts w:hint="cs"/>
          <w:rtl/>
        </w:rPr>
        <w:t>لالتماس</w:t>
      </w:r>
      <w:r>
        <w:rPr>
          <w:rFonts w:hint="cs"/>
          <w:rtl/>
        </w:rPr>
        <w:t xml:space="preserve"> بحث دولي إضافي إلى 21 أو 22</w:t>
      </w:r>
      <w:r w:rsidR="00433EEC">
        <w:rPr>
          <w:rFonts w:hint="eastAsia"/>
          <w:rtl/>
        </w:rPr>
        <w:t> </w:t>
      </w:r>
      <w:r>
        <w:rPr>
          <w:rFonts w:hint="cs"/>
          <w:rtl/>
        </w:rPr>
        <w:t>شهرا اعتبارا من تاريخ الأولوية، تبدو العوامل المستند إليها في ذلك الاقتراح كما يلي (انظر الفقرات من</w:t>
      </w:r>
      <w:r w:rsidR="00433EEC">
        <w:rPr>
          <w:rFonts w:hint="eastAsia"/>
          <w:rtl/>
        </w:rPr>
        <w:t> </w:t>
      </w:r>
      <w:r>
        <w:rPr>
          <w:rFonts w:hint="cs"/>
          <w:rtl/>
        </w:rPr>
        <w:t>22 إلى</w:t>
      </w:r>
      <w:r w:rsidR="00433EEC">
        <w:rPr>
          <w:rFonts w:hint="eastAsia"/>
          <w:rtl/>
        </w:rPr>
        <w:t> </w:t>
      </w:r>
      <w:r>
        <w:rPr>
          <w:rFonts w:hint="cs"/>
          <w:rtl/>
        </w:rPr>
        <w:t>31 من الوثيقة</w:t>
      </w:r>
      <w:r>
        <w:rPr>
          <w:rFonts w:hint="eastAsia"/>
          <w:rtl/>
        </w:rPr>
        <w:t> </w:t>
      </w:r>
      <w:r w:rsidRPr="00140D36">
        <w:t>PCT/MIA/23/4</w:t>
      </w:r>
      <w:r>
        <w:rPr>
          <w:rFonts w:hint="cs"/>
          <w:rtl/>
        </w:rPr>
        <w:t>):</w:t>
      </w:r>
    </w:p>
    <w:p w:rsidR="00140D36" w:rsidRDefault="00140D36" w:rsidP="00433EEC">
      <w:pPr>
        <w:pStyle w:val="NumberedParaAR"/>
        <w:numPr>
          <w:ilvl w:val="0"/>
          <w:numId w:val="28"/>
        </w:numPr>
      </w:pPr>
      <w:r>
        <w:rPr>
          <w:rFonts w:hint="cs"/>
          <w:rtl/>
        </w:rPr>
        <w:t>فيما يخص نسبة إضافية قدرها 3 أو 4 بالمائة من الطلبات الدولية (استنادا إلى أحدث الأرقام)، سيكون تقري</w:t>
      </w:r>
      <w:r w:rsidR="00433EEC">
        <w:rPr>
          <w:rFonts w:hint="cs"/>
          <w:rtl/>
        </w:rPr>
        <w:t>ر</w:t>
      </w:r>
      <w:r>
        <w:rPr>
          <w:rFonts w:hint="cs"/>
          <w:rtl/>
        </w:rPr>
        <w:t xml:space="preserve"> البحث الدولي جاهزا قبل أن يُشترط من المود</w:t>
      </w:r>
      <w:r w:rsidR="00A82125">
        <w:rPr>
          <w:rFonts w:hint="cs"/>
          <w:rtl/>
        </w:rPr>
        <w:t xml:space="preserve">ع البتّ فيما إذا كان يريد التماس بحث دولي </w:t>
      </w:r>
      <w:r>
        <w:rPr>
          <w:rFonts w:hint="cs"/>
          <w:rtl/>
        </w:rPr>
        <w:t>إضافي، مما يترك فقط</w:t>
      </w:r>
      <w:r w:rsidR="00A82125">
        <w:rPr>
          <w:rFonts w:hint="eastAsia"/>
          <w:rtl/>
        </w:rPr>
        <w:t> </w:t>
      </w:r>
      <w:r>
        <w:rPr>
          <w:rFonts w:hint="cs"/>
          <w:rtl/>
        </w:rPr>
        <w:t>2 أو</w:t>
      </w:r>
      <w:r w:rsidR="00433EEC">
        <w:rPr>
          <w:rFonts w:hint="eastAsia"/>
          <w:rtl/>
        </w:rPr>
        <w:t> </w:t>
      </w:r>
      <w:r>
        <w:rPr>
          <w:rFonts w:hint="cs"/>
          <w:rtl/>
        </w:rPr>
        <w:t>3 بالمائة من الطلبات الدولية</w:t>
      </w:r>
      <w:r w:rsidR="00DD5E2A">
        <w:rPr>
          <w:rFonts w:hint="cs"/>
          <w:rtl/>
        </w:rPr>
        <w:t xml:space="preserve"> دون تقرير بحث دولي قبل انقضاء</w:t>
      </w:r>
      <w:r w:rsidR="00A82125">
        <w:rPr>
          <w:rFonts w:hint="cs"/>
          <w:rtl/>
        </w:rPr>
        <w:t xml:space="preserve"> المهلة الجديدة لالتماس</w:t>
      </w:r>
      <w:r w:rsidR="00DD5E2A">
        <w:rPr>
          <w:rFonts w:hint="cs"/>
          <w:rtl/>
        </w:rPr>
        <w:t xml:space="preserve"> بحث دولي إضافي والبالغة 22 شهرا؛</w:t>
      </w:r>
    </w:p>
    <w:p w:rsidR="00DD5E2A" w:rsidRDefault="00951244" w:rsidP="00433EEC">
      <w:pPr>
        <w:pStyle w:val="NumberedParaAR"/>
        <w:numPr>
          <w:ilvl w:val="0"/>
          <w:numId w:val="28"/>
        </w:numPr>
      </w:pPr>
      <w:r>
        <w:rPr>
          <w:rFonts w:hint="cs"/>
          <w:rtl/>
        </w:rPr>
        <w:t xml:space="preserve">وستفضي </w:t>
      </w:r>
      <w:r w:rsidR="00A82125">
        <w:rPr>
          <w:rFonts w:hint="cs"/>
          <w:rtl/>
        </w:rPr>
        <w:t>المهلة الجديدة لالتماس</w:t>
      </w:r>
      <w:r>
        <w:rPr>
          <w:rFonts w:hint="cs"/>
          <w:rtl/>
        </w:rPr>
        <w:t xml:space="preserve"> بحث دولي إضافي والبالغة</w:t>
      </w:r>
      <w:r w:rsidR="00433EEC">
        <w:rPr>
          <w:rFonts w:hint="eastAsia"/>
          <w:rtl/>
        </w:rPr>
        <w:t> </w:t>
      </w:r>
      <w:r>
        <w:rPr>
          <w:rFonts w:hint="cs"/>
          <w:rtl/>
        </w:rPr>
        <w:t xml:space="preserve">22 شهرا إلى خفض عدد تقارير البحث </w:t>
      </w:r>
      <w:r w:rsidR="006B7A1E">
        <w:rPr>
          <w:rFonts w:hint="cs"/>
          <w:rtl/>
        </w:rPr>
        <w:t>الإضافي الدولي</w:t>
      </w:r>
      <w:r>
        <w:rPr>
          <w:rFonts w:hint="cs"/>
          <w:rtl/>
        </w:rPr>
        <w:t xml:space="preserve"> التي ستُتاح قبل انقضاء المهلة المحدّدة </w:t>
      </w:r>
      <w:r w:rsidR="00A82125">
        <w:rPr>
          <w:rFonts w:hint="cs"/>
          <w:rtl/>
        </w:rPr>
        <w:t>لإيداع طلب</w:t>
      </w:r>
      <w:r>
        <w:rPr>
          <w:rFonts w:hint="cs"/>
          <w:rtl/>
        </w:rPr>
        <w:t xml:space="preserve"> الفحص التمهيدي الدولي؛</w:t>
      </w:r>
    </w:p>
    <w:p w:rsidR="00951244" w:rsidRDefault="00951244" w:rsidP="00A82125">
      <w:pPr>
        <w:pStyle w:val="NumberedParaAR"/>
        <w:numPr>
          <w:ilvl w:val="0"/>
          <w:numId w:val="28"/>
        </w:numPr>
      </w:pPr>
      <w:r>
        <w:rPr>
          <w:rFonts w:hint="cs"/>
          <w:rtl/>
        </w:rPr>
        <w:t xml:space="preserve">وستتقلّص الفترة المتاحة أمام الإدارة لإجراء البحث </w:t>
      </w:r>
      <w:r w:rsidR="006B7A1E">
        <w:rPr>
          <w:rFonts w:hint="cs"/>
          <w:rtl/>
        </w:rPr>
        <w:t>الإضافي الدولي</w:t>
      </w:r>
      <w:r>
        <w:rPr>
          <w:rFonts w:hint="cs"/>
          <w:rtl/>
        </w:rPr>
        <w:t xml:space="preserve">؛ مما سيزيد من أثر حالات تأخّر المعالجة الناجمة عن عدم استيفاء الشروط الشكلية أو عدم تسديد الرسوم وقت إيداع </w:t>
      </w:r>
      <w:r w:rsidR="00A82125">
        <w:rPr>
          <w:rFonts w:hint="cs"/>
          <w:rtl/>
        </w:rPr>
        <w:t>الالتماس</w:t>
      </w:r>
      <w:r>
        <w:rPr>
          <w:rFonts w:hint="cs"/>
          <w:rtl/>
        </w:rPr>
        <w:t xml:space="preserve"> أو </w:t>
      </w:r>
      <w:r w:rsidR="00A82125">
        <w:rPr>
          <w:rFonts w:hint="cs"/>
          <w:rtl/>
        </w:rPr>
        <w:t>التماس</w:t>
      </w:r>
      <w:r>
        <w:rPr>
          <w:rFonts w:hint="cs"/>
          <w:rtl/>
        </w:rPr>
        <w:t xml:space="preserve"> المودع من الإدارة إعادة النظر في استنتاجها القاضي بعدم الامتثال لمبدأ وحدة الاختراع.</w:t>
      </w:r>
    </w:p>
    <w:p w:rsidR="00951244" w:rsidRDefault="00951244" w:rsidP="00433EEC">
      <w:pPr>
        <w:pStyle w:val="NumberedParaAR"/>
      </w:pPr>
      <w:r>
        <w:rPr>
          <w:rFonts w:hint="cs"/>
          <w:rtl/>
        </w:rPr>
        <w:t xml:space="preserve">وبالنظر إلى دعم الإدارات الدولية تمديد </w:t>
      </w:r>
      <w:r w:rsidR="00CB7966">
        <w:rPr>
          <w:rFonts w:hint="cs"/>
          <w:rtl/>
        </w:rPr>
        <w:t>المهلة المحدّدة لالتماس</w:t>
      </w:r>
      <w:r>
        <w:rPr>
          <w:rFonts w:hint="cs"/>
          <w:rtl/>
        </w:rPr>
        <w:t xml:space="preserve"> بحث دولي إضافي من 19 إلى</w:t>
      </w:r>
      <w:r w:rsidR="00433EEC">
        <w:rPr>
          <w:rFonts w:hint="eastAsia"/>
          <w:rtl/>
        </w:rPr>
        <w:t> </w:t>
      </w:r>
      <w:r>
        <w:rPr>
          <w:rFonts w:hint="cs"/>
          <w:rtl/>
        </w:rPr>
        <w:t>22 شهرا اعتبارا من تاريخ الأولوية لتتوافق مع المهلة المحدّدة لإيداع طلب الفحص التمهيدي الدولي، يرد اقتراح في هذا الشأن في مرفق هذه</w:t>
      </w:r>
      <w:r w:rsidR="00433EEC">
        <w:rPr>
          <w:rFonts w:hint="eastAsia"/>
          <w:rtl/>
        </w:rPr>
        <w:t> </w:t>
      </w:r>
      <w:r>
        <w:rPr>
          <w:rFonts w:hint="cs"/>
          <w:rtl/>
        </w:rPr>
        <w:t xml:space="preserve">الوثيقة. </w:t>
      </w:r>
      <w:r w:rsidR="00A82125">
        <w:rPr>
          <w:rFonts w:hint="cs"/>
          <w:rtl/>
        </w:rPr>
        <w:t xml:space="preserve">وينص الاقتراح على أنه في حال أرسل المكتب الدولي </w:t>
      </w:r>
      <w:r w:rsidR="00CB7966">
        <w:rPr>
          <w:rFonts w:hint="cs"/>
          <w:rtl/>
        </w:rPr>
        <w:t>التماس</w:t>
      </w:r>
      <w:r w:rsidR="00A82125">
        <w:rPr>
          <w:rFonts w:hint="cs"/>
          <w:rtl/>
        </w:rPr>
        <w:t xml:space="preserve"> البحث </w:t>
      </w:r>
      <w:r w:rsidR="006B7A1E">
        <w:rPr>
          <w:rFonts w:hint="cs"/>
          <w:rtl/>
        </w:rPr>
        <w:t>الإضافي الدولي</w:t>
      </w:r>
      <w:r w:rsidR="00A82125">
        <w:rPr>
          <w:rFonts w:hint="cs"/>
          <w:rtl/>
        </w:rPr>
        <w:t xml:space="preserve"> والوثائق </w:t>
      </w:r>
      <w:r w:rsidR="00CB7966">
        <w:rPr>
          <w:rFonts w:hint="cs"/>
          <w:rtl/>
        </w:rPr>
        <w:t>الأخرى</w:t>
      </w:r>
      <w:r w:rsidR="00875315">
        <w:rPr>
          <w:rFonts w:hint="cs"/>
          <w:rtl/>
        </w:rPr>
        <w:t xml:space="preserve"> المنصوص عليها في القاعدة 45</w:t>
      </w:r>
      <w:r w:rsidR="00875315" w:rsidRPr="00875315">
        <w:rPr>
          <w:rFonts w:hint="cs"/>
          <w:vertAlign w:val="superscript"/>
          <w:rtl/>
        </w:rPr>
        <w:t>(ثانيا)</w:t>
      </w:r>
      <w:r w:rsidR="00875315">
        <w:rPr>
          <w:rFonts w:hint="cs"/>
          <w:rtl/>
        </w:rPr>
        <w:t>4(ه) بعد انقضاء 22 شهرا اعتبارا من تاريخ الأولوية نتيجة تقديم التماس بحث دولي إضافي في غضون مهلة قريبة من المهلة المقترحة الجديدة، تبدأ الإدارة، بناء على ا</w:t>
      </w:r>
      <w:r w:rsidR="00875315" w:rsidRPr="00875315">
        <w:rPr>
          <w:rFonts w:hint="cs"/>
          <w:rtl/>
        </w:rPr>
        <w:t xml:space="preserve"> </w:t>
      </w:r>
      <w:r w:rsidR="00875315">
        <w:rPr>
          <w:rFonts w:hint="cs"/>
          <w:rtl/>
        </w:rPr>
        <w:t>لقاعدة 45</w:t>
      </w:r>
      <w:r w:rsidR="00875315" w:rsidRPr="00875315">
        <w:rPr>
          <w:rFonts w:hint="cs"/>
          <w:vertAlign w:val="superscript"/>
          <w:rtl/>
        </w:rPr>
        <w:t>(ثانيا)</w:t>
      </w:r>
      <w:r w:rsidR="00875315">
        <w:rPr>
          <w:rFonts w:hint="cs"/>
          <w:rtl/>
        </w:rPr>
        <w:t xml:space="preserve">5(أ) البحث </w:t>
      </w:r>
      <w:r w:rsidR="006B7A1E">
        <w:rPr>
          <w:rFonts w:hint="cs"/>
          <w:rtl/>
        </w:rPr>
        <w:t>الإضافي الدولي</w:t>
      </w:r>
      <w:r w:rsidR="00875315">
        <w:rPr>
          <w:rFonts w:hint="cs"/>
          <w:rtl/>
        </w:rPr>
        <w:t xml:space="preserve"> في أقرب فرصة بعد استلام تلك الوثائق. وفي تلك الحالات، تجدر الإشارة إلى أنه ينبغي أن يكون المكتب الدولي قد استلم تقرير البحث الدولي</w:t>
      </w:r>
      <w:r w:rsidR="0099725E">
        <w:rPr>
          <w:rFonts w:hint="cs"/>
          <w:rtl/>
        </w:rPr>
        <w:t xml:space="preserve"> والرأي المكتوب من إدارة البحث الدولي "الرئيسي" للتمكّن من إرسال هاتين الوثيقتين إلى الإدارة المحدّدة لأغراض البحث الإضافي مع الالتماس.</w:t>
      </w:r>
    </w:p>
    <w:p w:rsidR="0099725E" w:rsidRPr="0099725E" w:rsidRDefault="0099725E" w:rsidP="0099725E">
      <w:pPr>
        <w:pStyle w:val="NormalParaAR"/>
        <w:keepNext/>
        <w:rPr>
          <w:sz w:val="40"/>
          <w:szCs w:val="40"/>
          <w:rtl/>
        </w:rPr>
      </w:pPr>
      <w:r w:rsidRPr="0099725E">
        <w:rPr>
          <w:rFonts w:hint="cs"/>
          <w:sz w:val="40"/>
          <w:szCs w:val="40"/>
          <w:rtl/>
        </w:rPr>
        <w:t xml:space="preserve">إصدار رأي مكتوب مع تقرير البحث </w:t>
      </w:r>
      <w:r w:rsidR="006B7A1E">
        <w:rPr>
          <w:rFonts w:hint="cs"/>
          <w:sz w:val="40"/>
          <w:szCs w:val="40"/>
          <w:rtl/>
        </w:rPr>
        <w:t>الإضافي الدولي</w:t>
      </w:r>
    </w:p>
    <w:p w:rsidR="0099725E" w:rsidRDefault="000905A2" w:rsidP="00964156">
      <w:pPr>
        <w:pStyle w:val="NumberedParaAR"/>
      </w:pPr>
      <w:r>
        <w:rPr>
          <w:rFonts w:hint="cs"/>
          <w:rtl/>
        </w:rPr>
        <w:t xml:space="preserve">فيما يخص اقتراح تعديل اللائحة التنفيذية للاشتراط من الإدارات التي توفر خدمة البحث </w:t>
      </w:r>
      <w:r w:rsidR="006B7A1E">
        <w:rPr>
          <w:rFonts w:hint="cs"/>
          <w:rtl/>
        </w:rPr>
        <w:t>الإضافي الدولي</w:t>
      </w:r>
      <w:r>
        <w:rPr>
          <w:rFonts w:hint="cs"/>
          <w:rtl/>
        </w:rPr>
        <w:t xml:space="preserve"> إصدار رأي مكتوب مع تقرير البحث </w:t>
      </w:r>
      <w:r w:rsidR="006B7A1E">
        <w:rPr>
          <w:rFonts w:hint="cs"/>
          <w:rtl/>
        </w:rPr>
        <w:t>الإضافي الدولي</w:t>
      </w:r>
      <w:r w:rsidR="00433EEC">
        <w:rPr>
          <w:rFonts w:hint="cs"/>
          <w:rtl/>
        </w:rPr>
        <w:t xml:space="preserve"> أو السماح لها بذلك، لا يبدو من الضروري </w:t>
      </w:r>
      <w:r>
        <w:rPr>
          <w:rFonts w:hint="cs"/>
          <w:rtl/>
        </w:rPr>
        <w:t xml:space="preserve">تعديل اللائحة التنفيذية لتمكين المزيد من الإدارات من إعطاء </w:t>
      </w:r>
      <w:r w:rsidR="00964156">
        <w:rPr>
          <w:rFonts w:hint="cs"/>
          <w:rtl/>
        </w:rPr>
        <w:t>إيضاحات</w:t>
      </w:r>
      <w:r>
        <w:rPr>
          <w:rFonts w:hint="cs"/>
          <w:rtl/>
        </w:rPr>
        <w:t xml:space="preserve"> إضافية في تقرير البحث </w:t>
      </w:r>
      <w:r w:rsidR="006B7A1E">
        <w:rPr>
          <w:rFonts w:hint="cs"/>
          <w:rtl/>
        </w:rPr>
        <w:t>الإضافي الدولي</w:t>
      </w:r>
      <w:r>
        <w:rPr>
          <w:rFonts w:hint="cs"/>
          <w:rtl/>
        </w:rPr>
        <w:t xml:space="preserve"> بما يعادل مستوى الرأي المكتوب الصادر عن إدارة البحث الدولي (انظر الفقرات من 32 إلى 45 من الوثيقة</w:t>
      </w:r>
      <w:r>
        <w:rPr>
          <w:rFonts w:hint="eastAsia"/>
          <w:rtl/>
        </w:rPr>
        <w:t> </w:t>
      </w:r>
      <w:r w:rsidRPr="000905A2">
        <w:t>PCT/MIA/23/4</w:t>
      </w:r>
      <w:r>
        <w:rPr>
          <w:rFonts w:hint="cs"/>
          <w:rtl/>
        </w:rPr>
        <w:t xml:space="preserve">). ولكن إذا عُدّل الإطار التنظيمي بغرض توفير مزيد من المعلومات مع تقرير البحث </w:t>
      </w:r>
      <w:r w:rsidR="006B7A1E">
        <w:rPr>
          <w:rFonts w:hint="cs"/>
          <w:rtl/>
        </w:rPr>
        <w:t>الإضافي الدولي</w:t>
      </w:r>
      <w:r>
        <w:rPr>
          <w:rFonts w:hint="cs"/>
          <w:rtl/>
        </w:rPr>
        <w:t>، يمكن اعتماد أحد الخيارين التاليين:</w:t>
      </w:r>
    </w:p>
    <w:p w:rsidR="000905A2" w:rsidRDefault="000905A2" w:rsidP="007D21EF">
      <w:pPr>
        <w:pStyle w:val="NumberedParaAR"/>
        <w:numPr>
          <w:ilvl w:val="0"/>
          <w:numId w:val="28"/>
        </w:numPr>
      </w:pPr>
      <w:r>
        <w:rPr>
          <w:rFonts w:hint="cs"/>
          <w:rtl/>
        </w:rPr>
        <w:t>تعديل القاعدة</w:t>
      </w:r>
      <w:r>
        <w:rPr>
          <w:rFonts w:hint="eastAsia"/>
          <w:rtl/>
        </w:rPr>
        <w:t> </w:t>
      </w:r>
      <w:r>
        <w:rPr>
          <w:rFonts w:hint="cs"/>
          <w:rtl/>
        </w:rPr>
        <w:t>45</w:t>
      </w:r>
      <w:r w:rsidRPr="000905A2">
        <w:rPr>
          <w:rFonts w:hint="cs"/>
          <w:vertAlign w:val="superscript"/>
          <w:rtl/>
        </w:rPr>
        <w:t>(ثانيا)</w:t>
      </w:r>
      <w:r>
        <w:rPr>
          <w:rFonts w:hint="cs"/>
          <w:rtl/>
        </w:rPr>
        <w:t xml:space="preserve">7(ه) </w:t>
      </w:r>
      <w:r w:rsidR="007D21EF">
        <w:rPr>
          <w:rFonts w:hint="cs"/>
          <w:rtl/>
        </w:rPr>
        <w:t>بحيث يصبح إجباريا</w:t>
      </w:r>
      <w:r w:rsidR="00964156">
        <w:rPr>
          <w:rFonts w:hint="cs"/>
          <w:rtl/>
        </w:rPr>
        <w:t xml:space="preserve"> إدراج إيضاحات بشأن </w:t>
      </w:r>
      <w:r w:rsidR="00FD0BE9">
        <w:rPr>
          <w:rFonts w:hint="cs"/>
          <w:rtl/>
        </w:rPr>
        <w:t>ما يُستشهد به</w:t>
      </w:r>
      <w:r w:rsidR="00964156">
        <w:rPr>
          <w:rFonts w:hint="cs"/>
          <w:rtl/>
        </w:rPr>
        <w:t xml:space="preserve"> في تقرير البحث </w:t>
      </w:r>
      <w:r w:rsidR="006B7A1E">
        <w:rPr>
          <w:rFonts w:hint="cs"/>
          <w:rtl/>
        </w:rPr>
        <w:t>الإضافي الدولي</w:t>
      </w:r>
      <w:r w:rsidR="00964156">
        <w:rPr>
          <w:rFonts w:hint="cs"/>
          <w:rtl/>
        </w:rPr>
        <w:t xml:space="preserve"> </w:t>
      </w:r>
      <w:r w:rsidR="00FD0BE9">
        <w:rPr>
          <w:rFonts w:hint="cs"/>
          <w:rtl/>
        </w:rPr>
        <w:t>من وثائق</w:t>
      </w:r>
      <w:r w:rsidR="00964156">
        <w:rPr>
          <w:rFonts w:hint="cs"/>
          <w:rtl/>
        </w:rPr>
        <w:t xml:space="preserve"> </w:t>
      </w:r>
      <w:r w:rsidR="00FD0BE9">
        <w:rPr>
          <w:rFonts w:hint="cs"/>
          <w:rtl/>
        </w:rPr>
        <w:t>تُعتبر</w:t>
      </w:r>
      <w:r w:rsidR="00964156">
        <w:rPr>
          <w:rFonts w:hint="cs"/>
          <w:rtl/>
        </w:rPr>
        <w:t xml:space="preserve"> وجيهة؛</w:t>
      </w:r>
    </w:p>
    <w:p w:rsidR="00964156" w:rsidRDefault="00964156" w:rsidP="00964156">
      <w:pPr>
        <w:pStyle w:val="NumberedParaAR"/>
        <w:numPr>
          <w:ilvl w:val="0"/>
          <w:numId w:val="28"/>
        </w:numPr>
      </w:pPr>
      <w:r>
        <w:rPr>
          <w:rFonts w:hint="cs"/>
          <w:rtl/>
        </w:rPr>
        <w:t xml:space="preserve">أو إدراج رأي مكتوب في تقرير البحث </w:t>
      </w:r>
      <w:r w:rsidR="006B7A1E">
        <w:rPr>
          <w:rFonts w:hint="cs"/>
          <w:rtl/>
        </w:rPr>
        <w:t>الإضافي الدولي</w:t>
      </w:r>
      <w:r>
        <w:rPr>
          <w:rFonts w:hint="cs"/>
          <w:rtl/>
        </w:rPr>
        <w:t xml:space="preserve">؛ وفي هذه الحالة يجب، فضلا عن تحديد مضمون الرأي، البتّ في الحالات التي ينبغي أن يكون فيها الرأي المكتوب إجباريا، </w:t>
      </w:r>
      <w:r w:rsidR="00CD12BF">
        <w:rPr>
          <w:rFonts w:hint="cs"/>
          <w:rtl/>
        </w:rPr>
        <w:t>أو ما إذا كان ينبغي أن يُترك لكل إدارة خيار تحديد الحالة التي تصدر فيها رأيا مكتوبا.</w:t>
      </w:r>
    </w:p>
    <w:p w:rsidR="00CD12BF" w:rsidRDefault="00506DA0" w:rsidP="007D21EF">
      <w:pPr>
        <w:pStyle w:val="NumberedParaAR"/>
      </w:pPr>
      <w:r>
        <w:rPr>
          <w:rFonts w:hint="cs"/>
          <w:rtl/>
        </w:rPr>
        <w:t>ولم يُبد، في اجتماع الإدارات الدولية، أي دعم ل</w:t>
      </w:r>
      <w:r w:rsidR="00FD0BE9">
        <w:rPr>
          <w:rFonts w:hint="cs"/>
          <w:rtl/>
        </w:rPr>
        <w:t>مسألة ا</w:t>
      </w:r>
      <w:r>
        <w:rPr>
          <w:rFonts w:hint="cs"/>
          <w:rtl/>
        </w:rPr>
        <w:t xml:space="preserve">لاشتراط من الإدارات التي توفر خدمة البحث الإضافي أن تصدر دوما رأيا مكتوبا مع تقرير </w:t>
      </w:r>
      <w:r w:rsidR="00FD0BE9">
        <w:rPr>
          <w:rFonts w:hint="cs"/>
          <w:rtl/>
        </w:rPr>
        <w:t xml:space="preserve">البحث </w:t>
      </w:r>
      <w:r w:rsidR="006B7A1E">
        <w:rPr>
          <w:rFonts w:hint="cs"/>
          <w:rtl/>
        </w:rPr>
        <w:t>الإضافي الدولي</w:t>
      </w:r>
      <w:r w:rsidR="00FD0BE9">
        <w:rPr>
          <w:rFonts w:hint="cs"/>
          <w:rtl/>
        </w:rPr>
        <w:t>. غير أن إحدى الإدارات أشارت إلى أنه بإمكانها الموافقة على تعديل القاعدة</w:t>
      </w:r>
      <w:r w:rsidR="00FD0BE9">
        <w:rPr>
          <w:rFonts w:hint="eastAsia"/>
          <w:rtl/>
        </w:rPr>
        <w:t> </w:t>
      </w:r>
      <w:r w:rsidR="00FD0BE9">
        <w:rPr>
          <w:rFonts w:hint="cs"/>
          <w:rtl/>
        </w:rPr>
        <w:t>45</w:t>
      </w:r>
      <w:r w:rsidR="00FD0BE9" w:rsidRPr="000905A2">
        <w:rPr>
          <w:rFonts w:hint="cs"/>
          <w:vertAlign w:val="superscript"/>
          <w:rtl/>
        </w:rPr>
        <w:t>(ثانيا)</w:t>
      </w:r>
      <w:r w:rsidR="00FD0BE9">
        <w:rPr>
          <w:rFonts w:hint="cs"/>
          <w:rtl/>
        </w:rPr>
        <w:t xml:space="preserve">7(ه) </w:t>
      </w:r>
      <w:r w:rsidR="007D21EF">
        <w:rPr>
          <w:rFonts w:hint="cs"/>
          <w:rtl/>
        </w:rPr>
        <w:t>بحيث يصبح إجباريا</w:t>
      </w:r>
      <w:r w:rsidR="00FD0BE9" w:rsidRPr="00FD0BE9">
        <w:rPr>
          <w:rFonts w:hint="cs"/>
          <w:rtl/>
        </w:rPr>
        <w:t xml:space="preserve"> إدراج إيضاحات بشأن الوثائق المستشهد بها التي </w:t>
      </w:r>
      <w:r w:rsidR="00FD0BE9">
        <w:rPr>
          <w:rFonts w:hint="cs"/>
          <w:rtl/>
        </w:rPr>
        <w:t>تُعتبر</w:t>
      </w:r>
      <w:r w:rsidR="00FD0BE9" w:rsidRPr="00FD0BE9">
        <w:rPr>
          <w:rFonts w:hint="cs"/>
          <w:rtl/>
        </w:rPr>
        <w:t xml:space="preserve"> وجيهة</w:t>
      </w:r>
      <w:r w:rsidR="00FD0BE9">
        <w:rPr>
          <w:rFonts w:hint="cs"/>
          <w:rtl/>
        </w:rPr>
        <w:t xml:space="preserve">. واقتُرح كذلك أن يُتاح للإدارات خيار توفير رأي مكتوب مع تقرير البحث </w:t>
      </w:r>
      <w:r w:rsidR="006B7A1E">
        <w:rPr>
          <w:rFonts w:hint="cs"/>
          <w:rtl/>
        </w:rPr>
        <w:t>الإضافي الدولي</w:t>
      </w:r>
      <w:r w:rsidR="00FD0BE9">
        <w:rPr>
          <w:rFonts w:hint="cs"/>
          <w:rtl/>
        </w:rPr>
        <w:t xml:space="preserve"> (انظر الفقرة 5 أعلاه).</w:t>
      </w:r>
    </w:p>
    <w:p w:rsidR="00FD0BE9" w:rsidRDefault="007D21EF" w:rsidP="00D42299">
      <w:pPr>
        <w:pStyle w:val="NumberedParaAR"/>
      </w:pPr>
      <w:r>
        <w:rPr>
          <w:rFonts w:hint="cs"/>
          <w:rtl/>
        </w:rPr>
        <w:t xml:space="preserve">ولمنح مرونة للإدارات التي توفر خدمة البحث </w:t>
      </w:r>
      <w:r w:rsidR="006B7A1E">
        <w:rPr>
          <w:rFonts w:hint="cs"/>
          <w:rtl/>
        </w:rPr>
        <w:t>الإضافي الدولي</w:t>
      </w:r>
      <w:r>
        <w:rPr>
          <w:rFonts w:hint="cs"/>
          <w:rtl/>
        </w:rPr>
        <w:t>، يقترح المكتب الدولي عدم تعديل القاعدة</w:t>
      </w:r>
      <w:r>
        <w:rPr>
          <w:rFonts w:hint="eastAsia"/>
          <w:rtl/>
        </w:rPr>
        <w:t> </w:t>
      </w:r>
      <w:r>
        <w:rPr>
          <w:rFonts w:hint="cs"/>
          <w:rtl/>
        </w:rPr>
        <w:t>45</w:t>
      </w:r>
      <w:r w:rsidRPr="000905A2">
        <w:rPr>
          <w:rFonts w:hint="cs"/>
          <w:vertAlign w:val="superscript"/>
          <w:rtl/>
        </w:rPr>
        <w:t>(ثانيا)</w:t>
      </w:r>
      <w:r>
        <w:rPr>
          <w:rFonts w:hint="cs"/>
          <w:rtl/>
        </w:rPr>
        <w:t xml:space="preserve">7(ه) بحيث يصبح إجباريا </w:t>
      </w:r>
      <w:r w:rsidRPr="00FD0BE9">
        <w:rPr>
          <w:rFonts w:hint="cs"/>
          <w:rtl/>
        </w:rPr>
        <w:t xml:space="preserve">إدراج إيضاحات بشأن </w:t>
      </w:r>
      <w:r>
        <w:rPr>
          <w:rFonts w:hint="cs"/>
          <w:rtl/>
        </w:rPr>
        <w:t xml:space="preserve">وجاهة </w:t>
      </w:r>
      <w:r w:rsidRPr="00FD0BE9">
        <w:rPr>
          <w:rFonts w:hint="cs"/>
          <w:rtl/>
        </w:rPr>
        <w:t xml:space="preserve">الوثائق المستشهد بها </w:t>
      </w:r>
      <w:r>
        <w:rPr>
          <w:rFonts w:hint="cs"/>
          <w:rtl/>
        </w:rPr>
        <w:t xml:space="preserve">في تقرير البحث </w:t>
      </w:r>
      <w:r w:rsidR="006B7A1E">
        <w:rPr>
          <w:rFonts w:hint="cs"/>
          <w:rtl/>
        </w:rPr>
        <w:t>الإضافي الدولي</w:t>
      </w:r>
      <w:r>
        <w:rPr>
          <w:rFonts w:hint="cs"/>
          <w:rtl/>
        </w:rPr>
        <w:t xml:space="preserve">. ولكن </w:t>
      </w:r>
      <w:r w:rsidR="00D42299">
        <w:rPr>
          <w:rFonts w:hint="cs"/>
          <w:rtl/>
        </w:rPr>
        <w:t xml:space="preserve">بما أن </w:t>
      </w:r>
      <w:r>
        <w:rPr>
          <w:rFonts w:hint="cs"/>
          <w:rtl/>
        </w:rPr>
        <w:t xml:space="preserve">تلك الإيضاحات تبدو مفيدة </w:t>
      </w:r>
      <w:r w:rsidR="00D42299">
        <w:rPr>
          <w:rFonts w:hint="cs"/>
          <w:rtl/>
        </w:rPr>
        <w:t>للمودعين والغير، فينبغي السعي قدر الإمكان على إدراجها.</w:t>
      </w:r>
    </w:p>
    <w:p w:rsidR="00D42299" w:rsidRDefault="00D42299" w:rsidP="002B7E47">
      <w:pPr>
        <w:pStyle w:val="NumberedParaAR"/>
      </w:pPr>
      <w:r>
        <w:rPr>
          <w:rFonts w:hint="cs"/>
          <w:rtl/>
        </w:rPr>
        <w:t xml:space="preserve">وفيما يتعلق بالاقتراح الداعي إلى منح الإدارات خيار </w:t>
      </w:r>
      <w:r w:rsidR="002B7E47">
        <w:rPr>
          <w:rFonts w:hint="cs"/>
          <w:rtl/>
        </w:rPr>
        <w:t>إعداد</w:t>
      </w:r>
      <w:r>
        <w:rPr>
          <w:rFonts w:hint="cs"/>
          <w:rtl/>
        </w:rPr>
        <w:t xml:space="preserve"> رأي مكتوب مع تقرير البحث </w:t>
      </w:r>
      <w:r w:rsidR="006B7A1E">
        <w:rPr>
          <w:rFonts w:hint="cs"/>
          <w:rtl/>
        </w:rPr>
        <w:t>الإضافي الدولي</w:t>
      </w:r>
      <w:r>
        <w:rPr>
          <w:rFonts w:hint="cs"/>
          <w:rtl/>
        </w:rPr>
        <w:t xml:space="preserve">، ففي حين قد يوفر إدراج ذلك الخيار خاصية مفيدة محتملة إلى نظام البحث </w:t>
      </w:r>
      <w:r w:rsidR="006B7A1E">
        <w:rPr>
          <w:rFonts w:hint="cs"/>
          <w:rtl/>
        </w:rPr>
        <w:t>الإضافي الدولي</w:t>
      </w:r>
      <w:r>
        <w:rPr>
          <w:rFonts w:hint="cs"/>
          <w:rtl/>
        </w:rPr>
        <w:t>، فإنه قد يزيد النظام تعقيدا. و</w:t>
      </w:r>
      <w:r w:rsidR="002B7E47">
        <w:rPr>
          <w:rFonts w:hint="cs"/>
          <w:rtl/>
        </w:rPr>
        <w:t xml:space="preserve">الجدير بالذكر أن الإدارات </w:t>
      </w:r>
      <w:r>
        <w:rPr>
          <w:rFonts w:hint="cs"/>
          <w:rtl/>
        </w:rPr>
        <w:t xml:space="preserve">توفر فعلا خدمات مختلفة بخصوص البحث </w:t>
      </w:r>
      <w:r w:rsidR="006B7A1E">
        <w:rPr>
          <w:rFonts w:hint="cs"/>
          <w:rtl/>
        </w:rPr>
        <w:t>الإضافي الدولي</w:t>
      </w:r>
      <w:r>
        <w:rPr>
          <w:rFonts w:hint="cs"/>
          <w:rtl/>
        </w:rPr>
        <w:t xml:space="preserve">؛ </w:t>
      </w:r>
      <w:r w:rsidR="002B7E47">
        <w:rPr>
          <w:rFonts w:hint="cs"/>
          <w:rtl/>
        </w:rPr>
        <w:t>ولن يسهم إدراج ذلك الخيار سوى في تفاقم تلك الاختلافات.</w:t>
      </w:r>
    </w:p>
    <w:p w:rsidR="002B7E47" w:rsidRDefault="002B7E47" w:rsidP="00E9380B">
      <w:pPr>
        <w:pStyle w:val="NumberedParaAR"/>
      </w:pPr>
      <w:r>
        <w:rPr>
          <w:rFonts w:hint="cs"/>
          <w:rtl/>
        </w:rPr>
        <w:t xml:space="preserve">وعلاوة على ذلك، ستكون إحدى مزايا إدراج ذلك الخيار الإمكانية المتاحة للمكاتب المعيّنة لقبول رأي مكتوب إِيجابي أعِد أثناء البحث </w:t>
      </w:r>
      <w:r w:rsidR="006B7A1E">
        <w:rPr>
          <w:rFonts w:hint="cs"/>
          <w:rtl/>
        </w:rPr>
        <w:t>الإضافي الدولي</w:t>
      </w:r>
      <w:r>
        <w:rPr>
          <w:rFonts w:hint="cs"/>
          <w:rtl/>
        </w:rPr>
        <w:t xml:space="preserve"> باعتباره أساسا لتقديم التماس بموجب المسار السريع لمعالجة</w:t>
      </w:r>
      <w:r>
        <w:rPr>
          <w:rtl/>
        </w:rPr>
        <w:t xml:space="preserve"> البراءات</w:t>
      </w:r>
      <w:r>
        <w:rPr>
          <w:rFonts w:hint="cs"/>
          <w:rtl/>
        </w:rPr>
        <w:t xml:space="preserve"> بناء على معاهدة التعاون بشأن البراءات</w:t>
      </w:r>
      <w:r>
        <w:rPr>
          <w:rtl/>
        </w:rPr>
        <w:t xml:space="preserve"> (</w:t>
      </w:r>
      <w:r w:rsidRPr="002B7E47">
        <w:t>PCT-PPH</w:t>
      </w:r>
      <w:r>
        <w:rPr>
          <w:rtl/>
        </w:rPr>
        <w:t>)</w:t>
      </w:r>
      <w:r>
        <w:rPr>
          <w:rFonts w:hint="cs"/>
          <w:rtl/>
        </w:rPr>
        <w:t xml:space="preserve">. ولكن ذلك لن يبدو ملائما سوى إذا كان البحث </w:t>
      </w:r>
      <w:r w:rsidR="006B7A1E">
        <w:rPr>
          <w:rFonts w:hint="cs"/>
          <w:rtl/>
        </w:rPr>
        <w:t>الإضافي الدولي</w:t>
      </w:r>
      <w:r>
        <w:rPr>
          <w:rFonts w:hint="cs"/>
          <w:rtl/>
        </w:rPr>
        <w:t xml:space="preserve"> قد غطى </w:t>
      </w:r>
      <w:r w:rsidR="00BE350B">
        <w:rPr>
          <w:rFonts w:hint="cs"/>
          <w:rtl/>
        </w:rPr>
        <w:t>الحد الأدنى الكامل للوثائق المنصوص عليها في المعاهدة.</w:t>
      </w:r>
      <w:r>
        <w:rPr>
          <w:rFonts w:hint="cs"/>
          <w:rtl/>
        </w:rPr>
        <w:t xml:space="preserve"> </w:t>
      </w:r>
      <w:r w:rsidR="00BE350B">
        <w:rPr>
          <w:rFonts w:hint="cs"/>
          <w:rtl/>
        </w:rPr>
        <w:t xml:space="preserve">وسيمكنه بالتالي الإسهام بشكل أكبر في الانتقال من بحث دولي إضافي </w:t>
      </w:r>
      <w:r w:rsidR="00E9380B">
        <w:rPr>
          <w:rFonts w:hint="cs"/>
          <w:rtl/>
        </w:rPr>
        <w:t>فعلا</w:t>
      </w:r>
      <w:r w:rsidR="00BE350B">
        <w:rPr>
          <w:rFonts w:hint="cs"/>
          <w:rtl/>
        </w:rPr>
        <w:t xml:space="preserve"> إلى بحث يمكن أن يوصف، جوهريا، ببحث دولي كامل ثان. وقد يؤدي ذلك الخيار أيضا إلى لجوء المودعين الذين حصلوا على تقريرين مختلفين، لأغراض </w:t>
      </w:r>
      <w:r w:rsidR="00E9380B">
        <w:rPr>
          <w:rFonts w:hint="cs"/>
          <w:rtl/>
        </w:rPr>
        <w:t>المسار السريع لمعالجة البراءات، إلى "انتقاء" تقرير صادر عن إدارة البحث الدولي الرئيسي وتقرير آخر صادر عن الإدارة المحدّدة لأغراض البحث الإضافي.</w:t>
      </w:r>
    </w:p>
    <w:p w:rsidR="00E9380B" w:rsidRDefault="00E9380B" w:rsidP="00F623F7">
      <w:pPr>
        <w:pStyle w:val="NumberedParaAR"/>
      </w:pPr>
      <w:r>
        <w:rPr>
          <w:rFonts w:hint="cs"/>
          <w:rtl/>
        </w:rPr>
        <w:t xml:space="preserve">وعليه قد يرغب الفريق العامل في النظر في </w:t>
      </w:r>
      <w:r w:rsidR="00433EEC">
        <w:rPr>
          <w:rFonts w:hint="cs"/>
          <w:rtl/>
        </w:rPr>
        <w:t xml:space="preserve">إمكانية </w:t>
      </w:r>
      <w:r>
        <w:rPr>
          <w:rFonts w:hint="cs"/>
          <w:rtl/>
        </w:rPr>
        <w:t xml:space="preserve">النص على ذلك الخيار في اللائحة التنفيذية. ولتيسير المناقشات، </w:t>
      </w:r>
      <w:r w:rsidR="007277EF">
        <w:rPr>
          <w:rFonts w:hint="cs"/>
          <w:rtl/>
        </w:rPr>
        <w:t>يورد المرفق القاعدتين المقترحتين الجديدتين</w:t>
      </w:r>
      <w:r w:rsidR="007277EF">
        <w:rPr>
          <w:rFonts w:hint="eastAsia"/>
          <w:rtl/>
        </w:rPr>
        <w:t> </w:t>
      </w:r>
      <w:r w:rsidR="007277EF">
        <w:rPr>
          <w:rFonts w:hint="cs"/>
          <w:rtl/>
        </w:rPr>
        <w:t>45</w:t>
      </w:r>
      <w:r w:rsidR="007277EF" w:rsidRPr="007277EF">
        <w:rPr>
          <w:rFonts w:hint="cs"/>
          <w:vertAlign w:val="superscript"/>
          <w:rtl/>
        </w:rPr>
        <w:t>(ثانيا)</w:t>
      </w:r>
      <w:r w:rsidR="007277EF">
        <w:rPr>
          <w:rFonts w:hint="cs"/>
          <w:rtl/>
        </w:rPr>
        <w:t>7</w:t>
      </w:r>
      <w:r w:rsidR="007277EF" w:rsidRPr="007277EF">
        <w:rPr>
          <w:rFonts w:hint="cs"/>
          <w:vertAlign w:val="superscript"/>
          <w:rtl/>
        </w:rPr>
        <w:t>(ثانيا)</w:t>
      </w:r>
      <w:r w:rsidR="007277EF">
        <w:rPr>
          <w:rFonts w:hint="cs"/>
          <w:rtl/>
        </w:rPr>
        <w:t xml:space="preserve"> و45</w:t>
      </w:r>
      <w:r w:rsidR="007277EF" w:rsidRPr="007277EF">
        <w:rPr>
          <w:rFonts w:hint="cs"/>
          <w:vertAlign w:val="superscript"/>
          <w:rtl/>
        </w:rPr>
        <w:t>(ثانيا)</w:t>
      </w:r>
      <w:r w:rsidR="007277EF">
        <w:rPr>
          <w:rFonts w:hint="cs"/>
          <w:rtl/>
        </w:rPr>
        <w:t>8(ب</w:t>
      </w:r>
      <w:r w:rsidR="007277EF" w:rsidRPr="007277EF">
        <w:rPr>
          <w:rFonts w:hint="cs"/>
          <w:vertAlign w:val="superscript"/>
          <w:rtl/>
        </w:rPr>
        <w:t>(ثانيا)</w:t>
      </w:r>
      <w:r w:rsidR="007277EF">
        <w:rPr>
          <w:rFonts w:hint="cs"/>
          <w:rtl/>
        </w:rPr>
        <w:t>). وبموجب القاعدة المقترحة الجديدة</w:t>
      </w:r>
      <w:r w:rsidR="007277EF">
        <w:rPr>
          <w:rFonts w:hint="eastAsia"/>
          <w:rtl/>
        </w:rPr>
        <w:t> </w:t>
      </w:r>
      <w:r w:rsidR="007277EF" w:rsidRPr="007277EF">
        <w:rPr>
          <w:rFonts w:hint="cs"/>
          <w:rtl/>
        </w:rPr>
        <w:t>45</w:t>
      </w:r>
      <w:r w:rsidR="007277EF" w:rsidRPr="007277EF">
        <w:rPr>
          <w:rFonts w:hint="cs"/>
          <w:vertAlign w:val="superscript"/>
          <w:rtl/>
        </w:rPr>
        <w:t>(ثانيا)</w:t>
      </w:r>
      <w:r w:rsidR="007277EF" w:rsidRPr="007277EF">
        <w:rPr>
          <w:rFonts w:hint="cs"/>
          <w:rtl/>
        </w:rPr>
        <w:t>7</w:t>
      </w:r>
      <w:r w:rsidR="007277EF" w:rsidRPr="007277EF">
        <w:rPr>
          <w:rFonts w:hint="cs"/>
          <w:vertAlign w:val="superscript"/>
          <w:rtl/>
        </w:rPr>
        <w:t>(ثانيا)</w:t>
      </w:r>
      <w:r w:rsidR="007277EF">
        <w:rPr>
          <w:rFonts w:hint="cs"/>
          <w:rtl/>
        </w:rPr>
        <w:t xml:space="preserve">، سيكون على أي إدارة ترغب </w:t>
      </w:r>
      <w:r w:rsidR="00643032">
        <w:rPr>
          <w:rFonts w:hint="cs"/>
          <w:rtl/>
        </w:rPr>
        <w:t>في إصدار رأي مكتوب إدر</w:t>
      </w:r>
      <w:r w:rsidR="00345652">
        <w:rPr>
          <w:rFonts w:hint="cs"/>
          <w:rtl/>
        </w:rPr>
        <w:t xml:space="preserve">اج حكم في هذا الخصوص في الاتفاق المبرم بينها وبين </w:t>
      </w:r>
      <w:r w:rsidR="00643032">
        <w:rPr>
          <w:rFonts w:hint="cs"/>
          <w:rtl/>
        </w:rPr>
        <w:t>المكتب الدولي بناء على المادة</w:t>
      </w:r>
      <w:r w:rsidR="00345652">
        <w:rPr>
          <w:rFonts w:hint="eastAsia"/>
          <w:rtl/>
        </w:rPr>
        <w:t> </w:t>
      </w:r>
      <w:r w:rsidR="00643032">
        <w:rPr>
          <w:rFonts w:hint="cs"/>
          <w:rtl/>
        </w:rPr>
        <w:t>16(3)(ب).</w:t>
      </w:r>
      <w:r w:rsidR="00345652">
        <w:rPr>
          <w:rFonts w:hint="cs"/>
          <w:rtl/>
        </w:rPr>
        <w:t xml:space="preserve"> ولتوفير ضمان للمودعين، سيُشترط من الإدارة التي تختار إدراج هذا الحكم إصدار رأي مكتوب لكل ما تجريه من بحوث دولية إضافية. وسيُصاغ الرأي المكتوب بالشكل نفسه الذي يُصاغ به الرأي المكتوب الصادر عن إدارة البحث الدولي (الرئيسي) وسيُرسل إلى المكتب الدولي مع تقرير البحث </w:t>
      </w:r>
      <w:r w:rsidR="006B7A1E">
        <w:rPr>
          <w:rFonts w:hint="cs"/>
          <w:rtl/>
        </w:rPr>
        <w:t>الإضافي الدولي</w:t>
      </w:r>
      <w:r w:rsidR="00345652">
        <w:rPr>
          <w:rFonts w:hint="cs"/>
          <w:rtl/>
        </w:rPr>
        <w:t xml:space="preserve"> </w:t>
      </w:r>
      <w:r w:rsidR="004663EB">
        <w:rPr>
          <w:rFonts w:hint="cs"/>
          <w:rtl/>
        </w:rPr>
        <w:t xml:space="preserve">أو إعلان يفيد </w:t>
      </w:r>
      <w:r w:rsidR="00F623F7">
        <w:rPr>
          <w:rFonts w:hint="cs"/>
          <w:rtl/>
        </w:rPr>
        <w:t>بأن</w:t>
      </w:r>
      <w:r w:rsidR="004663EB">
        <w:rPr>
          <w:rFonts w:hint="cs"/>
          <w:rtl/>
        </w:rPr>
        <w:t xml:space="preserve"> تقرير </w:t>
      </w:r>
      <w:r w:rsidR="00F623F7">
        <w:rPr>
          <w:rFonts w:hint="cs"/>
          <w:rtl/>
        </w:rPr>
        <w:t>ال</w:t>
      </w:r>
      <w:r w:rsidR="004663EB">
        <w:rPr>
          <w:rFonts w:hint="cs"/>
          <w:rtl/>
        </w:rPr>
        <w:t xml:space="preserve">بحث </w:t>
      </w:r>
      <w:r w:rsidR="006B7A1E">
        <w:rPr>
          <w:rFonts w:hint="cs"/>
          <w:rtl/>
        </w:rPr>
        <w:t>الإضافي الدولي</w:t>
      </w:r>
      <w:r w:rsidR="00F623F7">
        <w:rPr>
          <w:rFonts w:hint="cs"/>
          <w:rtl/>
        </w:rPr>
        <w:t xml:space="preserve"> لن يُعدّ</w:t>
      </w:r>
      <w:r w:rsidR="004663EB">
        <w:rPr>
          <w:rFonts w:hint="cs"/>
          <w:rtl/>
        </w:rPr>
        <w:t xml:space="preserve">. غير أنه لن يُشترط تكرار تصنيف إدارة البحث الدولي (الرئيسي) في الرأي المكتوب، لأنه لا يُعد جزءا من تقرير البحث </w:t>
      </w:r>
      <w:r w:rsidR="006B7A1E">
        <w:rPr>
          <w:rFonts w:hint="cs"/>
          <w:rtl/>
        </w:rPr>
        <w:t>الإضافي الدولي</w:t>
      </w:r>
      <w:r w:rsidR="004663EB">
        <w:rPr>
          <w:rFonts w:hint="cs"/>
          <w:rtl/>
        </w:rPr>
        <w:t>.</w:t>
      </w:r>
    </w:p>
    <w:p w:rsidR="004663EB" w:rsidRDefault="00F623F7" w:rsidP="00F623F7">
      <w:pPr>
        <w:pStyle w:val="NumberedParaAR"/>
      </w:pPr>
      <w:r>
        <w:rPr>
          <w:rFonts w:hint="cs"/>
          <w:rtl/>
        </w:rPr>
        <w:t>وفي حال عدم استلام أي التماس بإجراء فحص تمهيدي دولي، سيرسل المكتب الدولي، بموجب القاعدة الجديدة</w:t>
      </w:r>
      <w:r>
        <w:rPr>
          <w:rFonts w:hint="eastAsia"/>
          <w:rtl/>
        </w:rPr>
        <w:t> </w:t>
      </w:r>
      <w:r>
        <w:rPr>
          <w:rFonts w:hint="cs"/>
          <w:rtl/>
        </w:rPr>
        <w:t>45</w:t>
      </w:r>
      <w:r w:rsidRPr="007277EF">
        <w:rPr>
          <w:rFonts w:hint="cs"/>
          <w:vertAlign w:val="superscript"/>
          <w:rtl/>
        </w:rPr>
        <w:t>(ثانيا)</w:t>
      </w:r>
      <w:r>
        <w:rPr>
          <w:rFonts w:hint="cs"/>
          <w:rtl/>
        </w:rPr>
        <w:t>8(ب</w:t>
      </w:r>
      <w:r w:rsidRPr="007277EF">
        <w:rPr>
          <w:rFonts w:hint="cs"/>
          <w:vertAlign w:val="superscript"/>
          <w:rtl/>
        </w:rPr>
        <w:t>(ثانيا)</w:t>
      </w:r>
      <w:r w:rsidR="00433EEC">
        <w:rPr>
          <w:rFonts w:hint="cs"/>
          <w:rtl/>
        </w:rPr>
        <w:t>)</w:t>
      </w:r>
      <w:r>
        <w:rPr>
          <w:rFonts w:hint="cs"/>
          <w:rtl/>
        </w:rPr>
        <w:t>، الرأي المكتوب إلى المكتب المعيّن بعد انقضاء 30 شهرا اعتبارا من تاريخ الأولوية، إلا إذا التمس المودع دخول المرحلة الوطنية مبكّرا. وسيُترجم الرأي المكتوب إلى الإنكليزية وستُتاح للمودع إمكانية تقديم ملاحظات مكتوبة بشأن صحة الترجمة، كما في حالة ال</w:t>
      </w:r>
      <w:r w:rsidR="00501CF4">
        <w:rPr>
          <w:rFonts w:hint="cs"/>
          <w:rtl/>
        </w:rPr>
        <w:t>تقارير التمهيدية الدولية عن الأهلية للبراءة (الفصل الأول).</w:t>
      </w:r>
    </w:p>
    <w:p w:rsidR="00501CF4" w:rsidRDefault="00501CF4" w:rsidP="001414A7">
      <w:pPr>
        <w:pStyle w:val="NumberedParaAR"/>
      </w:pPr>
      <w:r>
        <w:rPr>
          <w:rFonts w:hint="cs"/>
          <w:rtl/>
        </w:rPr>
        <w:t>وفي حال استلام التماس بإجراء فحص تمهيدي دولي، سيرسل المكتب الدولي الرأي المكتوب إلى إدارة الفحص التمهيدي الدولي؛ ويمكن إدراج بند جديد في هذا الخصوص في التعليمات الإدارية يكون مماثلا للبند</w:t>
      </w:r>
      <w:r>
        <w:rPr>
          <w:rFonts w:hint="eastAsia"/>
          <w:rtl/>
        </w:rPr>
        <w:t> </w:t>
      </w:r>
      <w:r>
        <w:rPr>
          <w:rFonts w:hint="cs"/>
          <w:rtl/>
        </w:rPr>
        <w:t xml:space="preserve">420(ب) بشأن تقرير البحث </w:t>
      </w:r>
      <w:r w:rsidR="006B7A1E">
        <w:rPr>
          <w:rFonts w:hint="cs"/>
          <w:rtl/>
        </w:rPr>
        <w:t>الإضافي الدولي</w:t>
      </w:r>
      <w:r>
        <w:rPr>
          <w:rFonts w:hint="cs"/>
          <w:rtl/>
        </w:rPr>
        <w:t xml:space="preserve">. وبالتالي </w:t>
      </w:r>
      <w:r w:rsidR="001414A7">
        <w:rPr>
          <w:rFonts w:hint="cs"/>
          <w:rtl/>
        </w:rPr>
        <w:t>ستأ</w:t>
      </w:r>
      <w:r>
        <w:rPr>
          <w:rFonts w:hint="cs"/>
          <w:rtl/>
        </w:rPr>
        <w:t xml:space="preserve">خذ </w:t>
      </w:r>
      <w:r w:rsidR="001414A7">
        <w:rPr>
          <w:rFonts w:hint="cs"/>
          <w:rtl/>
        </w:rPr>
        <w:t>إدارة الفحص التمهيدي الدولي</w:t>
      </w:r>
      <w:r>
        <w:rPr>
          <w:rFonts w:hint="cs"/>
          <w:rtl/>
        </w:rPr>
        <w:t>، بموجب القاعدة الجديدة</w:t>
      </w:r>
      <w:r>
        <w:rPr>
          <w:rFonts w:hint="eastAsia"/>
          <w:rtl/>
        </w:rPr>
        <w:t> </w:t>
      </w:r>
      <w:r>
        <w:rPr>
          <w:rFonts w:hint="cs"/>
          <w:rtl/>
        </w:rPr>
        <w:t xml:space="preserve"> 45</w:t>
      </w:r>
      <w:r w:rsidRPr="007277EF">
        <w:rPr>
          <w:rFonts w:hint="cs"/>
          <w:vertAlign w:val="superscript"/>
          <w:rtl/>
        </w:rPr>
        <w:t>(ثانيا)</w:t>
      </w:r>
      <w:r>
        <w:rPr>
          <w:rFonts w:hint="cs"/>
          <w:rtl/>
        </w:rPr>
        <w:t>8(ب</w:t>
      </w:r>
      <w:r w:rsidRPr="007277EF">
        <w:rPr>
          <w:rFonts w:hint="cs"/>
          <w:vertAlign w:val="superscript"/>
          <w:rtl/>
        </w:rPr>
        <w:t>(</w:t>
      </w:r>
      <w:r w:rsidR="00D42ACA">
        <w:rPr>
          <w:rFonts w:hint="cs"/>
          <w:vertAlign w:val="superscript"/>
          <w:rtl/>
        </w:rPr>
        <w:t>ثالثا</w:t>
      </w:r>
      <w:r w:rsidRPr="007277EF">
        <w:rPr>
          <w:rFonts w:hint="cs"/>
          <w:vertAlign w:val="superscript"/>
          <w:rtl/>
        </w:rPr>
        <w:t>)</w:t>
      </w:r>
      <w:r w:rsidR="00433EEC">
        <w:rPr>
          <w:rFonts w:hint="cs"/>
          <w:rtl/>
        </w:rPr>
        <w:t>)</w:t>
      </w:r>
      <w:r>
        <w:rPr>
          <w:rFonts w:hint="cs"/>
          <w:rtl/>
        </w:rPr>
        <w:t xml:space="preserve">، </w:t>
      </w:r>
      <w:r w:rsidR="001414A7">
        <w:rPr>
          <w:rFonts w:hint="cs"/>
          <w:rtl/>
        </w:rPr>
        <w:t xml:space="preserve">الرأي المكتوب </w:t>
      </w:r>
      <w:r>
        <w:rPr>
          <w:rFonts w:hint="cs"/>
          <w:rtl/>
        </w:rPr>
        <w:t xml:space="preserve">في الحسبان </w:t>
      </w:r>
      <w:r w:rsidR="001414A7">
        <w:rPr>
          <w:rFonts w:hint="cs"/>
          <w:rtl/>
        </w:rPr>
        <w:t>لدى إعداد أي رأي مكتوب أو التقرير التمهيدي الدولي عن الأهلية للبراءة (الفصل الثاني)، إلا إذا كانت قد شرعت فعلا في صياغة ذلك الرأي أو التقرير.</w:t>
      </w:r>
    </w:p>
    <w:p w:rsidR="001414A7" w:rsidRDefault="001414A7" w:rsidP="003F716C">
      <w:pPr>
        <w:pStyle w:val="DecisionParaAR"/>
        <w:spacing w:after="480"/>
      </w:pPr>
      <w:r>
        <w:rPr>
          <w:rFonts w:hint="cs"/>
          <w:rtl/>
        </w:rPr>
        <w:t>إن الفريق العامل مدعو</w:t>
      </w:r>
      <w:r>
        <w:rPr>
          <w:rtl/>
        </w:rPr>
        <w:t>ٌ</w:t>
      </w:r>
      <w:r>
        <w:rPr>
          <w:rFonts w:hint="cs"/>
          <w:rtl/>
        </w:rPr>
        <w:t xml:space="preserve"> إلى التعليق على التعديلات المقترح إدخالها على اللائحة التنفيذية لمعاهدة ال</w:t>
      </w:r>
      <w:r w:rsidR="003F716C">
        <w:rPr>
          <w:rFonts w:hint="cs"/>
          <w:rtl/>
        </w:rPr>
        <w:t>تعاون بشأن البراءات والمبيّنة في مرفق هذه الوثيقة.</w:t>
      </w:r>
    </w:p>
    <w:p w:rsidR="0017704C" w:rsidRDefault="003F716C" w:rsidP="003F716C">
      <w:pPr>
        <w:pStyle w:val="EndofDocumentAR"/>
        <w:rPr>
          <w:rtl/>
        </w:rPr>
        <w:sectPr w:rsidR="0017704C" w:rsidSect="00EB7752">
          <w:headerReference w:type="default" r:id="rId10"/>
          <w:pgSz w:w="11907" w:h="16840" w:code="9"/>
          <w:pgMar w:top="567" w:right="1418" w:bottom="1418" w:left="1134" w:header="510" w:footer="1021" w:gutter="0"/>
          <w:cols w:space="720"/>
          <w:titlePg/>
          <w:docGrid w:linePitch="299"/>
        </w:sectPr>
      </w:pPr>
      <w:r>
        <w:rPr>
          <w:rFonts w:hint="cs"/>
          <w:rtl/>
        </w:rPr>
        <w:t>[يلي ذلك المرفق]</w:t>
      </w:r>
    </w:p>
    <w:p w:rsidR="0060475B" w:rsidRPr="00B13B65" w:rsidRDefault="0060475B" w:rsidP="0060475B">
      <w:pPr>
        <w:pStyle w:val="NormalParaAR"/>
        <w:jc w:val="center"/>
        <w:rPr>
          <w:sz w:val="40"/>
          <w:szCs w:val="40"/>
          <w:rtl/>
        </w:rPr>
      </w:pPr>
      <w:r w:rsidRPr="00B13B65">
        <w:rPr>
          <w:rFonts w:hint="cs"/>
          <w:sz w:val="40"/>
          <w:szCs w:val="40"/>
          <w:rtl/>
        </w:rPr>
        <w:t>التعديلات المقترح إدخالها على اللائحة التنفيذية لمعاهدة التعاون بشأن البراءات</w:t>
      </w:r>
      <w:r>
        <w:rPr>
          <w:rStyle w:val="FootnoteReference"/>
          <w:rtl/>
        </w:rPr>
        <w:footnoteReference w:id="1"/>
      </w:r>
    </w:p>
    <w:p w:rsidR="0060475B" w:rsidRPr="00B13B65" w:rsidRDefault="0060475B" w:rsidP="0060475B">
      <w:pPr>
        <w:pStyle w:val="NormalParaAR"/>
        <w:jc w:val="center"/>
        <w:rPr>
          <w:sz w:val="40"/>
          <w:szCs w:val="40"/>
          <w:rtl/>
        </w:rPr>
      </w:pPr>
      <w:r w:rsidRPr="00B13B65">
        <w:rPr>
          <w:rFonts w:hint="cs"/>
          <w:sz w:val="40"/>
          <w:szCs w:val="40"/>
          <w:rtl/>
        </w:rPr>
        <w:t>المحتويات</w:t>
      </w:r>
    </w:p>
    <w:p w:rsidR="006878B3" w:rsidRPr="006878B3" w:rsidRDefault="006878B3" w:rsidP="006878B3">
      <w:pPr>
        <w:pStyle w:val="TOC1"/>
        <w:tabs>
          <w:tab w:val="right" w:leader="dot" w:pos="9345"/>
        </w:tabs>
        <w:bidi/>
        <w:rPr>
          <w:rFonts w:ascii="Arabic Typesetting" w:hAnsi="Arabic Typesetting" w:cs="Arabic Typesetting"/>
          <w:noProof/>
          <w:sz w:val="36"/>
          <w:szCs w:val="36"/>
        </w:rPr>
      </w:pPr>
      <w:r>
        <w:rPr>
          <w:rtl/>
        </w:rPr>
        <w:fldChar w:fldCharType="begin"/>
      </w:r>
      <w:r>
        <w:rPr>
          <w:rtl/>
        </w:rPr>
        <w:instrText xml:space="preserve"> </w:instrText>
      </w:r>
      <w:r>
        <w:instrText>TOC</w:instrText>
      </w:r>
      <w:r>
        <w:rPr>
          <w:rtl/>
        </w:rPr>
        <w:instrText xml:space="preserve"> \</w:instrText>
      </w:r>
      <w:r>
        <w:instrText>o "1-2" \h \z \u</w:instrText>
      </w:r>
      <w:r>
        <w:rPr>
          <w:rtl/>
        </w:rPr>
        <w:instrText xml:space="preserve"> </w:instrText>
      </w:r>
      <w:r>
        <w:rPr>
          <w:rtl/>
        </w:rPr>
        <w:fldChar w:fldCharType="separate"/>
      </w:r>
      <w:hyperlink w:anchor="_Toc445375382" w:history="1">
        <w:r w:rsidRPr="006878B3">
          <w:rPr>
            <w:rStyle w:val="Hyperlink"/>
            <w:rFonts w:ascii="Arabic Typesetting" w:hAnsi="Arabic Typesetting" w:cs="Arabic Typesetting"/>
            <w:noProof/>
            <w:sz w:val="36"/>
            <w:szCs w:val="36"/>
            <w:rtl/>
            <w:lang w:bidi="ar-EG"/>
          </w:rPr>
          <w:t>القاعدة 45</w:t>
        </w:r>
        <w:r w:rsidRPr="006878B3">
          <w:rPr>
            <w:rStyle w:val="Hyperlink"/>
            <w:rFonts w:ascii="Arabic Typesetting" w:hAnsi="Arabic Typesetting" w:cs="Arabic Typesetting"/>
            <w:noProof/>
            <w:sz w:val="36"/>
            <w:szCs w:val="36"/>
            <w:vertAlign w:val="superscript"/>
            <w:rtl/>
            <w:lang w:bidi="ar-EG"/>
          </w:rPr>
          <w:t>(ثانيا)</w:t>
        </w:r>
        <w:r w:rsidRPr="006878B3">
          <w:rPr>
            <w:rStyle w:val="Hyperlink"/>
            <w:rFonts w:ascii="Arabic Typesetting" w:hAnsi="Arabic Typesetting" w:cs="Arabic Typesetting"/>
            <w:noProof/>
            <w:sz w:val="36"/>
            <w:szCs w:val="36"/>
            <w:vertAlign w:val="superscript"/>
            <w:rtl/>
          </w:rPr>
          <w:t xml:space="preserve">  </w:t>
        </w:r>
        <w:r w:rsidRPr="006878B3">
          <w:rPr>
            <w:rStyle w:val="Hyperlink"/>
            <w:rFonts w:ascii="Arabic Typesetting" w:hAnsi="Arabic Typesetting" w:cs="Arabic Typesetting"/>
            <w:noProof/>
            <w:sz w:val="36"/>
            <w:szCs w:val="36"/>
            <w:rtl/>
            <w:lang w:bidi="ar-EG"/>
          </w:rPr>
          <w:t xml:space="preserve"> البحوث الإضافية الدولية</w:t>
        </w:r>
        <w:r w:rsidRPr="006878B3">
          <w:rPr>
            <w:rFonts w:ascii="Arabic Typesetting" w:hAnsi="Arabic Typesetting" w:cs="Arabic Typesetting"/>
            <w:noProof/>
            <w:webHidden/>
            <w:sz w:val="36"/>
            <w:szCs w:val="36"/>
          </w:rPr>
          <w:tab/>
        </w:r>
        <w:r w:rsidRPr="006878B3">
          <w:rPr>
            <w:rFonts w:ascii="Arabic Typesetting" w:hAnsi="Arabic Typesetting" w:cs="Arabic Typesetting"/>
            <w:noProof/>
            <w:webHidden/>
            <w:sz w:val="36"/>
            <w:szCs w:val="36"/>
          </w:rPr>
          <w:fldChar w:fldCharType="begin"/>
        </w:r>
        <w:r w:rsidRPr="006878B3">
          <w:rPr>
            <w:rFonts w:ascii="Arabic Typesetting" w:hAnsi="Arabic Typesetting" w:cs="Arabic Typesetting"/>
            <w:noProof/>
            <w:webHidden/>
            <w:sz w:val="36"/>
            <w:szCs w:val="36"/>
          </w:rPr>
          <w:instrText xml:space="preserve"> PAGEREF _Toc445375382 \h </w:instrText>
        </w:r>
        <w:r w:rsidRPr="006878B3">
          <w:rPr>
            <w:rFonts w:ascii="Arabic Typesetting" w:hAnsi="Arabic Typesetting" w:cs="Arabic Typesetting"/>
            <w:noProof/>
            <w:webHidden/>
            <w:sz w:val="36"/>
            <w:szCs w:val="36"/>
          </w:rPr>
        </w:r>
        <w:r w:rsidRPr="006878B3">
          <w:rPr>
            <w:rFonts w:ascii="Arabic Typesetting" w:hAnsi="Arabic Typesetting" w:cs="Arabic Typesetting"/>
            <w:noProof/>
            <w:webHidden/>
            <w:sz w:val="36"/>
            <w:szCs w:val="36"/>
          </w:rPr>
          <w:fldChar w:fldCharType="separate"/>
        </w:r>
        <w:r w:rsidR="00A57D6C">
          <w:rPr>
            <w:rFonts w:ascii="Arabic Typesetting" w:hAnsi="Arabic Typesetting" w:cs="Arabic Typesetting"/>
            <w:noProof/>
            <w:webHidden/>
            <w:sz w:val="36"/>
            <w:szCs w:val="36"/>
            <w:rtl/>
          </w:rPr>
          <w:t>2</w:t>
        </w:r>
        <w:r w:rsidRPr="006878B3">
          <w:rPr>
            <w:rFonts w:ascii="Arabic Typesetting" w:hAnsi="Arabic Typesetting" w:cs="Arabic Typesetting"/>
            <w:noProof/>
            <w:webHidden/>
            <w:sz w:val="36"/>
            <w:szCs w:val="36"/>
          </w:rPr>
          <w:fldChar w:fldCharType="end"/>
        </w:r>
      </w:hyperlink>
    </w:p>
    <w:p w:rsidR="006878B3" w:rsidRPr="006878B3" w:rsidRDefault="006878B3" w:rsidP="006878B3">
      <w:pPr>
        <w:pStyle w:val="TOC2"/>
        <w:tabs>
          <w:tab w:val="right" w:leader="dot" w:pos="9345"/>
        </w:tabs>
        <w:bidi/>
        <w:rPr>
          <w:rFonts w:ascii="Arabic Typesetting" w:hAnsi="Arabic Typesetting" w:cs="Arabic Typesetting"/>
          <w:noProof/>
          <w:sz w:val="36"/>
          <w:szCs w:val="36"/>
        </w:rPr>
      </w:pPr>
      <w:hyperlink w:anchor="_Toc445375383" w:history="1">
        <w:r w:rsidRPr="006878B3">
          <w:rPr>
            <w:rStyle w:val="Hyperlink"/>
            <w:rFonts w:ascii="Arabic Typesetting" w:hAnsi="Arabic Typesetting" w:cs="Arabic Typesetting"/>
            <w:noProof/>
            <w:sz w:val="36"/>
            <w:szCs w:val="36"/>
            <w:rtl/>
            <w:lang w:bidi="ar-EG"/>
          </w:rPr>
          <w:t>45</w:t>
        </w:r>
        <w:r w:rsidRPr="006878B3">
          <w:rPr>
            <w:rStyle w:val="Hyperlink"/>
            <w:rFonts w:ascii="Arabic Typesetting" w:hAnsi="Arabic Typesetting" w:cs="Arabic Typesetting"/>
            <w:noProof/>
            <w:sz w:val="36"/>
            <w:szCs w:val="36"/>
            <w:vertAlign w:val="superscript"/>
            <w:rtl/>
            <w:lang w:bidi="ar-EG"/>
          </w:rPr>
          <w:t>(ثانيا)</w:t>
        </w:r>
        <w:r w:rsidRPr="006878B3">
          <w:rPr>
            <w:rStyle w:val="Hyperlink"/>
            <w:rFonts w:ascii="Arabic Typesetting" w:hAnsi="Arabic Typesetting" w:cs="Arabic Typesetting"/>
            <w:noProof/>
            <w:sz w:val="36"/>
            <w:szCs w:val="36"/>
            <w:rtl/>
            <w:lang w:bidi="ar-EG"/>
          </w:rPr>
          <w:t xml:space="preserve">1   </w:t>
        </w:r>
        <w:r w:rsidRPr="006878B3">
          <w:rPr>
            <w:rStyle w:val="Hyperlink"/>
            <w:rFonts w:ascii="Arabic Typesetting" w:hAnsi="Arabic Typesetting" w:cs="Arabic Typesetting"/>
            <w:i/>
            <w:iCs/>
            <w:noProof/>
            <w:sz w:val="36"/>
            <w:szCs w:val="36"/>
            <w:rtl/>
            <w:lang w:bidi="ar-EG"/>
          </w:rPr>
          <w:t>التماس البحث الإضافي</w:t>
        </w:r>
        <w:r w:rsidRPr="006878B3">
          <w:rPr>
            <w:rFonts w:ascii="Arabic Typesetting" w:hAnsi="Arabic Typesetting" w:cs="Arabic Typesetting"/>
            <w:noProof/>
            <w:webHidden/>
            <w:sz w:val="36"/>
            <w:szCs w:val="36"/>
          </w:rPr>
          <w:tab/>
        </w:r>
        <w:r w:rsidRPr="006878B3">
          <w:rPr>
            <w:rFonts w:ascii="Arabic Typesetting" w:hAnsi="Arabic Typesetting" w:cs="Arabic Typesetting"/>
            <w:noProof/>
            <w:webHidden/>
            <w:sz w:val="36"/>
            <w:szCs w:val="36"/>
          </w:rPr>
          <w:fldChar w:fldCharType="begin"/>
        </w:r>
        <w:r w:rsidRPr="006878B3">
          <w:rPr>
            <w:rFonts w:ascii="Arabic Typesetting" w:hAnsi="Arabic Typesetting" w:cs="Arabic Typesetting"/>
            <w:noProof/>
            <w:webHidden/>
            <w:sz w:val="36"/>
            <w:szCs w:val="36"/>
          </w:rPr>
          <w:instrText xml:space="preserve"> PAGEREF _Toc445375383 \h </w:instrText>
        </w:r>
        <w:r w:rsidRPr="006878B3">
          <w:rPr>
            <w:rFonts w:ascii="Arabic Typesetting" w:hAnsi="Arabic Typesetting" w:cs="Arabic Typesetting"/>
            <w:noProof/>
            <w:webHidden/>
            <w:sz w:val="36"/>
            <w:szCs w:val="36"/>
          </w:rPr>
        </w:r>
        <w:r w:rsidRPr="006878B3">
          <w:rPr>
            <w:rFonts w:ascii="Arabic Typesetting" w:hAnsi="Arabic Typesetting" w:cs="Arabic Typesetting"/>
            <w:noProof/>
            <w:webHidden/>
            <w:sz w:val="36"/>
            <w:szCs w:val="36"/>
          </w:rPr>
          <w:fldChar w:fldCharType="separate"/>
        </w:r>
        <w:r w:rsidR="00A57D6C">
          <w:rPr>
            <w:rFonts w:ascii="Arabic Typesetting" w:hAnsi="Arabic Typesetting" w:cs="Arabic Typesetting"/>
            <w:noProof/>
            <w:webHidden/>
            <w:sz w:val="36"/>
            <w:szCs w:val="36"/>
            <w:rtl/>
          </w:rPr>
          <w:t>2</w:t>
        </w:r>
        <w:r w:rsidRPr="006878B3">
          <w:rPr>
            <w:rFonts w:ascii="Arabic Typesetting" w:hAnsi="Arabic Typesetting" w:cs="Arabic Typesetting"/>
            <w:noProof/>
            <w:webHidden/>
            <w:sz w:val="36"/>
            <w:szCs w:val="36"/>
          </w:rPr>
          <w:fldChar w:fldCharType="end"/>
        </w:r>
      </w:hyperlink>
    </w:p>
    <w:p w:rsidR="006878B3" w:rsidRPr="006878B3" w:rsidRDefault="006878B3" w:rsidP="006878B3">
      <w:pPr>
        <w:pStyle w:val="TOC2"/>
        <w:tabs>
          <w:tab w:val="right" w:leader="dot" w:pos="9345"/>
        </w:tabs>
        <w:bidi/>
        <w:rPr>
          <w:rFonts w:ascii="Arabic Typesetting" w:hAnsi="Arabic Typesetting" w:cs="Arabic Typesetting"/>
          <w:noProof/>
          <w:sz w:val="36"/>
          <w:szCs w:val="36"/>
        </w:rPr>
      </w:pPr>
      <w:hyperlink w:anchor="_Toc445375384" w:history="1">
        <w:r w:rsidRPr="006878B3">
          <w:rPr>
            <w:rStyle w:val="Hyperlink"/>
            <w:rFonts w:ascii="Arabic Typesetting" w:hAnsi="Arabic Typesetting" w:cs="Arabic Typesetting"/>
            <w:noProof/>
            <w:sz w:val="36"/>
            <w:szCs w:val="36"/>
            <w:rtl/>
            <w:lang w:bidi="ar-EG"/>
          </w:rPr>
          <w:t>45</w:t>
        </w:r>
        <w:r w:rsidRPr="006878B3">
          <w:rPr>
            <w:rStyle w:val="Hyperlink"/>
            <w:rFonts w:ascii="Arabic Typesetting" w:hAnsi="Arabic Typesetting" w:cs="Arabic Typesetting"/>
            <w:noProof/>
            <w:sz w:val="36"/>
            <w:szCs w:val="36"/>
            <w:vertAlign w:val="superscript"/>
            <w:rtl/>
            <w:lang w:bidi="ar-EG"/>
          </w:rPr>
          <w:t>(ثانيا)</w:t>
        </w:r>
        <w:r w:rsidRPr="006878B3">
          <w:rPr>
            <w:rStyle w:val="Hyperlink"/>
            <w:rFonts w:ascii="Arabic Typesetting" w:hAnsi="Arabic Typesetting" w:cs="Arabic Typesetting"/>
            <w:noProof/>
            <w:sz w:val="36"/>
            <w:szCs w:val="36"/>
            <w:rtl/>
            <w:lang w:bidi="ar-EG"/>
          </w:rPr>
          <w:t xml:space="preserve">2 إلى 4   </w:t>
        </w:r>
        <w:r w:rsidRPr="006878B3">
          <w:rPr>
            <w:rStyle w:val="Hyperlink"/>
            <w:rFonts w:ascii="Arabic Typesetting" w:hAnsi="Arabic Typesetting" w:cs="Arabic Typesetting"/>
            <w:i/>
            <w:iCs/>
            <w:noProof/>
            <w:sz w:val="36"/>
            <w:szCs w:val="36"/>
            <w:rtl/>
            <w:lang w:bidi="ar-EG"/>
          </w:rPr>
          <w:t>[دون تغيير]</w:t>
        </w:r>
        <w:r w:rsidRPr="006878B3">
          <w:rPr>
            <w:rFonts w:ascii="Arabic Typesetting" w:hAnsi="Arabic Typesetting" w:cs="Arabic Typesetting"/>
            <w:noProof/>
            <w:webHidden/>
            <w:sz w:val="36"/>
            <w:szCs w:val="36"/>
          </w:rPr>
          <w:tab/>
        </w:r>
        <w:r w:rsidRPr="006878B3">
          <w:rPr>
            <w:rFonts w:ascii="Arabic Typesetting" w:hAnsi="Arabic Typesetting" w:cs="Arabic Typesetting"/>
            <w:noProof/>
            <w:webHidden/>
            <w:sz w:val="36"/>
            <w:szCs w:val="36"/>
          </w:rPr>
          <w:fldChar w:fldCharType="begin"/>
        </w:r>
        <w:r w:rsidRPr="006878B3">
          <w:rPr>
            <w:rFonts w:ascii="Arabic Typesetting" w:hAnsi="Arabic Typesetting" w:cs="Arabic Typesetting"/>
            <w:noProof/>
            <w:webHidden/>
            <w:sz w:val="36"/>
            <w:szCs w:val="36"/>
          </w:rPr>
          <w:instrText xml:space="preserve"> PAGEREF _Toc445375384 \h </w:instrText>
        </w:r>
        <w:r w:rsidRPr="006878B3">
          <w:rPr>
            <w:rFonts w:ascii="Arabic Typesetting" w:hAnsi="Arabic Typesetting" w:cs="Arabic Typesetting"/>
            <w:noProof/>
            <w:webHidden/>
            <w:sz w:val="36"/>
            <w:szCs w:val="36"/>
          </w:rPr>
        </w:r>
        <w:r w:rsidRPr="006878B3">
          <w:rPr>
            <w:rFonts w:ascii="Arabic Typesetting" w:hAnsi="Arabic Typesetting" w:cs="Arabic Typesetting"/>
            <w:noProof/>
            <w:webHidden/>
            <w:sz w:val="36"/>
            <w:szCs w:val="36"/>
          </w:rPr>
          <w:fldChar w:fldCharType="separate"/>
        </w:r>
        <w:r w:rsidR="00A57D6C">
          <w:rPr>
            <w:rFonts w:ascii="Arabic Typesetting" w:hAnsi="Arabic Typesetting" w:cs="Arabic Typesetting"/>
            <w:noProof/>
            <w:webHidden/>
            <w:sz w:val="36"/>
            <w:szCs w:val="36"/>
            <w:rtl/>
          </w:rPr>
          <w:t>2</w:t>
        </w:r>
        <w:r w:rsidRPr="006878B3">
          <w:rPr>
            <w:rFonts w:ascii="Arabic Typesetting" w:hAnsi="Arabic Typesetting" w:cs="Arabic Typesetting"/>
            <w:noProof/>
            <w:webHidden/>
            <w:sz w:val="36"/>
            <w:szCs w:val="36"/>
          </w:rPr>
          <w:fldChar w:fldCharType="end"/>
        </w:r>
      </w:hyperlink>
    </w:p>
    <w:p w:rsidR="006878B3" w:rsidRPr="006878B3" w:rsidRDefault="006878B3" w:rsidP="006878B3">
      <w:pPr>
        <w:pStyle w:val="TOC2"/>
        <w:tabs>
          <w:tab w:val="right" w:leader="dot" w:pos="9345"/>
        </w:tabs>
        <w:bidi/>
        <w:rPr>
          <w:rFonts w:ascii="Arabic Typesetting" w:hAnsi="Arabic Typesetting" w:cs="Arabic Typesetting"/>
          <w:noProof/>
          <w:sz w:val="36"/>
          <w:szCs w:val="36"/>
        </w:rPr>
      </w:pPr>
      <w:hyperlink w:anchor="_Toc445375385" w:history="1">
        <w:r w:rsidRPr="006878B3">
          <w:rPr>
            <w:rStyle w:val="Hyperlink"/>
            <w:rFonts w:ascii="Arabic Typesetting" w:hAnsi="Arabic Typesetting" w:cs="Arabic Typesetting"/>
            <w:noProof/>
            <w:sz w:val="36"/>
            <w:szCs w:val="36"/>
            <w:rtl/>
            <w:lang w:bidi="ar-EG"/>
          </w:rPr>
          <w:t>45</w:t>
        </w:r>
        <w:r w:rsidRPr="006878B3">
          <w:rPr>
            <w:rStyle w:val="Hyperlink"/>
            <w:rFonts w:ascii="Arabic Typesetting" w:hAnsi="Arabic Typesetting" w:cs="Arabic Typesetting"/>
            <w:noProof/>
            <w:sz w:val="36"/>
            <w:szCs w:val="36"/>
            <w:vertAlign w:val="superscript"/>
            <w:rtl/>
            <w:lang w:bidi="ar-EG"/>
          </w:rPr>
          <w:t>(ثانيا)</w:t>
        </w:r>
        <w:r w:rsidRPr="006878B3">
          <w:rPr>
            <w:rStyle w:val="Hyperlink"/>
            <w:rFonts w:ascii="Arabic Typesetting" w:hAnsi="Arabic Typesetting" w:cs="Arabic Typesetting"/>
            <w:noProof/>
            <w:sz w:val="36"/>
            <w:szCs w:val="36"/>
            <w:rtl/>
          </w:rPr>
          <w:t>5</w:t>
        </w:r>
        <w:r w:rsidRPr="006878B3">
          <w:rPr>
            <w:rStyle w:val="Hyperlink"/>
            <w:rFonts w:ascii="Arabic Typesetting" w:hAnsi="Arabic Typesetting" w:cs="Arabic Typesetting"/>
            <w:noProof/>
            <w:sz w:val="36"/>
            <w:szCs w:val="36"/>
            <w:rtl/>
            <w:lang w:bidi="ar-EG"/>
          </w:rPr>
          <w:t xml:space="preserve">   </w:t>
        </w:r>
        <w:r w:rsidRPr="006878B3">
          <w:rPr>
            <w:rStyle w:val="Hyperlink"/>
            <w:rFonts w:ascii="Arabic Typesetting" w:hAnsi="Arabic Typesetting" w:cs="Arabic Typesetting"/>
            <w:i/>
            <w:iCs/>
            <w:noProof/>
            <w:sz w:val="36"/>
            <w:szCs w:val="36"/>
            <w:rtl/>
            <w:lang w:bidi="ar-EG"/>
          </w:rPr>
          <w:t>[دون تغيير] بدء البحث الإضافي الدولي وأساسه ونطاقه</w:t>
        </w:r>
        <w:r w:rsidRPr="006878B3">
          <w:rPr>
            <w:rFonts w:ascii="Arabic Typesetting" w:hAnsi="Arabic Typesetting" w:cs="Arabic Typesetting"/>
            <w:noProof/>
            <w:webHidden/>
            <w:sz w:val="36"/>
            <w:szCs w:val="36"/>
          </w:rPr>
          <w:tab/>
        </w:r>
        <w:r w:rsidRPr="006878B3">
          <w:rPr>
            <w:rFonts w:ascii="Arabic Typesetting" w:hAnsi="Arabic Typesetting" w:cs="Arabic Typesetting"/>
            <w:noProof/>
            <w:webHidden/>
            <w:sz w:val="36"/>
            <w:szCs w:val="36"/>
          </w:rPr>
          <w:fldChar w:fldCharType="begin"/>
        </w:r>
        <w:r w:rsidRPr="006878B3">
          <w:rPr>
            <w:rFonts w:ascii="Arabic Typesetting" w:hAnsi="Arabic Typesetting" w:cs="Arabic Typesetting"/>
            <w:noProof/>
            <w:webHidden/>
            <w:sz w:val="36"/>
            <w:szCs w:val="36"/>
          </w:rPr>
          <w:instrText xml:space="preserve"> PAGEREF _Toc445375385 \h </w:instrText>
        </w:r>
        <w:r w:rsidRPr="006878B3">
          <w:rPr>
            <w:rFonts w:ascii="Arabic Typesetting" w:hAnsi="Arabic Typesetting" w:cs="Arabic Typesetting"/>
            <w:noProof/>
            <w:webHidden/>
            <w:sz w:val="36"/>
            <w:szCs w:val="36"/>
          </w:rPr>
        </w:r>
        <w:r w:rsidRPr="006878B3">
          <w:rPr>
            <w:rFonts w:ascii="Arabic Typesetting" w:hAnsi="Arabic Typesetting" w:cs="Arabic Typesetting"/>
            <w:noProof/>
            <w:webHidden/>
            <w:sz w:val="36"/>
            <w:szCs w:val="36"/>
          </w:rPr>
          <w:fldChar w:fldCharType="separate"/>
        </w:r>
        <w:r w:rsidR="00A57D6C">
          <w:rPr>
            <w:rFonts w:ascii="Arabic Typesetting" w:hAnsi="Arabic Typesetting" w:cs="Arabic Typesetting"/>
            <w:noProof/>
            <w:webHidden/>
            <w:sz w:val="36"/>
            <w:szCs w:val="36"/>
            <w:rtl/>
          </w:rPr>
          <w:t>2</w:t>
        </w:r>
        <w:r w:rsidRPr="006878B3">
          <w:rPr>
            <w:rFonts w:ascii="Arabic Typesetting" w:hAnsi="Arabic Typesetting" w:cs="Arabic Typesetting"/>
            <w:noProof/>
            <w:webHidden/>
            <w:sz w:val="36"/>
            <w:szCs w:val="36"/>
          </w:rPr>
          <w:fldChar w:fldCharType="end"/>
        </w:r>
      </w:hyperlink>
    </w:p>
    <w:p w:rsidR="006878B3" w:rsidRPr="006878B3" w:rsidRDefault="006878B3" w:rsidP="006878B3">
      <w:pPr>
        <w:pStyle w:val="TOC2"/>
        <w:tabs>
          <w:tab w:val="right" w:leader="dot" w:pos="9345"/>
        </w:tabs>
        <w:bidi/>
        <w:rPr>
          <w:rFonts w:ascii="Arabic Typesetting" w:hAnsi="Arabic Typesetting" w:cs="Arabic Typesetting"/>
          <w:noProof/>
          <w:sz w:val="36"/>
          <w:szCs w:val="36"/>
        </w:rPr>
      </w:pPr>
      <w:hyperlink w:anchor="_Toc445375386" w:history="1">
        <w:r w:rsidRPr="006878B3">
          <w:rPr>
            <w:rStyle w:val="Hyperlink"/>
            <w:rFonts w:ascii="Arabic Typesetting" w:hAnsi="Arabic Typesetting" w:cs="Arabic Typesetting"/>
            <w:noProof/>
            <w:sz w:val="36"/>
            <w:szCs w:val="36"/>
            <w:rtl/>
            <w:lang w:bidi="ar-EG"/>
          </w:rPr>
          <w:t>45</w:t>
        </w:r>
        <w:r w:rsidRPr="006878B3">
          <w:rPr>
            <w:rStyle w:val="Hyperlink"/>
            <w:rFonts w:ascii="Arabic Typesetting" w:hAnsi="Arabic Typesetting" w:cs="Arabic Typesetting"/>
            <w:noProof/>
            <w:sz w:val="36"/>
            <w:szCs w:val="36"/>
            <w:vertAlign w:val="superscript"/>
            <w:rtl/>
            <w:lang w:bidi="ar-EG"/>
          </w:rPr>
          <w:t>(ثانيا)</w:t>
        </w:r>
        <w:r w:rsidRPr="006878B3">
          <w:rPr>
            <w:rStyle w:val="Hyperlink"/>
            <w:rFonts w:ascii="Arabic Typesetting" w:hAnsi="Arabic Typesetting" w:cs="Arabic Typesetting"/>
            <w:noProof/>
            <w:sz w:val="36"/>
            <w:szCs w:val="36"/>
            <w:rtl/>
            <w:lang w:bidi="ar-EG"/>
          </w:rPr>
          <w:t xml:space="preserve">6 و7   </w:t>
        </w:r>
        <w:r w:rsidRPr="006878B3">
          <w:rPr>
            <w:rStyle w:val="Hyperlink"/>
            <w:rFonts w:ascii="Arabic Typesetting" w:hAnsi="Arabic Typesetting" w:cs="Arabic Typesetting"/>
            <w:i/>
            <w:iCs/>
            <w:noProof/>
            <w:sz w:val="36"/>
            <w:szCs w:val="36"/>
            <w:rtl/>
            <w:lang w:bidi="ar-EG"/>
          </w:rPr>
          <w:t>[دون تغيير]</w:t>
        </w:r>
        <w:r w:rsidRPr="006878B3">
          <w:rPr>
            <w:rFonts w:ascii="Arabic Typesetting" w:hAnsi="Arabic Typesetting" w:cs="Arabic Typesetting"/>
            <w:noProof/>
            <w:webHidden/>
            <w:sz w:val="36"/>
            <w:szCs w:val="36"/>
          </w:rPr>
          <w:tab/>
        </w:r>
        <w:r w:rsidRPr="006878B3">
          <w:rPr>
            <w:rFonts w:ascii="Arabic Typesetting" w:hAnsi="Arabic Typesetting" w:cs="Arabic Typesetting"/>
            <w:noProof/>
            <w:webHidden/>
            <w:sz w:val="36"/>
            <w:szCs w:val="36"/>
          </w:rPr>
          <w:fldChar w:fldCharType="begin"/>
        </w:r>
        <w:r w:rsidRPr="006878B3">
          <w:rPr>
            <w:rFonts w:ascii="Arabic Typesetting" w:hAnsi="Arabic Typesetting" w:cs="Arabic Typesetting"/>
            <w:noProof/>
            <w:webHidden/>
            <w:sz w:val="36"/>
            <w:szCs w:val="36"/>
          </w:rPr>
          <w:instrText xml:space="preserve"> PAGEREF _Toc445375386 \h </w:instrText>
        </w:r>
        <w:r w:rsidRPr="006878B3">
          <w:rPr>
            <w:rFonts w:ascii="Arabic Typesetting" w:hAnsi="Arabic Typesetting" w:cs="Arabic Typesetting"/>
            <w:noProof/>
            <w:webHidden/>
            <w:sz w:val="36"/>
            <w:szCs w:val="36"/>
          </w:rPr>
        </w:r>
        <w:r w:rsidRPr="006878B3">
          <w:rPr>
            <w:rFonts w:ascii="Arabic Typesetting" w:hAnsi="Arabic Typesetting" w:cs="Arabic Typesetting"/>
            <w:noProof/>
            <w:webHidden/>
            <w:sz w:val="36"/>
            <w:szCs w:val="36"/>
          </w:rPr>
          <w:fldChar w:fldCharType="separate"/>
        </w:r>
        <w:r w:rsidR="00A57D6C">
          <w:rPr>
            <w:rFonts w:ascii="Arabic Typesetting" w:hAnsi="Arabic Typesetting" w:cs="Arabic Typesetting"/>
            <w:noProof/>
            <w:webHidden/>
            <w:sz w:val="36"/>
            <w:szCs w:val="36"/>
            <w:rtl/>
          </w:rPr>
          <w:t>2</w:t>
        </w:r>
        <w:r w:rsidRPr="006878B3">
          <w:rPr>
            <w:rFonts w:ascii="Arabic Typesetting" w:hAnsi="Arabic Typesetting" w:cs="Arabic Typesetting"/>
            <w:noProof/>
            <w:webHidden/>
            <w:sz w:val="36"/>
            <w:szCs w:val="36"/>
          </w:rPr>
          <w:fldChar w:fldCharType="end"/>
        </w:r>
      </w:hyperlink>
    </w:p>
    <w:p w:rsidR="006878B3" w:rsidRPr="006878B3" w:rsidRDefault="006878B3" w:rsidP="006878B3">
      <w:pPr>
        <w:pStyle w:val="TOC2"/>
        <w:tabs>
          <w:tab w:val="right" w:leader="dot" w:pos="9345"/>
        </w:tabs>
        <w:bidi/>
        <w:rPr>
          <w:rFonts w:ascii="Arabic Typesetting" w:hAnsi="Arabic Typesetting" w:cs="Arabic Typesetting"/>
          <w:noProof/>
          <w:sz w:val="36"/>
          <w:szCs w:val="36"/>
        </w:rPr>
      </w:pPr>
      <w:hyperlink w:anchor="_Toc445375387" w:history="1">
        <w:r w:rsidRPr="006878B3">
          <w:rPr>
            <w:rStyle w:val="Hyperlink"/>
            <w:rFonts w:ascii="Arabic Typesetting" w:hAnsi="Arabic Typesetting" w:cs="Arabic Typesetting"/>
            <w:noProof/>
            <w:sz w:val="36"/>
            <w:szCs w:val="36"/>
            <w:rtl/>
          </w:rPr>
          <w:t>45</w:t>
        </w:r>
        <w:r w:rsidRPr="006878B3">
          <w:rPr>
            <w:rStyle w:val="Hyperlink"/>
            <w:rFonts w:ascii="Arabic Typesetting" w:hAnsi="Arabic Typesetting" w:cs="Arabic Typesetting"/>
            <w:noProof/>
            <w:sz w:val="36"/>
            <w:szCs w:val="36"/>
            <w:vertAlign w:val="superscript"/>
            <w:rtl/>
          </w:rPr>
          <w:t>(ثانيا)</w:t>
        </w:r>
        <w:r w:rsidRPr="006878B3">
          <w:rPr>
            <w:rStyle w:val="Hyperlink"/>
            <w:rFonts w:ascii="Arabic Typesetting" w:hAnsi="Arabic Typesetting" w:cs="Arabic Typesetting"/>
            <w:noProof/>
            <w:sz w:val="36"/>
            <w:szCs w:val="36"/>
            <w:rtl/>
          </w:rPr>
          <w:t>7</w:t>
        </w:r>
        <w:r w:rsidRPr="006878B3">
          <w:rPr>
            <w:rStyle w:val="Hyperlink"/>
            <w:rFonts w:ascii="Arabic Typesetting" w:hAnsi="Arabic Typesetting" w:cs="Arabic Typesetting"/>
            <w:noProof/>
            <w:sz w:val="36"/>
            <w:szCs w:val="36"/>
            <w:vertAlign w:val="superscript"/>
            <w:rtl/>
          </w:rPr>
          <w:t>(ثانيا)</w:t>
        </w:r>
        <w:r w:rsidRPr="006878B3">
          <w:rPr>
            <w:rStyle w:val="Hyperlink"/>
            <w:rFonts w:ascii="Arabic Typesetting" w:hAnsi="Arabic Typesetting" w:cs="Arabic Typesetting"/>
            <w:i/>
            <w:iCs/>
            <w:noProof/>
            <w:sz w:val="36"/>
            <w:szCs w:val="36"/>
            <w:rtl/>
          </w:rPr>
          <w:t xml:space="preserve">   الرأي المكتوب للإدارة المحدّدة لأغراض البحث الإضافي</w:t>
        </w:r>
        <w:r w:rsidRPr="006878B3">
          <w:rPr>
            <w:rFonts w:ascii="Arabic Typesetting" w:hAnsi="Arabic Typesetting" w:cs="Arabic Typesetting"/>
            <w:noProof/>
            <w:webHidden/>
            <w:sz w:val="36"/>
            <w:szCs w:val="36"/>
          </w:rPr>
          <w:tab/>
        </w:r>
        <w:r w:rsidRPr="006878B3">
          <w:rPr>
            <w:rFonts w:ascii="Arabic Typesetting" w:hAnsi="Arabic Typesetting" w:cs="Arabic Typesetting"/>
            <w:noProof/>
            <w:webHidden/>
            <w:sz w:val="36"/>
            <w:szCs w:val="36"/>
          </w:rPr>
          <w:fldChar w:fldCharType="begin"/>
        </w:r>
        <w:r w:rsidRPr="006878B3">
          <w:rPr>
            <w:rFonts w:ascii="Arabic Typesetting" w:hAnsi="Arabic Typesetting" w:cs="Arabic Typesetting"/>
            <w:noProof/>
            <w:webHidden/>
            <w:sz w:val="36"/>
            <w:szCs w:val="36"/>
          </w:rPr>
          <w:instrText xml:space="preserve"> PAGEREF _Toc445375387 \h </w:instrText>
        </w:r>
        <w:r w:rsidRPr="006878B3">
          <w:rPr>
            <w:rFonts w:ascii="Arabic Typesetting" w:hAnsi="Arabic Typesetting" w:cs="Arabic Typesetting"/>
            <w:noProof/>
            <w:webHidden/>
            <w:sz w:val="36"/>
            <w:szCs w:val="36"/>
          </w:rPr>
        </w:r>
        <w:r w:rsidRPr="006878B3">
          <w:rPr>
            <w:rFonts w:ascii="Arabic Typesetting" w:hAnsi="Arabic Typesetting" w:cs="Arabic Typesetting"/>
            <w:noProof/>
            <w:webHidden/>
            <w:sz w:val="36"/>
            <w:szCs w:val="36"/>
          </w:rPr>
          <w:fldChar w:fldCharType="separate"/>
        </w:r>
        <w:r w:rsidR="00A57D6C">
          <w:rPr>
            <w:rFonts w:ascii="Arabic Typesetting" w:hAnsi="Arabic Typesetting" w:cs="Arabic Typesetting"/>
            <w:noProof/>
            <w:webHidden/>
            <w:sz w:val="36"/>
            <w:szCs w:val="36"/>
            <w:rtl/>
          </w:rPr>
          <w:t>2</w:t>
        </w:r>
        <w:r w:rsidRPr="006878B3">
          <w:rPr>
            <w:rFonts w:ascii="Arabic Typesetting" w:hAnsi="Arabic Typesetting" w:cs="Arabic Typesetting"/>
            <w:noProof/>
            <w:webHidden/>
            <w:sz w:val="36"/>
            <w:szCs w:val="36"/>
          </w:rPr>
          <w:fldChar w:fldCharType="end"/>
        </w:r>
      </w:hyperlink>
    </w:p>
    <w:p w:rsidR="006878B3" w:rsidRPr="006878B3" w:rsidRDefault="006878B3" w:rsidP="006878B3">
      <w:pPr>
        <w:pStyle w:val="TOC2"/>
        <w:tabs>
          <w:tab w:val="right" w:leader="dot" w:pos="9345"/>
        </w:tabs>
        <w:bidi/>
        <w:rPr>
          <w:rFonts w:ascii="Arabic Typesetting" w:hAnsi="Arabic Typesetting" w:cs="Arabic Typesetting"/>
          <w:noProof/>
          <w:sz w:val="36"/>
          <w:szCs w:val="36"/>
        </w:rPr>
      </w:pPr>
      <w:hyperlink w:anchor="_Toc445375388" w:history="1">
        <w:r w:rsidRPr="006878B3">
          <w:rPr>
            <w:rStyle w:val="Hyperlink"/>
            <w:rFonts w:ascii="Arabic Typesetting" w:hAnsi="Arabic Typesetting" w:cs="Arabic Typesetting"/>
            <w:noProof/>
            <w:sz w:val="36"/>
            <w:szCs w:val="36"/>
            <w:rtl/>
            <w:lang w:bidi="ar-EG"/>
          </w:rPr>
          <w:t>45</w:t>
        </w:r>
        <w:r w:rsidRPr="006878B3">
          <w:rPr>
            <w:rStyle w:val="Hyperlink"/>
            <w:rFonts w:ascii="Arabic Typesetting" w:hAnsi="Arabic Typesetting" w:cs="Arabic Typesetting"/>
            <w:noProof/>
            <w:sz w:val="36"/>
            <w:szCs w:val="36"/>
            <w:vertAlign w:val="superscript"/>
            <w:rtl/>
            <w:lang w:bidi="ar-EG"/>
          </w:rPr>
          <w:t>(ثانيا)</w:t>
        </w:r>
        <w:r w:rsidRPr="006878B3">
          <w:rPr>
            <w:rStyle w:val="Hyperlink"/>
            <w:rFonts w:ascii="Arabic Typesetting" w:hAnsi="Arabic Typesetting" w:cs="Arabic Typesetting"/>
            <w:noProof/>
            <w:sz w:val="36"/>
            <w:szCs w:val="36"/>
            <w:rtl/>
            <w:lang w:bidi="ar-EG"/>
          </w:rPr>
          <w:t xml:space="preserve">8   </w:t>
        </w:r>
        <w:r w:rsidRPr="006878B3">
          <w:rPr>
            <w:rStyle w:val="Hyperlink"/>
            <w:rFonts w:ascii="Arabic Typesetting" w:hAnsi="Arabic Typesetting" w:cs="Arabic Typesetting"/>
            <w:i/>
            <w:iCs/>
            <w:noProof/>
            <w:sz w:val="36"/>
            <w:szCs w:val="36"/>
            <w:rtl/>
            <w:lang w:bidi="ar-EG"/>
          </w:rPr>
          <w:t>إرسال تقرير البحث الإضافي الدولي والرأي المكتوب للإدارة المحدّدة لأغراض البحث الإضافي وأثرهما</w:t>
        </w:r>
        <w:r w:rsidRPr="006878B3">
          <w:rPr>
            <w:rFonts w:ascii="Arabic Typesetting" w:hAnsi="Arabic Typesetting" w:cs="Arabic Typesetting"/>
            <w:noProof/>
            <w:webHidden/>
            <w:sz w:val="36"/>
            <w:szCs w:val="36"/>
          </w:rPr>
          <w:tab/>
        </w:r>
        <w:r w:rsidRPr="006878B3">
          <w:rPr>
            <w:rFonts w:ascii="Arabic Typesetting" w:hAnsi="Arabic Typesetting" w:cs="Arabic Typesetting"/>
            <w:noProof/>
            <w:webHidden/>
            <w:sz w:val="36"/>
            <w:szCs w:val="36"/>
          </w:rPr>
          <w:fldChar w:fldCharType="begin"/>
        </w:r>
        <w:r w:rsidRPr="006878B3">
          <w:rPr>
            <w:rFonts w:ascii="Arabic Typesetting" w:hAnsi="Arabic Typesetting" w:cs="Arabic Typesetting"/>
            <w:noProof/>
            <w:webHidden/>
            <w:sz w:val="36"/>
            <w:szCs w:val="36"/>
          </w:rPr>
          <w:instrText xml:space="preserve"> PAGEREF _Toc445375388 \h </w:instrText>
        </w:r>
        <w:r w:rsidRPr="006878B3">
          <w:rPr>
            <w:rFonts w:ascii="Arabic Typesetting" w:hAnsi="Arabic Typesetting" w:cs="Arabic Typesetting"/>
            <w:noProof/>
            <w:webHidden/>
            <w:sz w:val="36"/>
            <w:szCs w:val="36"/>
          </w:rPr>
        </w:r>
        <w:r w:rsidRPr="006878B3">
          <w:rPr>
            <w:rFonts w:ascii="Arabic Typesetting" w:hAnsi="Arabic Typesetting" w:cs="Arabic Typesetting"/>
            <w:noProof/>
            <w:webHidden/>
            <w:sz w:val="36"/>
            <w:szCs w:val="36"/>
          </w:rPr>
          <w:fldChar w:fldCharType="separate"/>
        </w:r>
        <w:r w:rsidR="00A57D6C">
          <w:rPr>
            <w:rFonts w:ascii="Arabic Typesetting" w:hAnsi="Arabic Typesetting" w:cs="Arabic Typesetting"/>
            <w:noProof/>
            <w:webHidden/>
            <w:sz w:val="36"/>
            <w:szCs w:val="36"/>
            <w:rtl/>
          </w:rPr>
          <w:t>3</w:t>
        </w:r>
        <w:r w:rsidRPr="006878B3">
          <w:rPr>
            <w:rFonts w:ascii="Arabic Typesetting" w:hAnsi="Arabic Typesetting" w:cs="Arabic Typesetting"/>
            <w:noProof/>
            <w:webHidden/>
            <w:sz w:val="36"/>
            <w:szCs w:val="36"/>
          </w:rPr>
          <w:fldChar w:fldCharType="end"/>
        </w:r>
      </w:hyperlink>
    </w:p>
    <w:p w:rsidR="006878B3" w:rsidRPr="006878B3" w:rsidRDefault="006878B3" w:rsidP="006878B3">
      <w:pPr>
        <w:pStyle w:val="TOC2"/>
        <w:tabs>
          <w:tab w:val="right" w:leader="dot" w:pos="9345"/>
        </w:tabs>
        <w:bidi/>
        <w:rPr>
          <w:rFonts w:ascii="Arabic Typesetting" w:hAnsi="Arabic Typesetting" w:cs="Arabic Typesetting"/>
          <w:noProof/>
          <w:sz w:val="36"/>
          <w:szCs w:val="36"/>
        </w:rPr>
      </w:pPr>
      <w:hyperlink w:anchor="_Toc445375389" w:history="1">
        <w:r w:rsidRPr="006878B3">
          <w:rPr>
            <w:rStyle w:val="Hyperlink"/>
            <w:rFonts w:ascii="Arabic Typesetting" w:hAnsi="Arabic Typesetting" w:cs="Arabic Typesetting"/>
            <w:noProof/>
            <w:sz w:val="36"/>
            <w:szCs w:val="36"/>
            <w:rtl/>
            <w:lang w:bidi="ar-EG"/>
          </w:rPr>
          <w:t>45</w:t>
        </w:r>
        <w:r w:rsidRPr="006878B3">
          <w:rPr>
            <w:rStyle w:val="Hyperlink"/>
            <w:rFonts w:ascii="Arabic Typesetting" w:hAnsi="Arabic Typesetting" w:cs="Arabic Typesetting"/>
            <w:noProof/>
            <w:sz w:val="36"/>
            <w:szCs w:val="36"/>
            <w:vertAlign w:val="superscript"/>
            <w:rtl/>
            <w:lang w:bidi="ar-EG"/>
          </w:rPr>
          <w:t>(ثانيا)</w:t>
        </w:r>
        <w:r w:rsidRPr="006878B3">
          <w:rPr>
            <w:rStyle w:val="Hyperlink"/>
            <w:rFonts w:ascii="Arabic Typesetting" w:hAnsi="Arabic Typesetting" w:cs="Arabic Typesetting"/>
            <w:noProof/>
            <w:sz w:val="36"/>
            <w:szCs w:val="36"/>
            <w:rtl/>
            <w:lang w:bidi="ar-EG"/>
          </w:rPr>
          <w:t xml:space="preserve">9   </w:t>
        </w:r>
        <w:r w:rsidRPr="006878B3">
          <w:rPr>
            <w:rStyle w:val="Hyperlink"/>
            <w:rFonts w:ascii="Arabic Typesetting" w:hAnsi="Arabic Typesetting" w:cs="Arabic Typesetting"/>
            <w:i/>
            <w:iCs/>
            <w:noProof/>
            <w:sz w:val="36"/>
            <w:szCs w:val="36"/>
            <w:rtl/>
            <w:lang w:bidi="ar-EG"/>
          </w:rPr>
          <w:t xml:space="preserve">إدارات البحث الدولي </w:t>
        </w:r>
        <w:r w:rsidRPr="006878B3">
          <w:rPr>
            <w:rStyle w:val="Hyperlink"/>
            <w:rFonts w:ascii="Arabic Typesetting" w:hAnsi="Arabic Typesetting" w:cs="Arabic Typesetting"/>
            <w:i/>
            <w:iCs/>
            <w:noProof/>
            <w:sz w:val="36"/>
            <w:szCs w:val="36"/>
            <w:rtl/>
          </w:rPr>
          <w:t>المختصة ب</w:t>
        </w:r>
        <w:r w:rsidRPr="006878B3">
          <w:rPr>
            <w:rStyle w:val="Hyperlink"/>
            <w:rFonts w:ascii="Arabic Typesetting" w:hAnsi="Arabic Typesetting" w:cs="Arabic Typesetting"/>
            <w:i/>
            <w:iCs/>
            <w:noProof/>
            <w:sz w:val="36"/>
            <w:szCs w:val="36"/>
            <w:rtl/>
            <w:lang w:bidi="ar-EG"/>
          </w:rPr>
          <w:t xml:space="preserve">إجراء البحث </w:t>
        </w:r>
        <w:r w:rsidRPr="006878B3">
          <w:rPr>
            <w:rStyle w:val="Hyperlink"/>
            <w:rFonts w:ascii="Arabic Typesetting" w:hAnsi="Arabic Typesetting" w:cs="Arabic Typesetting"/>
            <w:i/>
            <w:iCs/>
            <w:noProof/>
            <w:sz w:val="36"/>
            <w:szCs w:val="36"/>
            <w:rtl/>
          </w:rPr>
          <w:t>الإضافي</w:t>
        </w:r>
        <w:r w:rsidRPr="006878B3">
          <w:rPr>
            <w:rStyle w:val="Hyperlink"/>
            <w:rFonts w:ascii="Arabic Typesetting" w:hAnsi="Arabic Typesetting" w:cs="Arabic Typesetting"/>
            <w:i/>
            <w:iCs/>
            <w:noProof/>
            <w:sz w:val="36"/>
            <w:szCs w:val="36"/>
            <w:rtl/>
            <w:lang w:bidi="ar-EG"/>
          </w:rPr>
          <w:t xml:space="preserve"> الدولي</w:t>
        </w:r>
        <w:r w:rsidRPr="006878B3">
          <w:rPr>
            <w:rFonts w:ascii="Arabic Typesetting" w:hAnsi="Arabic Typesetting" w:cs="Arabic Typesetting"/>
            <w:noProof/>
            <w:webHidden/>
            <w:sz w:val="36"/>
            <w:szCs w:val="36"/>
          </w:rPr>
          <w:tab/>
        </w:r>
        <w:r w:rsidRPr="006878B3">
          <w:rPr>
            <w:rFonts w:ascii="Arabic Typesetting" w:hAnsi="Arabic Typesetting" w:cs="Arabic Typesetting"/>
            <w:noProof/>
            <w:webHidden/>
            <w:sz w:val="36"/>
            <w:szCs w:val="36"/>
          </w:rPr>
          <w:fldChar w:fldCharType="begin"/>
        </w:r>
        <w:r w:rsidRPr="006878B3">
          <w:rPr>
            <w:rFonts w:ascii="Arabic Typesetting" w:hAnsi="Arabic Typesetting" w:cs="Arabic Typesetting"/>
            <w:noProof/>
            <w:webHidden/>
            <w:sz w:val="36"/>
            <w:szCs w:val="36"/>
          </w:rPr>
          <w:instrText xml:space="preserve"> PAGEREF _Toc445375389 \h </w:instrText>
        </w:r>
        <w:r w:rsidRPr="006878B3">
          <w:rPr>
            <w:rFonts w:ascii="Arabic Typesetting" w:hAnsi="Arabic Typesetting" w:cs="Arabic Typesetting"/>
            <w:noProof/>
            <w:webHidden/>
            <w:sz w:val="36"/>
            <w:szCs w:val="36"/>
          </w:rPr>
        </w:r>
        <w:r w:rsidRPr="006878B3">
          <w:rPr>
            <w:rFonts w:ascii="Arabic Typesetting" w:hAnsi="Arabic Typesetting" w:cs="Arabic Typesetting"/>
            <w:noProof/>
            <w:webHidden/>
            <w:sz w:val="36"/>
            <w:szCs w:val="36"/>
          </w:rPr>
          <w:fldChar w:fldCharType="separate"/>
        </w:r>
        <w:r w:rsidR="00A57D6C">
          <w:rPr>
            <w:rFonts w:ascii="Arabic Typesetting" w:hAnsi="Arabic Typesetting" w:cs="Arabic Typesetting"/>
            <w:noProof/>
            <w:webHidden/>
            <w:sz w:val="36"/>
            <w:szCs w:val="36"/>
            <w:rtl/>
          </w:rPr>
          <w:t>3</w:t>
        </w:r>
        <w:r w:rsidRPr="006878B3">
          <w:rPr>
            <w:rFonts w:ascii="Arabic Typesetting" w:hAnsi="Arabic Typesetting" w:cs="Arabic Typesetting"/>
            <w:noProof/>
            <w:webHidden/>
            <w:sz w:val="36"/>
            <w:szCs w:val="36"/>
          </w:rPr>
          <w:fldChar w:fldCharType="end"/>
        </w:r>
      </w:hyperlink>
    </w:p>
    <w:p w:rsidR="006878B3" w:rsidRPr="006878B3" w:rsidRDefault="006878B3" w:rsidP="006878B3">
      <w:pPr>
        <w:pStyle w:val="TOC1"/>
        <w:tabs>
          <w:tab w:val="right" w:leader="dot" w:pos="9345"/>
        </w:tabs>
        <w:bidi/>
        <w:rPr>
          <w:rFonts w:ascii="Arabic Typesetting" w:hAnsi="Arabic Typesetting" w:cs="Arabic Typesetting"/>
          <w:noProof/>
          <w:sz w:val="36"/>
          <w:szCs w:val="36"/>
        </w:rPr>
      </w:pPr>
      <w:hyperlink w:anchor="_Toc445375390" w:history="1">
        <w:r w:rsidRPr="006878B3">
          <w:rPr>
            <w:rStyle w:val="Hyperlink"/>
            <w:rFonts w:ascii="Arabic Typesetting" w:hAnsi="Arabic Typesetting" w:cs="Arabic Typesetting"/>
            <w:noProof/>
            <w:sz w:val="36"/>
            <w:szCs w:val="36"/>
            <w:rtl/>
            <w:lang w:bidi="ar-EG"/>
          </w:rPr>
          <w:t>القاعدة 90</w:t>
        </w:r>
        <w:r w:rsidRPr="006878B3">
          <w:rPr>
            <w:rStyle w:val="Hyperlink"/>
            <w:rFonts w:ascii="Arabic Typesetting" w:hAnsi="Arabic Typesetting" w:cs="Arabic Typesetting"/>
            <w:noProof/>
            <w:sz w:val="36"/>
            <w:szCs w:val="36"/>
            <w:vertAlign w:val="superscript"/>
            <w:rtl/>
            <w:lang w:bidi="ar-EG"/>
          </w:rPr>
          <w:t xml:space="preserve">(ثانيا)   </w:t>
        </w:r>
        <w:r w:rsidRPr="006878B3">
          <w:rPr>
            <w:rStyle w:val="Hyperlink"/>
            <w:rFonts w:ascii="Arabic Typesetting" w:hAnsi="Arabic Typesetting" w:cs="Arabic Typesetting"/>
            <w:noProof/>
            <w:sz w:val="36"/>
            <w:szCs w:val="36"/>
            <w:rtl/>
            <w:lang w:bidi="ar-EG"/>
          </w:rPr>
          <w:t>السحب</w:t>
        </w:r>
        <w:r w:rsidRPr="006878B3">
          <w:rPr>
            <w:rFonts w:ascii="Arabic Typesetting" w:hAnsi="Arabic Typesetting" w:cs="Arabic Typesetting"/>
            <w:noProof/>
            <w:webHidden/>
            <w:sz w:val="36"/>
            <w:szCs w:val="36"/>
          </w:rPr>
          <w:tab/>
        </w:r>
        <w:r w:rsidRPr="006878B3">
          <w:rPr>
            <w:rFonts w:ascii="Arabic Typesetting" w:hAnsi="Arabic Typesetting" w:cs="Arabic Typesetting"/>
            <w:noProof/>
            <w:webHidden/>
            <w:sz w:val="36"/>
            <w:szCs w:val="36"/>
          </w:rPr>
          <w:fldChar w:fldCharType="begin"/>
        </w:r>
        <w:r w:rsidRPr="006878B3">
          <w:rPr>
            <w:rFonts w:ascii="Arabic Typesetting" w:hAnsi="Arabic Typesetting" w:cs="Arabic Typesetting"/>
            <w:noProof/>
            <w:webHidden/>
            <w:sz w:val="36"/>
            <w:szCs w:val="36"/>
          </w:rPr>
          <w:instrText xml:space="preserve"> PAGEREF _Toc445375390 \h </w:instrText>
        </w:r>
        <w:r w:rsidRPr="006878B3">
          <w:rPr>
            <w:rFonts w:ascii="Arabic Typesetting" w:hAnsi="Arabic Typesetting" w:cs="Arabic Typesetting"/>
            <w:noProof/>
            <w:webHidden/>
            <w:sz w:val="36"/>
            <w:szCs w:val="36"/>
          </w:rPr>
        </w:r>
        <w:r w:rsidRPr="006878B3">
          <w:rPr>
            <w:rFonts w:ascii="Arabic Typesetting" w:hAnsi="Arabic Typesetting" w:cs="Arabic Typesetting"/>
            <w:noProof/>
            <w:webHidden/>
            <w:sz w:val="36"/>
            <w:szCs w:val="36"/>
          </w:rPr>
          <w:fldChar w:fldCharType="separate"/>
        </w:r>
        <w:r w:rsidR="00A57D6C">
          <w:rPr>
            <w:rFonts w:ascii="Arabic Typesetting" w:hAnsi="Arabic Typesetting" w:cs="Arabic Typesetting"/>
            <w:noProof/>
            <w:webHidden/>
            <w:sz w:val="36"/>
            <w:szCs w:val="36"/>
            <w:rtl/>
          </w:rPr>
          <w:t>4</w:t>
        </w:r>
        <w:r w:rsidRPr="006878B3">
          <w:rPr>
            <w:rFonts w:ascii="Arabic Typesetting" w:hAnsi="Arabic Typesetting" w:cs="Arabic Typesetting"/>
            <w:noProof/>
            <w:webHidden/>
            <w:sz w:val="36"/>
            <w:szCs w:val="36"/>
          </w:rPr>
          <w:fldChar w:fldCharType="end"/>
        </w:r>
      </w:hyperlink>
    </w:p>
    <w:p w:rsidR="006878B3" w:rsidRPr="006878B3" w:rsidRDefault="006878B3" w:rsidP="006878B3">
      <w:pPr>
        <w:pStyle w:val="TOC2"/>
        <w:tabs>
          <w:tab w:val="right" w:leader="dot" w:pos="9345"/>
        </w:tabs>
        <w:bidi/>
        <w:rPr>
          <w:rFonts w:ascii="Arabic Typesetting" w:hAnsi="Arabic Typesetting" w:cs="Arabic Typesetting"/>
          <w:noProof/>
          <w:sz w:val="36"/>
          <w:szCs w:val="36"/>
        </w:rPr>
      </w:pPr>
      <w:hyperlink w:anchor="_Toc445375391" w:history="1">
        <w:r w:rsidRPr="006878B3">
          <w:rPr>
            <w:rStyle w:val="Hyperlink"/>
            <w:rFonts w:ascii="Arabic Typesetting" w:hAnsi="Arabic Typesetting" w:cs="Arabic Typesetting"/>
            <w:noProof/>
            <w:sz w:val="36"/>
            <w:szCs w:val="36"/>
            <w:rtl/>
            <w:lang w:bidi="ar-EG"/>
          </w:rPr>
          <w:t>من 90</w:t>
        </w:r>
        <w:r w:rsidRPr="006878B3">
          <w:rPr>
            <w:rStyle w:val="Hyperlink"/>
            <w:rFonts w:ascii="Arabic Typesetting" w:hAnsi="Arabic Typesetting" w:cs="Arabic Typesetting"/>
            <w:noProof/>
            <w:sz w:val="36"/>
            <w:szCs w:val="36"/>
            <w:vertAlign w:val="superscript"/>
            <w:rtl/>
            <w:lang w:bidi="ar-EG"/>
          </w:rPr>
          <w:t>(ثانيا)</w:t>
        </w:r>
        <w:r w:rsidRPr="006878B3">
          <w:rPr>
            <w:rStyle w:val="Hyperlink"/>
            <w:rFonts w:ascii="Arabic Typesetting" w:hAnsi="Arabic Typesetting" w:cs="Arabic Typesetting"/>
            <w:noProof/>
            <w:sz w:val="36"/>
            <w:szCs w:val="36"/>
            <w:rtl/>
            <w:lang w:bidi="ar-EG"/>
          </w:rPr>
          <w:t xml:space="preserve">1 إلى 3   </w:t>
        </w:r>
        <w:r w:rsidRPr="006878B3">
          <w:rPr>
            <w:rStyle w:val="Hyperlink"/>
            <w:rFonts w:ascii="Arabic Typesetting" w:hAnsi="Arabic Typesetting" w:cs="Arabic Typesetting"/>
            <w:i/>
            <w:iCs/>
            <w:noProof/>
            <w:sz w:val="36"/>
            <w:szCs w:val="36"/>
            <w:rtl/>
            <w:lang w:bidi="ar-EG"/>
          </w:rPr>
          <w:t>[دون تغيير]</w:t>
        </w:r>
        <w:r w:rsidRPr="006878B3">
          <w:rPr>
            <w:rFonts w:ascii="Arabic Typesetting" w:hAnsi="Arabic Typesetting" w:cs="Arabic Typesetting"/>
            <w:noProof/>
            <w:webHidden/>
            <w:sz w:val="36"/>
            <w:szCs w:val="36"/>
          </w:rPr>
          <w:tab/>
        </w:r>
        <w:r w:rsidRPr="006878B3">
          <w:rPr>
            <w:rFonts w:ascii="Arabic Typesetting" w:hAnsi="Arabic Typesetting" w:cs="Arabic Typesetting"/>
            <w:noProof/>
            <w:webHidden/>
            <w:sz w:val="36"/>
            <w:szCs w:val="36"/>
          </w:rPr>
          <w:fldChar w:fldCharType="begin"/>
        </w:r>
        <w:r w:rsidRPr="006878B3">
          <w:rPr>
            <w:rFonts w:ascii="Arabic Typesetting" w:hAnsi="Arabic Typesetting" w:cs="Arabic Typesetting"/>
            <w:noProof/>
            <w:webHidden/>
            <w:sz w:val="36"/>
            <w:szCs w:val="36"/>
          </w:rPr>
          <w:instrText xml:space="preserve"> PAGEREF _Toc445375391 \h </w:instrText>
        </w:r>
        <w:r w:rsidRPr="006878B3">
          <w:rPr>
            <w:rFonts w:ascii="Arabic Typesetting" w:hAnsi="Arabic Typesetting" w:cs="Arabic Typesetting"/>
            <w:noProof/>
            <w:webHidden/>
            <w:sz w:val="36"/>
            <w:szCs w:val="36"/>
          </w:rPr>
        </w:r>
        <w:r w:rsidRPr="006878B3">
          <w:rPr>
            <w:rFonts w:ascii="Arabic Typesetting" w:hAnsi="Arabic Typesetting" w:cs="Arabic Typesetting"/>
            <w:noProof/>
            <w:webHidden/>
            <w:sz w:val="36"/>
            <w:szCs w:val="36"/>
          </w:rPr>
          <w:fldChar w:fldCharType="separate"/>
        </w:r>
        <w:r w:rsidR="00A57D6C">
          <w:rPr>
            <w:rFonts w:ascii="Arabic Typesetting" w:hAnsi="Arabic Typesetting" w:cs="Arabic Typesetting"/>
            <w:noProof/>
            <w:webHidden/>
            <w:sz w:val="36"/>
            <w:szCs w:val="36"/>
            <w:rtl/>
          </w:rPr>
          <w:t>4</w:t>
        </w:r>
        <w:r w:rsidRPr="006878B3">
          <w:rPr>
            <w:rFonts w:ascii="Arabic Typesetting" w:hAnsi="Arabic Typesetting" w:cs="Arabic Typesetting"/>
            <w:noProof/>
            <w:webHidden/>
            <w:sz w:val="36"/>
            <w:szCs w:val="36"/>
          </w:rPr>
          <w:fldChar w:fldCharType="end"/>
        </w:r>
      </w:hyperlink>
    </w:p>
    <w:p w:rsidR="006878B3" w:rsidRPr="006878B3" w:rsidRDefault="006878B3" w:rsidP="006878B3">
      <w:pPr>
        <w:pStyle w:val="TOC2"/>
        <w:tabs>
          <w:tab w:val="right" w:leader="dot" w:pos="9345"/>
        </w:tabs>
        <w:bidi/>
        <w:rPr>
          <w:rFonts w:ascii="Arabic Typesetting" w:hAnsi="Arabic Typesetting" w:cs="Arabic Typesetting"/>
          <w:noProof/>
          <w:sz w:val="36"/>
          <w:szCs w:val="36"/>
        </w:rPr>
      </w:pPr>
      <w:hyperlink w:anchor="_Toc445375392" w:history="1">
        <w:r w:rsidRPr="006878B3">
          <w:rPr>
            <w:rStyle w:val="Hyperlink"/>
            <w:rFonts w:ascii="Arabic Typesetting" w:hAnsi="Arabic Typesetting" w:cs="Arabic Typesetting"/>
            <w:noProof/>
            <w:sz w:val="36"/>
            <w:szCs w:val="36"/>
            <w:rtl/>
            <w:lang w:bidi="ar-EG"/>
          </w:rPr>
          <w:t>90</w:t>
        </w:r>
        <w:r w:rsidRPr="006878B3">
          <w:rPr>
            <w:rStyle w:val="Hyperlink"/>
            <w:rFonts w:ascii="Arabic Typesetting" w:hAnsi="Arabic Typesetting" w:cs="Arabic Typesetting"/>
            <w:noProof/>
            <w:sz w:val="36"/>
            <w:szCs w:val="36"/>
            <w:vertAlign w:val="superscript"/>
            <w:rtl/>
            <w:lang w:bidi="ar-EG"/>
          </w:rPr>
          <w:t>(ثانيا)</w:t>
        </w:r>
        <w:r w:rsidRPr="006878B3">
          <w:rPr>
            <w:rStyle w:val="Hyperlink"/>
            <w:rFonts w:ascii="Arabic Typesetting" w:hAnsi="Arabic Typesetting" w:cs="Arabic Typesetting"/>
            <w:noProof/>
            <w:sz w:val="36"/>
            <w:szCs w:val="36"/>
            <w:rtl/>
            <w:lang w:bidi="ar-EG"/>
          </w:rPr>
          <w:t>3</w:t>
        </w:r>
        <w:r w:rsidRPr="006878B3">
          <w:rPr>
            <w:rStyle w:val="Hyperlink"/>
            <w:rFonts w:ascii="Arabic Typesetting" w:hAnsi="Arabic Typesetting" w:cs="Arabic Typesetting"/>
            <w:noProof/>
            <w:sz w:val="36"/>
            <w:szCs w:val="36"/>
            <w:vertAlign w:val="superscript"/>
            <w:rtl/>
            <w:lang w:bidi="ar-EG"/>
          </w:rPr>
          <w:t>(ثانيا)</w:t>
        </w:r>
        <w:r w:rsidRPr="006878B3">
          <w:rPr>
            <w:rStyle w:val="Hyperlink"/>
            <w:rFonts w:ascii="Arabic Typesetting" w:hAnsi="Arabic Typesetting" w:cs="Arabic Typesetting"/>
            <w:noProof/>
            <w:sz w:val="36"/>
            <w:szCs w:val="36"/>
            <w:rtl/>
            <w:lang w:bidi="ar-EG"/>
          </w:rPr>
          <w:t xml:space="preserve">   </w:t>
        </w:r>
        <w:r w:rsidRPr="006878B3">
          <w:rPr>
            <w:rStyle w:val="Hyperlink"/>
            <w:rFonts w:ascii="Arabic Typesetting" w:hAnsi="Arabic Typesetting" w:cs="Arabic Typesetting"/>
            <w:i/>
            <w:iCs/>
            <w:noProof/>
            <w:sz w:val="36"/>
            <w:szCs w:val="36"/>
            <w:rtl/>
            <w:lang w:bidi="ar-EG"/>
          </w:rPr>
          <w:t>سحب التماس البحث الإضافي</w:t>
        </w:r>
        <w:r w:rsidRPr="006878B3">
          <w:rPr>
            <w:rFonts w:ascii="Arabic Typesetting" w:hAnsi="Arabic Typesetting" w:cs="Arabic Typesetting"/>
            <w:noProof/>
            <w:webHidden/>
            <w:sz w:val="36"/>
            <w:szCs w:val="36"/>
          </w:rPr>
          <w:tab/>
        </w:r>
        <w:r w:rsidRPr="006878B3">
          <w:rPr>
            <w:rFonts w:ascii="Arabic Typesetting" w:hAnsi="Arabic Typesetting" w:cs="Arabic Typesetting"/>
            <w:noProof/>
            <w:webHidden/>
            <w:sz w:val="36"/>
            <w:szCs w:val="36"/>
          </w:rPr>
          <w:fldChar w:fldCharType="begin"/>
        </w:r>
        <w:r w:rsidRPr="006878B3">
          <w:rPr>
            <w:rFonts w:ascii="Arabic Typesetting" w:hAnsi="Arabic Typesetting" w:cs="Arabic Typesetting"/>
            <w:noProof/>
            <w:webHidden/>
            <w:sz w:val="36"/>
            <w:szCs w:val="36"/>
          </w:rPr>
          <w:instrText xml:space="preserve"> PAGEREF _Toc445375392 \h </w:instrText>
        </w:r>
        <w:r w:rsidRPr="006878B3">
          <w:rPr>
            <w:rFonts w:ascii="Arabic Typesetting" w:hAnsi="Arabic Typesetting" w:cs="Arabic Typesetting"/>
            <w:noProof/>
            <w:webHidden/>
            <w:sz w:val="36"/>
            <w:szCs w:val="36"/>
          </w:rPr>
        </w:r>
        <w:r w:rsidRPr="006878B3">
          <w:rPr>
            <w:rFonts w:ascii="Arabic Typesetting" w:hAnsi="Arabic Typesetting" w:cs="Arabic Typesetting"/>
            <w:noProof/>
            <w:webHidden/>
            <w:sz w:val="36"/>
            <w:szCs w:val="36"/>
          </w:rPr>
          <w:fldChar w:fldCharType="separate"/>
        </w:r>
        <w:r w:rsidR="00A57D6C">
          <w:rPr>
            <w:rFonts w:ascii="Arabic Typesetting" w:hAnsi="Arabic Typesetting" w:cs="Arabic Typesetting"/>
            <w:noProof/>
            <w:webHidden/>
            <w:sz w:val="36"/>
            <w:szCs w:val="36"/>
            <w:rtl/>
          </w:rPr>
          <w:t>4</w:t>
        </w:r>
        <w:r w:rsidRPr="006878B3">
          <w:rPr>
            <w:rFonts w:ascii="Arabic Typesetting" w:hAnsi="Arabic Typesetting" w:cs="Arabic Typesetting"/>
            <w:noProof/>
            <w:webHidden/>
            <w:sz w:val="36"/>
            <w:szCs w:val="36"/>
          </w:rPr>
          <w:fldChar w:fldCharType="end"/>
        </w:r>
      </w:hyperlink>
    </w:p>
    <w:p w:rsidR="006878B3" w:rsidRDefault="006878B3" w:rsidP="006878B3">
      <w:pPr>
        <w:pStyle w:val="TOC2"/>
        <w:tabs>
          <w:tab w:val="right" w:leader="dot" w:pos="9345"/>
        </w:tabs>
        <w:bidi/>
        <w:rPr>
          <w:noProof/>
        </w:rPr>
      </w:pPr>
      <w:hyperlink w:anchor="_Toc445375393" w:history="1">
        <w:r w:rsidRPr="006878B3">
          <w:rPr>
            <w:rStyle w:val="Hyperlink"/>
            <w:rFonts w:ascii="Arabic Typesetting" w:hAnsi="Arabic Typesetting" w:cs="Arabic Typesetting"/>
            <w:noProof/>
            <w:sz w:val="36"/>
            <w:szCs w:val="36"/>
            <w:rtl/>
            <w:lang w:bidi="ar-EG"/>
          </w:rPr>
          <w:t xml:space="preserve">من 90(ثانيا)4 إلى 7   </w:t>
        </w:r>
        <w:r w:rsidRPr="006878B3">
          <w:rPr>
            <w:rStyle w:val="Hyperlink"/>
            <w:rFonts w:ascii="Arabic Typesetting" w:hAnsi="Arabic Typesetting" w:cs="Arabic Typesetting"/>
            <w:i/>
            <w:iCs/>
            <w:noProof/>
            <w:sz w:val="36"/>
            <w:szCs w:val="36"/>
            <w:rtl/>
            <w:lang w:bidi="ar-EG"/>
          </w:rPr>
          <w:t>[دون تغيير]</w:t>
        </w:r>
        <w:r w:rsidRPr="006878B3">
          <w:rPr>
            <w:rFonts w:ascii="Arabic Typesetting" w:hAnsi="Arabic Typesetting" w:cs="Arabic Typesetting"/>
            <w:noProof/>
            <w:webHidden/>
            <w:sz w:val="36"/>
            <w:szCs w:val="36"/>
          </w:rPr>
          <w:tab/>
        </w:r>
        <w:r w:rsidRPr="006878B3">
          <w:rPr>
            <w:rFonts w:ascii="Arabic Typesetting" w:hAnsi="Arabic Typesetting" w:cs="Arabic Typesetting"/>
            <w:noProof/>
            <w:webHidden/>
            <w:sz w:val="36"/>
            <w:szCs w:val="36"/>
          </w:rPr>
          <w:fldChar w:fldCharType="begin"/>
        </w:r>
        <w:r w:rsidRPr="006878B3">
          <w:rPr>
            <w:rFonts w:ascii="Arabic Typesetting" w:hAnsi="Arabic Typesetting" w:cs="Arabic Typesetting"/>
            <w:noProof/>
            <w:webHidden/>
            <w:sz w:val="36"/>
            <w:szCs w:val="36"/>
          </w:rPr>
          <w:instrText xml:space="preserve"> PAGEREF _Toc445375393 \h </w:instrText>
        </w:r>
        <w:r w:rsidRPr="006878B3">
          <w:rPr>
            <w:rFonts w:ascii="Arabic Typesetting" w:hAnsi="Arabic Typesetting" w:cs="Arabic Typesetting"/>
            <w:noProof/>
            <w:webHidden/>
            <w:sz w:val="36"/>
            <w:szCs w:val="36"/>
          </w:rPr>
        </w:r>
        <w:r w:rsidRPr="006878B3">
          <w:rPr>
            <w:rFonts w:ascii="Arabic Typesetting" w:hAnsi="Arabic Typesetting" w:cs="Arabic Typesetting"/>
            <w:noProof/>
            <w:webHidden/>
            <w:sz w:val="36"/>
            <w:szCs w:val="36"/>
          </w:rPr>
          <w:fldChar w:fldCharType="separate"/>
        </w:r>
        <w:r w:rsidR="00A57D6C">
          <w:rPr>
            <w:rFonts w:ascii="Arabic Typesetting" w:hAnsi="Arabic Typesetting" w:cs="Arabic Typesetting"/>
            <w:noProof/>
            <w:webHidden/>
            <w:sz w:val="36"/>
            <w:szCs w:val="36"/>
            <w:rtl/>
          </w:rPr>
          <w:t>4</w:t>
        </w:r>
        <w:r w:rsidRPr="006878B3">
          <w:rPr>
            <w:rFonts w:ascii="Arabic Typesetting" w:hAnsi="Arabic Typesetting" w:cs="Arabic Typesetting"/>
            <w:noProof/>
            <w:webHidden/>
            <w:sz w:val="36"/>
            <w:szCs w:val="36"/>
          </w:rPr>
          <w:fldChar w:fldCharType="end"/>
        </w:r>
      </w:hyperlink>
    </w:p>
    <w:p w:rsidR="003F716C" w:rsidRDefault="006878B3" w:rsidP="0017704C">
      <w:pPr>
        <w:pStyle w:val="NormalParaAR"/>
        <w:rPr>
          <w:rtl/>
        </w:rPr>
      </w:pPr>
      <w:r>
        <w:rPr>
          <w:rtl/>
        </w:rPr>
        <w:fldChar w:fldCharType="end"/>
      </w:r>
    </w:p>
    <w:p w:rsidR="0060475B" w:rsidRDefault="0060475B">
      <w:pPr>
        <w:rPr>
          <w:rFonts w:ascii="Arabic Typesetting" w:hAnsi="Arabic Typesetting" w:cs="Arabic Typesetting"/>
          <w:sz w:val="36"/>
          <w:szCs w:val="36"/>
          <w:rtl/>
        </w:rPr>
      </w:pPr>
      <w:r>
        <w:rPr>
          <w:rtl/>
        </w:rPr>
        <w:br w:type="page"/>
      </w:r>
    </w:p>
    <w:p w:rsidR="003254DD" w:rsidRPr="003254DD" w:rsidRDefault="003254DD" w:rsidP="006878B3">
      <w:pPr>
        <w:pStyle w:val="NormalParaAR"/>
        <w:jc w:val="center"/>
        <w:outlineLvl w:val="0"/>
        <w:rPr>
          <w:rtl/>
          <w:lang w:bidi="ar-EG"/>
        </w:rPr>
      </w:pPr>
      <w:bookmarkStart w:id="2" w:name="_Toc445375382"/>
      <w:r w:rsidRPr="003254DD">
        <w:rPr>
          <w:b/>
          <w:bCs/>
          <w:rtl/>
          <w:lang w:bidi="ar-EG"/>
        </w:rPr>
        <w:t xml:space="preserve">القاعدة </w:t>
      </w:r>
      <w:r w:rsidRPr="003254DD">
        <w:rPr>
          <w:rFonts w:hint="cs"/>
          <w:b/>
          <w:bCs/>
          <w:rtl/>
          <w:lang w:bidi="ar-EG"/>
        </w:rPr>
        <w:t>45</w:t>
      </w:r>
      <w:r w:rsidRPr="003254DD">
        <w:rPr>
          <w:rFonts w:hint="cs"/>
          <w:b/>
          <w:bCs/>
          <w:vertAlign w:val="superscript"/>
          <w:rtl/>
          <w:lang w:bidi="ar-EG"/>
        </w:rPr>
        <w:t>(ثانيا)</w:t>
      </w:r>
      <w:r>
        <w:rPr>
          <w:rFonts w:hint="cs"/>
          <w:b/>
          <w:bCs/>
          <w:vertAlign w:val="superscript"/>
          <w:rtl/>
        </w:rPr>
        <w:t xml:space="preserve">  </w:t>
      </w:r>
      <w:r w:rsidRPr="003254DD">
        <w:rPr>
          <w:b/>
          <w:bCs/>
          <w:rtl/>
          <w:lang w:bidi="ar-EG"/>
        </w:rPr>
        <w:br/>
      </w:r>
      <w:r w:rsidRPr="003254DD">
        <w:rPr>
          <w:rFonts w:hint="cs"/>
          <w:b/>
          <w:bCs/>
          <w:rtl/>
          <w:lang w:bidi="ar-EG"/>
        </w:rPr>
        <w:t>البحوث الإضافية الدولية</w:t>
      </w:r>
      <w:bookmarkEnd w:id="2"/>
    </w:p>
    <w:p w:rsidR="003254DD" w:rsidRPr="003254DD" w:rsidRDefault="003254DD" w:rsidP="006878B3">
      <w:pPr>
        <w:pStyle w:val="NormalParaAR"/>
        <w:keepNext/>
        <w:outlineLvl w:val="1"/>
        <w:rPr>
          <w:rtl/>
        </w:rPr>
      </w:pPr>
      <w:bookmarkStart w:id="3" w:name="_Toc445375383"/>
      <w:r w:rsidRPr="003254DD">
        <w:rPr>
          <w:rFonts w:hint="cs"/>
          <w:rtl/>
          <w:lang w:bidi="ar-EG"/>
        </w:rPr>
        <w:t>45</w:t>
      </w:r>
      <w:r w:rsidRPr="003254DD">
        <w:rPr>
          <w:rFonts w:hint="cs"/>
          <w:vertAlign w:val="superscript"/>
          <w:rtl/>
          <w:lang w:bidi="ar-EG"/>
        </w:rPr>
        <w:t>(ثانيا)</w:t>
      </w:r>
      <w:r>
        <w:rPr>
          <w:rtl/>
          <w:lang w:bidi="ar-EG"/>
        </w:rPr>
        <w:t>1</w:t>
      </w:r>
      <w:r>
        <w:rPr>
          <w:rFonts w:hint="cs"/>
          <w:rtl/>
          <w:lang w:bidi="ar-EG"/>
        </w:rPr>
        <w:t xml:space="preserve">   </w:t>
      </w:r>
      <w:r w:rsidRPr="003254DD">
        <w:rPr>
          <w:rFonts w:hint="cs"/>
          <w:i/>
          <w:iCs/>
          <w:rtl/>
          <w:lang w:bidi="ar-EG"/>
        </w:rPr>
        <w:t>التماس البحث الإضافي</w:t>
      </w:r>
      <w:bookmarkEnd w:id="3"/>
    </w:p>
    <w:p w:rsidR="003254DD" w:rsidRPr="003254DD" w:rsidRDefault="003254DD" w:rsidP="003254DD">
      <w:pPr>
        <w:pStyle w:val="NormalParaAR"/>
        <w:ind w:firstLine="566"/>
        <w:rPr>
          <w:rtl/>
          <w:lang w:bidi="ar-EG"/>
        </w:rPr>
      </w:pPr>
      <w:r w:rsidRPr="003254DD">
        <w:rPr>
          <w:rtl/>
          <w:lang w:bidi="ar-EG"/>
        </w:rPr>
        <w:t>(أ</w:t>
      </w:r>
      <w:r>
        <w:rPr>
          <w:rtl/>
          <w:lang w:bidi="ar-EG"/>
        </w:rPr>
        <w:t>)</w:t>
      </w:r>
      <w:r>
        <w:rPr>
          <w:rFonts w:hint="cs"/>
          <w:rtl/>
          <w:lang w:bidi="ar-EG"/>
        </w:rPr>
        <w:t xml:space="preserve"> </w:t>
      </w:r>
      <w:r w:rsidRPr="003254DD">
        <w:rPr>
          <w:rFonts w:hint="cs"/>
          <w:rtl/>
          <w:lang w:bidi="ar-EG"/>
        </w:rPr>
        <w:t xml:space="preserve">يجوز للمودع أن يلتمس، في أي وقت قبل انقضاء </w:t>
      </w:r>
      <w:r w:rsidRPr="003254DD">
        <w:rPr>
          <w:rFonts w:hint="cs"/>
          <w:strike/>
          <w:color w:val="FF0000"/>
          <w:rtl/>
          <w:lang w:bidi="ar-EG"/>
        </w:rPr>
        <w:t>19</w:t>
      </w:r>
      <w:r w:rsidRPr="003254DD">
        <w:rPr>
          <w:rFonts w:hint="cs"/>
          <w:color w:val="FF0000"/>
          <w:rtl/>
          <w:lang w:bidi="ar-EG"/>
        </w:rPr>
        <w:t xml:space="preserve"> </w:t>
      </w:r>
      <w:r w:rsidRPr="003254DD">
        <w:rPr>
          <w:rFonts w:hint="cs"/>
          <w:color w:val="0000FF"/>
          <w:u w:val="single"/>
          <w:rtl/>
          <w:lang w:bidi="ar-EG"/>
        </w:rPr>
        <w:t>22</w:t>
      </w:r>
      <w:r>
        <w:rPr>
          <w:rFonts w:hint="cs"/>
          <w:rtl/>
          <w:lang w:bidi="ar-EG"/>
        </w:rPr>
        <w:t xml:space="preserve"> </w:t>
      </w:r>
      <w:r w:rsidRPr="003254DD">
        <w:rPr>
          <w:rFonts w:hint="cs"/>
          <w:rtl/>
          <w:lang w:bidi="ar-EG"/>
        </w:rPr>
        <w:t>شهرا اعتبارا من تاريخ الأولوية، إجراء بحوث إضافية دولية بشأن الطلب الدولي من قبل إدارة البحث الدولي المختصة بذلك وفقا للقاعدة 45(ثانيا)9. ويجوز تقديم ذلك الالتماس فيما يتعلق بأكثر من إدارة واحدة مختصة.</w:t>
      </w:r>
    </w:p>
    <w:p w:rsidR="003254DD" w:rsidRPr="003254DD" w:rsidRDefault="00B040CD" w:rsidP="00B040CD">
      <w:pPr>
        <w:pStyle w:val="NormalParaAR"/>
        <w:ind w:firstLine="566"/>
        <w:rPr>
          <w:rtl/>
          <w:lang w:bidi="ar-EG"/>
        </w:rPr>
      </w:pPr>
      <w:r>
        <w:rPr>
          <w:rFonts w:hint="cs"/>
          <w:rtl/>
          <w:lang w:bidi="ar-EG"/>
        </w:rPr>
        <w:t>من (ب) إلى (ه)  [دون تغيير]</w:t>
      </w:r>
    </w:p>
    <w:p w:rsidR="003254DD" w:rsidRPr="003254DD" w:rsidRDefault="003254DD" w:rsidP="006878B3">
      <w:pPr>
        <w:pStyle w:val="NormalParaAR"/>
        <w:keepNext/>
        <w:outlineLvl w:val="1"/>
        <w:rPr>
          <w:rtl/>
        </w:rPr>
      </w:pPr>
      <w:bookmarkStart w:id="4" w:name="_Toc445375384"/>
      <w:r w:rsidRPr="003254DD">
        <w:rPr>
          <w:rFonts w:hint="cs"/>
          <w:rtl/>
          <w:lang w:bidi="ar-EG"/>
        </w:rPr>
        <w:t>45</w:t>
      </w:r>
      <w:r w:rsidRPr="003254DD">
        <w:rPr>
          <w:rFonts w:hint="cs"/>
          <w:vertAlign w:val="superscript"/>
          <w:rtl/>
          <w:lang w:bidi="ar-EG"/>
        </w:rPr>
        <w:t>(ثانيا)</w:t>
      </w:r>
      <w:r w:rsidRPr="003254DD">
        <w:rPr>
          <w:rFonts w:hint="cs"/>
          <w:rtl/>
          <w:lang w:bidi="ar-EG"/>
        </w:rPr>
        <w:t>2</w:t>
      </w:r>
      <w:r w:rsidR="00B040CD">
        <w:rPr>
          <w:rFonts w:hint="cs"/>
          <w:rtl/>
          <w:lang w:bidi="ar-EG"/>
        </w:rPr>
        <w:t xml:space="preserve"> إلى 4   </w:t>
      </w:r>
      <w:r w:rsidR="00B040CD">
        <w:rPr>
          <w:rFonts w:hint="cs"/>
          <w:i/>
          <w:iCs/>
          <w:rtl/>
          <w:lang w:bidi="ar-EG"/>
        </w:rPr>
        <w:t>[دون تغيير]</w:t>
      </w:r>
      <w:bookmarkEnd w:id="4"/>
    </w:p>
    <w:p w:rsidR="003254DD" w:rsidRPr="003254DD" w:rsidRDefault="003254DD" w:rsidP="006878B3">
      <w:pPr>
        <w:pStyle w:val="NormalParaAR"/>
        <w:keepNext/>
        <w:outlineLvl w:val="1"/>
        <w:rPr>
          <w:rtl/>
        </w:rPr>
      </w:pPr>
      <w:bookmarkStart w:id="5" w:name="_Toc445375385"/>
      <w:r w:rsidRPr="003254DD">
        <w:rPr>
          <w:rFonts w:hint="cs"/>
          <w:rtl/>
          <w:lang w:bidi="ar-EG"/>
        </w:rPr>
        <w:t>45</w:t>
      </w:r>
      <w:r w:rsidRPr="003254DD">
        <w:rPr>
          <w:rFonts w:hint="cs"/>
          <w:vertAlign w:val="superscript"/>
          <w:rtl/>
          <w:lang w:bidi="ar-EG"/>
        </w:rPr>
        <w:t>(ثانيا)</w:t>
      </w:r>
      <w:r w:rsidR="00B040CD">
        <w:rPr>
          <w:rFonts w:hint="cs"/>
          <w:rtl/>
        </w:rPr>
        <w:t>5</w:t>
      </w:r>
      <w:r w:rsidR="00B040CD">
        <w:rPr>
          <w:rFonts w:hint="cs"/>
          <w:rtl/>
          <w:lang w:bidi="ar-EG"/>
        </w:rPr>
        <w:t xml:space="preserve">   </w:t>
      </w:r>
      <w:r w:rsidR="00B040CD" w:rsidRPr="00B040CD">
        <w:rPr>
          <w:rFonts w:hint="cs"/>
          <w:i/>
          <w:iCs/>
          <w:rtl/>
          <w:lang w:bidi="ar-EG"/>
        </w:rPr>
        <w:t xml:space="preserve">[دون تغيير] </w:t>
      </w:r>
      <w:r w:rsidRPr="00B040CD">
        <w:rPr>
          <w:rFonts w:hint="cs"/>
          <w:i/>
          <w:iCs/>
          <w:rtl/>
          <w:lang w:bidi="ar-EG"/>
        </w:rPr>
        <w:t>بدء البحث الإضافي الدولي وأساسه ونطاقه</w:t>
      </w:r>
      <w:bookmarkEnd w:id="5"/>
    </w:p>
    <w:p w:rsidR="003254DD" w:rsidRPr="003254DD" w:rsidRDefault="003254DD" w:rsidP="00B040CD">
      <w:pPr>
        <w:pStyle w:val="NormalParaAR"/>
        <w:ind w:firstLine="566"/>
        <w:rPr>
          <w:rtl/>
          <w:lang w:bidi="ar-EG"/>
        </w:rPr>
      </w:pPr>
      <w:r w:rsidRPr="003254DD">
        <w:rPr>
          <w:rFonts w:hint="cs"/>
          <w:rtl/>
          <w:lang w:bidi="ar-EG"/>
        </w:rPr>
        <w:t>(أ</w:t>
      </w:r>
      <w:r w:rsidR="00B040CD">
        <w:rPr>
          <w:rFonts w:hint="cs"/>
          <w:rtl/>
          <w:lang w:bidi="ar-EG"/>
        </w:rPr>
        <w:t xml:space="preserve">) </w:t>
      </w:r>
      <w:r w:rsidRPr="003254DD">
        <w:rPr>
          <w:rFonts w:hint="cs"/>
          <w:rtl/>
          <w:lang w:bidi="ar-EG"/>
        </w:rPr>
        <w:t>يتعيّن على الإدارة المحدَّدة للبحث الإضافي أن تبدأ البحث الإضافي الدولي في أقرب فرصة بعد استلام الوثائق المحدّدة في القاعدة 45(ثانيا)4(ﻫ)"1" إلى "4"، على أنه يجوز للإدارة تأجيل بدء البحث الإضافي الدولي إلى حين استلام الوثائق المحددة أيضا في القاعدة 45(ثانيا)4(ﻫ)"5" أو حتى انقضاء 22 شهرا من تاريخ الأولوية إن أرادت، مع الأخذ بالتاريخ الذي يأتي أولا.</w:t>
      </w:r>
    </w:p>
    <w:p w:rsidR="003254DD" w:rsidRPr="003254DD" w:rsidRDefault="00B040CD" w:rsidP="00B040CD">
      <w:pPr>
        <w:pStyle w:val="NormalParaAR"/>
        <w:ind w:firstLine="566"/>
        <w:rPr>
          <w:rtl/>
          <w:lang w:bidi="ar-EG"/>
        </w:rPr>
      </w:pPr>
      <w:r>
        <w:rPr>
          <w:rFonts w:hint="cs"/>
          <w:rtl/>
          <w:lang w:bidi="ar-EG"/>
        </w:rPr>
        <w:t xml:space="preserve">من </w:t>
      </w:r>
      <w:r w:rsidR="003254DD" w:rsidRPr="003254DD">
        <w:rPr>
          <w:rFonts w:hint="cs"/>
          <w:rtl/>
          <w:lang w:bidi="ar-EG"/>
        </w:rPr>
        <w:t>(ب)</w:t>
      </w:r>
      <w:r>
        <w:rPr>
          <w:rFonts w:hint="cs"/>
          <w:rtl/>
          <w:lang w:bidi="ar-EG"/>
        </w:rPr>
        <w:t xml:space="preserve"> إلى (ح)  [دون تغيير]</w:t>
      </w:r>
    </w:p>
    <w:p w:rsidR="003254DD" w:rsidRPr="003254DD" w:rsidRDefault="003254DD" w:rsidP="006878B3">
      <w:pPr>
        <w:pStyle w:val="NormalParaAR"/>
        <w:keepNext/>
        <w:outlineLvl w:val="1"/>
        <w:rPr>
          <w:rtl/>
        </w:rPr>
      </w:pPr>
      <w:bookmarkStart w:id="6" w:name="_Toc445375386"/>
      <w:r w:rsidRPr="003254DD">
        <w:rPr>
          <w:rFonts w:hint="cs"/>
          <w:rtl/>
          <w:lang w:bidi="ar-EG"/>
        </w:rPr>
        <w:t>45</w:t>
      </w:r>
      <w:r w:rsidRPr="003254DD">
        <w:rPr>
          <w:rFonts w:hint="cs"/>
          <w:vertAlign w:val="superscript"/>
          <w:rtl/>
          <w:lang w:bidi="ar-EG"/>
        </w:rPr>
        <w:t>(ثانيا)</w:t>
      </w:r>
      <w:r w:rsidRPr="003254DD">
        <w:rPr>
          <w:rFonts w:hint="cs"/>
          <w:rtl/>
          <w:lang w:bidi="ar-EG"/>
        </w:rPr>
        <w:t>6</w:t>
      </w:r>
      <w:r w:rsidR="00B040CD">
        <w:rPr>
          <w:rFonts w:hint="cs"/>
          <w:rtl/>
          <w:lang w:bidi="ar-EG"/>
        </w:rPr>
        <w:t xml:space="preserve"> و7   </w:t>
      </w:r>
      <w:r w:rsidR="00B040CD">
        <w:rPr>
          <w:rFonts w:hint="cs"/>
          <w:i/>
          <w:iCs/>
          <w:rtl/>
          <w:lang w:bidi="ar-EG"/>
        </w:rPr>
        <w:t>[دون تغيير]</w:t>
      </w:r>
      <w:bookmarkEnd w:id="6"/>
    </w:p>
    <w:p w:rsidR="00B040CD" w:rsidRPr="0013151C" w:rsidRDefault="00DF588E" w:rsidP="006878B3">
      <w:pPr>
        <w:pStyle w:val="NormalParaAR"/>
        <w:keepNext/>
        <w:outlineLvl w:val="1"/>
        <w:rPr>
          <w:rFonts w:hint="cs"/>
          <w:color w:val="0000FF"/>
          <w:u w:val="single"/>
          <w:rtl/>
        </w:rPr>
      </w:pPr>
      <w:bookmarkStart w:id="7" w:name="_Toc445375387"/>
      <w:r w:rsidRPr="00870492">
        <w:rPr>
          <w:rFonts w:hint="cs"/>
          <w:color w:val="0000FF"/>
          <w:rtl/>
        </w:rPr>
        <w:t>45</w:t>
      </w:r>
      <w:r w:rsidRPr="0013151C">
        <w:rPr>
          <w:rFonts w:hint="cs"/>
          <w:color w:val="0000FF"/>
          <w:u w:val="single"/>
          <w:vertAlign w:val="superscript"/>
          <w:rtl/>
        </w:rPr>
        <w:t>(ثانيا)</w:t>
      </w:r>
      <w:r w:rsidRPr="0013151C">
        <w:rPr>
          <w:rFonts w:hint="cs"/>
          <w:color w:val="0000FF"/>
          <w:u w:val="single"/>
          <w:rtl/>
        </w:rPr>
        <w:t>7</w:t>
      </w:r>
      <w:r w:rsidRPr="0013151C">
        <w:rPr>
          <w:rFonts w:hint="cs"/>
          <w:color w:val="0000FF"/>
          <w:u w:val="single"/>
          <w:vertAlign w:val="superscript"/>
          <w:rtl/>
        </w:rPr>
        <w:t>(ثانيا)</w:t>
      </w:r>
      <w:r w:rsidRPr="0013151C">
        <w:rPr>
          <w:rFonts w:hint="cs"/>
          <w:i/>
          <w:iCs/>
          <w:color w:val="0000FF"/>
          <w:u w:val="single"/>
          <w:rtl/>
        </w:rPr>
        <w:t xml:space="preserve">   الرأي المكتوب للإدارة المحدّدة لأغراض البحث الإضافي</w:t>
      </w:r>
      <w:bookmarkEnd w:id="7"/>
    </w:p>
    <w:p w:rsidR="003254DD" w:rsidRPr="0013151C" w:rsidRDefault="00DF588E" w:rsidP="004C6826">
      <w:pPr>
        <w:pStyle w:val="NormalParaAR"/>
        <w:ind w:firstLine="566"/>
        <w:rPr>
          <w:rFonts w:hint="cs"/>
          <w:color w:val="0000FF"/>
          <w:u w:val="single"/>
          <w:rtl/>
        </w:rPr>
      </w:pPr>
      <w:r w:rsidRPr="0013151C">
        <w:rPr>
          <w:rFonts w:hint="cs"/>
          <w:color w:val="0000FF"/>
          <w:u w:val="single"/>
          <w:rtl/>
        </w:rPr>
        <w:t xml:space="preserve">(أ) إذا نص الاتفاق المنطبق بموجب المادة 16(3)(ب) على ذلك، </w:t>
      </w:r>
      <w:r w:rsidR="001B0E74" w:rsidRPr="0013151C">
        <w:rPr>
          <w:rFonts w:hint="cs"/>
          <w:color w:val="0000FF"/>
          <w:u w:val="single"/>
          <w:rtl/>
        </w:rPr>
        <w:t>تعد</w:t>
      </w:r>
      <w:r w:rsidRPr="0013151C">
        <w:rPr>
          <w:rFonts w:hint="cs"/>
          <w:color w:val="0000FF"/>
          <w:u w:val="single"/>
          <w:rtl/>
        </w:rPr>
        <w:t xml:space="preserve"> الإدارة المحدّدة لأغراض البحث الإضافي</w:t>
      </w:r>
      <w:r w:rsidR="006B7A1E" w:rsidRPr="0013151C">
        <w:rPr>
          <w:rFonts w:hint="cs"/>
          <w:color w:val="0000FF"/>
          <w:u w:val="single"/>
          <w:rtl/>
        </w:rPr>
        <w:t xml:space="preserve"> </w:t>
      </w:r>
      <w:r w:rsidR="00DB2E93" w:rsidRPr="0013151C">
        <w:rPr>
          <w:rFonts w:hint="cs"/>
          <w:color w:val="0000FF"/>
          <w:u w:val="single"/>
          <w:rtl/>
        </w:rPr>
        <w:t>رأيا</w:t>
      </w:r>
      <w:r w:rsidR="006B7A1E" w:rsidRPr="0013151C">
        <w:rPr>
          <w:rFonts w:hint="cs"/>
          <w:color w:val="0000FF"/>
          <w:u w:val="single"/>
          <w:rtl/>
        </w:rPr>
        <w:t xml:space="preserve"> مكتوبا بشأن ما يلي</w:t>
      </w:r>
      <w:r w:rsidRPr="0013151C">
        <w:rPr>
          <w:rFonts w:hint="cs"/>
          <w:color w:val="0000FF"/>
          <w:u w:val="single"/>
          <w:rtl/>
        </w:rPr>
        <w:t xml:space="preserve">، </w:t>
      </w:r>
      <w:r w:rsidR="006B7A1E" w:rsidRPr="0013151C">
        <w:rPr>
          <w:rFonts w:hint="cs"/>
          <w:color w:val="0000FF"/>
          <w:u w:val="single"/>
          <w:rtl/>
        </w:rPr>
        <w:t>في الوقت ذاته الذي تعد فيه</w:t>
      </w:r>
      <w:r w:rsidRPr="0013151C">
        <w:rPr>
          <w:rFonts w:hint="cs"/>
          <w:color w:val="0000FF"/>
          <w:u w:val="single"/>
          <w:rtl/>
        </w:rPr>
        <w:t xml:space="preserve"> تقرير البحث </w:t>
      </w:r>
      <w:r w:rsidR="006B7A1E" w:rsidRPr="0013151C">
        <w:rPr>
          <w:rFonts w:hint="cs"/>
          <w:color w:val="0000FF"/>
          <w:u w:val="single"/>
          <w:rtl/>
        </w:rPr>
        <w:t>الإضافي الدولي</w:t>
      </w:r>
      <w:r w:rsidRPr="0013151C">
        <w:rPr>
          <w:rFonts w:hint="cs"/>
          <w:color w:val="0000FF"/>
          <w:u w:val="single"/>
          <w:rtl/>
        </w:rPr>
        <w:t xml:space="preserve"> أو الإعلان المنصوص عليه في المادة</w:t>
      </w:r>
      <w:r w:rsidR="004C6826">
        <w:rPr>
          <w:rFonts w:hint="eastAsia"/>
          <w:color w:val="0000FF"/>
          <w:u w:val="single"/>
          <w:rtl/>
        </w:rPr>
        <w:t> </w:t>
      </w:r>
      <w:r w:rsidRPr="0013151C">
        <w:rPr>
          <w:rFonts w:hint="cs"/>
          <w:color w:val="0000FF"/>
          <w:u w:val="single"/>
          <w:rtl/>
        </w:rPr>
        <w:t>17(2)</w:t>
      </w:r>
      <w:r w:rsidR="004C6826">
        <w:rPr>
          <w:rFonts w:hint="cs"/>
          <w:color w:val="0000FF"/>
          <w:u w:val="single"/>
          <w:rtl/>
        </w:rPr>
        <w:t xml:space="preserve">(أ) </w:t>
      </w:r>
      <w:r w:rsidRPr="0013151C">
        <w:rPr>
          <w:rFonts w:hint="cs"/>
          <w:color w:val="0000FF"/>
          <w:u w:val="single"/>
          <w:rtl/>
        </w:rPr>
        <w:t xml:space="preserve">كما هي مطبقة بموجب </w:t>
      </w:r>
      <w:r w:rsidRPr="0013151C">
        <w:rPr>
          <w:rFonts w:hint="cs"/>
          <w:color w:val="0000FF"/>
          <w:u w:val="single"/>
          <w:rtl/>
        </w:rPr>
        <w:t>القاعدة</w:t>
      </w:r>
      <w:r w:rsidRPr="0013151C">
        <w:rPr>
          <w:rFonts w:hint="eastAsia"/>
          <w:color w:val="0000FF"/>
          <w:u w:val="single"/>
          <w:rtl/>
        </w:rPr>
        <w:t> </w:t>
      </w:r>
      <w:r w:rsidRPr="0013151C">
        <w:rPr>
          <w:rFonts w:hint="cs"/>
          <w:color w:val="0000FF"/>
          <w:u w:val="single"/>
          <w:rtl/>
        </w:rPr>
        <w:t xml:space="preserve">45(ثانيا)5(ج) بأن تقرير البحث </w:t>
      </w:r>
      <w:r w:rsidR="006B7A1E" w:rsidRPr="0013151C">
        <w:rPr>
          <w:rFonts w:hint="cs"/>
          <w:color w:val="0000FF"/>
          <w:u w:val="single"/>
          <w:rtl/>
        </w:rPr>
        <w:t>الإضافي الدولي</w:t>
      </w:r>
      <w:r w:rsidRPr="0013151C">
        <w:rPr>
          <w:rFonts w:hint="cs"/>
          <w:color w:val="0000FF"/>
          <w:u w:val="single"/>
          <w:rtl/>
        </w:rPr>
        <w:t xml:space="preserve"> لن يُعد</w:t>
      </w:r>
      <w:r w:rsidR="00404BAE" w:rsidRPr="0013151C">
        <w:rPr>
          <w:rFonts w:hint="eastAsia"/>
          <w:color w:val="0000FF"/>
          <w:u w:val="single"/>
          <w:rtl/>
        </w:rPr>
        <w:t>ّ</w:t>
      </w:r>
      <w:r w:rsidRPr="0013151C">
        <w:rPr>
          <w:rFonts w:hint="cs"/>
          <w:color w:val="0000FF"/>
          <w:u w:val="single"/>
          <w:rtl/>
        </w:rPr>
        <w:t>:</w:t>
      </w:r>
    </w:p>
    <w:p w:rsidR="00404BAE" w:rsidRPr="0013151C" w:rsidRDefault="00404BAE" w:rsidP="006B7A1E">
      <w:pPr>
        <w:pStyle w:val="NormalParaAR"/>
        <w:ind w:firstLine="1133"/>
        <w:rPr>
          <w:rFonts w:hint="cs"/>
          <w:color w:val="0000FF"/>
          <w:u w:val="single"/>
          <w:rtl/>
        </w:rPr>
      </w:pPr>
      <w:r w:rsidRPr="0013151C">
        <w:rPr>
          <w:rFonts w:hint="cs"/>
          <w:color w:val="0000FF"/>
          <w:u w:val="single"/>
          <w:rtl/>
        </w:rPr>
        <w:t>"1"</w:t>
      </w:r>
      <w:r w:rsidRPr="0013151C">
        <w:rPr>
          <w:color w:val="0000FF"/>
          <w:u w:val="single"/>
          <w:rtl/>
        </w:rPr>
        <w:tab/>
      </w:r>
      <w:r w:rsidR="006B7A1E" w:rsidRPr="0013151C">
        <w:rPr>
          <w:color w:val="0000FF"/>
          <w:u w:val="single"/>
          <w:rtl/>
          <w:lang w:bidi="ar-EG"/>
        </w:rPr>
        <w:t>ما إذا كان الاختراع المطالب به، في ظاهره، جديداً وينطوي على نشاط ابتكاري (أي ليس بديهياً) وقابلاً للتطبيق في الصناعة</w:t>
      </w:r>
      <w:r w:rsidRPr="0013151C">
        <w:rPr>
          <w:rFonts w:hint="cs"/>
          <w:color w:val="0000FF"/>
          <w:u w:val="single"/>
          <w:rtl/>
        </w:rPr>
        <w:t>؛</w:t>
      </w:r>
    </w:p>
    <w:p w:rsidR="00404BAE" w:rsidRPr="0013151C" w:rsidRDefault="00404BAE" w:rsidP="006B7A1E">
      <w:pPr>
        <w:pStyle w:val="NormalParaAR"/>
        <w:ind w:firstLine="1133"/>
        <w:rPr>
          <w:rFonts w:hint="cs"/>
          <w:color w:val="0000FF"/>
          <w:u w:val="single"/>
          <w:rtl/>
        </w:rPr>
      </w:pPr>
      <w:r w:rsidRPr="0013151C">
        <w:rPr>
          <w:rFonts w:hint="cs"/>
          <w:color w:val="0000FF"/>
          <w:u w:val="single"/>
          <w:rtl/>
        </w:rPr>
        <w:t>"2"</w:t>
      </w:r>
      <w:r w:rsidRPr="0013151C">
        <w:rPr>
          <w:color w:val="0000FF"/>
          <w:u w:val="single"/>
          <w:rtl/>
        </w:rPr>
        <w:tab/>
      </w:r>
      <w:r w:rsidR="006B7A1E" w:rsidRPr="0013151C">
        <w:rPr>
          <w:color w:val="0000FF"/>
          <w:u w:val="single"/>
          <w:rtl/>
          <w:lang w:bidi="ar-EG"/>
        </w:rPr>
        <w:t xml:space="preserve">ما إذا كان الطلب الدولي يستوفي شروط المعاهدة وهذه اللائحة التنفيذية في حدود ما تتحقق منه </w:t>
      </w:r>
      <w:r w:rsidRPr="0013151C">
        <w:rPr>
          <w:rFonts w:hint="cs"/>
          <w:color w:val="0000FF"/>
          <w:u w:val="single"/>
          <w:rtl/>
        </w:rPr>
        <w:t>الإدارة المحدّدة لأغراض البحث الإضافي.</w:t>
      </w:r>
    </w:p>
    <w:p w:rsidR="00404BAE" w:rsidRPr="0013151C" w:rsidRDefault="006B7A1E" w:rsidP="006B7A1E">
      <w:pPr>
        <w:pStyle w:val="NormalParaAR"/>
        <w:rPr>
          <w:rFonts w:hint="cs"/>
          <w:color w:val="0000FF"/>
          <w:u w:val="single"/>
          <w:rtl/>
        </w:rPr>
      </w:pPr>
      <w:r w:rsidRPr="0013151C">
        <w:rPr>
          <w:color w:val="0000FF"/>
          <w:u w:val="single"/>
          <w:rtl/>
          <w:lang w:bidi="ar-EG"/>
        </w:rPr>
        <w:t>ويكون الرأي المكتوب مصحوباً أيضاً بما تنص عليه هذه اللائحة التنفيذية من ملاحظات أخرى</w:t>
      </w:r>
      <w:r w:rsidR="006D3C1B" w:rsidRPr="0013151C">
        <w:rPr>
          <w:rFonts w:hint="cs"/>
          <w:color w:val="0000FF"/>
          <w:u w:val="single"/>
          <w:rtl/>
        </w:rPr>
        <w:t>.</w:t>
      </w:r>
    </w:p>
    <w:p w:rsidR="006D3C1B" w:rsidRPr="003254DD" w:rsidRDefault="006D3C1B" w:rsidP="006B7A1E">
      <w:pPr>
        <w:pStyle w:val="NormalParaAR"/>
        <w:ind w:firstLine="566"/>
        <w:rPr>
          <w:rtl/>
        </w:rPr>
      </w:pPr>
      <w:r w:rsidRPr="0013151C">
        <w:rPr>
          <w:rFonts w:hint="cs"/>
          <w:color w:val="0000FF"/>
          <w:u w:val="single"/>
          <w:rtl/>
        </w:rPr>
        <w:t xml:space="preserve">(ب) </w:t>
      </w:r>
      <w:r w:rsidR="006B7A1E" w:rsidRPr="0013151C">
        <w:rPr>
          <w:rFonts w:hint="cs"/>
          <w:color w:val="0000FF"/>
          <w:u w:val="single"/>
          <w:rtl/>
        </w:rPr>
        <w:t>لأغراض إعداد الرأي المكتوب، ت</w:t>
      </w:r>
      <w:r w:rsidR="001B0E74" w:rsidRPr="0013151C">
        <w:rPr>
          <w:rFonts w:hint="cs"/>
          <w:color w:val="0000FF"/>
          <w:u w:val="single"/>
          <w:rtl/>
        </w:rPr>
        <w:t>طبّق المواد</w:t>
      </w:r>
      <w:r w:rsidR="001B0E74" w:rsidRPr="0013151C">
        <w:rPr>
          <w:rFonts w:hint="eastAsia"/>
          <w:color w:val="0000FF"/>
          <w:u w:val="single"/>
          <w:rtl/>
        </w:rPr>
        <w:t> </w:t>
      </w:r>
      <w:r w:rsidR="001B0E74" w:rsidRPr="0013151C">
        <w:rPr>
          <w:rFonts w:hint="cs"/>
          <w:color w:val="0000FF"/>
          <w:u w:val="single"/>
          <w:rtl/>
        </w:rPr>
        <w:t>33(2) إلى</w:t>
      </w:r>
      <w:r w:rsidR="001B0E74" w:rsidRPr="0013151C">
        <w:rPr>
          <w:rFonts w:hint="eastAsia"/>
          <w:color w:val="0000FF"/>
          <w:u w:val="single"/>
          <w:rtl/>
        </w:rPr>
        <w:t> </w:t>
      </w:r>
      <w:r w:rsidR="001B0E74" w:rsidRPr="0013151C">
        <w:rPr>
          <w:rFonts w:hint="cs"/>
          <w:color w:val="0000FF"/>
          <w:u w:val="single"/>
          <w:rtl/>
        </w:rPr>
        <w:t>(6) و35(2) و(3) والقواعد</w:t>
      </w:r>
      <w:r w:rsidR="001B0E74" w:rsidRPr="0013151C">
        <w:rPr>
          <w:rFonts w:hint="eastAsia"/>
          <w:color w:val="0000FF"/>
          <w:u w:val="single"/>
          <w:rtl/>
        </w:rPr>
        <w:t> </w:t>
      </w:r>
      <w:r w:rsidR="001B0E74" w:rsidRPr="0013151C">
        <w:rPr>
          <w:rFonts w:hint="cs"/>
          <w:color w:val="0000FF"/>
          <w:u w:val="single"/>
          <w:rtl/>
        </w:rPr>
        <w:t>4.43 و6.43(ثانيا) و64 و65 و1.66(ه) و7.66 و67 و2.70(ب) و(د) و3.70 و4.70"2" و6.70 إلى 10.70 و12.70 و14.70 و15.70</w:t>
      </w:r>
      <w:r w:rsidR="006B7A1E" w:rsidRPr="0013151C">
        <w:rPr>
          <w:rFonts w:hint="cs"/>
          <w:color w:val="0000FF"/>
          <w:u w:val="single"/>
          <w:rtl/>
        </w:rPr>
        <w:t>(أ) مع ما</w:t>
      </w:r>
      <w:r w:rsidR="006B7A1E" w:rsidRPr="0013151C">
        <w:rPr>
          <w:rFonts w:hint="eastAsia"/>
          <w:color w:val="0000FF"/>
          <w:u w:val="single"/>
          <w:rtl/>
        </w:rPr>
        <w:t> </w:t>
      </w:r>
      <w:r w:rsidR="006B7A1E" w:rsidRPr="0013151C">
        <w:rPr>
          <w:rFonts w:hint="cs"/>
          <w:color w:val="0000FF"/>
          <w:u w:val="single"/>
          <w:rtl/>
        </w:rPr>
        <w:t>يلزم من تبديل.</w:t>
      </w:r>
    </w:p>
    <w:p w:rsidR="003254DD" w:rsidRPr="003254DD" w:rsidRDefault="003254DD" w:rsidP="006878B3">
      <w:pPr>
        <w:pStyle w:val="NormalParaAR"/>
        <w:keepNext/>
        <w:outlineLvl w:val="1"/>
        <w:rPr>
          <w:rtl/>
        </w:rPr>
      </w:pPr>
      <w:bookmarkStart w:id="8" w:name="_Toc445375388"/>
      <w:r w:rsidRPr="003254DD">
        <w:rPr>
          <w:rFonts w:hint="cs"/>
          <w:rtl/>
          <w:lang w:bidi="ar-EG"/>
        </w:rPr>
        <w:t>45</w:t>
      </w:r>
      <w:r w:rsidRPr="003254DD">
        <w:rPr>
          <w:rFonts w:hint="cs"/>
          <w:vertAlign w:val="superscript"/>
          <w:rtl/>
          <w:lang w:bidi="ar-EG"/>
        </w:rPr>
        <w:t>(ثانيا)</w:t>
      </w:r>
      <w:r w:rsidRPr="003254DD">
        <w:rPr>
          <w:rFonts w:hint="cs"/>
          <w:rtl/>
          <w:lang w:bidi="ar-EG"/>
        </w:rPr>
        <w:t>8</w:t>
      </w:r>
      <w:r w:rsidR="0013151C">
        <w:rPr>
          <w:rFonts w:hint="cs"/>
          <w:rtl/>
          <w:lang w:bidi="ar-EG"/>
        </w:rPr>
        <w:t xml:space="preserve">   </w:t>
      </w:r>
      <w:r w:rsidRPr="003254DD">
        <w:rPr>
          <w:rFonts w:hint="cs"/>
          <w:i/>
          <w:iCs/>
          <w:rtl/>
          <w:lang w:bidi="ar-EG"/>
        </w:rPr>
        <w:t xml:space="preserve">إرسال تقرير البحث الإضافي الدولي </w:t>
      </w:r>
      <w:r w:rsidR="001D45C7" w:rsidRPr="0013151C">
        <w:rPr>
          <w:rFonts w:hint="cs"/>
          <w:i/>
          <w:iCs/>
          <w:color w:val="0000FF"/>
          <w:u w:val="single"/>
          <w:rtl/>
          <w:lang w:bidi="ar-EG"/>
        </w:rPr>
        <w:t>والرأي المكتوب للإدارة المحدّدة لأغراض البحث الإضافي</w:t>
      </w:r>
      <w:r w:rsidR="001D45C7" w:rsidRPr="001D45C7">
        <w:rPr>
          <w:rFonts w:hint="cs"/>
          <w:i/>
          <w:iCs/>
          <w:color w:val="0000FF"/>
          <w:rtl/>
          <w:lang w:bidi="ar-EG"/>
        </w:rPr>
        <w:t xml:space="preserve"> </w:t>
      </w:r>
      <w:r w:rsidRPr="003254DD">
        <w:rPr>
          <w:rFonts w:hint="cs"/>
          <w:i/>
          <w:iCs/>
          <w:rtl/>
          <w:lang w:bidi="ar-EG"/>
        </w:rPr>
        <w:t>وأثر</w:t>
      </w:r>
      <w:r w:rsidRPr="0013151C">
        <w:rPr>
          <w:rFonts w:hint="cs"/>
          <w:i/>
          <w:iCs/>
          <w:color w:val="0000FF"/>
          <w:u w:val="single"/>
          <w:rtl/>
          <w:lang w:bidi="ar-EG"/>
        </w:rPr>
        <w:t>ه</w:t>
      </w:r>
      <w:r w:rsidR="001D45C7" w:rsidRPr="0013151C">
        <w:rPr>
          <w:rFonts w:hint="cs"/>
          <w:i/>
          <w:iCs/>
          <w:color w:val="0000FF"/>
          <w:u w:val="single"/>
          <w:rtl/>
          <w:lang w:bidi="ar-EG"/>
        </w:rPr>
        <w:t>م</w:t>
      </w:r>
      <w:r w:rsidR="001D45C7" w:rsidRPr="0013151C">
        <w:rPr>
          <w:rFonts w:hint="cs"/>
          <w:i/>
          <w:iCs/>
          <w:u w:val="single"/>
          <w:rtl/>
          <w:lang w:bidi="ar-EG"/>
        </w:rPr>
        <w:t>ا</w:t>
      </w:r>
      <w:bookmarkEnd w:id="8"/>
    </w:p>
    <w:p w:rsidR="003254DD" w:rsidRDefault="003254DD" w:rsidP="00B36E30">
      <w:pPr>
        <w:pStyle w:val="NormalParaAR"/>
        <w:ind w:firstLine="566"/>
        <w:rPr>
          <w:rFonts w:hint="cs"/>
          <w:rtl/>
        </w:rPr>
      </w:pPr>
      <w:r w:rsidRPr="003254DD">
        <w:rPr>
          <w:rFonts w:hint="cs"/>
          <w:rtl/>
        </w:rPr>
        <w:t>(أ</w:t>
      </w:r>
      <w:r w:rsidR="00A81D3C">
        <w:rPr>
          <w:rFonts w:hint="cs"/>
          <w:rtl/>
        </w:rPr>
        <w:t xml:space="preserve">) </w:t>
      </w:r>
      <w:r w:rsidRPr="003254DD">
        <w:rPr>
          <w:rFonts w:hint="cs"/>
          <w:rtl/>
        </w:rPr>
        <w:t>ترسل الإدارة المحدَّدة للبحث ال</w:t>
      </w:r>
      <w:r w:rsidRPr="003254DD">
        <w:rPr>
          <w:rFonts w:hint="cs"/>
          <w:rtl/>
          <w:lang w:bidi="ar-EG"/>
        </w:rPr>
        <w:t>إضافي</w:t>
      </w:r>
      <w:r w:rsidRPr="003254DD">
        <w:rPr>
          <w:rFonts w:hint="cs"/>
          <w:rtl/>
        </w:rPr>
        <w:t xml:space="preserve"> </w:t>
      </w:r>
      <w:r w:rsidR="00A81D3C" w:rsidRPr="003254DD">
        <w:rPr>
          <w:rFonts w:hint="cs"/>
          <w:rtl/>
        </w:rPr>
        <w:t>في</w:t>
      </w:r>
      <w:r w:rsidR="00A81D3C">
        <w:rPr>
          <w:rFonts w:hint="cs"/>
          <w:rtl/>
        </w:rPr>
        <w:t xml:space="preserve"> </w:t>
      </w:r>
      <w:r w:rsidR="00B36E30">
        <w:rPr>
          <w:rFonts w:hint="cs"/>
          <w:rtl/>
        </w:rPr>
        <w:t>اليوم ذاته:</w:t>
      </w:r>
    </w:p>
    <w:p w:rsidR="00B36E30" w:rsidRDefault="00B36E30" w:rsidP="00B36E30">
      <w:pPr>
        <w:pStyle w:val="NormalParaAR"/>
        <w:ind w:firstLine="1133"/>
        <w:rPr>
          <w:rFonts w:hint="cs"/>
          <w:rtl/>
        </w:rPr>
      </w:pPr>
      <w:r w:rsidRPr="0013151C">
        <w:rPr>
          <w:rFonts w:hint="cs"/>
          <w:color w:val="0000FF"/>
          <w:u w:val="single"/>
          <w:rtl/>
        </w:rPr>
        <w:t>"1"</w:t>
      </w:r>
      <w:r>
        <w:rPr>
          <w:rtl/>
        </w:rPr>
        <w:tab/>
      </w:r>
      <w:r w:rsidRPr="003254DD">
        <w:rPr>
          <w:rFonts w:hint="cs"/>
          <w:rtl/>
        </w:rPr>
        <w:t>صورة عن تقرير البحث ال</w:t>
      </w:r>
      <w:r w:rsidRPr="003254DD">
        <w:rPr>
          <w:rFonts w:hint="cs"/>
          <w:rtl/>
          <w:lang w:bidi="ar-EG"/>
        </w:rPr>
        <w:t>إضافي</w:t>
      </w:r>
      <w:r w:rsidRPr="003254DD">
        <w:rPr>
          <w:rFonts w:hint="cs"/>
          <w:rtl/>
        </w:rPr>
        <w:t xml:space="preserve"> الدولي أو عن الإعلان بأن تقرير البحث ال</w:t>
      </w:r>
      <w:r w:rsidRPr="003254DD">
        <w:rPr>
          <w:rFonts w:hint="cs"/>
          <w:rtl/>
          <w:lang w:bidi="ar-EG"/>
        </w:rPr>
        <w:t>إضافي</w:t>
      </w:r>
      <w:r w:rsidRPr="003254DD">
        <w:rPr>
          <w:rFonts w:hint="cs"/>
          <w:rtl/>
        </w:rPr>
        <w:t xml:space="preserve"> الدولي لن يُعدّ، حسب الحال،</w:t>
      </w:r>
    </w:p>
    <w:p w:rsidR="00B36E30" w:rsidRPr="0013151C" w:rsidRDefault="00B36E30" w:rsidP="00C950EE">
      <w:pPr>
        <w:pStyle w:val="NormalParaAR"/>
        <w:ind w:firstLine="1133"/>
        <w:rPr>
          <w:rFonts w:hint="cs"/>
          <w:u w:val="single"/>
          <w:rtl/>
        </w:rPr>
      </w:pPr>
      <w:r w:rsidRPr="0013151C">
        <w:rPr>
          <w:rFonts w:hint="cs"/>
          <w:color w:val="0000FF"/>
          <w:u w:val="single"/>
          <w:rtl/>
        </w:rPr>
        <w:t>"2"</w:t>
      </w:r>
      <w:r w:rsidRPr="0013151C">
        <w:rPr>
          <w:color w:val="0000FF"/>
          <w:u w:val="single"/>
          <w:rtl/>
        </w:rPr>
        <w:tab/>
      </w:r>
      <w:r w:rsidRPr="0013151C">
        <w:rPr>
          <w:rFonts w:hint="cs"/>
          <w:color w:val="0000FF"/>
          <w:u w:val="single"/>
          <w:rtl/>
        </w:rPr>
        <w:t>وصورة عن الرأي المكتوب المُعدّ بموجب القاعدة 45(ثانيا)7(ثانيا</w:t>
      </w:r>
      <w:r w:rsidR="00870492" w:rsidRPr="0013151C">
        <w:rPr>
          <w:rFonts w:hint="cs"/>
          <w:color w:val="0000FF"/>
          <w:u w:val="single"/>
          <w:rtl/>
        </w:rPr>
        <w:t>)</w:t>
      </w:r>
      <w:r w:rsidRPr="0013151C">
        <w:rPr>
          <w:rFonts w:hint="cs"/>
          <w:color w:val="0000FF"/>
          <w:u w:val="single"/>
          <w:rtl/>
        </w:rPr>
        <w:t xml:space="preserve">، </w:t>
      </w:r>
      <w:r w:rsidR="00C950EE" w:rsidRPr="0013151C">
        <w:rPr>
          <w:rFonts w:hint="cs"/>
          <w:color w:val="0000FF"/>
          <w:u w:val="single"/>
          <w:rtl/>
        </w:rPr>
        <w:t>إن وُجد</w:t>
      </w:r>
      <w:r w:rsidR="00A81D3C" w:rsidRPr="0013151C">
        <w:rPr>
          <w:rFonts w:hint="cs"/>
          <w:color w:val="0000FF"/>
          <w:u w:val="single"/>
          <w:rtl/>
        </w:rPr>
        <w:t>،</w:t>
      </w:r>
    </w:p>
    <w:p w:rsidR="00B36E30" w:rsidRPr="003254DD" w:rsidRDefault="00B36E30" w:rsidP="00A81D3C">
      <w:pPr>
        <w:pStyle w:val="NormalParaAR"/>
        <w:rPr>
          <w:rtl/>
        </w:rPr>
      </w:pPr>
      <w:r w:rsidRPr="003254DD">
        <w:rPr>
          <w:rFonts w:hint="cs"/>
          <w:rtl/>
        </w:rPr>
        <w:t>إلى المكتب الدولي وإلى المود</w:t>
      </w:r>
      <w:r w:rsidR="00A81D3C">
        <w:rPr>
          <w:rFonts w:hint="cs"/>
          <w:rtl/>
        </w:rPr>
        <w:t>ع</w:t>
      </w:r>
      <w:r w:rsidR="00A81D3C" w:rsidRPr="00A81D3C">
        <w:rPr>
          <w:rFonts w:hint="cs"/>
          <w:color w:val="0000FF"/>
          <w:rtl/>
        </w:rPr>
        <w:t>.</w:t>
      </w:r>
    </w:p>
    <w:p w:rsidR="003254DD" w:rsidRDefault="00A81D3C" w:rsidP="00A81D3C">
      <w:pPr>
        <w:pStyle w:val="NormalParaAR"/>
        <w:ind w:firstLine="566"/>
        <w:rPr>
          <w:rFonts w:hint="cs"/>
          <w:rtl/>
        </w:rPr>
      </w:pPr>
      <w:r>
        <w:rPr>
          <w:rFonts w:hint="cs"/>
          <w:rtl/>
        </w:rPr>
        <w:t xml:space="preserve">(ب) </w:t>
      </w:r>
      <w:r w:rsidR="00AC7E0E">
        <w:rPr>
          <w:rFonts w:hint="cs"/>
          <w:rtl/>
        </w:rPr>
        <w:t xml:space="preserve">[دون تغيير] </w:t>
      </w:r>
      <w:r w:rsidR="003254DD" w:rsidRPr="003254DD">
        <w:rPr>
          <w:rFonts w:hint="cs"/>
          <w:rtl/>
        </w:rPr>
        <w:t>مع مراعاة الفقرة (ج)، تطبّق المادة 20(1) والقواعد 45</w:t>
      </w:r>
      <w:r w:rsidR="003254DD" w:rsidRPr="003254DD">
        <w:t>.</w:t>
      </w:r>
      <w:r w:rsidR="003254DD" w:rsidRPr="003254DD">
        <w:rPr>
          <w:rFonts w:hint="cs"/>
          <w:rtl/>
        </w:rPr>
        <w:t>1 و47</w:t>
      </w:r>
      <w:r w:rsidR="003254DD" w:rsidRPr="003254DD">
        <w:t>.</w:t>
      </w:r>
      <w:r w:rsidR="003254DD" w:rsidRPr="003254DD">
        <w:rPr>
          <w:rFonts w:hint="cs"/>
          <w:rtl/>
        </w:rPr>
        <w:t>1(د) و70</w:t>
      </w:r>
      <w:r w:rsidR="003254DD" w:rsidRPr="003254DD">
        <w:t>.</w:t>
      </w:r>
      <w:r w:rsidR="003254DD" w:rsidRPr="003254DD">
        <w:rPr>
          <w:rFonts w:hint="cs"/>
          <w:rtl/>
        </w:rPr>
        <w:t>7(أ) كما لو كان تقرير البحث ال</w:t>
      </w:r>
      <w:r w:rsidR="003254DD" w:rsidRPr="003254DD">
        <w:rPr>
          <w:rFonts w:hint="cs"/>
          <w:rtl/>
          <w:lang w:bidi="ar-EG"/>
        </w:rPr>
        <w:t>إضافي</w:t>
      </w:r>
      <w:r w:rsidR="003254DD" w:rsidRPr="003254DD">
        <w:rPr>
          <w:rFonts w:hint="cs"/>
          <w:rtl/>
        </w:rPr>
        <w:t xml:space="preserve"> الدولي جزءا من تقرير البحث الدولي.</w:t>
      </w:r>
    </w:p>
    <w:p w:rsidR="00A81D3C" w:rsidRPr="0013151C" w:rsidRDefault="00A81D3C" w:rsidP="00870492">
      <w:pPr>
        <w:pStyle w:val="NormalParaAR"/>
        <w:ind w:firstLine="566"/>
        <w:rPr>
          <w:rFonts w:hint="cs"/>
          <w:color w:val="0000FF"/>
          <w:u w:val="single"/>
          <w:rtl/>
        </w:rPr>
      </w:pPr>
      <w:r w:rsidRPr="0013151C">
        <w:rPr>
          <w:rFonts w:hint="cs"/>
          <w:color w:val="0000FF"/>
          <w:u w:val="single"/>
          <w:rtl/>
        </w:rPr>
        <w:t xml:space="preserve">(ب(ثانيا)) </w:t>
      </w:r>
      <w:r w:rsidR="00D83708" w:rsidRPr="0013151C">
        <w:rPr>
          <w:color w:val="0000FF"/>
          <w:u w:val="single"/>
          <w:rtl/>
          <w:lang w:bidi="ar-EG"/>
        </w:rPr>
        <w:t>ما لم يعد تقرير عن الفحص التمهيدي الدولي أو يكن من المعتزم إعداده</w:t>
      </w:r>
      <w:r w:rsidR="00870492" w:rsidRPr="0013151C">
        <w:rPr>
          <w:rFonts w:hint="cs"/>
          <w:color w:val="0000FF"/>
          <w:u w:val="single"/>
          <w:rtl/>
          <w:lang w:bidi="ar-EG"/>
        </w:rPr>
        <w:t xml:space="preserve">، </w:t>
      </w:r>
      <w:r w:rsidR="00D83708" w:rsidRPr="0013151C">
        <w:rPr>
          <w:rFonts w:hint="cs"/>
          <w:color w:val="0000FF"/>
          <w:u w:val="single"/>
          <w:rtl/>
          <w:lang w:bidi="ar-EG"/>
        </w:rPr>
        <w:t>تطبّق القواعد</w:t>
      </w:r>
      <w:r w:rsidR="00870492" w:rsidRPr="0013151C">
        <w:rPr>
          <w:rFonts w:hint="eastAsia"/>
          <w:color w:val="0000FF"/>
          <w:u w:val="single"/>
          <w:rtl/>
          <w:lang w:bidi="ar-EG"/>
        </w:rPr>
        <w:t> </w:t>
      </w:r>
      <w:r w:rsidR="00D83708" w:rsidRPr="0013151C">
        <w:rPr>
          <w:rFonts w:hint="cs"/>
          <w:color w:val="0000FF"/>
          <w:u w:val="single"/>
          <w:rtl/>
          <w:lang w:bidi="ar-EG"/>
        </w:rPr>
        <w:t xml:space="preserve">44(ثانيا)2 إلى 44(ثانيا)4 على الرأي المكتوب المُعدّ بموجب </w:t>
      </w:r>
      <w:r w:rsidR="00870492" w:rsidRPr="0013151C">
        <w:rPr>
          <w:rFonts w:hint="cs"/>
          <w:color w:val="0000FF"/>
          <w:u w:val="single"/>
          <w:rtl/>
          <w:lang w:bidi="ar-EG"/>
        </w:rPr>
        <w:t>ا</w:t>
      </w:r>
      <w:r w:rsidR="00870492" w:rsidRPr="0013151C">
        <w:rPr>
          <w:rFonts w:hint="cs"/>
          <w:color w:val="0000FF"/>
          <w:u w:val="single"/>
          <w:rtl/>
        </w:rPr>
        <w:t>لقاعدة 45(ثانيا)7(ثانيا) مع ما يلزم من تبديل.</w:t>
      </w:r>
    </w:p>
    <w:p w:rsidR="00870492" w:rsidRPr="0013151C" w:rsidRDefault="00870492" w:rsidP="0013151C">
      <w:pPr>
        <w:pStyle w:val="NormalParaAR"/>
        <w:ind w:firstLine="566"/>
        <w:rPr>
          <w:u w:val="single"/>
          <w:rtl/>
        </w:rPr>
      </w:pPr>
      <w:r w:rsidRPr="0013151C">
        <w:rPr>
          <w:rFonts w:hint="cs"/>
          <w:color w:val="0000FF"/>
          <w:u w:val="single"/>
          <w:rtl/>
        </w:rPr>
        <w:t xml:space="preserve">(ب(ثالثا)) في حال اعتُزم </w:t>
      </w:r>
      <w:r w:rsidR="006B4B41" w:rsidRPr="0013151C">
        <w:rPr>
          <w:rFonts w:hint="cs"/>
          <w:color w:val="0000FF"/>
          <w:u w:val="single"/>
          <w:rtl/>
        </w:rPr>
        <w:t>إعداد تقرير عن الفحص التمهيدي الدولي، وبمراعاة الفقرة (ج)، تطبّق القاعدتان</w:t>
      </w:r>
      <w:r w:rsidR="0013151C" w:rsidRPr="0013151C">
        <w:rPr>
          <w:rFonts w:hint="eastAsia"/>
          <w:color w:val="0000FF"/>
          <w:u w:val="single"/>
          <w:rtl/>
        </w:rPr>
        <w:t> </w:t>
      </w:r>
      <w:r w:rsidR="006B4B41" w:rsidRPr="0013151C">
        <w:rPr>
          <w:rFonts w:hint="cs"/>
          <w:color w:val="0000FF"/>
          <w:u w:val="single"/>
          <w:rtl/>
        </w:rPr>
        <w:t xml:space="preserve">62(ثانيا) و1.66(ثانيا)(د) على </w:t>
      </w:r>
      <w:r w:rsidR="006B4B41" w:rsidRPr="0013151C">
        <w:rPr>
          <w:rFonts w:hint="cs"/>
          <w:color w:val="0000FF"/>
          <w:u w:val="single"/>
          <w:rtl/>
          <w:lang w:bidi="ar-EG"/>
        </w:rPr>
        <w:t>الرأي المكتوب المُعدّ بموجب ا</w:t>
      </w:r>
      <w:r w:rsidR="006B4B41" w:rsidRPr="0013151C">
        <w:rPr>
          <w:rFonts w:hint="cs"/>
          <w:color w:val="0000FF"/>
          <w:u w:val="single"/>
          <w:rtl/>
        </w:rPr>
        <w:t>لقاعدة 45(ثانيا)7(ثانيا) مع ما يلزم من تبديل.</w:t>
      </w:r>
    </w:p>
    <w:p w:rsidR="003254DD" w:rsidRPr="003254DD" w:rsidRDefault="0013151C" w:rsidP="0013151C">
      <w:pPr>
        <w:pStyle w:val="NormalParaAR"/>
        <w:ind w:firstLine="566"/>
        <w:rPr>
          <w:rtl/>
        </w:rPr>
      </w:pPr>
      <w:r>
        <w:rPr>
          <w:rFonts w:hint="cs"/>
          <w:rtl/>
        </w:rPr>
        <w:t xml:space="preserve">(ج) </w:t>
      </w:r>
      <w:r w:rsidR="003254DD" w:rsidRPr="003254DD">
        <w:rPr>
          <w:rFonts w:hint="cs"/>
          <w:rtl/>
        </w:rPr>
        <w:t>ليس من الضروري أن تأخذ إدارة الفحص التمهيدي الدولي تقرير البحث ال</w:t>
      </w:r>
      <w:r w:rsidR="003254DD" w:rsidRPr="003254DD">
        <w:rPr>
          <w:rFonts w:hint="cs"/>
          <w:rtl/>
          <w:lang w:bidi="ar-EG"/>
        </w:rPr>
        <w:t>إضافي</w:t>
      </w:r>
      <w:r w:rsidR="003254DD" w:rsidRPr="003254DD">
        <w:rPr>
          <w:rFonts w:hint="cs"/>
          <w:rtl/>
        </w:rPr>
        <w:t xml:space="preserve"> الدولي </w:t>
      </w:r>
      <w:r w:rsidR="006B4B41" w:rsidRPr="0013151C">
        <w:rPr>
          <w:rFonts w:hint="cs"/>
          <w:color w:val="0000FF"/>
          <w:u w:val="single"/>
          <w:rtl/>
        </w:rPr>
        <w:t xml:space="preserve">أو </w:t>
      </w:r>
      <w:r w:rsidR="006B4B41" w:rsidRPr="0013151C">
        <w:rPr>
          <w:rFonts w:hint="cs"/>
          <w:color w:val="0000FF"/>
          <w:u w:val="single"/>
          <w:rtl/>
          <w:lang w:bidi="ar-EG"/>
        </w:rPr>
        <w:t>الرأي المكتوب المُعدّ بموجب ا</w:t>
      </w:r>
      <w:r w:rsidR="006B4B41" w:rsidRPr="0013151C">
        <w:rPr>
          <w:rFonts w:hint="cs"/>
          <w:color w:val="0000FF"/>
          <w:u w:val="single"/>
          <w:rtl/>
        </w:rPr>
        <w:t>لقاعدة 45(ثانيا)7(ثانيا)</w:t>
      </w:r>
      <w:r w:rsidR="006B4B41">
        <w:rPr>
          <w:rFonts w:hint="cs"/>
          <w:rtl/>
        </w:rPr>
        <w:t xml:space="preserve"> </w:t>
      </w:r>
      <w:r w:rsidR="003254DD" w:rsidRPr="003254DD">
        <w:rPr>
          <w:rFonts w:hint="cs"/>
          <w:rtl/>
        </w:rPr>
        <w:t>بعين الاعتبار لأغراض رأي مكتوب أو تقرير الفحص التمهيدي الدولي إذا استلمته تلك الإدارة بعد الشروع في تحرير ذلك الرأي أو التقرير.</w:t>
      </w:r>
    </w:p>
    <w:p w:rsidR="003254DD" w:rsidRPr="003254DD" w:rsidRDefault="003254DD" w:rsidP="006878B3">
      <w:pPr>
        <w:pStyle w:val="NormalParaAR"/>
        <w:keepNext/>
        <w:outlineLvl w:val="1"/>
        <w:rPr>
          <w:rtl/>
        </w:rPr>
      </w:pPr>
      <w:bookmarkStart w:id="9" w:name="_Toc445375389"/>
      <w:r w:rsidRPr="003254DD">
        <w:rPr>
          <w:rFonts w:hint="cs"/>
          <w:rtl/>
          <w:lang w:bidi="ar-EG"/>
        </w:rPr>
        <w:t>45</w:t>
      </w:r>
      <w:r w:rsidRPr="003254DD">
        <w:rPr>
          <w:rFonts w:hint="cs"/>
          <w:vertAlign w:val="superscript"/>
          <w:rtl/>
          <w:lang w:bidi="ar-EG"/>
        </w:rPr>
        <w:t>(ثانيا)</w:t>
      </w:r>
      <w:r w:rsidRPr="003254DD">
        <w:rPr>
          <w:rFonts w:hint="cs"/>
          <w:rtl/>
          <w:lang w:bidi="ar-EG"/>
        </w:rPr>
        <w:t>9</w:t>
      </w:r>
      <w:r w:rsidR="0013151C">
        <w:rPr>
          <w:rFonts w:hint="cs"/>
          <w:rtl/>
          <w:lang w:bidi="ar-EG"/>
        </w:rPr>
        <w:t xml:space="preserve">   </w:t>
      </w:r>
      <w:r w:rsidRPr="003254DD">
        <w:rPr>
          <w:rFonts w:hint="cs"/>
          <w:i/>
          <w:iCs/>
          <w:rtl/>
          <w:lang w:bidi="ar-EG"/>
        </w:rPr>
        <w:t xml:space="preserve">إدارات البحث الدولي </w:t>
      </w:r>
      <w:r w:rsidRPr="003254DD">
        <w:rPr>
          <w:rFonts w:hint="cs"/>
          <w:i/>
          <w:iCs/>
          <w:rtl/>
        </w:rPr>
        <w:t>المختصة ب</w:t>
      </w:r>
      <w:r w:rsidRPr="003254DD">
        <w:rPr>
          <w:rFonts w:hint="cs"/>
          <w:i/>
          <w:iCs/>
          <w:rtl/>
          <w:lang w:bidi="ar-EG"/>
        </w:rPr>
        <w:t xml:space="preserve">إجراء البحث </w:t>
      </w:r>
      <w:r w:rsidRPr="0013151C">
        <w:rPr>
          <w:rFonts w:hint="cs"/>
          <w:i/>
          <w:iCs/>
          <w:rtl/>
        </w:rPr>
        <w:t>الإضافي</w:t>
      </w:r>
      <w:r w:rsidRPr="003254DD">
        <w:rPr>
          <w:rFonts w:hint="cs"/>
          <w:i/>
          <w:iCs/>
          <w:rtl/>
          <w:lang w:bidi="ar-EG"/>
        </w:rPr>
        <w:t xml:space="preserve"> الدولي</w:t>
      </w:r>
      <w:bookmarkEnd w:id="9"/>
    </w:p>
    <w:p w:rsidR="003254DD" w:rsidRPr="003254DD" w:rsidRDefault="003254DD" w:rsidP="0013151C">
      <w:pPr>
        <w:pStyle w:val="NormalParaAR"/>
        <w:ind w:firstLine="566"/>
        <w:rPr>
          <w:rtl/>
        </w:rPr>
      </w:pPr>
      <w:r w:rsidRPr="003254DD">
        <w:rPr>
          <w:rFonts w:hint="cs"/>
          <w:rtl/>
        </w:rPr>
        <w:t>(أ</w:t>
      </w:r>
      <w:r w:rsidR="0013151C">
        <w:rPr>
          <w:rFonts w:hint="cs"/>
          <w:rtl/>
        </w:rPr>
        <w:t xml:space="preserve">) </w:t>
      </w:r>
      <w:r w:rsidR="004C6826">
        <w:rPr>
          <w:rFonts w:hint="cs"/>
          <w:rtl/>
        </w:rPr>
        <w:t xml:space="preserve">[دون تغيير] </w:t>
      </w:r>
      <w:r w:rsidRPr="003254DD">
        <w:rPr>
          <w:rFonts w:hint="cs"/>
          <w:rtl/>
        </w:rPr>
        <w:t>تكون إدارة البحث الدولي مختصة بإجراء البحوث ال</w:t>
      </w:r>
      <w:r w:rsidRPr="003254DD">
        <w:rPr>
          <w:rFonts w:hint="cs"/>
          <w:rtl/>
          <w:lang w:bidi="ar-EG"/>
        </w:rPr>
        <w:t>إضافي</w:t>
      </w:r>
      <w:r w:rsidRPr="003254DD">
        <w:rPr>
          <w:rFonts w:hint="cs"/>
          <w:rtl/>
        </w:rPr>
        <w:t>ة الدولية إذا كان استعدادها لذلك مبيّنا في الاتفاق المنطبق وفقا للمادة 16(3)(ب)، شرط مراعاة أية تقييدات أو شروط منصوص عليها في ذلك الاتفاق.</w:t>
      </w:r>
    </w:p>
    <w:p w:rsidR="004C6826" w:rsidRPr="009D7DA1" w:rsidRDefault="004C6826" w:rsidP="004C6826">
      <w:pPr>
        <w:pStyle w:val="NormalParaAR"/>
        <w:ind w:firstLine="566"/>
        <w:rPr>
          <w:rFonts w:hint="cs"/>
          <w:u w:val="single"/>
          <w:rtl/>
        </w:rPr>
      </w:pPr>
      <w:r w:rsidRPr="009D7DA1">
        <w:rPr>
          <w:rFonts w:hint="cs"/>
          <w:color w:val="0000FF"/>
          <w:u w:val="single"/>
          <w:rtl/>
        </w:rPr>
        <w:t xml:space="preserve">(أ(ثانيا)) يجوز لأي إدارة بحث دولي </w:t>
      </w:r>
      <w:r w:rsidRPr="009D7DA1">
        <w:rPr>
          <w:rFonts w:hint="cs"/>
          <w:color w:val="0000FF"/>
          <w:u w:val="single"/>
          <w:rtl/>
        </w:rPr>
        <w:t>مختصة بإجراء البحوث ال</w:t>
      </w:r>
      <w:r w:rsidRPr="009D7DA1">
        <w:rPr>
          <w:rFonts w:hint="cs"/>
          <w:color w:val="0000FF"/>
          <w:u w:val="single"/>
          <w:rtl/>
          <w:lang w:bidi="ar-EG"/>
        </w:rPr>
        <w:t>إضافي</w:t>
      </w:r>
      <w:r w:rsidRPr="009D7DA1">
        <w:rPr>
          <w:rFonts w:hint="cs"/>
          <w:color w:val="0000FF"/>
          <w:u w:val="single"/>
          <w:rtl/>
        </w:rPr>
        <w:t>ة الدولية</w:t>
      </w:r>
      <w:r w:rsidRPr="009D7DA1">
        <w:rPr>
          <w:rFonts w:hint="cs"/>
          <w:color w:val="0000FF"/>
          <w:u w:val="single"/>
          <w:rtl/>
        </w:rPr>
        <w:t xml:space="preserve"> أن تبيّن، </w:t>
      </w:r>
      <w:r w:rsidRPr="009D7DA1">
        <w:rPr>
          <w:rFonts w:hint="cs"/>
          <w:color w:val="0000FF"/>
          <w:u w:val="single"/>
          <w:rtl/>
        </w:rPr>
        <w:t>في الاتفاق المنطبق وفقا للمادة</w:t>
      </w:r>
      <w:r w:rsidRPr="009D7DA1">
        <w:rPr>
          <w:rFonts w:hint="eastAsia"/>
          <w:color w:val="0000FF"/>
          <w:u w:val="single"/>
          <w:rtl/>
        </w:rPr>
        <w:t> </w:t>
      </w:r>
      <w:r w:rsidRPr="009D7DA1">
        <w:rPr>
          <w:rFonts w:hint="cs"/>
          <w:color w:val="0000FF"/>
          <w:u w:val="single"/>
          <w:rtl/>
        </w:rPr>
        <w:t>16(3)(ب)</w:t>
      </w:r>
      <w:r w:rsidRPr="009D7DA1">
        <w:rPr>
          <w:rFonts w:hint="cs"/>
          <w:color w:val="0000FF"/>
          <w:u w:val="single"/>
          <w:rtl/>
        </w:rPr>
        <w:t xml:space="preserve">، أنها ستعد رأيا مكتوبا </w:t>
      </w:r>
      <w:r w:rsidRPr="009D7DA1">
        <w:rPr>
          <w:color w:val="0000FF"/>
          <w:u w:val="single"/>
          <w:rtl/>
        </w:rPr>
        <w:t>بموجب القاعدة 45(ثانيا)7(ثانيا)</w:t>
      </w:r>
      <w:r w:rsidRPr="009D7DA1">
        <w:rPr>
          <w:rFonts w:hint="cs"/>
          <w:color w:val="0000FF"/>
          <w:u w:val="single"/>
          <w:rtl/>
        </w:rPr>
        <w:t xml:space="preserve"> في الوقت ذاته الذي </w:t>
      </w:r>
      <w:r w:rsidRPr="009D7DA1">
        <w:rPr>
          <w:color w:val="0000FF"/>
          <w:u w:val="single"/>
          <w:rtl/>
        </w:rPr>
        <w:t>تعد فيه تقرير البحث الإضافي الدولي أو الإعلان المنصوص عليه في المادة</w:t>
      </w:r>
      <w:r w:rsidRPr="009D7DA1">
        <w:rPr>
          <w:rFonts w:hint="cs"/>
          <w:color w:val="0000FF"/>
          <w:u w:val="single"/>
          <w:rtl/>
        </w:rPr>
        <w:t> </w:t>
      </w:r>
      <w:r w:rsidRPr="009D7DA1">
        <w:rPr>
          <w:color w:val="0000FF"/>
          <w:u w:val="single"/>
          <w:rtl/>
        </w:rPr>
        <w:t>17(2)</w:t>
      </w:r>
      <w:r w:rsidRPr="009D7DA1">
        <w:rPr>
          <w:rFonts w:hint="cs"/>
          <w:color w:val="0000FF"/>
          <w:u w:val="single"/>
          <w:rtl/>
        </w:rPr>
        <w:t xml:space="preserve">(أ) </w:t>
      </w:r>
      <w:r w:rsidRPr="009D7DA1">
        <w:rPr>
          <w:color w:val="0000FF"/>
          <w:u w:val="single"/>
          <w:rtl/>
        </w:rPr>
        <w:t>بأن تقرير البحث الإضافي الدولي لن يُعدّ</w:t>
      </w:r>
      <w:r w:rsidRPr="009D7DA1">
        <w:rPr>
          <w:rFonts w:hint="cs"/>
          <w:color w:val="0000FF"/>
          <w:u w:val="single"/>
          <w:rtl/>
        </w:rPr>
        <w:t>.</w:t>
      </w:r>
    </w:p>
    <w:p w:rsidR="004C6826" w:rsidRDefault="0013151C" w:rsidP="004C6826">
      <w:pPr>
        <w:pStyle w:val="NormalParaAR"/>
        <w:ind w:firstLine="566"/>
      </w:pPr>
      <w:r>
        <w:rPr>
          <w:rFonts w:hint="cs"/>
          <w:rtl/>
        </w:rPr>
        <w:t>(ب)</w:t>
      </w:r>
      <w:r w:rsidR="004C6826">
        <w:rPr>
          <w:rFonts w:hint="cs"/>
          <w:rtl/>
        </w:rPr>
        <w:t xml:space="preserve"> و(ج)  [دون تغيير]</w:t>
      </w:r>
    </w:p>
    <w:p w:rsidR="004C6826" w:rsidRDefault="004C6826">
      <w:pPr>
        <w:rPr>
          <w:rFonts w:ascii="Arabic Typesetting" w:hAnsi="Arabic Typesetting" w:cs="Arabic Typesetting"/>
          <w:sz w:val="36"/>
          <w:szCs w:val="36"/>
          <w:rtl/>
        </w:rPr>
      </w:pPr>
      <w:r>
        <w:rPr>
          <w:rtl/>
        </w:rPr>
        <w:br w:type="page"/>
      </w:r>
    </w:p>
    <w:p w:rsidR="006870A9" w:rsidRPr="006870A9" w:rsidRDefault="006870A9" w:rsidP="006878B3">
      <w:pPr>
        <w:pStyle w:val="NormalParaAR"/>
        <w:jc w:val="center"/>
        <w:outlineLvl w:val="0"/>
        <w:rPr>
          <w:b/>
          <w:bCs/>
          <w:rtl/>
          <w:lang w:bidi="ar-EG"/>
        </w:rPr>
      </w:pPr>
      <w:bookmarkStart w:id="10" w:name="_Toc445375390"/>
      <w:r w:rsidRPr="006870A9">
        <w:rPr>
          <w:b/>
          <w:bCs/>
          <w:rtl/>
          <w:lang w:bidi="ar-EG"/>
        </w:rPr>
        <w:t>القاعدة 90</w:t>
      </w:r>
      <w:r w:rsidRPr="006870A9">
        <w:rPr>
          <w:b/>
          <w:bCs/>
          <w:vertAlign w:val="superscript"/>
          <w:rtl/>
          <w:lang w:bidi="ar-EG"/>
        </w:rPr>
        <w:t>(ثانيا)</w:t>
      </w:r>
      <w:r>
        <w:rPr>
          <w:rFonts w:hint="cs"/>
          <w:b/>
          <w:bCs/>
          <w:vertAlign w:val="superscript"/>
          <w:rtl/>
          <w:lang w:bidi="ar-EG"/>
        </w:rPr>
        <w:t xml:space="preserve">  </w:t>
      </w:r>
      <w:r w:rsidRPr="006870A9">
        <w:rPr>
          <w:b/>
          <w:bCs/>
          <w:vertAlign w:val="superscript"/>
          <w:rtl/>
          <w:lang w:bidi="ar-EG"/>
        </w:rPr>
        <w:br/>
      </w:r>
      <w:r w:rsidRPr="006870A9">
        <w:rPr>
          <w:b/>
          <w:bCs/>
          <w:rtl/>
          <w:lang w:bidi="ar-EG"/>
        </w:rPr>
        <w:t>السحب</w:t>
      </w:r>
      <w:bookmarkEnd w:id="10"/>
    </w:p>
    <w:p w:rsidR="0060475B" w:rsidRDefault="006870A9" w:rsidP="006878B3">
      <w:pPr>
        <w:pStyle w:val="NormalParaAR"/>
        <w:keepNext/>
        <w:outlineLvl w:val="1"/>
        <w:rPr>
          <w:rFonts w:hint="cs"/>
          <w:i/>
          <w:iCs/>
          <w:rtl/>
          <w:lang w:bidi="ar-EG"/>
        </w:rPr>
      </w:pPr>
      <w:bookmarkStart w:id="11" w:name="_Toc445375391"/>
      <w:r>
        <w:rPr>
          <w:rFonts w:hint="cs"/>
          <w:rtl/>
          <w:lang w:bidi="ar-EG"/>
        </w:rPr>
        <w:t>من 90</w:t>
      </w:r>
      <w:r w:rsidRPr="006870A9">
        <w:rPr>
          <w:vertAlign w:val="superscript"/>
          <w:rtl/>
          <w:lang w:bidi="ar-EG"/>
        </w:rPr>
        <w:t>(ثانيا)</w:t>
      </w:r>
      <w:r w:rsidRPr="006870A9">
        <w:rPr>
          <w:rtl/>
          <w:lang w:bidi="ar-EG"/>
        </w:rPr>
        <w:t>1</w:t>
      </w:r>
      <w:r>
        <w:rPr>
          <w:rFonts w:hint="cs"/>
          <w:rtl/>
          <w:lang w:bidi="ar-EG"/>
        </w:rPr>
        <w:t xml:space="preserve"> إلى 3   </w:t>
      </w:r>
      <w:r>
        <w:rPr>
          <w:rFonts w:hint="cs"/>
          <w:i/>
          <w:iCs/>
          <w:rtl/>
          <w:lang w:bidi="ar-EG"/>
        </w:rPr>
        <w:t>[دون تغيير]</w:t>
      </w:r>
      <w:bookmarkEnd w:id="11"/>
    </w:p>
    <w:p w:rsidR="006870A9" w:rsidRPr="006870A9" w:rsidRDefault="006870A9" w:rsidP="006878B3">
      <w:pPr>
        <w:pStyle w:val="NormalParaAR"/>
        <w:keepNext/>
        <w:outlineLvl w:val="1"/>
        <w:rPr>
          <w:rtl/>
          <w:lang w:bidi="ar-EG"/>
        </w:rPr>
      </w:pPr>
      <w:bookmarkStart w:id="12" w:name="_Toc445375392"/>
      <w:r w:rsidRPr="006870A9">
        <w:rPr>
          <w:rFonts w:hint="cs"/>
          <w:rtl/>
          <w:lang w:bidi="ar-EG"/>
        </w:rPr>
        <w:t>90</w:t>
      </w:r>
      <w:r w:rsidRPr="006870A9">
        <w:rPr>
          <w:vertAlign w:val="superscript"/>
          <w:rtl/>
          <w:lang w:bidi="ar-EG"/>
        </w:rPr>
        <w:t>(ثانيا)</w:t>
      </w:r>
      <w:r w:rsidRPr="006870A9">
        <w:rPr>
          <w:rtl/>
          <w:lang w:bidi="ar-EG"/>
        </w:rPr>
        <w:t>3</w:t>
      </w:r>
      <w:r w:rsidRPr="006870A9">
        <w:rPr>
          <w:rFonts w:hint="cs"/>
          <w:vertAlign w:val="superscript"/>
          <w:rtl/>
          <w:lang w:bidi="ar-EG"/>
        </w:rPr>
        <w:t>(ثانيا)</w:t>
      </w:r>
      <w:r>
        <w:rPr>
          <w:rFonts w:hint="cs"/>
          <w:rtl/>
          <w:lang w:bidi="ar-EG"/>
        </w:rPr>
        <w:t xml:space="preserve">   </w:t>
      </w:r>
      <w:r w:rsidRPr="006870A9">
        <w:rPr>
          <w:i/>
          <w:iCs/>
          <w:rtl/>
          <w:lang w:bidi="ar-EG"/>
        </w:rPr>
        <w:t xml:space="preserve">سحب </w:t>
      </w:r>
      <w:r w:rsidRPr="006870A9">
        <w:rPr>
          <w:rFonts w:hint="cs"/>
          <w:i/>
          <w:iCs/>
          <w:rtl/>
          <w:lang w:bidi="ar-EG"/>
        </w:rPr>
        <w:t>التماس البحث الإضافي</w:t>
      </w:r>
      <w:bookmarkEnd w:id="12"/>
    </w:p>
    <w:p w:rsidR="006870A9" w:rsidRPr="006870A9" w:rsidRDefault="006870A9" w:rsidP="006870A9">
      <w:pPr>
        <w:pStyle w:val="NormalParaAR"/>
        <w:ind w:firstLine="566"/>
        <w:rPr>
          <w:rtl/>
          <w:lang w:bidi="ar-EG"/>
        </w:rPr>
      </w:pPr>
      <w:r w:rsidRPr="006870A9">
        <w:rPr>
          <w:rtl/>
          <w:lang w:bidi="ar-EG"/>
        </w:rPr>
        <w:t>(أ</w:t>
      </w:r>
      <w:r>
        <w:rPr>
          <w:rtl/>
          <w:lang w:bidi="ar-EG"/>
        </w:rPr>
        <w:t>)</w:t>
      </w:r>
      <w:r>
        <w:rPr>
          <w:rFonts w:hint="cs"/>
          <w:rtl/>
          <w:lang w:bidi="ar-EG"/>
        </w:rPr>
        <w:t xml:space="preserve"> </w:t>
      </w:r>
      <w:r w:rsidRPr="006870A9">
        <w:rPr>
          <w:rtl/>
          <w:lang w:bidi="ar-EG"/>
        </w:rPr>
        <w:t xml:space="preserve">يجوز للمودع أن يسحب </w:t>
      </w:r>
      <w:r w:rsidRPr="006870A9">
        <w:rPr>
          <w:rFonts w:hint="cs"/>
          <w:rtl/>
          <w:lang w:bidi="ar-EG"/>
        </w:rPr>
        <w:t xml:space="preserve">التماس البحث الإضافي </w:t>
      </w:r>
      <w:r w:rsidRPr="006870A9">
        <w:rPr>
          <w:rtl/>
          <w:lang w:bidi="ar-EG"/>
        </w:rPr>
        <w:t xml:space="preserve">في أي وقت </w:t>
      </w:r>
      <w:r w:rsidRPr="006870A9">
        <w:rPr>
          <w:rFonts w:hint="cs"/>
          <w:rtl/>
          <w:lang w:bidi="ar-EG"/>
        </w:rPr>
        <w:t>قبل تاريخ إرسال تقرير البحث الإضافي الدولي أ</w:t>
      </w:r>
      <w:r>
        <w:rPr>
          <w:rFonts w:hint="cs"/>
          <w:rtl/>
          <w:lang w:bidi="ar-EG"/>
        </w:rPr>
        <w:t>و</w:t>
      </w:r>
      <w:r>
        <w:rPr>
          <w:rFonts w:hint="eastAsia"/>
          <w:rtl/>
          <w:lang w:bidi="ar-EG"/>
        </w:rPr>
        <w:t> </w:t>
      </w:r>
      <w:r>
        <w:rPr>
          <w:rFonts w:hint="cs"/>
          <w:rtl/>
          <w:lang w:bidi="ar-EG"/>
        </w:rPr>
        <w:t>إعلان بأن ذلك التقرير لن يعدّ</w:t>
      </w:r>
      <w:r w:rsidRPr="006870A9">
        <w:rPr>
          <w:rFonts w:hint="cs"/>
          <w:color w:val="0000FF"/>
          <w:u w:val="single"/>
          <w:rtl/>
          <w:lang w:bidi="ar-EG"/>
        </w:rPr>
        <w:t>، و</w:t>
      </w:r>
      <w:r w:rsidRPr="006870A9">
        <w:rPr>
          <w:color w:val="0000FF"/>
          <w:u w:val="single"/>
          <w:rtl/>
          <w:lang w:bidi="ar-EG"/>
        </w:rPr>
        <w:t>الرأي المكتوب المُعدّ بموجب القاعدة 45(ثانيا)7(ثانيا)، إن وُجد،</w:t>
      </w:r>
      <w:r>
        <w:rPr>
          <w:rFonts w:hint="cs"/>
          <w:rtl/>
          <w:lang w:bidi="ar-EG"/>
        </w:rPr>
        <w:t xml:space="preserve"> </w:t>
      </w:r>
      <w:r w:rsidRPr="006870A9">
        <w:rPr>
          <w:rFonts w:hint="cs"/>
          <w:rtl/>
          <w:lang w:bidi="ar-EG"/>
        </w:rPr>
        <w:t>إلى المودع وإلى المكتب الدولي بموجب القاعدة 45(ثانيا)8(أ).</w:t>
      </w:r>
    </w:p>
    <w:p w:rsidR="006870A9" w:rsidRPr="006870A9" w:rsidRDefault="006870A9" w:rsidP="00AC7E0E">
      <w:pPr>
        <w:pStyle w:val="NormalParaAR"/>
        <w:ind w:firstLine="566"/>
        <w:rPr>
          <w:rtl/>
          <w:lang w:bidi="ar-EG"/>
        </w:rPr>
      </w:pPr>
      <w:r w:rsidRPr="006870A9">
        <w:rPr>
          <w:rtl/>
          <w:lang w:bidi="ar-EG"/>
        </w:rPr>
        <w:t>(</w:t>
      </w:r>
      <w:r w:rsidRPr="006870A9">
        <w:rPr>
          <w:rFonts w:hint="cs"/>
          <w:rtl/>
          <w:lang w:bidi="ar-EG"/>
        </w:rPr>
        <w:t>ب</w:t>
      </w:r>
      <w:r>
        <w:rPr>
          <w:rtl/>
          <w:lang w:bidi="ar-EG"/>
        </w:rPr>
        <w:t>)</w:t>
      </w:r>
      <w:r>
        <w:rPr>
          <w:rFonts w:hint="cs"/>
          <w:rtl/>
          <w:lang w:bidi="ar-EG"/>
        </w:rPr>
        <w:t xml:space="preserve"> </w:t>
      </w:r>
      <w:r w:rsidRPr="006870A9">
        <w:rPr>
          <w:rtl/>
          <w:lang w:bidi="ar-EG"/>
        </w:rPr>
        <w:t xml:space="preserve">يصبح السحب نافذا عندما </w:t>
      </w:r>
      <w:r w:rsidRPr="006870A9">
        <w:rPr>
          <w:rFonts w:hint="cs"/>
          <w:rtl/>
          <w:lang w:bidi="ar-EG"/>
        </w:rPr>
        <w:t>ت</w:t>
      </w:r>
      <w:r w:rsidRPr="006870A9">
        <w:rPr>
          <w:rtl/>
          <w:lang w:bidi="ar-EG"/>
        </w:rPr>
        <w:t xml:space="preserve">تسلم </w:t>
      </w:r>
      <w:r w:rsidRPr="006870A9">
        <w:rPr>
          <w:rFonts w:hint="cs"/>
          <w:rtl/>
          <w:lang w:bidi="ar-EG"/>
        </w:rPr>
        <w:t xml:space="preserve">الإدارة المحدَّدة للبحث الإضافي أو يتسلم </w:t>
      </w:r>
      <w:r w:rsidRPr="006870A9">
        <w:rPr>
          <w:rtl/>
          <w:lang w:bidi="ar-EG"/>
        </w:rPr>
        <w:t>المكتب الدولي، حسب الاختيار، إشعارا من المودع</w:t>
      </w:r>
      <w:r w:rsidRPr="006870A9">
        <w:rPr>
          <w:rFonts w:hint="cs"/>
          <w:rtl/>
          <w:lang w:bidi="ar-EG"/>
        </w:rPr>
        <w:t xml:space="preserve"> في غضون المهلة المنصوص عليها في الفقرة (أ)، و</w:t>
      </w:r>
      <w:r w:rsidRPr="006870A9">
        <w:rPr>
          <w:rtl/>
          <w:lang w:bidi="ar-EG"/>
        </w:rPr>
        <w:t>يجوز</w:t>
      </w:r>
      <w:r w:rsidRPr="006870A9">
        <w:rPr>
          <w:rFonts w:hint="cs"/>
          <w:rtl/>
          <w:lang w:bidi="ar-EG"/>
        </w:rPr>
        <w:t xml:space="preserve"> رغم ذلك</w:t>
      </w:r>
      <w:r w:rsidRPr="006870A9">
        <w:rPr>
          <w:rtl/>
          <w:lang w:bidi="ar-EG"/>
        </w:rPr>
        <w:t xml:space="preserve"> </w:t>
      </w:r>
      <w:r w:rsidRPr="006870A9">
        <w:rPr>
          <w:rFonts w:hint="cs"/>
          <w:rtl/>
          <w:lang w:bidi="ar-EG"/>
        </w:rPr>
        <w:t>إرسال ذلك التقرير أو الإعلان بموجب المادة</w:t>
      </w:r>
      <w:r w:rsidR="009057C0">
        <w:rPr>
          <w:rFonts w:hint="eastAsia"/>
          <w:rtl/>
          <w:lang w:bidi="ar-EG"/>
        </w:rPr>
        <w:t> </w:t>
      </w:r>
      <w:r w:rsidRPr="006870A9">
        <w:rPr>
          <w:rFonts w:hint="cs"/>
          <w:rtl/>
          <w:lang w:bidi="ar-EG"/>
        </w:rPr>
        <w:t>20(1) وفقا لما هو منصوص عليه في القاعدة 45(ثانيا)8(ب)</w:t>
      </w:r>
      <w:r w:rsidR="009057C0">
        <w:rPr>
          <w:rFonts w:hint="cs"/>
          <w:rtl/>
          <w:lang w:bidi="ar-EG"/>
        </w:rPr>
        <w:t xml:space="preserve">، </w:t>
      </w:r>
      <w:r w:rsidR="009057C0" w:rsidRPr="009057C0">
        <w:rPr>
          <w:rFonts w:hint="cs"/>
          <w:color w:val="0000FF"/>
          <w:u w:val="single"/>
          <w:rtl/>
          <w:lang w:bidi="ar-EG"/>
        </w:rPr>
        <w:t xml:space="preserve">وإرسال ذلك الرأي المكتوب بموجب القاعدة 44(ثانيا)2 </w:t>
      </w:r>
      <w:r w:rsidR="00AC7E0E" w:rsidRPr="00AC7E0E">
        <w:rPr>
          <w:color w:val="0000FF"/>
          <w:u w:val="single"/>
          <w:rtl/>
          <w:lang w:bidi="ar-EG"/>
        </w:rPr>
        <w:t>وفقا لما هو منصوص عليه ف</w:t>
      </w:r>
      <w:r w:rsidR="00AC7E0E">
        <w:rPr>
          <w:rFonts w:hint="cs"/>
          <w:color w:val="0000FF"/>
          <w:u w:val="single"/>
          <w:rtl/>
          <w:lang w:bidi="ar-EG"/>
        </w:rPr>
        <w:t xml:space="preserve">ي </w:t>
      </w:r>
      <w:bookmarkStart w:id="13" w:name="_GoBack"/>
      <w:bookmarkEnd w:id="13"/>
      <w:r w:rsidR="009057C0" w:rsidRPr="009057C0">
        <w:rPr>
          <w:rFonts w:hint="cs"/>
          <w:color w:val="0000FF"/>
          <w:u w:val="single"/>
          <w:rtl/>
          <w:lang w:bidi="ar-EG"/>
        </w:rPr>
        <w:t>القاعدة 45(ثانيا)8(ب(ثانيا))،</w:t>
      </w:r>
      <w:r w:rsidR="009057C0">
        <w:rPr>
          <w:rFonts w:hint="cs"/>
          <w:rtl/>
          <w:lang w:bidi="ar-EG"/>
        </w:rPr>
        <w:t xml:space="preserve"> </w:t>
      </w:r>
      <w:r w:rsidRPr="006870A9">
        <w:rPr>
          <w:rtl/>
          <w:lang w:bidi="ar-EG"/>
        </w:rPr>
        <w:t xml:space="preserve">إذا وصل </w:t>
      </w:r>
      <w:r w:rsidRPr="006870A9">
        <w:rPr>
          <w:rFonts w:hint="cs"/>
          <w:rtl/>
          <w:lang w:bidi="ar-EG"/>
        </w:rPr>
        <w:t xml:space="preserve">ذلك </w:t>
      </w:r>
      <w:r w:rsidRPr="006870A9">
        <w:rPr>
          <w:rtl/>
          <w:lang w:bidi="ar-EG"/>
        </w:rPr>
        <w:t xml:space="preserve">الإشعار </w:t>
      </w:r>
      <w:r w:rsidRPr="006870A9">
        <w:rPr>
          <w:rFonts w:hint="cs"/>
          <w:rtl/>
          <w:lang w:bidi="ar-EG"/>
        </w:rPr>
        <w:t>إلى الإدارة المحدَّدة للبحث الإضافي في موعد لا يسم</w:t>
      </w:r>
      <w:r w:rsidR="009057C0">
        <w:rPr>
          <w:rFonts w:hint="cs"/>
          <w:rtl/>
          <w:lang w:bidi="ar-EG"/>
        </w:rPr>
        <w:t xml:space="preserve">ح بوقف إرسال التقرير أو الإعلان </w:t>
      </w:r>
      <w:r w:rsidR="009057C0" w:rsidRPr="009057C0">
        <w:rPr>
          <w:rFonts w:hint="cs"/>
          <w:color w:val="0000FF"/>
          <w:u w:val="single"/>
          <w:rtl/>
          <w:lang w:bidi="ar-EG"/>
        </w:rPr>
        <w:t>والرأي المكتوب</w:t>
      </w:r>
      <w:r w:rsidR="009057C0">
        <w:rPr>
          <w:rFonts w:hint="cs"/>
          <w:rtl/>
          <w:lang w:bidi="ar-EG"/>
        </w:rPr>
        <w:t xml:space="preserve"> </w:t>
      </w:r>
      <w:r w:rsidRPr="006870A9">
        <w:rPr>
          <w:rFonts w:hint="cs"/>
          <w:rtl/>
          <w:lang w:bidi="ar-EG"/>
        </w:rPr>
        <w:t>المشار إليهما في الفقرة (أ).</w:t>
      </w:r>
    </w:p>
    <w:p w:rsidR="006870A9" w:rsidRDefault="009057C0" w:rsidP="006878B3">
      <w:pPr>
        <w:pStyle w:val="NormalParaAR"/>
        <w:keepNext/>
        <w:spacing w:after="480"/>
        <w:outlineLvl w:val="1"/>
        <w:rPr>
          <w:rFonts w:hint="cs"/>
          <w:i/>
          <w:iCs/>
          <w:rtl/>
          <w:lang w:bidi="ar-EG"/>
        </w:rPr>
      </w:pPr>
      <w:bookmarkStart w:id="14" w:name="_Toc445375393"/>
      <w:r>
        <w:rPr>
          <w:rFonts w:hint="cs"/>
          <w:rtl/>
          <w:lang w:bidi="ar-EG"/>
        </w:rPr>
        <w:t xml:space="preserve">من 90(ثانيا)4 إلى 7   </w:t>
      </w:r>
      <w:r w:rsidR="00D9585C">
        <w:rPr>
          <w:rFonts w:hint="cs"/>
          <w:i/>
          <w:iCs/>
          <w:rtl/>
          <w:lang w:bidi="ar-EG"/>
        </w:rPr>
        <w:t>[دون تغيير]</w:t>
      </w:r>
      <w:bookmarkEnd w:id="14"/>
    </w:p>
    <w:p w:rsidR="00D9585C" w:rsidRPr="00D9585C" w:rsidRDefault="00D9585C" w:rsidP="00D9585C">
      <w:pPr>
        <w:pStyle w:val="EndofDocumentAR"/>
        <w:rPr>
          <w:rtl/>
          <w:lang w:bidi="ar-EG"/>
        </w:rPr>
      </w:pPr>
      <w:r>
        <w:rPr>
          <w:rFonts w:hint="cs"/>
          <w:rtl/>
          <w:lang w:bidi="ar-EG"/>
        </w:rPr>
        <w:t>[نهاية المرفق والوثيقة]</w:t>
      </w:r>
    </w:p>
    <w:sectPr w:rsidR="00D9585C" w:rsidRPr="00D9585C" w:rsidSect="0060475B">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BC9" w:rsidRDefault="00821BC9">
      <w:r>
        <w:separator/>
      </w:r>
    </w:p>
  </w:endnote>
  <w:endnote w:type="continuationSeparator" w:id="0">
    <w:p w:rsidR="00821BC9" w:rsidRDefault="00821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BC9" w:rsidRDefault="00821BC9" w:rsidP="009622BF">
      <w:pPr>
        <w:bidi/>
      </w:pPr>
      <w:bookmarkStart w:id="0" w:name="OLE_LINK1"/>
      <w:bookmarkStart w:id="1" w:name="OLE_LINK2"/>
      <w:r>
        <w:separator/>
      </w:r>
      <w:bookmarkEnd w:id="0"/>
      <w:bookmarkEnd w:id="1"/>
    </w:p>
  </w:footnote>
  <w:footnote w:type="continuationSeparator" w:id="0">
    <w:p w:rsidR="00821BC9" w:rsidRDefault="00821BC9" w:rsidP="009622BF">
      <w:pPr>
        <w:bidi/>
      </w:pPr>
      <w:r>
        <w:separator/>
      </w:r>
    </w:p>
  </w:footnote>
  <w:footnote w:id="1">
    <w:p w:rsidR="0060475B" w:rsidRDefault="0060475B" w:rsidP="0060475B">
      <w:pPr>
        <w:pStyle w:val="FootnoteText"/>
      </w:pPr>
      <w:r>
        <w:rPr>
          <w:rStyle w:val="FootnoteReference"/>
        </w:rPr>
        <w:footnoteRef/>
      </w:r>
      <w:r>
        <w:rPr>
          <w:rtl/>
        </w:rPr>
        <w:t xml:space="preserve"> </w:t>
      </w:r>
      <w:r w:rsidRPr="00B22960">
        <w:rPr>
          <w:rFonts w:hint="cs"/>
          <w:rtl/>
        </w:rPr>
        <w:t>يُشار إلى حالات الإضافة أو الحذف المقترحة، على التوالي، بتسطير النص المعني أو شطبه.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AB54AE" w:rsidP="001E3F88">
    <w:r>
      <w:t>PCT</w:t>
    </w:r>
    <w:r w:rsidR="00772E46">
      <w:t>/</w:t>
    </w:r>
    <w:r w:rsidR="00C742C5">
      <w:t>WG</w:t>
    </w:r>
    <w:r w:rsidR="002F77FC">
      <w:t>/</w:t>
    </w:r>
    <w:r w:rsidR="001E3F88">
      <w:t>9</w:t>
    </w:r>
    <w:r w:rsidR="00E90C23">
      <w:t>/6</w:t>
    </w:r>
  </w:p>
  <w:p w:rsidR="002F77FC" w:rsidRDefault="002F77FC" w:rsidP="00D61541">
    <w:r>
      <w:fldChar w:fldCharType="begin"/>
    </w:r>
    <w:r>
      <w:instrText xml:space="preserve"> PAGE  \* MERGEFORMAT </w:instrText>
    </w:r>
    <w:r>
      <w:fldChar w:fldCharType="separate"/>
    </w:r>
    <w:r w:rsidR="00A57D6C">
      <w:rPr>
        <w:noProof/>
      </w:rPr>
      <w:t>5</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75B" w:rsidRDefault="0060475B" w:rsidP="001E3F88">
    <w:r>
      <w:t>PCT/WG/9/6</w:t>
    </w:r>
  </w:p>
  <w:p w:rsidR="0060475B" w:rsidRDefault="0060475B" w:rsidP="001E3F88">
    <w:r>
      <w:t>Annex</w:t>
    </w:r>
  </w:p>
  <w:p w:rsidR="0060475B" w:rsidRDefault="0060475B" w:rsidP="00D61541">
    <w:r>
      <w:fldChar w:fldCharType="begin"/>
    </w:r>
    <w:r>
      <w:instrText xml:space="preserve"> PAGE   \* MERGEFORMAT </w:instrText>
    </w:r>
    <w:r>
      <w:fldChar w:fldCharType="separate"/>
    </w:r>
    <w:r w:rsidR="00A57D6C">
      <w:rPr>
        <w:noProof/>
      </w:rPr>
      <w:t>4</w:t>
    </w:r>
    <w:r>
      <w:rPr>
        <w:noProof/>
      </w:rPr>
      <w:fldChar w:fldCharType="end"/>
    </w:r>
  </w:p>
  <w:p w:rsidR="0060475B" w:rsidRDefault="0060475B"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75B" w:rsidRDefault="0060475B" w:rsidP="0060475B">
    <w:r>
      <w:t>PCT/WG/9/6</w:t>
    </w:r>
  </w:p>
  <w:p w:rsidR="0060475B" w:rsidRDefault="0060475B" w:rsidP="0060475B">
    <w:pPr>
      <w:pStyle w:val="Header"/>
    </w:pPr>
    <w:r>
      <w:t>ANNEX</w:t>
    </w:r>
  </w:p>
  <w:p w:rsidR="0060475B" w:rsidRPr="0060475B" w:rsidRDefault="0060475B" w:rsidP="0060475B">
    <w:pPr>
      <w:pStyle w:val="Header"/>
      <w:bidi/>
      <w:jc w:val="right"/>
      <w:rPr>
        <w:rFonts w:ascii="Arabic Typesetting" w:hAnsi="Arabic Typesetting" w:cs="Arabic Typesetting"/>
        <w:sz w:val="36"/>
        <w:szCs w:val="36"/>
        <w:rtl/>
      </w:rPr>
    </w:pPr>
    <w:r w:rsidRPr="0060475B">
      <w:rPr>
        <w:rFonts w:ascii="Arabic Typesetting" w:hAnsi="Arabic Typesetting" w:cs="Arabic Typesetting"/>
        <w:sz w:val="36"/>
        <w:szCs w:val="36"/>
        <w:rtl/>
      </w:rPr>
      <w:t>المرفق</w:t>
    </w:r>
  </w:p>
  <w:p w:rsidR="0060475B" w:rsidRDefault="006047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E2C6BE9"/>
    <w:multiLevelType w:val="hybridMultilevel"/>
    <w:tmpl w:val="0A9202D2"/>
    <w:lvl w:ilvl="0" w:tplc="C04E1F1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2A5E2D"/>
    <w:multiLevelType w:val="hybridMultilevel"/>
    <w:tmpl w:val="5B288604"/>
    <w:lvl w:ilvl="0" w:tplc="C04E1F1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3DD6EDC"/>
    <w:multiLevelType w:val="hybridMultilevel"/>
    <w:tmpl w:val="1494CB82"/>
    <w:lvl w:ilvl="0" w:tplc="C04E1F1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6"/>
  </w:num>
  <w:num w:numId="3">
    <w:abstractNumId w:val="11"/>
  </w:num>
  <w:num w:numId="4">
    <w:abstractNumId w:val="20"/>
  </w:num>
  <w:num w:numId="5">
    <w:abstractNumId w:val="8"/>
  </w:num>
  <w:num w:numId="6">
    <w:abstractNumId w:val="21"/>
  </w:num>
  <w:num w:numId="7">
    <w:abstractNumId w:val="14"/>
  </w:num>
  <w:num w:numId="8">
    <w:abstractNumId w:val="19"/>
  </w:num>
  <w:num w:numId="9">
    <w:abstractNumId w:val="17"/>
  </w:num>
  <w:num w:numId="10">
    <w:abstractNumId w:val="22"/>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8"/>
  </w:num>
  <w:num w:numId="22">
    <w:abstractNumId w:val="13"/>
  </w:num>
  <w:num w:numId="23">
    <w:abstractNumId w:val="13"/>
  </w:num>
  <w:num w:numId="24">
    <w:abstractNumId w:val="15"/>
  </w:num>
  <w:num w:numId="25">
    <w:abstractNumId w:val="13"/>
  </w:num>
  <w:num w:numId="26">
    <w:abstractNumId w:val="13"/>
  </w:num>
  <w:num w:numId="27">
    <w:abstractNumId w:val="13"/>
  </w:num>
  <w:num w:numId="28">
    <w:abstractNumId w:val="10"/>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BC9"/>
    <w:rsid w:val="00002CBE"/>
    <w:rsid w:val="00003232"/>
    <w:rsid w:val="000033DA"/>
    <w:rsid w:val="0000579F"/>
    <w:rsid w:val="000074D1"/>
    <w:rsid w:val="000076BD"/>
    <w:rsid w:val="00010481"/>
    <w:rsid w:val="00010671"/>
    <w:rsid w:val="00010D49"/>
    <w:rsid w:val="000114E2"/>
    <w:rsid w:val="00013347"/>
    <w:rsid w:val="00013D73"/>
    <w:rsid w:val="00014239"/>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5A2"/>
    <w:rsid w:val="00090ADD"/>
    <w:rsid w:val="000913C0"/>
    <w:rsid w:val="0009141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0B6D"/>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4916"/>
    <w:rsid w:val="001252B1"/>
    <w:rsid w:val="00126897"/>
    <w:rsid w:val="0012696D"/>
    <w:rsid w:val="00130FC9"/>
    <w:rsid w:val="001310EE"/>
    <w:rsid w:val="0013151C"/>
    <w:rsid w:val="0013191A"/>
    <w:rsid w:val="00131E8F"/>
    <w:rsid w:val="00135C24"/>
    <w:rsid w:val="00136389"/>
    <w:rsid w:val="00136A1A"/>
    <w:rsid w:val="00136A96"/>
    <w:rsid w:val="001376B6"/>
    <w:rsid w:val="00140A35"/>
    <w:rsid w:val="00140D36"/>
    <w:rsid w:val="001414A7"/>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04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0E74"/>
    <w:rsid w:val="001B18D5"/>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60"/>
    <w:rsid w:val="001D24F3"/>
    <w:rsid w:val="001D2678"/>
    <w:rsid w:val="001D28F6"/>
    <w:rsid w:val="001D2DC4"/>
    <w:rsid w:val="001D45C7"/>
    <w:rsid w:val="001D6A48"/>
    <w:rsid w:val="001E1043"/>
    <w:rsid w:val="001E10E1"/>
    <w:rsid w:val="001E175F"/>
    <w:rsid w:val="001E19F7"/>
    <w:rsid w:val="001E2669"/>
    <w:rsid w:val="001E3F88"/>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B7E47"/>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647"/>
    <w:rsid w:val="002D5DDC"/>
    <w:rsid w:val="002D5F16"/>
    <w:rsid w:val="002D62F1"/>
    <w:rsid w:val="002D6FD8"/>
    <w:rsid w:val="002D727B"/>
    <w:rsid w:val="002D7EAD"/>
    <w:rsid w:val="002E1169"/>
    <w:rsid w:val="002E1218"/>
    <w:rsid w:val="002E28F3"/>
    <w:rsid w:val="002E7615"/>
    <w:rsid w:val="002E7A2A"/>
    <w:rsid w:val="002E7F16"/>
    <w:rsid w:val="002F04C9"/>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4DD"/>
    <w:rsid w:val="00325C8B"/>
    <w:rsid w:val="00327011"/>
    <w:rsid w:val="00334127"/>
    <w:rsid w:val="00335CA6"/>
    <w:rsid w:val="003365F0"/>
    <w:rsid w:val="00336C50"/>
    <w:rsid w:val="00337388"/>
    <w:rsid w:val="0034007D"/>
    <w:rsid w:val="003433E5"/>
    <w:rsid w:val="00344082"/>
    <w:rsid w:val="00345652"/>
    <w:rsid w:val="0034582C"/>
    <w:rsid w:val="00345916"/>
    <w:rsid w:val="00345CAC"/>
    <w:rsid w:val="0034789E"/>
    <w:rsid w:val="003501DA"/>
    <w:rsid w:val="003503E2"/>
    <w:rsid w:val="00351DC1"/>
    <w:rsid w:val="003534EE"/>
    <w:rsid w:val="00357EA5"/>
    <w:rsid w:val="003600A2"/>
    <w:rsid w:val="003612D8"/>
    <w:rsid w:val="003637B6"/>
    <w:rsid w:val="00363F89"/>
    <w:rsid w:val="00363FB0"/>
    <w:rsid w:val="003646D6"/>
    <w:rsid w:val="00364FC6"/>
    <w:rsid w:val="0036541D"/>
    <w:rsid w:val="00370504"/>
    <w:rsid w:val="00371814"/>
    <w:rsid w:val="00372BAE"/>
    <w:rsid w:val="00372E87"/>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4FEA"/>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1718"/>
    <w:rsid w:val="003D37D4"/>
    <w:rsid w:val="003D408D"/>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6C"/>
    <w:rsid w:val="003F719F"/>
    <w:rsid w:val="0040033D"/>
    <w:rsid w:val="004007E1"/>
    <w:rsid w:val="00400B1F"/>
    <w:rsid w:val="004032D2"/>
    <w:rsid w:val="00403C4F"/>
    <w:rsid w:val="00404201"/>
    <w:rsid w:val="00404BAE"/>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3EEC"/>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3EB"/>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6826"/>
    <w:rsid w:val="004C76C1"/>
    <w:rsid w:val="004C7DDE"/>
    <w:rsid w:val="004D092A"/>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1CF4"/>
    <w:rsid w:val="00503AE1"/>
    <w:rsid w:val="00503CA6"/>
    <w:rsid w:val="00503FAE"/>
    <w:rsid w:val="00504DC1"/>
    <w:rsid w:val="00505332"/>
    <w:rsid w:val="00505A57"/>
    <w:rsid w:val="00505D37"/>
    <w:rsid w:val="00506DA0"/>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273"/>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36"/>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475B"/>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26D4B"/>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303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870A9"/>
    <w:rsid w:val="006878B3"/>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4B41"/>
    <w:rsid w:val="006B5041"/>
    <w:rsid w:val="006B5612"/>
    <w:rsid w:val="006B643D"/>
    <w:rsid w:val="006B79A4"/>
    <w:rsid w:val="006B7A1E"/>
    <w:rsid w:val="006C1254"/>
    <w:rsid w:val="006C2DC5"/>
    <w:rsid w:val="006C480B"/>
    <w:rsid w:val="006C570B"/>
    <w:rsid w:val="006C572E"/>
    <w:rsid w:val="006C5997"/>
    <w:rsid w:val="006C5CD2"/>
    <w:rsid w:val="006C746B"/>
    <w:rsid w:val="006D0636"/>
    <w:rsid w:val="006D06DC"/>
    <w:rsid w:val="006D3C1B"/>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1A4A"/>
    <w:rsid w:val="00715129"/>
    <w:rsid w:val="007154CE"/>
    <w:rsid w:val="00715B25"/>
    <w:rsid w:val="00716020"/>
    <w:rsid w:val="00720860"/>
    <w:rsid w:val="00721087"/>
    <w:rsid w:val="00721530"/>
    <w:rsid w:val="00723422"/>
    <w:rsid w:val="007260FE"/>
    <w:rsid w:val="00726DD6"/>
    <w:rsid w:val="007277EF"/>
    <w:rsid w:val="0073076E"/>
    <w:rsid w:val="00733416"/>
    <w:rsid w:val="0073377E"/>
    <w:rsid w:val="00733E05"/>
    <w:rsid w:val="00735C8A"/>
    <w:rsid w:val="00735FE2"/>
    <w:rsid w:val="0073719A"/>
    <w:rsid w:val="00737C62"/>
    <w:rsid w:val="00737C91"/>
    <w:rsid w:val="00737CF9"/>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21EF"/>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1BC9"/>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57350"/>
    <w:rsid w:val="00860323"/>
    <w:rsid w:val="00860F4F"/>
    <w:rsid w:val="008610B9"/>
    <w:rsid w:val="00862656"/>
    <w:rsid w:val="00863013"/>
    <w:rsid w:val="00863F67"/>
    <w:rsid w:val="0086483A"/>
    <w:rsid w:val="00870492"/>
    <w:rsid w:val="0087049C"/>
    <w:rsid w:val="00870AAD"/>
    <w:rsid w:val="00870EDE"/>
    <w:rsid w:val="00871DA0"/>
    <w:rsid w:val="00872030"/>
    <w:rsid w:val="008737DD"/>
    <w:rsid w:val="00873973"/>
    <w:rsid w:val="00875315"/>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7C0"/>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1F7"/>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3FD0"/>
    <w:rsid w:val="009443ED"/>
    <w:rsid w:val="00945DBF"/>
    <w:rsid w:val="00946042"/>
    <w:rsid w:val="00946AB3"/>
    <w:rsid w:val="00947074"/>
    <w:rsid w:val="0094752A"/>
    <w:rsid w:val="00947D01"/>
    <w:rsid w:val="009503EA"/>
    <w:rsid w:val="0095112D"/>
    <w:rsid w:val="00951244"/>
    <w:rsid w:val="009514D5"/>
    <w:rsid w:val="00952124"/>
    <w:rsid w:val="009559A2"/>
    <w:rsid w:val="00956244"/>
    <w:rsid w:val="00956A06"/>
    <w:rsid w:val="00957435"/>
    <w:rsid w:val="009578D0"/>
    <w:rsid w:val="009600C6"/>
    <w:rsid w:val="00960D80"/>
    <w:rsid w:val="009621CE"/>
    <w:rsid w:val="009622BF"/>
    <w:rsid w:val="00964156"/>
    <w:rsid w:val="009651B8"/>
    <w:rsid w:val="009653F3"/>
    <w:rsid w:val="0096587A"/>
    <w:rsid w:val="009666E7"/>
    <w:rsid w:val="00967278"/>
    <w:rsid w:val="00971568"/>
    <w:rsid w:val="009728F2"/>
    <w:rsid w:val="00972BEF"/>
    <w:rsid w:val="00973BCF"/>
    <w:rsid w:val="009744BC"/>
    <w:rsid w:val="00974885"/>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25E"/>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D7DA1"/>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3E0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7D6C"/>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1D3C"/>
    <w:rsid w:val="00A82125"/>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C7E0E"/>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2B48"/>
    <w:rsid w:val="00AF3291"/>
    <w:rsid w:val="00AF395E"/>
    <w:rsid w:val="00AF4D6A"/>
    <w:rsid w:val="00AF5D2C"/>
    <w:rsid w:val="00AF5D6E"/>
    <w:rsid w:val="00AF6318"/>
    <w:rsid w:val="00B0072E"/>
    <w:rsid w:val="00B03B63"/>
    <w:rsid w:val="00B040CD"/>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E30"/>
    <w:rsid w:val="00B36F67"/>
    <w:rsid w:val="00B40633"/>
    <w:rsid w:val="00B44049"/>
    <w:rsid w:val="00B44318"/>
    <w:rsid w:val="00B44C4B"/>
    <w:rsid w:val="00B477CB"/>
    <w:rsid w:val="00B508A7"/>
    <w:rsid w:val="00B51CCB"/>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4D46"/>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B"/>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4F06"/>
    <w:rsid w:val="00C75139"/>
    <w:rsid w:val="00C7525C"/>
    <w:rsid w:val="00C76CF7"/>
    <w:rsid w:val="00C83A4C"/>
    <w:rsid w:val="00C8533B"/>
    <w:rsid w:val="00C858BA"/>
    <w:rsid w:val="00C86977"/>
    <w:rsid w:val="00C916C8"/>
    <w:rsid w:val="00C9398D"/>
    <w:rsid w:val="00C939EE"/>
    <w:rsid w:val="00C93C6E"/>
    <w:rsid w:val="00C93F93"/>
    <w:rsid w:val="00C94D44"/>
    <w:rsid w:val="00C950EE"/>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66"/>
    <w:rsid w:val="00CB79E4"/>
    <w:rsid w:val="00CB7BD7"/>
    <w:rsid w:val="00CC4CB6"/>
    <w:rsid w:val="00CC4DB0"/>
    <w:rsid w:val="00CC5038"/>
    <w:rsid w:val="00CC5326"/>
    <w:rsid w:val="00CC7426"/>
    <w:rsid w:val="00CC7910"/>
    <w:rsid w:val="00CD0C20"/>
    <w:rsid w:val="00CD12BF"/>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291"/>
    <w:rsid w:val="00D07D07"/>
    <w:rsid w:val="00D10F87"/>
    <w:rsid w:val="00D1149D"/>
    <w:rsid w:val="00D11B8E"/>
    <w:rsid w:val="00D11D8D"/>
    <w:rsid w:val="00D12B12"/>
    <w:rsid w:val="00D12DD7"/>
    <w:rsid w:val="00D13A8C"/>
    <w:rsid w:val="00D149E1"/>
    <w:rsid w:val="00D14A44"/>
    <w:rsid w:val="00D155F0"/>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299"/>
    <w:rsid w:val="00D4267F"/>
    <w:rsid w:val="00D42ACA"/>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708"/>
    <w:rsid w:val="00D83CD3"/>
    <w:rsid w:val="00D83E51"/>
    <w:rsid w:val="00D84719"/>
    <w:rsid w:val="00D856EA"/>
    <w:rsid w:val="00D85ACD"/>
    <w:rsid w:val="00D86460"/>
    <w:rsid w:val="00D912D5"/>
    <w:rsid w:val="00D91AAF"/>
    <w:rsid w:val="00D94564"/>
    <w:rsid w:val="00D9536E"/>
    <w:rsid w:val="00D9585C"/>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2E93"/>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5E2A"/>
    <w:rsid w:val="00DD6729"/>
    <w:rsid w:val="00DD7960"/>
    <w:rsid w:val="00DD7B0D"/>
    <w:rsid w:val="00DE1F29"/>
    <w:rsid w:val="00DE3592"/>
    <w:rsid w:val="00DE3FEB"/>
    <w:rsid w:val="00DE4905"/>
    <w:rsid w:val="00DE510C"/>
    <w:rsid w:val="00DE7822"/>
    <w:rsid w:val="00DF081A"/>
    <w:rsid w:val="00DF265D"/>
    <w:rsid w:val="00DF2EB0"/>
    <w:rsid w:val="00DF31C1"/>
    <w:rsid w:val="00DF427A"/>
    <w:rsid w:val="00DF45C5"/>
    <w:rsid w:val="00DF588E"/>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0C23"/>
    <w:rsid w:val="00E91964"/>
    <w:rsid w:val="00E91FB1"/>
    <w:rsid w:val="00E9380B"/>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57FAA"/>
    <w:rsid w:val="00F60996"/>
    <w:rsid w:val="00F60B5D"/>
    <w:rsid w:val="00F611E4"/>
    <w:rsid w:val="00F613D4"/>
    <w:rsid w:val="00F61FE7"/>
    <w:rsid w:val="00F623F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0BE9"/>
    <w:rsid w:val="00FD1E7A"/>
    <w:rsid w:val="00FD2672"/>
    <w:rsid w:val="00FD28F4"/>
    <w:rsid w:val="00FD2CE2"/>
    <w:rsid w:val="00FD4A1E"/>
    <w:rsid w:val="00FD66A9"/>
    <w:rsid w:val="00FD6712"/>
    <w:rsid w:val="00FD6853"/>
    <w:rsid w:val="00FD6E54"/>
    <w:rsid w:val="00FD71DA"/>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basedOn w:val="DefaultParagraphFont"/>
    <w:link w:val="FootnoteText"/>
    <w:rsid w:val="0060475B"/>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60475B"/>
    <w:rPr>
      <w:rFonts w:ascii="Arial" w:hAnsi="Arial" w:cs="Arial"/>
      <w:sz w:val="22"/>
    </w:rPr>
  </w:style>
  <w:style w:type="paragraph" w:styleId="TOC1">
    <w:name w:val="toc 1"/>
    <w:basedOn w:val="Normal"/>
    <w:next w:val="Normal"/>
    <w:autoRedefine/>
    <w:uiPriority w:val="39"/>
    <w:rsid w:val="006878B3"/>
    <w:pPr>
      <w:spacing w:after="100"/>
    </w:pPr>
  </w:style>
  <w:style w:type="paragraph" w:styleId="TOC2">
    <w:name w:val="toc 2"/>
    <w:basedOn w:val="Normal"/>
    <w:next w:val="Normal"/>
    <w:autoRedefine/>
    <w:uiPriority w:val="39"/>
    <w:rsid w:val="006878B3"/>
    <w:pPr>
      <w:spacing w:after="100"/>
      <w:ind w:left="220"/>
    </w:pPr>
  </w:style>
  <w:style w:type="character" w:styleId="Hyperlink">
    <w:name w:val="Hyperlink"/>
    <w:basedOn w:val="DefaultParagraphFont"/>
    <w:uiPriority w:val="99"/>
    <w:unhideWhenUsed/>
    <w:rsid w:val="006878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basedOn w:val="DefaultParagraphFont"/>
    <w:link w:val="FootnoteText"/>
    <w:rsid w:val="0060475B"/>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60475B"/>
    <w:rPr>
      <w:rFonts w:ascii="Arial" w:hAnsi="Arial" w:cs="Arial"/>
      <w:sz w:val="22"/>
    </w:rPr>
  </w:style>
  <w:style w:type="paragraph" w:styleId="TOC1">
    <w:name w:val="toc 1"/>
    <w:basedOn w:val="Normal"/>
    <w:next w:val="Normal"/>
    <w:autoRedefine/>
    <w:uiPriority w:val="39"/>
    <w:rsid w:val="006878B3"/>
    <w:pPr>
      <w:spacing w:after="100"/>
    </w:pPr>
  </w:style>
  <w:style w:type="paragraph" w:styleId="TOC2">
    <w:name w:val="toc 2"/>
    <w:basedOn w:val="Normal"/>
    <w:next w:val="Normal"/>
    <w:autoRedefine/>
    <w:uiPriority w:val="39"/>
    <w:rsid w:val="006878B3"/>
    <w:pPr>
      <w:spacing w:after="100"/>
      <w:ind w:left="220"/>
    </w:pPr>
  </w:style>
  <w:style w:type="character" w:styleId="Hyperlink">
    <w:name w:val="Hyperlink"/>
    <w:basedOn w:val="DefaultParagraphFont"/>
    <w:uiPriority w:val="99"/>
    <w:unhideWhenUsed/>
    <w:rsid w:val="006878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E7D27-DE67-48E8-AD6D-617F7A75E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PCT_WG_9_AR.dotx</Template>
  <TotalTime>742</TotalTime>
  <Pages>9</Pages>
  <Words>2790</Words>
  <Characters>15263</Characters>
  <Application>Microsoft Office Word</Application>
  <DocSecurity>0</DocSecurity>
  <Lines>127</Lines>
  <Paragraphs>36</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PCT/WG/9/6 (Arabic)</vt:lpstr>
      <vt:lpstr>القاعدة 45(ثانيا)   البحوث الإضافية الدولية</vt:lpstr>
      <vt:lpstr>    45(ثانيا)1   التماس البحث الإضافي</vt:lpstr>
      <vt:lpstr>    45(ثانيا)2 إلى 4   [دون تغيير]</vt:lpstr>
      <vt:lpstr>    45(ثانيا)5   [دون تغيير] بدء البحث الإضافي الدولي وأساسه ونطاقه</vt:lpstr>
      <vt:lpstr>    45(ثانيا)6 و7   [دون تغيير]</vt:lpstr>
      <vt:lpstr>    45(ثانيا)7(ثانيا)   الرأي المكتوب للإدارة المحدّدة لأغراض البحث الإضافي</vt:lpstr>
      <vt:lpstr>    45(ثانيا)8   إرسال تقرير البحث الإضافي الدولي والرأي المكتوب للإدارة المحدّدة لأ</vt:lpstr>
      <vt:lpstr>    45(ثانيا)9   إدارات البحث الدولي المختصة بإجراء البحث الإضافي الدولي</vt:lpstr>
      <vt:lpstr>القاعدة 90(ثانيا)   السحب</vt:lpstr>
      <vt:lpstr>    من 90(ثانيا)1 إلى 3   [دون تغيير]</vt:lpstr>
      <vt:lpstr>    90(ثانيا)3(ثانيا)   سحب التماس البحث الإضافي</vt:lpstr>
      <vt:lpstr>    من 90(ثانيا)4 إلى 7   [دون تغيير]</vt:lpstr>
    </vt:vector>
  </TitlesOfParts>
  <Company>World Intellectual Property Organization</Company>
  <LinksUpToDate>false</LinksUpToDate>
  <CharactersWithSpaces>18017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PCT/WG/9/6 (Arabic)</dc:title>
  <dc:creator>وثيقة من إعداد المكتب الدولي</dc:creator>
  <cp:lastModifiedBy>MERZOUK Fawzi</cp:lastModifiedBy>
  <cp:revision>64</cp:revision>
  <cp:lastPrinted>2016-03-10T12:13:00Z</cp:lastPrinted>
  <dcterms:created xsi:type="dcterms:W3CDTF">2016-03-08T11:11:00Z</dcterms:created>
  <dcterms:modified xsi:type="dcterms:W3CDTF">2016-03-10T12:14:00Z</dcterms:modified>
</cp:coreProperties>
</file>