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6C4C61">
            <w:pPr>
              <w:pStyle w:val="DocumentCodeAR"/>
              <w:bidi/>
              <w:rPr>
                <w:rtl/>
              </w:rPr>
            </w:pPr>
            <w:r>
              <w:t>PCT</w:t>
            </w:r>
            <w:r w:rsidR="00772E46">
              <w:t>/</w:t>
            </w:r>
            <w:r w:rsidR="00C742C5">
              <w:t>WG</w:t>
            </w:r>
            <w:r w:rsidR="00100F97">
              <w:t>/</w:t>
            </w:r>
            <w:r w:rsidR="001E3F88">
              <w:t>9</w:t>
            </w:r>
            <w:r w:rsidR="006C4C61">
              <w:t>/22</w:t>
            </w:r>
          </w:p>
        </w:tc>
      </w:tr>
      <w:tr w:rsidR="001667B6" w:rsidTr="00BF164F">
        <w:tc>
          <w:tcPr>
            <w:tcW w:w="9571" w:type="dxa"/>
            <w:gridSpan w:val="3"/>
          </w:tcPr>
          <w:p w:rsidR="001667B6" w:rsidRPr="00B6101C" w:rsidRDefault="006C4C61" w:rsidP="006C4C61">
            <w:pPr>
              <w:pStyle w:val="DocumentLanguageAR"/>
              <w:bidi/>
              <w:rPr>
                <w:rtl/>
                <w:lang w:bidi="ar-SY"/>
              </w:rPr>
            </w:pPr>
            <w:r>
              <w:rPr>
                <w:rFonts w:hint="cs"/>
                <w:rtl/>
              </w:rPr>
              <w:t>الأصل: بالإنكليزية</w:t>
            </w:r>
          </w:p>
        </w:tc>
      </w:tr>
      <w:tr w:rsidR="001667B6" w:rsidTr="00BF164F">
        <w:tc>
          <w:tcPr>
            <w:tcW w:w="9571" w:type="dxa"/>
            <w:gridSpan w:val="3"/>
          </w:tcPr>
          <w:p w:rsidR="001667B6" w:rsidRPr="00B6101C" w:rsidRDefault="00B6101C" w:rsidP="006C4C61">
            <w:pPr>
              <w:pStyle w:val="DocumentDateAR"/>
              <w:bidi/>
              <w:rPr>
                <w:rtl/>
              </w:rPr>
            </w:pPr>
            <w:r w:rsidRPr="00B6101C">
              <w:rPr>
                <w:rFonts w:hint="cs"/>
                <w:rtl/>
              </w:rPr>
              <w:t xml:space="preserve">التاريخ: </w:t>
            </w:r>
            <w:r w:rsidR="006C4C61">
              <w:rPr>
                <w:rFonts w:hint="cs"/>
                <w:rtl/>
              </w:rPr>
              <w:t>13 أبريل</w:t>
            </w:r>
            <w:r w:rsidRPr="00B6101C">
              <w:rPr>
                <w:rFonts w:hint="cs"/>
                <w:rtl/>
              </w:rPr>
              <w:t xml:space="preserve"> </w:t>
            </w:r>
            <w:r w:rsidR="005C64F7">
              <w:rPr>
                <w:rFonts w:hint="cs"/>
                <w:rtl/>
              </w:rPr>
              <w:t>201</w:t>
            </w:r>
            <w:r w:rsidR="001E3F88">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E3F88">
      <w:pPr>
        <w:pStyle w:val="MeetingSessionAR"/>
        <w:bidi/>
        <w:rPr>
          <w:rFonts w:ascii="Cambria Math" w:hAnsi="Cambria Math"/>
          <w:rtl/>
        </w:rPr>
      </w:pPr>
      <w:r w:rsidRPr="00783D11">
        <w:rPr>
          <w:rFonts w:ascii="Cambria Math" w:hAnsi="Cambria Math"/>
          <w:rtl/>
        </w:rPr>
        <w:t xml:space="preserve">الدورة </w:t>
      </w:r>
      <w:r w:rsidR="001E3F88">
        <w:rPr>
          <w:rFonts w:ascii="Cambria Math" w:hAnsi="Cambria Math" w:hint="cs"/>
          <w:rtl/>
        </w:rPr>
        <w:t>التاسعة</w:t>
      </w:r>
    </w:p>
    <w:p w:rsidR="00D61541" w:rsidRPr="00D61541" w:rsidRDefault="00D61541" w:rsidP="00D07291">
      <w:pPr>
        <w:pStyle w:val="MeetingDatesAR"/>
        <w:bidi/>
        <w:rPr>
          <w:rtl/>
        </w:rPr>
      </w:pPr>
      <w:r w:rsidRPr="00D61541">
        <w:rPr>
          <w:rFonts w:hint="cs"/>
          <w:rtl/>
        </w:rPr>
        <w:t xml:space="preserve">جنيف، من </w:t>
      </w:r>
      <w:r w:rsidR="00D07291">
        <w:rPr>
          <w:rFonts w:hint="cs"/>
          <w:rtl/>
        </w:rPr>
        <w:t>17</w:t>
      </w:r>
      <w:r w:rsidR="00C742C5">
        <w:rPr>
          <w:rFonts w:hint="cs"/>
          <w:rtl/>
        </w:rPr>
        <w:t xml:space="preserve"> إلى </w:t>
      </w:r>
      <w:r w:rsidR="00D07291">
        <w:rPr>
          <w:rFonts w:hint="cs"/>
          <w:rtl/>
        </w:rPr>
        <w:t>20 مايو</w:t>
      </w:r>
      <w:r w:rsidR="00C742C5">
        <w:rPr>
          <w:rFonts w:hint="cs"/>
          <w:rtl/>
        </w:rPr>
        <w:t xml:space="preserve"> </w:t>
      </w:r>
      <w:r w:rsidR="005C64F7">
        <w:rPr>
          <w:rFonts w:hint="cs"/>
          <w:rtl/>
        </w:rPr>
        <w:t>201</w:t>
      </w:r>
      <w:r w:rsidR="00D07291">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6C4C61" w:rsidRDefault="006C4C61" w:rsidP="00A85532">
      <w:pPr>
        <w:pStyle w:val="PreparedbyAR"/>
        <w:bidi/>
        <w:spacing w:before="0" w:after="0"/>
        <w:ind w:right="3119"/>
        <w:rPr>
          <w:rFonts w:ascii="Arial Black" w:hAnsi="Arial Black" w:cs="PT Bold Heading"/>
          <w:i w:val="0"/>
          <w:iCs w:val="0"/>
          <w:sz w:val="26"/>
          <w:szCs w:val="26"/>
          <w:rtl/>
        </w:rPr>
      </w:pPr>
      <w:r w:rsidRPr="006C4C61">
        <w:rPr>
          <w:rFonts w:ascii="Arial Black" w:hAnsi="Arial Black" w:cs="PT Bold Heading"/>
          <w:i w:val="0"/>
          <w:iCs w:val="0"/>
          <w:sz w:val="26"/>
          <w:szCs w:val="26"/>
          <w:rtl/>
        </w:rPr>
        <w:t xml:space="preserve">فرقة العمل المعنية بالحد الأدنى للوثائق المنصوص عليها </w:t>
      </w:r>
      <w:r>
        <w:rPr>
          <w:rFonts w:ascii="Arial Black" w:hAnsi="Arial Black" w:cs="PT Bold Heading"/>
          <w:i w:val="0"/>
          <w:iCs w:val="0"/>
          <w:sz w:val="26"/>
          <w:szCs w:val="26"/>
          <w:rtl/>
        </w:rPr>
        <w:t>في معاهدة التعاون بشأن البراءات</w:t>
      </w:r>
      <w:r>
        <w:rPr>
          <w:rFonts w:ascii="Arial Black" w:hAnsi="Arial Black" w:cs="PT Bold Heading" w:hint="cs"/>
          <w:i w:val="0"/>
          <w:iCs w:val="0"/>
          <w:sz w:val="26"/>
          <w:szCs w:val="26"/>
          <w:rtl/>
        </w:rPr>
        <w:t>: تقرير مرحلي</w:t>
      </w:r>
    </w:p>
    <w:p w:rsidR="00D61541" w:rsidRPr="00D61541" w:rsidRDefault="006C4C61" w:rsidP="006C4C61">
      <w:pPr>
        <w:pStyle w:val="PreparedbyAR"/>
        <w:bidi/>
        <w:rPr>
          <w:rtl/>
        </w:rPr>
      </w:pPr>
      <w:r w:rsidRPr="006C4C61">
        <w:rPr>
          <w:rtl/>
        </w:rPr>
        <w:t>وثيقة من إعداد المكتب الأوروبي للبراءات</w:t>
      </w:r>
    </w:p>
    <w:p w:rsidR="00D61541" w:rsidRDefault="006C4C61" w:rsidP="00A85532">
      <w:pPr>
        <w:pStyle w:val="Heading1AR"/>
      </w:pPr>
      <w:r>
        <w:rPr>
          <w:rFonts w:hint="cs"/>
          <w:rtl/>
        </w:rPr>
        <w:t>ملخص</w:t>
      </w:r>
    </w:p>
    <w:p w:rsidR="00CB79E4" w:rsidRDefault="006C4C61" w:rsidP="0096123B">
      <w:pPr>
        <w:pStyle w:val="NumberedParaAR"/>
        <w:rPr>
          <w:lang w:val="fr-CH"/>
        </w:rPr>
      </w:pPr>
      <w:r>
        <w:rPr>
          <w:rFonts w:hint="cs"/>
          <w:rtl/>
          <w:lang w:val="fr-CH"/>
        </w:rPr>
        <w:t xml:space="preserve">تعرض </w:t>
      </w:r>
      <w:r>
        <w:rPr>
          <w:rtl/>
          <w:lang w:val="fr-CH"/>
        </w:rPr>
        <w:t xml:space="preserve">هذه الوثيقة تقريرا </w:t>
      </w:r>
      <w:r>
        <w:rPr>
          <w:rFonts w:hint="cs"/>
          <w:rtl/>
          <w:lang w:val="fr-CH"/>
        </w:rPr>
        <w:t xml:space="preserve">عن </w:t>
      </w:r>
      <w:r w:rsidRPr="006C4C61">
        <w:rPr>
          <w:rtl/>
          <w:lang w:val="fr-CH"/>
        </w:rPr>
        <w:t>فرقة العمل المعنية بالحد الأدنى للوثائق المنصوص عليها في معاهدة التعاون بشأن البراءات</w:t>
      </w:r>
      <w:r>
        <w:rPr>
          <w:rFonts w:hint="cs"/>
          <w:rtl/>
          <w:lang w:val="fr-CH"/>
        </w:rPr>
        <w:t xml:space="preserve"> </w:t>
      </w:r>
      <w:r w:rsidRPr="006C4C61">
        <w:rPr>
          <w:rtl/>
          <w:lang w:val="fr-CH"/>
        </w:rPr>
        <w:t>(</w:t>
      </w:r>
      <w:r>
        <w:rPr>
          <w:rFonts w:hint="cs"/>
          <w:rtl/>
          <w:lang w:val="fr-CH"/>
        </w:rPr>
        <w:t>والمسماة فيما يلي</w:t>
      </w:r>
      <w:r w:rsidRPr="006C4C61">
        <w:rPr>
          <w:rtl/>
          <w:lang w:val="fr-CH"/>
        </w:rPr>
        <w:t xml:space="preserve"> "فرقة العمل") ويلخ</w:t>
      </w:r>
      <w:r>
        <w:rPr>
          <w:rFonts w:hint="cs"/>
          <w:rtl/>
          <w:lang w:val="fr-CH"/>
        </w:rPr>
        <w:t>ّ</w:t>
      </w:r>
      <w:r w:rsidRPr="006C4C61">
        <w:rPr>
          <w:rtl/>
          <w:lang w:val="fr-CH"/>
        </w:rPr>
        <w:t xml:space="preserve">ص </w:t>
      </w:r>
      <w:r>
        <w:rPr>
          <w:rtl/>
          <w:lang w:val="fr-CH"/>
        </w:rPr>
        <w:t xml:space="preserve">الإجراءات التي اتخذت </w:t>
      </w:r>
      <w:r>
        <w:rPr>
          <w:rFonts w:hint="cs"/>
          <w:rtl/>
          <w:lang w:val="fr-CH"/>
        </w:rPr>
        <w:t xml:space="preserve">من أجل </w:t>
      </w:r>
      <w:r w:rsidRPr="006C4C61">
        <w:rPr>
          <w:rtl/>
          <w:lang w:val="fr-CH"/>
        </w:rPr>
        <w:t>تنشيط</w:t>
      </w:r>
      <w:r>
        <w:rPr>
          <w:rFonts w:hint="cs"/>
          <w:rtl/>
          <w:lang w:val="fr-CH"/>
        </w:rPr>
        <w:t>ها</w:t>
      </w:r>
      <w:r w:rsidRPr="006C4C61">
        <w:rPr>
          <w:rtl/>
          <w:lang w:val="fr-CH"/>
        </w:rPr>
        <w:t xml:space="preserve"> منذ الدورة الأخيرة لاجتماع الإدارات الدولية</w:t>
      </w:r>
      <w:r>
        <w:rPr>
          <w:rFonts w:hint="cs"/>
          <w:rtl/>
          <w:lang w:val="fr-CH"/>
        </w:rPr>
        <w:t xml:space="preserve"> </w:t>
      </w:r>
      <w:r w:rsidRPr="006C4C61">
        <w:rPr>
          <w:rtl/>
          <w:lang w:val="fr-CH"/>
        </w:rPr>
        <w:t>لمعاهدة التعاون بشأن البراءات</w:t>
      </w:r>
      <w:r>
        <w:rPr>
          <w:rtl/>
          <w:lang w:val="fr-CH"/>
        </w:rPr>
        <w:t>،</w:t>
      </w:r>
      <w:r>
        <w:rPr>
          <w:rFonts w:hint="cs"/>
          <w:rtl/>
          <w:lang w:val="fr-CH"/>
        </w:rPr>
        <w:t xml:space="preserve"> </w:t>
      </w:r>
      <w:r w:rsidRPr="006C4C61">
        <w:rPr>
          <w:rtl/>
          <w:lang w:val="fr-CH"/>
        </w:rPr>
        <w:t>المعقودة في سنتياغو بشيلي في الفترة من 20 إلى 22 يناير 2016</w:t>
      </w:r>
      <w:r w:rsidR="0053188B">
        <w:rPr>
          <w:rFonts w:hint="cs"/>
          <w:rtl/>
          <w:lang w:val="fr-CH"/>
        </w:rPr>
        <w:t>.</w:t>
      </w:r>
    </w:p>
    <w:p w:rsidR="0053188B" w:rsidRPr="00A85532" w:rsidRDefault="0053188B" w:rsidP="00A85532">
      <w:pPr>
        <w:pStyle w:val="Heading1AR"/>
        <w:rPr>
          <w:rtl/>
        </w:rPr>
      </w:pPr>
      <w:r w:rsidRPr="00A85532">
        <w:rPr>
          <w:rFonts w:hint="cs"/>
          <w:rtl/>
        </w:rPr>
        <w:t>معلومات أساسية</w:t>
      </w:r>
    </w:p>
    <w:p w:rsidR="005C64F7" w:rsidRDefault="00975C73" w:rsidP="007403EF">
      <w:pPr>
        <w:pStyle w:val="NumberedParaAR"/>
      </w:pPr>
      <w:r>
        <w:rPr>
          <w:rtl/>
        </w:rPr>
        <w:t>في عام 2005، قرر</w:t>
      </w:r>
      <w:r w:rsidRPr="00975C73">
        <w:rPr>
          <w:rtl/>
        </w:rPr>
        <w:t xml:space="preserve"> </w:t>
      </w:r>
      <w:r>
        <w:rPr>
          <w:rFonts w:hint="cs"/>
          <w:rtl/>
        </w:rPr>
        <w:t xml:space="preserve">اجتماع </w:t>
      </w:r>
      <w:r w:rsidRPr="006C4C61">
        <w:rPr>
          <w:rtl/>
          <w:lang w:val="fr-CH"/>
        </w:rPr>
        <w:t>الإدارات الدولية</w:t>
      </w:r>
      <w:r>
        <w:rPr>
          <w:rFonts w:hint="cs"/>
          <w:rtl/>
          <w:lang w:val="fr-CH"/>
        </w:rPr>
        <w:t xml:space="preserve"> </w:t>
      </w:r>
      <w:r w:rsidRPr="00975C73">
        <w:rPr>
          <w:rtl/>
        </w:rPr>
        <w:t>إنشاء فرقة عمل تحت قيادة مكتب الأوروبي</w:t>
      </w:r>
      <w:r w:rsidR="007403EF">
        <w:rPr>
          <w:rFonts w:hint="cs"/>
          <w:rtl/>
        </w:rPr>
        <w:t xml:space="preserve"> للبراءات</w:t>
      </w:r>
      <w:r>
        <w:rPr>
          <w:rtl/>
        </w:rPr>
        <w:t xml:space="preserve">، </w:t>
      </w:r>
      <w:r>
        <w:rPr>
          <w:rFonts w:hint="cs"/>
          <w:rtl/>
        </w:rPr>
        <w:t>بهدف</w:t>
      </w:r>
      <w:r w:rsidRPr="00975C73">
        <w:rPr>
          <w:rtl/>
        </w:rPr>
        <w:t xml:space="preserve"> إجراء </w:t>
      </w:r>
      <w:r>
        <w:rPr>
          <w:rtl/>
        </w:rPr>
        <w:t xml:space="preserve">استعراض شامل لمفهوم </w:t>
      </w:r>
      <w:r w:rsidR="00CD6766">
        <w:rPr>
          <w:rFonts w:hint="cs"/>
          <w:rtl/>
        </w:rPr>
        <w:t>الحد الأدنى ل</w:t>
      </w:r>
      <w:r w:rsidR="00CD6766">
        <w:rPr>
          <w:rtl/>
        </w:rPr>
        <w:t>وث</w:t>
      </w:r>
      <w:r w:rsidR="00CD6766">
        <w:rPr>
          <w:rFonts w:hint="cs"/>
          <w:rtl/>
        </w:rPr>
        <w:t>ائ</w:t>
      </w:r>
      <w:r w:rsidR="00CD6766">
        <w:rPr>
          <w:rtl/>
        </w:rPr>
        <w:t>ق</w:t>
      </w:r>
      <w:r w:rsidRPr="00975C73">
        <w:rPr>
          <w:rtl/>
        </w:rPr>
        <w:t xml:space="preserve"> معاهدة التعاون بشأن البراءات. وكل</w:t>
      </w:r>
      <w:r>
        <w:rPr>
          <w:rFonts w:hint="cs"/>
          <w:rtl/>
        </w:rPr>
        <w:t>ّ</w:t>
      </w:r>
      <w:r w:rsidRPr="00975C73">
        <w:rPr>
          <w:rtl/>
        </w:rPr>
        <w:t xml:space="preserve">فت فرقة </w:t>
      </w:r>
      <w:r>
        <w:rPr>
          <w:rFonts w:hint="cs"/>
          <w:rtl/>
        </w:rPr>
        <w:t>ال</w:t>
      </w:r>
      <w:r>
        <w:rPr>
          <w:rtl/>
        </w:rPr>
        <w:t xml:space="preserve">عمل </w:t>
      </w:r>
      <w:r>
        <w:rPr>
          <w:rFonts w:hint="cs"/>
          <w:rtl/>
        </w:rPr>
        <w:t>ب</w:t>
      </w:r>
      <w:r w:rsidR="002D5BEB">
        <w:rPr>
          <w:rtl/>
        </w:rPr>
        <w:t xml:space="preserve">معالجة القضايا المتعلقة </w:t>
      </w:r>
      <w:r w:rsidR="002D5BEB">
        <w:rPr>
          <w:rFonts w:hint="cs"/>
          <w:rtl/>
        </w:rPr>
        <w:t>بتوثيق</w:t>
      </w:r>
      <w:r w:rsidRPr="00975C73">
        <w:rPr>
          <w:rtl/>
        </w:rPr>
        <w:t xml:space="preserve"> </w:t>
      </w:r>
      <w:r w:rsidR="002D5BEB">
        <w:rPr>
          <w:rFonts w:hint="cs"/>
          <w:rtl/>
        </w:rPr>
        <w:t>ال</w:t>
      </w:r>
      <w:r w:rsidR="002D5BEB">
        <w:rPr>
          <w:rtl/>
        </w:rPr>
        <w:t>براءات و</w:t>
      </w:r>
      <w:r w:rsidR="002D5BEB">
        <w:rPr>
          <w:rFonts w:hint="cs"/>
          <w:rtl/>
        </w:rPr>
        <w:t>ال</w:t>
      </w:r>
      <w:r w:rsidRPr="00975C73">
        <w:rPr>
          <w:rtl/>
        </w:rPr>
        <w:t>أدب</w:t>
      </w:r>
      <w:r w:rsidR="002D5BEB">
        <w:rPr>
          <w:rFonts w:hint="cs"/>
          <w:rtl/>
        </w:rPr>
        <w:t>يات</w:t>
      </w:r>
      <w:r w:rsidRPr="00975C73">
        <w:rPr>
          <w:rtl/>
        </w:rPr>
        <w:t xml:space="preserve"> </w:t>
      </w:r>
      <w:r w:rsidR="002D5BEB">
        <w:rPr>
          <w:rFonts w:hint="cs"/>
          <w:rtl/>
        </w:rPr>
        <w:t>التي لا تتصل</w:t>
      </w:r>
      <w:r w:rsidRPr="00975C73">
        <w:rPr>
          <w:rtl/>
        </w:rPr>
        <w:t xml:space="preserve"> </w:t>
      </w:r>
      <w:r w:rsidR="002D5BEB">
        <w:rPr>
          <w:rFonts w:hint="cs"/>
          <w:rtl/>
        </w:rPr>
        <w:t>ب</w:t>
      </w:r>
      <w:r w:rsidRPr="00975C73">
        <w:rPr>
          <w:rtl/>
        </w:rPr>
        <w:t>البراءات</w:t>
      </w:r>
      <w:r w:rsidR="002D5BEB">
        <w:rPr>
          <w:rFonts w:hint="cs"/>
          <w:rtl/>
        </w:rPr>
        <w:t xml:space="preserve"> على حد سواء</w:t>
      </w:r>
      <w:r w:rsidRPr="00975C73">
        <w:rPr>
          <w:rtl/>
        </w:rPr>
        <w:t xml:space="preserve">، بما في ذلك قواعد البيانات المتعلقة بالمعارف التقليدية (انظر الفقرات </w:t>
      </w:r>
      <w:r w:rsidR="002D5BEB">
        <w:rPr>
          <w:rFonts w:hint="cs"/>
          <w:rtl/>
        </w:rPr>
        <w:t xml:space="preserve">من </w:t>
      </w:r>
      <w:r w:rsidR="002D5BEB">
        <w:rPr>
          <w:rtl/>
        </w:rPr>
        <w:t>9 إلى 12 و</w:t>
      </w:r>
      <w:r w:rsidR="002D5BEB">
        <w:rPr>
          <w:rFonts w:hint="cs"/>
          <w:rtl/>
        </w:rPr>
        <w:t xml:space="preserve">الفقرة </w:t>
      </w:r>
      <w:r w:rsidRPr="00975C73">
        <w:rPr>
          <w:rtl/>
        </w:rPr>
        <w:t xml:space="preserve">18، </w:t>
      </w:r>
      <w:r w:rsidR="002D5BEB">
        <w:rPr>
          <w:rFonts w:hint="cs"/>
          <w:rtl/>
        </w:rPr>
        <w:t xml:space="preserve">من </w:t>
      </w:r>
      <w:r w:rsidRPr="00975C73">
        <w:rPr>
          <w:rtl/>
        </w:rPr>
        <w:t>الوثيقة</w:t>
      </w:r>
      <w:r w:rsidR="002D5BEB">
        <w:rPr>
          <w:rFonts w:hint="cs"/>
          <w:rtl/>
        </w:rPr>
        <w:t xml:space="preserve"> </w:t>
      </w:r>
      <w:r w:rsidR="002D5BEB" w:rsidRPr="00D8408A">
        <w:t>PCT/MIA/11/14</w:t>
      </w:r>
      <w:r w:rsidR="002D5BEB">
        <w:rPr>
          <w:rtl/>
        </w:rPr>
        <w:t>)</w:t>
      </w:r>
      <w:r w:rsidR="002D5BEB">
        <w:rPr>
          <w:rFonts w:hint="cs"/>
          <w:rtl/>
        </w:rPr>
        <w:t>.</w:t>
      </w:r>
      <w:r w:rsidRPr="00975C73">
        <w:rPr>
          <w:rtl/>
        </w:rPr>
        <w:t xml:space="preserve"> </w:t>
      </w:r>
      <w:r w:rsidR="002D5BEB">
        <w:rPr>
          <w:rFonts w:hint="cs"/>
          <w:rtl/>
        </w:rPr>
        <w:t xml:space="preserve">لكنّ تعثرت </w:t>
      </w:r>
      <w:r w:rsidR="002D5BEB">
        <w:rPr>
          <w:rtl/>
        </w:rPr>
        <w:t>العملية</w:t>
      </w:r>
      <w:r w:rsidR="002D5BEB">
        <w:rPr>
          <w:rFonts w:hint="cs"/>
          <w:rtl/>
        </w:rPr>
        <w:t xml:space="preserve"> نتيجة غياب</w:t>
      </w:r>
      <w:r w:rsidR="007403EF">
        <w:rPr>
          <w:rtl/>
        </w:rPr>
        <w:t xml:space="preserve"> توافق</w:t>
      </w:r>
      <w:r w:rsidRPr="00975C73">
        <w:rPr>
          <w:rtl/>
        </w:rPr>
        <w:t xml:space="preserve"> الآراء بشأن قضايا معينة (انظر الوثيقة </w:t>
      </w:r>
      <w:r w:rsidR="002D5BEB" w:rsidRPr="008657BB">
        <w:t>PCT/MIA/1</w:t>
      </w:r>
      <w:r w:rsidR="002D5BEB">
        <w:t>3</w:t>
      </w:r>
      <w:r w:rsidR="002D5BEB" w:rsidRPr="008657BB">
        <w:t>/</w:t>
      </w:r>
      <w:r w:rsidR="002D5BEB">
        <w:t>5</w:t>
      </w:r>
      <w:r w:rsidR="002D5BEB">
        <w:rPr>
          <w:rtl/>
        </w:rPr>
        <w:t>)</w:t>
      </w:r>
      <w:r w:rsidR="002D5BEB">
        <w:rPr>
          <w:rFonts w:hint="cs"/>
          <w:rtl/>
        </w:rPr>
        <w:t>.</w:t>
      </w:r>
    </w:p>
    <w:p w:rsidR="00CD6766" w:rsidRDefault="00CD6766" w:rsidP="0096123B">
      <w:pPr>
        <w:pStyle w:val="NumberedParaAR"/>
      </w:pPr>
      <w:r>
        <w:rPr>
          <w:rFonts w:hint="cs"/>
          <w:rtl/>
          <w:lang w:bidi="ar-SY"/>
        </w:rPr>
        <w:t>و</w:t>
      </w:r>
      <w:r>
        <w:rPr>
          <w:rtl/>
        </w:rPr>
        <w:t>في عام 2012، قرر</w:t>
      </w:r>
      <w:r w:rsidRPr="00975C73">
        <w:rPr>
          <w:rtl/>
        </w:rPr>
        <w:t xml:space="preserve"> </w:t>
      </w:r>
      <w:r>
        <w:rPr>
          <w:rFonts w:hint="cs"/>
          <w:rtl/>
        </w:rPr>
        <w:t xml:space="preserve">اجتماع </w:t>
      </w:r>
      <w:r w:rsidRPr="006C4C61">
        <w:rPr>
          <w:rtl/>
          <w:lang w:val="fr-CH"/>
        </w:rPr>
        <w:t>الإدارات الدولية</w:t>
      </w:r>
      <w:r>
        <w:rPr>
          <w:rFonts w:hint="cs"/>
          <w:rtl/>
          <w:lang w:val="fr-CH"/>
        </w:rPr>
        <w:t xml:space="preserve"> </w:t>
      </w:r>
      <w:r w:rsidRPr="00975C73">
        <w:rPr>
          <w:rtl/>
        </w:rPr>
        <w:t xml:space="preserve">إنشاء فرقة عمل </w:t>
      </w:r>
      <w:r>
        <w:rPr>
          <w:rtl/>
        </w:rPr>
        <w:t xml:space="preserve">بهدف توسيع نطاق </w:t>
      </w:r>
      <w:r w:rsidR="003055B1" w:rsidRPr="003055B1">
        <w:rPr>
          <w:rtl/>
        </w:rPr>
        <w:t>الجزء المتعلق بمستندات البراءات من الحد الأدنى للوثائق المنصوص عليه</w:t>
      </w:r>
      <w:r w:rsidR="003055B1">
        <w:rPr>
          <w:rtl/>
        </w:rPr>
        <w:t xml:space="preserve">ا في </w:t>
      </w:r>
      <w:r w:rsidR="003055B1" w:rsidRPr="003055B1">
        <w:rPr>
          <w:rtl/>
        </w:rPr>
        <w:t>معاهدة</w:t>
      </w:r>
      <w:r w:rsidR="003055B1">
        <w:rPr>
          <w:rFonts w:hint="cs"/>
          <w:rtl/>
        </w:rPr>
        <w:t xml:space="preserve"> التعاون بشأن البراءات وتحديثه </w:t>
      </w:r>
      <w:r>
        <w:rPr>
          <w:rtl/>
        </w:rPr>
        <w:t>(</w:t>
      </w:r>
      <w:r>
        <w:rPr>
          <w:rFonts w:hint="cs"/>
          <w:rtl/>
        </w:rPr>
        <w:t>ا</w:t>
      </w:r>
      <w:r>
        <w:rPr>
          <w:rtl/>
        </w:rPr>
        <w:t xml:space="preserve">نظر الفقرات </w:t>
      </w:r>
      <w:r>
        <w:rPr>
          <w:rFonts w:hint="cs"/>
          <w:rtl/>
        </w:rPr>
        <w:t xml:space="preserve">من </w:t>
      </w:r>
      <w:r>
        <w:rPr>
          <w:rtl/>
        </w:rPr>
        <w:t>79</w:t>
      </w:r>
      <w:r>
        <w:rPr>
          <w:rFonts w:hint="cs"/>
          <w:rtl/>
        </w:rPr>
        <w:t xml:space="preserve"> إلى 81، من</w:t>
      </w:r>
      <w:r>
        <w:rPr>
          <w:rtl/>
        </w:rPr>
        <w:t xml:space="preserve"> الوثيقة </w:t>
      </w:r>
      <w:r>
        <w:t>PCT/MIA/19/14</w:t>
      </w:r>
      <w:r>
        <w:rPr>
          <w:rFonts w:hint="cs"/>
          <w:rtl/>
        </w:rPr>
        <w:t>، و</w:t>
      </w:r>
      <w:r>
        <w:rPr>
          <w:rtl/>
        </w:rPr>
        <w:t xml:space="preserve">التعميم </w:t>
      </w:r>
      <w:r>
        <w:t>C</w:t>
      </w:r>
      <w:r>
        <w:rPr>
          <w:rFonts w:hint="cs"/>
          <w:rtl/>
        </w:rPr>
        <w:t xml:space="preserve"> </w:t>
      </w:r>
      <w:r>
        <w:t xml:space="preserve">PCT </w:t>
      </w:r>
      <w:r w:rsidRPr="00CD6766">
        <w:t>1359</w:t>
      </w:r>
      <w:r>
        <w:rPr>
          <w:rtl/>
        </w:rPr>
        <w:t xml:space="preserve">، </w:t>
      </w:r>
      <w:r>
        <w:rPr>
          <w:rFonts w:hint="cs"/>
          <w:rtl/>
        </w:rPr>
        <w:t>المؤر</w:t>
      </w:r>
      <w:r>
        <w:rPr>
          <w:rtl/>
        </w:rPr>
        <w:t>خ 28 س</w:t>
      </w:r>
      <w:r w:rsidR="00BC7FB6">
        <w:rPr>
          <w:rtl/>
        </w:rPr>
        <w:t xml:space="preserve">بتمبر 2012). ومنذ ذلك الحين، </w:t>
      </w:r>
      <w:r w:rsidR="00BC7FB6">
        <w:rPr>
          <w:rFonts w:hint="cs"/>
          <w:rtl/>
        </w:rPr>
        <w:t>مارست</w:t>
      </w:r>
      <w:r w:rsidR="00BC7FB6">
        <w:rPr>
          <w:rtl/>
        </w:rPr>
        <w:t xml:space="preserve"> فرقة العمل </w:t>
      </w:r>
      <w:r w:rsidR="00BC7FB6">
        <w:rPr>
          <w:rFonts w:hint="cs"/>
          <w:rtl/>
        </w:rPr>
        <w:t xml:space="preserve">أنشطتها </w:t>
      </w:r>
      <w:r>
        <w:rPr>
          <w:rtl/>
        </w:rPr>
        <w:t>باستخدام منتد</w:t>
      </w:r>
      <w:r w:rsidR="007403EF">
        <w:rPr>
          <w:rtl/>
        </w:rPr>
        <w:t xml:space="preserve">ى </w:t>
      </w:r>
      <w:r w:rsidR="007403EF">
        <w:rPr>
          <w:rFonts w:hint="cs"/>
          <w:rtl/>
        </w:rPr>
        <w:t>إ</w:t>
      </w:r>
      <w:r w:rsidR="00BC7FB6">
        <w:rPr>
          <w:rtl/>
        </w:rPr>
        <w:t>لكتروني مخصص (</w:t>
      </w:r>
      <w:r w:rsidR="007403EF">
        <w:rPr>
          <w:rFonts w:hint="cs"/>
          <w:rtl/>
        </w:rPr>
        <w:t>ي</w:t>
      </w:r>
      <w:r w:rsidR="00BC7FB6">
        <w:rPr>
          <w:rFonts w:hint="cs"/>
          <w:rtl/>
        </w:rPr>
        <w:t xml:space="preserve">سمى فيما يلي </w:t>
      </w:r>
      <w:r w:rsidR="00BC7FB6">
        <w:rPr>
          <w:rtl/>
        </w:rPr>
        <w:t>"</w:t>
      </w:r>
      <w:r w:rsidR="00BC7FB6">
        <w:rPr>
          <w:rFonts w:hint="cs"/>
          <w:rtl/>
        </w:rPr>
        <w:t>المنتدى</w:t>
      </w:r>
      <w:r>
        <w:rPr>
          <w:rtl/>
        </w:rPr>
        <w:t xml:space="preserve">") </w:t>
      </w:r>
      <w:r w:rsidR="00BC7FB6">
        <w:rPr>
          <w:rFonts w:hint="cs"/>
          <w:rtl/>
        </w:rPr>
        <w:t>و</w:t>
      </w:r>
      <w:r w:rsidR="007403EF">
        <w:rPr>
          <w:rFonts w:hint="cs"/>
          <w:rtl/>
        </w:rPr>
        <w:t xml:space="preserve">عبر ميسّر هو </w:t>
      </w:r>
      <w:r w:rsidR="00BC7FB6">
        <w:rPr>
          <w:rtl/>
        </w:rPr>
        <w:t>المكتب الدولي.</w:t>
      </w:r>
      <w:r>
        <w:rPr>
          <w:rtl/>
        </w:rPr>
        <w:t xml:space="preserve"> </w:t>
      </w:r>
      <w:r w:rsidR="00BC7FB6">
        <w:rPr>
          <w:rFonts w:hint="cs"/>
          <w:rtl/>
        </w:rPr>
        <w:t>ولكن علقت ال</w:t>
      </w:r>
      <w:r w:rsidR="00BC7FB6">
        <w:rPr>
          <w:rtl/>
        </w:rPr>
        <w:t xml:space="preserve">عملية </w:t>
      </w:r>
      <w:r>
        <w:rPr>
          <w:rtl/>
        </w:rPr>
        <w:t xml:space="preserve">بانتظار نتائج </w:t>
      </w:r>
      <w:r w:rsidR="00BC7FB6">
        <w:rPr>
          <w:rFonts w:hint="cs"/>
          <w:rtl/>
        </w:rPr>
        <w:t>ال</w:t>
      </w:r>
      <w:r w:rsidR="00BC7FB6">
        <w:rPr>
          <w:rtl/>
        </w:rPr>
        <w:t>عمل</w:t>
      </w:r>
      <w:r>
        <w:rPr>
          <w:rtl/>
        </w:rPr>
        <w:t xml:space="preserve"> </w:t>
      </w:r>
      <w:r w:rsidR="00BC7FB6">
        <w:rPr>
          <w:rFonts w:hint="cs"/>
          <w:rtl/>
        </w:rPr>
        <w:t>بشأن وضع</w:t>
      </w:r>
      <w:r w:rsidR="00BC7FB6">
        <w:rPr>
          <w:rtl/>
        </w:rPr>
        <w:t xml:space="preserve"> معايير </w:t>
      </w:r>
      <w:r>
        <w:rPr>
          <w:rtl/>
        </w:rPr>
        <w:t xml:space="preserve">وثائق </w:t>
      </w:r>
      <w:r w:rsidR="00BC7FB6">
        <w:rPr>
          <w:rFonts w:hint="cs"/>
          <w:rtl/>
        </w:rPr>
        <w:t xml:space="preserve">حالة </w:t>
      </w:r>
      <w:r>
        <w:rPr>
          <w:rtl/>
        </w:rPr>
        <w:t>التقنية الصناعية السابقة</w:t>
      </w:r>
      <w:r w:rsidR="00BC7FB6">
        <w:rPr>
          <w:rFonts w:hint="cs"/>
          <w:rtl/>
        </w:rPr>
        <w:t>،</w:t>
      </w:r>
      <w:r w:rsidR="00BC7FB6">
        <w:rPr>
          <w:rtl/>
        </w:rPr>
        <w:t xml:space="preserve"> </w:t>
      </w:r>
      <w:r w:rsidR="00BC7FB6">
        <w:rPr>
          <w:rFonts w:hint="cs"/>
          <w:rtl/>
        </w:rPr>
        <w:t>الجاري ت</w:t>
      </w:r>
      <w:r w:rsidR="00BC7FB6">
        <w:rPr>
          <w:rtl/>
        </w:rPr>
        <w:t>نفيذه</w:t>
      </w:r>
      <w:r>
        <w:rPr>
          <w:rtl/>
        </w:rPr>
        <w:t xml:space="preserve"> في إطار مخطط التعاون</w:t>
      </w:r>
      <w:r w:rsidR="002B766E">
        <w:rPr>
          <w:rFonts w:hint="cs"/>
          <w:rtl/>
        </w:rPr>
        <w:t xml:space="preserve"> </w:t>
      </w:r>
      <w:r w:rsidR="002B766E">
        <w:rPr>
          <w:rFonts w:hint="cs"/>
          <w:rtl/>
        </w:rPr>
        <w:lastRenderedPageBreak/>
        <w:t xml:space="preserve">بين </w:t>
      </w:r>
      <w:r w:rsidR="002B766E" w:rsidRPr="002B766E">
        <w:rPr>
          <w:rtl/>
        </w:rPr>
        <w:t>المكاتب الخمسة للملكية</w:t>
      </w:r>
      <w:r w:rsidR="002B766E">
        <w:rPr>
          <w:rtl/>
        </w:rPr>
        <w:t xml:space="preserve"> الفكرية (</w:t>
      </w:r>
      <w:r w:rsidR="002B766E" w:rsidRPr="002B766E">
        <w:rPr>
          <w:rtl/>
        </w:rPr>
        <w:t>مكاتب الملكية الفكرية في الصين واليابان وجمهورية كوريا والولايات المتحدة الأمريكية والمكتب الأوروبي للبراءات)</w:t>
      </w:r>
      <w:r w:rsidR="002B766E">
        <w:rPr>
          <w:rFonts w:hint="cs"/>
          <w:rtl/>
        </w:rPr>
        <w:t xml:space="preserve"> </w:t>
      </w:r>
      <w:r>
        <w:rPr>
          <w:rtl/>
        </w:rPr>
        <w:t>(انظر الوثيقة</w:t>
      </w:r>
      <w:r w:rsidR="002B766E">
        <w:rPr>
          <w:rFonts w:hint="cs"/>
          <w:rtl/>
        </w:rPr>
        <w:t xml:space="preserve"> </w:t>
      </w:r>
      <w:r w:rsidR="002B766E">
        <w:t>PCT/MIA/21/12</w:t>
      </w:r>
      <w:r w:rsidR="002B766E">
        <w:rPr>
          <w:rFonts w:hint="cs"/>
          <w:rtl/>
        </w:rPr>
        <w:t>).</w:t>
      </w:r>
    </w:p>
    <w:p w:rsidR="002B766E" w:rsidRDefault="002B766E" w:rsidP="0096123B">
      <w:pPr>
        <w:pStyle w:val="NumberedParaAR"/>
      </w:pPr>
      <w:r>
        <w:rPr>
          <w:rFonts w:hint="cs"/>
          <w:rtl/>
        </w:rPr>
        <w:t>و</w:t>
      </w:r>
      <w:r w:rsidRPr="002B766E">
        <w:rPr>
          <w:rtl/>
        </w:rPr>
        <w:t xml:space="preserve">في عام 2015، </w:t>
      </w:r>
      <w:r>
        <w:rPr>
          <w:rtl/>
        </w:rPr>
        <w:t>قرر</w:t>
      </w:r>
      <w:r w:rsidRPr="00975C73">
        <w:rPr>
          <w:rtl/>
        </w:rPr>
        <w:t xml:space="preserve"> </w:t>
      </w:r>
      <w:r>
        <w:rPr>
          <w:rFonts w:hint="cs"/>
          <w:rtl/>
        </w:rPr>
        <w:t xml:space="preserve">اجتماع </w:t>
      </w:r>
      <w:r w:rsidRPr="006C4C61">
        <w:rPr>
          <w:rtl/>
          <w:lang w:val="fr-CH"/>
        </w:rPr>
        <w:t>الإدارات الدولية</w:t>
      </w:r>
      <w:r>
        <w:rPr>
          <w:rFonts w:hint="cs"/>
          <w:rtl/>
          <w:lang w:val="fr-CH"/>
        </w:rPr>
        <w:t xml:space="preserve">، </w:t>
      </w:r>
      <w:r>
        <w:rPr>
          <w:rtl/>
        </w:rPr>
        <w:t>عق</w:t>
      </w:r>
      <w:r w:rsidRPr="002B766E">
        <w:rPr>
          <w:rtl/>
        </w:rPr>
        <w:t>ب نشر "مل</w:t>
      </w:r>
      <w:r>
        <w:rPr>
          <w:rtl/>
        </w:rPr>
        <w:t>فات ال</w:t>
      </w:r>
      <w:r>
        <w:rPr>
          <w:rFonts w:hint="cs"/>
          <w:rtl/>
        </w:rPr>
        <w:t>إدارات</w:t>
      </w:r>
      <w:r w:rsidRPr="002B766E">
        <w:rPr>
          <w:rtl/>
        </w:rPr>
        <w:t xml:space="preserve">" في إطار مخطط التعاون </w:t>
      </w:r>
      <w:r>
        <w:rPr>
          <w:rFonts w:hint="cs"/>
          <w:rtl/>
        </w:rPr>
        <w:t xml:space="preserve">بين </w:t>
      </w:r>
      <w:r w:rsidRPr="002B766E">
        <w:rPr>
          <w:rtl/>
        </w:rPr>
        <w:t>المكاتب الخمسة للملكية</w:t>
      </w:r>
      <w:r>
        <w:rPr>
          <w:rtl/>
        </w:rPr>
        <w:t xml:space="preserve"> الفكرية،</w:t>
      </w:r>
      <w:r>
        <w:rPr>
          <w:rFonts w:hint="cs"/>
          <w:rtl/>
        </w:rPr>
        <w:t xml:space="preserve"> </w:t>
      </w:r>
      <w:r>
        <w:rPr>
          <w:rtl/>
        </w:rPr>
        <w:t>تفعيل فرقة العمل</w:t>
      </w:r>
      <w:r>
        <w:rPr>
          <w:rFonts w:hint="cs"/>
          <w:rtl/>
        </w:rPr>
        <w:t xml:space="preserve"> تحت قيادة </w:t>
      </w:r>
      <w:r>
        <w:rPr>
          <w:rtl/>
        </w:rPr>
        <w:t xml:space="preserve">المكتب الدولي </w:t>
      </w:r>
      <w:r>
        <w:rPr>
          <w:rFonts w:hint="cs"/>
          <w:rtl/>
        </w:rPr>
        <w:t xml:space="preserve">إلى </w:t>
      </w:r>
      <w:r>
        <w:rPr>
          <w:rtl/>
        </w:rPr>
        <w:t xml:space="preserve">حين تعيين إدارة بحث </w:t>
      </w:r>
      <w:r w:rsidRPr="002B766E">
        <w:rPr>
          <w:rtl/>
        </w:rPr>
        <w:t>دولي</w:t>
      </w:r>
      <w:r>
        <w:rPr>
          <w:rFonts w:hint="cs"/>
          <w:rtl/>
        </w:rPr>
        <w:t xml:space="preserve"> مكانه </w:t>
      </w:r>
      <w:r>
        <w:rPr>
          <w:rtl/>
        </w:rPr>
        <w:t>(انظر الفقرات من 62 إلى 65 و73، الوثيق</w:t>
      </w:r>
      <w:r>
        <w:rPr>
          <w:rFonts w:hint="cs"/>
          <w:rtl/>
        </w:rPr>
        <w:t xml:space="preserve">ة </w:t>
      </w:r>
      <w:r w:rsidRPr="00577050">
        <w:t>PCT/MIA/22/22</w:t>
      </w:r>
      <w:r>
        <w:rPr>
          <w:rFonts w:hint="cs"/>
          <w:rtl/>
        </w:rPr>
        <w:t>)</w:t>
      </w:r>
      <w:r w:rsidRPr="002B766E">
        <w:rPr>
          <w:rtl/>
        </w:rPr>
        <w:t xml:space="preserve">. </w:t>
      </w:r>
      <w:r>
        <w:rPr>
          <w:rFonts w:hint="cs"/>
          <w:rtl/>
        </w:rPr>
        <w:t>و</w:t>
      </w:r>
      <w:r w:rsidRPr="002B766E">
        <w:rPr>
          <w:rtl/>
        </w:rPr>
        <w:t>لم يحرز تقدم يذكر في عام 2015.</w:t>
      </w:r>
    </w:p>
    <w:p w:rsidR="002B766E" w:rsidRDefault="002B766E" w:rsidP="00A85532">
      <w:pPr>
        <w:pStyle w:val="NumberedParaAR"/>
      </w:pPr>
      <w:r>
        <w:rPr>
          <w:rFonts w:hint="cs"/>
          <w:rtl/>
          <w:lang w:bidi="ar-SY"/>
        </w:rPr>
        <w:t>و</w:t>
      </w:r>
      <w:r>
        <w:rPr>
          <w:rtl/>
        </w:rPr>
        <w:t xml:space="preserve">في يناير 2016، </w:t>
      </w:r>
      <w:r>
        <w:rPr>
          <w:rFonts w:hint="cs"/>
          <w:rtl/>
        </w:rPr>
        <w:t>أجمع</w:t>
      </w:r>
      <w:r w:rsidRPr="002B766E">
        <w:rPr>
          <w:rFonts w:hint="cs"/>
          <w:rtl/>
        </w:rPr>
        <w:t xml:space="preserve"> </w:t>
      </w:r>
      <w:r>
        <w:rPr>
          <w:rFonts w:hint="cs"/>
          <w:rtl/>
        </w:rPr>
        <w:t xml:space="preserve">اجتماع </w:t>
      </w:r>
      <w:r w:rsidRPr="006C4C61">
        <w:rPr>
          <w:rtl/>
          <w:lang w:val="fr-CH"/>
        </w:rPr>
        <w:t>الإدارات الدولية</w:t>
      </w:r>
      <w:r>
        <w:rPr>
          <w:rFonts w:hint="cs"/>
          <w:rtl/>
        </w:rPr>
        <w:t xml:space="preserve"> على </w:t>
      </w:r>
      <w:r w:rsidR="000C4201">
        <w:rPr>
          <w:rtl/>
        </w:rPr>
        <w:t>إعادة تفعيل فرقة العمل.</w:t>
      </w:r>
      <w:r>
        <w:rPr>
          <w:rtl/>
        </w:rPr>
        <w:t xml:space="preserve"> </w:t>
      </w:r>
      <w:r w:rsidR="000C4201">
        <w:rPr>
          <w:rFonts w:hint="cs"/>
          <w:rtl/>
        </w:rPr>
        <w:t>ولكن</w:t>
      </w:r>
      <w:r>
        <w:rPr>
          <w:rtl/>
        </w:rPr>
        <w:t xml:space="preserve"> المكتب الدولي </w:t>
      </w:r>
      <w:r w:rsidR="000C4201">
        <w:rPr>
          <w:rFonts w:hint="cs"/>
          <w:rtl/>
        </w:rPr>
        <w:t xml:space="preserve">أشار </w:t>
      </w:r>
      <w:r>
        <w:rPr>
          <w:rtl/>
        </w:rPr>
        <w:t>إلى أنه يفتقر إلى التجربة وا</w:t>
      </w:r>
      <w:r w:rsidR="000C4201">
        <w:rPr>
          <w:rtl/>
        </w:rPr>
        <w:t>لخبرة في هذا المجال، ودعا</w:t>
      </w:r>
      <w:r w:rsidR="000C4201">
        <w:rPr>
          <w:rFonts w:hint="cs"/>
          <w:rtl/>
        </w:rPr>
        <w:t xml:space="preserve"> </w:t>
      </w:r>
      <w:r w:rsidR="007403EF">
        <w:rPr>
          <w:rFonts w:hint="cs"/>
          <w:rtl/>
        </w:rPr>
        <w:t>لأن تحل</w:t>
      </w:r>
      <w:r w:rsidR="000C4201">
        <w:rPr>
          <w:rFonts w:hint="cs"/>
          <w:rtl/>
        </w:rPr>
        <w:t xml:space="preserve"> </w:t>
      </w:r>
      <w:r w:rsidR="007403EF">
        <w:rPr>
          <w:rFonts w:hint="cs"/>
          <w:rtl/>
        </w:rPr>
        <w:t xml:space="preserve">واحدة </w:t>
      </w:r>
      <w:r w:rsidR="000C4201">
        <w:rPr>
          <w:rFonts w:hint="cs"/>
          <w:rtl/>
        </w:rPr>
        <w:t xml:space="preserve">من </w:t>
      </w:r>
      <w:r w:rsidR="000C4201">
        <w:rPr>
          <w:rtl/>
        </w:rPr>
        <w:t>إدار</w:t>
      </w:r>
      <w:r w:rsidR="000C4201">
        <w:rPr>
          <w:rFonts w:hint="cs"/>
          <w:rtl/>
        </w:rPr>
        <w:t>ات</w:t>
      </w:r>
      <w:r w:rsidR="000C4201">
        <w:rPr>
          <w:rtl/>
        </w:rPr>
        <w:t xml:space="preserve"> </w:t>
      </w:r>
      <w:r w:rsidR="000C4201">
        <w:rPr>
          <w:rFonts w:hint="cs"/>
          <w:rtl/>
        </w:rPr>
        <w:t>ال</w:t>
      </w:r>
      <w:r w:rsidR="000C4201">
        <w:rPr>
          <w:rtl/>
        </w:rPr>
        <w:t xml:space="preserve">بحث </w:t>
      </w:r>
      <w:r w:rsidR="000C4201">
        <w:rPr>
          <w:rFonts w:hint="cs"/>
          <w:rtl/>
        </w:rPr>
        <w:t>ال</w:t>
      </w:r>
      <w:r w:rsidR="000C4201" w:rsidRPr="002B766E">
        <w:rPr>
          <w:rtl/>
        </w:rPr>
        <w:t>دولي</w:t>
      </w:r>
      <w:r w:rsidR="000C4201">
        <w:rPr>
          <w:rtl/>
        </w:rPr>
        <w:t xml:space="preserve"> </w:t>
      </w:r>
      <w:r>
        <w:rPr>
          <w:rtl/>
        </w:rPr>
        <w:t xml:space="preserve">محله. </w:t>
      </w:r>
      <w:r w:rsidR="000C4201">
        <w:rPr>
          <w:rFonts w:hint="cs"/>
          <w:rtl/>
        </w:rPr>
        <w:t>وطلب</w:t>
      </w:r>
      <w:r>
        <w:rPr>
          <w:rtl/>
        </w:rPr>
        <w:t xml:space="preserve"> </w:t>
      </w:r>
      <w:r w:rsidR="000C4201">
        <w:rPr>
          <w:rFonts w:hint="cs"/>
          <w:rtl/>
        </w:rPr>
        <w:t xml:space="preserve">اجتماع </w:t>
      </w:r>
      <w:r w:rsidR="000C4201" w:rsidRPr="006C4C61">
        <w:rPr>
          <w:rtl/>
          <w:lang w:val="fr-CH"/>
        </w:rPr>
        <w:t>الإدارات الدولية</w:t>
      </w:r>
      <w:r w:rsidR="000C4201">
        <w:rPr>
          <w:rtl/>
        </w:rPr>
        <w:t xml:space="preserve"> </w:t>
      </w:r>
      <w:r w:rsidR="000C4201">
        <w:rPr>
          <w:rFonts w:hint="cs"/>
          <w:rtl/>
        </w:rPr>
        <w:t xml:space="preserve">من فرقة العمل </w:t>
      </w:r>
      <w:r>
        <w:rPr>
          <w:rtl/>
        </w:rPr>
        <w:t>استئناف عملها على أساس الوثيقة</w:t>
      </w:r>
      <w:r w:rsidR="000C4201">
        <w:t xml:space="preserve">PCT/MIA/23/5 </w:t>
      </w:r>
      <w:r w:rsidR="000C4201">
        <w:rPr>
          <w:rFonts w:hint="cs"/>
          <w:rtl/>
        </w:rPr>
        <w:t xml:space="preserve"> </w:t>
      </w:r>
      <w:r>
        <w:rPr>
          <w:rtl/>
        </w:rPr>
        <w:t>(</w:t>
      </w:r>
      <w:r w:rsidR="000C4201">
        <w:rPr>
          <w:rtl/>
        </w:rPr>
        <w:t>انظر الفقرة 63</w:t>
      </w:r>
      <w:r>
        <w:rPr>
          <w:rtl/>
        </w:rPr>
        <w:t xml:space="preserve"> </w:t>
      </w:r>
      <w:r w:rsidR="000C4201">
        <w:rPr>
          <w:rFonts w:hint="cs"/>
          <w:rtl/>
        </w:rPr>
        <w:t xml:space="preserve">من </w:t>
      </w:r>
      <w:r>
        <w:rPr>
          <w:rtl/>
        </w:rPr>
        <w:t>الوثيقة</w:t>
      </w:r>
      <w:r w:rsidR="00A85532">
        <w:rPr>
          <w:rFonts w:hint="eastAsia"/>
          <w:rtl/>
        </w:rPr>
        <w:t> </w:t>
      </w:r>
      <w:r w:rsidR="000C4201" w:rsidRPr="0020055A">
        <w:t>PCT/MIA/23/14</w:t>
      </w:r>
      <w:r w:rsidR="000C4201">
        <w:rPr>
          <w:rFonts w:hint="cs"/>
          <w:rtl/>
        </w:rPr>
        <w:t>)</w:t>
      </w:r>
      <w:r w:rsidR="00640F1C">
        <w:rPr>
          <w:rtl/>
        </w:rPr>
        <w:t>، وبدأ المناقشا</w:t>
      </w:r>
      <w:r w:rsidR="00640F1C">
        <w:rPr>
          <w:rFonts w:hint="cs"/>
          <w:rtl/>
        </w:rPr>
        <w:t>ت</w:t>
      </w:r>
      <w:r>
        <w:rPr>
          <w:rtl/>
        </w:rPr>
        <w:t xml:space="preserve"> </w:t>
      </w:r>
      <w:r w:rsidR="00640F1C">
        <w:rPr>
          <w:rFonts w:hint="cs"/>
          <w:rtl/>
        </w:rPr>
        <w:t>بشأن إدراج</w:t>
      </w:r>
      <w:r>
        <w:rPr>
          <w:rtl/>
        </w:rPr>
        <w:t xml:space="preserve"> </w:t>
      </w:r>
      <w:r w:rsidR="00640F1C">
        <w:rPr>
          <w:rtl/>
        </w:rPr>
        <w:t>قواعد البيانات</w:t>
      </w:r>
      <w:r w:rsidR="00640F1C">
        <w:rPr>
          <w:rFonts w:hint="cs"/>
          <w:rtl/>
        </w:rPr>
        <w:t xml:space="preserve"> في </w:t>
      </w:r>
      <w:r w:rsidR="00640F1C" w:rsidRPr="00640F1C">
        <w:rPr>
          <w:rtl/>
        </w:rPr>
        <w:t>الحد</w:t>
      </w:r>
      <w:r w:rsidR="00640F1C">
        <w:rPr>
          <w:rtl/>
        </w:rPr>
        <w:t xml:space="preserve"> الأدنى للوثائق</w:t>
      </w:r>
      <w:r w:rsidR="00640F1C" w:rsidRPr="00640F1C">
        <w:rPr>
          <w:rtl/>
        </w:rPr>
        <w:t xml:space="preserve"> </w:t>
      </w:r>
      <w:r w:rsidR="00640F1C">
        <w:rPr>
          <w:rFonts w:hint="cs"/>
          <w:rtl/>
        </w:rPr>
        <w:t>بناء على ال</w:t>
      </w:r>
      <w:r w:rsidR="00640F1C">
        <w:rPr>
          <w:rtl/>
        </w:rPr>
        <w:t>معاهدة</w:t>
      </w:r>
      <w:r>
        <w:rPr>
          <w:rtl/>
        </w:rPr>
        <w:t>، بما في ذلك قواعد البيانات المتعلقة بالمعارف التقلي</w:t>
      </w:r>
      <w:r w:rsidR="00640F1C">
        <w:rPr>
          <w:rtl/>
        </w:rPr>
        <w:t>دية، على النحو المبين في الوث</w:t>
      </w:r>
      <w:r w:rsidR="00300E17">
        <w:rPr>
          <w:rFonts w:hint="cs"/>
          <w:rtl/>
        </w:rPr>
        <w:t>يقة</w:t>
      </w:r>
      <w:r w:rsidR="00640F1C" w:rsidRPr="00C5117B">
        <w:t xml:space="preserve">PCT/MIA/12/6 </w:t>
      </w:r>
      <w:r w:rsidR="00640F1C">
        <w:rPr>
          <w:rFonts w:hint="cs"/>
          <w:rtl/>
        </w:rPr>
        <w:t xml:space="preserve"> </w:t>
      </w:r>
      <w:r>
        <w:rPr>
          <w:rtl/>
        </w:rPr>
        <w:t>(</w:t>
      </w:r>
      <w:r w:rsidR="00101811">
        <w:rPr>
          <w:rtl/>
        </w:rPr>
        <w:t>انظر الفقرة 85</w:t>
      </w:r>
      <w:r w:rsidR="00640F1C">
        <w:rPr>
          <w:rtl/>
        </w:rPr>
        <w:t>(أ)</w:t>
      </w:r>
      <w:r w:rsidR="00640F1C">
        <w:rPr>
          <w:rFonts w:hint="cs"/>
          <w:rtl/>
        </w:rPr>
        <w:t xml:space="preserve"> من </w:t>
      </w:r>
      <w:r>
        <w:rPr>
          <w:rtl/>
        </w:rPr>
        <w:t>الوثيقة</w:t>
      </w:r>
      <w:r w:rsidR="00640F1C">
        <w:rPr>
          <w:rFonts w:hint="cs"/>
          <w:rtl/>
        </w:rPr>
        <w:t xml:space="preserve"> </w:t>
      </w:r>
      <w:r w:rsidR="00640F1C" w:rsidRPr="00C5117B">
        <w:t>PCT/MIA/23/14</w:t>
      </w:r>
      <w:r w:rsidR="00640F1C">
        <w:rPr>
          <w:rFonts w:hint="cs"/>
          <w:rtl/>
        </w:rPr>
        <w:t>).</w:t>
      </w:r>
    </w:p>
    <w:p w:rsidR="00640F1C" w:rsidRDefault="00640F1C" w:rsidP="00A85532">
      <w:pPr>
        <w:pStyle w:val="NumberedParaAR"/>
      </w:pPr>
      <w:r>
        <w:rPr>
          <w:rtl/>
        </w:rPr>
        <w:t xml:space="preserve">ودعا </w:t>
      </w:r>
      <w:r w:rsidRPr="00640F1C">
        <w:rPr>
          <w:rtl/>
        </w:rPr>
        <w:t xml:space="preserve">اجتماع </w:t>
      </w:r>
      <w:r w:rsidRPr="006C4C61">
        <w:rPr>
          <w:rtl/>
          <w:lang w:val="fr-CH"/>
        </w:rPr>
        <w:t>الإدارات الدولية</w:t>
      </w:r>
      <w:r>
        <w:rPr>
          <w:rFonts w:hint="cs"/>
          <w:rtl/>
        </w:rPr>
        <w:t xml:space="preserve"> في سانتياغو، </w:t>
      </w:r>
      <w:r w:rsidRPr="00640F1C">
        <w:rPr>
          <w:rtl/>
        </w:rPr>
        <w:t>المكتب الهندي للبراءات إلى موافاة فرقة العمل بوثيقة عمل مفصلة، بما في ذلك مشروع منقح لاتفاق النفاذ، بما يبين اقتراحاته إزاء إدراج المكتبة الهندية في الحد الأدنى للوثائق بناء على المعاهدة، بما يراعي المناقشات السابقة في الاجتماع وفرقة العمل واللجنة الحكومية الدولية، إلى جانب المناقشات المعقودة في الدورة الحالية للاجتماع</w:t>
      </w:r>
      <w:r>
        <w:rPr>
          <w:rFonts w:hint="cs"/>
          <w:rtl/>
        </w:rPr>
        <w:t xml:space="preserve">. </w:t>
      </w:r>
      <w:r w:rsidRPr="00640F1C">
        <w:rPr>
          <w:rtl/>
        </w:rPr>
        <w:t>ودعا الاجتماع المكتب الدولي، في إطار دوره الحالي أيضاً كقائد لفرقة العمل، إلى العمل على نحو وثيق مع المكتب الهندي للبراءات خلال الأشهر المقبلة قصد الدفع بالمسألة إلى الأمام، من خلال مشاورات غير رسمية وبلاغات كتابية حسب الاقتضاء، من قبيل الرسائل التعميمية للمعاهدة، حرصاً على التحضير تحضيراً ملائماً للمناقشات في الدورة المقبلة للاجتماع عام 2017</w:t>
      </w:r>
      <w:r>
        <w:rPr>
          <w:rFonts w:hint="cs"/>
          <w:rtl/>
        </w:rPr>
        <w:t xml:space="preserve"> (انظر الفقرتين 85(ب) و(ج) من الوثيقة </w:t>
      </w:r>
      <w:r w:rsidRPr="006E2071">
        <w:t>PCT/MIA/23/14</w:t>
      </w:r>
      <w:r>
        <w:rPr>
          <w:rFonts w:hint="cs"/>
          <w:rtl/>
        </w:rPr>
        <w:t>).</w:t>
      </w:r>
    </w:p>
    <w:p w:rsidR="002C1C4D" w:rsidRDefault="00640F1C" w:rsidP="0096123B">
      <w:pPr>
        <w:pStyle w:val="NumberedParaAR"/>
      </w:pPr>
      <w:r>
        <w:rPr>
          <w:rFonts w:hint="cs"/>
          <w:rtl/>
        </w:rPr>
        <w:t>و</w:t>
      </w:r>
      <w:r w:rsidRPr="00640F1C">
        <w:rPr>
          <w:rtl/>
        </w:rPr>
        <w:t xml:space="preserve">في فبراير 2016، </w:t>
      </w:r>
      <w:r>
        <w:rPr>
          <w:rFonts w:hint="cs"/>
          <w:rtl/>
        </w:rPr>
        <w:t>وافق</w:t>
      </w:r>
      <w:r w:rsidRPr="00640F1C">
        <w:rPr>
          <w:rtl/>
        </w:rPr>
        <w:t xml:space="preserve"> </w:t>
      </w:r>
      <w:r>
        <w:rPr>
          <w:rtl/>
        </w:rPr>
        <w:t>المكتب الأوروبي للبراءات</w:t>
      </w:r>
      <w:r>
        <w:rPr>
          <w:rFonts w:hint="cs"/>
          <w:rtl/>
        </w:rPr>
        <w:t xml:space="preserve"> على </w:t>
      </w:r>
      <w:r>
        <w:rPr>
          <w:rtl/>
        </w:rPr>
        <w:t>دعوة المكتب الدولي</w:t>
      </w:r>
      <w:r w:rsidRPr="00640F1C">
        <w:rPr>
          <w:rtl/>
        </w:rPr>
        <w:t xml:space="preserve"> </w:t>
      </w:r>
      <w:r w:rsidR="002C1C4D">
        <w:rPr>
          <w:rFonts w:hint="cs"/>
          <w:rtl/>
        </w:rPr>
        <w:t>له ب</w:t>
      </w:r>
      <w:r w:rsidRPr="00640F1C">
        <w:rPr>
          <w:rtl/>
        </w:rPr>
        <w:t xml:space="preserve">قيادة </w:t>
      </w:r>
      <w:r w:rsidR="002C1C4D">
        <w:rPr>
          <w:rFonts w:hint="cs"/>
          <w:rtl/>
        </w:rPr>
        <w:t xml:space="preserve">فرقة العمل (مرة ثانية) </w:t>
      </w:r>
      <w:r w:rsidRPr="00640F1C">
        <w:rPr>
          <w:rtl/>
        </w:rPr>
        <w:t>على أساس التفو</w:t>
      </w:r>
      <w:r w:rsidR="002C1C4D">
        <w:rPr>
          <w:rtl/>
        </w:rPr>
        <w:t>يض الممنوح من قبل</w:t>
      </w:r>
      <w:r w:rsidR="002C1C4D">
        <w:rPr>
          <w:rFonts w:hint="cs"/>
          <w:rtl/>
        </w:rPr>
        <w:t xml:space="preserve"> </w:t>
      </w:r>
      <w:r w:rsidR="002C1C4D" w:rsidRPr="00640F1C">
        <w:rPr>
          <w:rtl/>
        </w:rPr>
        <w:t xml:space="preserve">اجتماع </w:t>
      </w:r>
      <w:r w:rsidR="002C1C4D" w:rsidRPr="006C4C61">
        <w:rPr>
          <w:rtl/>
          <w:lang w:val="fr-CH"/>
        </w:rPr>
        <w:t>الإدارات الدولية</w:t>
      </w:r>
      <w:r w:rsidRPr="00640F1C">
        <w:rPr>
          <w:rtl/>
        </w:rPr>
        <w:t xml:space="preserve">. </w:t>
      </w:r>
      <w:r w:rsidR="002C1C4D">
        <w:rPr>
          <w:rFonts w:hint="cs"/>
          <w:rtl/>
        </w:rPr>
        <w:t>ويرد في</w:t>
      </w:r>
      <w:r w:rsidR="002C1C4D">
        <w:rPr>
          <w:rtl/>
        </w:rPr>
        <w:t>ما يلي</w:t>
      </w:r>
      <w:r w:rsidRPr="00640F1C">
        <w:rPr>
          <w:rtl/>
        </w:rPr>
        <w:t xml:space="preserve"> مخطط العمل </w:t>
      </w:r>
      <w:r w:rsidR="002C1C4D">
        <w:rPr>
          <w:rtl/>
        </w:rPr>
        <w:t>المقترح لفرقة العمل على النحو</w:t>
      </w:r>
      <w:r w:rsidR="002C1C4D">
        <w:rPr>
          <w:rFonts w:hint="cs"/>
          <w:rtl/>
        </w:rPr>
        <w:t xml:space="preserve"> الذي ي</w:t>
      </w:r>
      <w:r w:rsidR="002C1C4D">
        <w:rPr>
          <w:rtl/>
        </w:rPr>
        <w:t>توخ</w:t>
      </w:r>
      <w:r w:rsidR="002C1C4D">
        <w:rPr>
          <w:rFonts w:hint="cs"/>
          <w:rtl/>
        </w:rPr>
        <w:t>اه</w:t>
      </w:r>
      <w:r w:rsidRPr="00640F1C">
        <w:rPr>
          <w:rtl/>
        </w:rPr>
        <w:t xml:space="preserve"> المكتب الأوروبي للبراءات.</w:t>
      </w:r>
    </w:p>
    <w:p w:rsidR="002C1C4D" w:rsidRDefault="002C1C4D" w:rsidP="00A85532">
      <w:pPr>
        <w:pStyle w:val="Heading1AR"/>
      </w:pPr>
      <w:r>
        <w:rPr>
          <w:rFonts w:hint="cs"/>
          <w:rtl/>
        </w:rPr>
        <w:t xml:space="preserve">التقييم </w:t>
      </w:r>
      <w:r w:rsidRPr="00A85532">
        <w:rPr>
          <w:rFonts w:hint="cs"/>
          <w:rtl/>
        </w:rPr>
        <w:t>والأهداف</w:t>
      </w:r>
    </w:p>
    <w:p w:rsidR="009A446C" w:rsidRDefault="002C1C4D" w:rsidP="00A85532">
      <w:pPr>
        <w:pStyle w:val="NumberedParaAR"/>
      </w:pPr>
      <w:r>
        <w:rPr>
          <w:rFonts w:hint="cs"/>
          <w:rtl/>
        </w:rPr>
        <w:t xml:space="preserve">أولاً، إن فرقة العمل بحاجة إلى </w:t>
      </w:r>
      <w:r>
        <w:rPr>
          <w:rtl/>
        </w:rPr>
        <w:t>إجراء تقييم مناسب لنطاق الحد الأدنى الحالي للوثائق.</w:t>
      </w:r>
      <w:r>
        <w:rPr>
          <w:rFonts w:hint="cs"/>
          <w:rtl/>
        </w:rPr>
        <w:t xml:space="preserve"> إذ </w:t>
      </w:r>
      <w:r>
        <w:rPr>
          <w:rtl/>
        </w:rPr>
        <w:t>لم تخضع قائمة الجرد الواردة في دليل الويبو بشأن المعلومات والوثائق المتعلقة بالملكية الصناعية لأي تحديث منذ نوفمبر 2001.</w:t>
      </w:r>
      <w:r>
        <w:rPr>
          <w:rFonts w:hint="cs"/>
          <w:rtl/>
        </w:rPr>
        <w:t xml:space="preserve"> </w:t>
      </w:r>
      <w:r>
        <w:rPr>
          <w:rtl/>
        </w:rPr>
        <w:t xml:space="preserve">فمنذ ذلك التاريخ، </w:t>
      </w:r>
      <w:r w:rsidR="009A446C">
        <w:rPr>
          <w:rFonts w:hint="cs"/>
          <w:rtl/>
        </w:rPr>
        <w:t xml:space="preserve">ورغم أن </w:t>
      </w:r>
      <w:r>
        <w:rPr>
          <w:rtl/>
        </w:rPr>
        <w:t>قوائم المنشورات الخاصة بالمكاتب الممثَّلة</w:t>
      </w:r>
      <w:r w:rsidR="009A446C">
        <w:rPr>
          <w:rtl/>
        </w:rPr>
        <w:t xml:space="preserve"> </w:t>
      </w:r>
      <w:r w:rsidR="009A446C">
        <w:rPr>
          <w:rFonts w:hint="cs"/>
          <w:rtl/>
        </w:rPr>
        <w:t>أصبحت طي النسيان</w:t>
      </w:r>
      <w:r>
        <w:rPr>
          <w:rtl/>
        </w:rPr>
        <w:t>، أضيفت مجموعتان جديدتان إلى القائمة الواردة في القاعدة</w:t>
      </w:r>
      <w:r w:rsidR="00A85532">
        <w:rPr>
          <w:rFonts w:hint="cs"/>
          <w:rtl/>
        </w:rPr>
        <w:t> </w:t>
      </w:r>
      <w:r>
        <w:rPr>
          <w:rtl/>
        </w:rPr>
        <w:t>1.34(ج)"2" (مجموعتا جمهورية كوريا وجمهورية الصين الشعبية)</w:t>
      </w:r>
      <w:r w:rsidR="009A446C">
        <w:rPr>
          <w:rFonts w:hint="cs"/>
          <w:rtl/>
        </w:rPr>
        <w:t>،</w:t>
      </w:r>
      <w:r w:rsidR="009A446C">
        <w:rPr>
          <w:rtl/>
        </w:rPr>
        <w:t xml:space="preserve"> و</w:t>
      </w:r>
      <w:r w:rsidR="009A446C">
        <w:rPr>
          <w:rFonts w:hint="cs"/>
          <w:rtl/>
        </w:rPr>
        <w:t>يحتمل أن</w:t>
      </w:r>
      <w:r>
        <w:rPr>
          <w:rtl/>
        </w:rPr>
        <w:t xml:space="preserve"> </w:t>
      </w:r>
      <w:r w:rsidR="009A446C">
        <w:rPr>
          <w:rFonts w:hint="cs"/>
          <w:rtl/>
        </w:rPr>
        <w:t xml:space="preserve">تكون </w:t>
      </w:r>
      <w:r>
        <w:rPr>
          <w:rtl/>
        </w:rPr>
        <w:t xml:space="preserve">دول </w:t>
      </w:r>
      <w:r w:rsidR="009A446C">
        <w:rPr>
          <w:rFonts w:hint="cs"/>
          <w:rtl/>
        </w:rPr>
        <w:t xml:space="preserve">أخرى قد </w:t>
      </w:r>
      <w:r>
        <w:rPr>
          <w:rtl/>
        </w:rPr>
        <w:t>أتاحت مجموعاتها طبقا للقاعدة 1.34(ج)"6".</w:t>
      </w:r>
    </w:p>
    <w:p w:rsidR="00366BAD" w:rsidRDefault="009A446C" w:rsidP="0096123B">
      <w:pPr>
        <w:pStyle w:val="NumberedParaAR"/>
      </w:pPr>
      <w:r>
        <w:rPr>
          <w:rtl/>
        </w:rPr>
        <w:t>ثاني</w:t>
      </w:r>
      <w:r>
        <w:rPr>
          <w:rFonts w:hint="cs"/>
          <w:rtl/>
        </w:rPr>
        <w:t>اً</w:t>
      </w:r>
      <w:r>
        <w:rPr>
          <w:rtl/>
        </w:rPr>
        <w:t xml:space="preserve">، </w:t>
      </w:r>
      <w:r>
        <w:rPr>
          <w:rFonts w:hint="cs"/>
          <w:rtl/>
        </w:rPr>
        <w:t>و</w:t>
      </w:r>
      <w:r w:rsidRPr="009A446C">
        <w:rPr>
          <w:rtl/>
        </w:rPr>
        <w:t>تم</w:t>
      </w:r>
      <w:r>
        <w:rPr>
          <w:rFonts w:hint="cs"/>
          <w:rtl/>
        </w:rPr>
        <w:t>ا</w:t>
      </w:r>
      <w:r w:rsidRPr="009A446C">
        <w:rPr>
          <w:rtl/>
        </w:rPr>
        <w:t xml:space="preserve">شيا مع </w:t>
      </w:r>
      <w:r w:rsidR="00366BAD">
        <w:rPr>
          <w:rFonts w:hint="cs"/>
          <w:rtl/>
        </w:rPr>
        <w:t>ال</w:t>
      </w:r>
      <w:r w:rsidR="00366BAD">
        <w:rPr>
          <w:rtl/>
        </w:rPr>
        <w:t xml:space="preserve">ولاية التي وضعها </w:t>
      </w:r>
      <w:r w:rsidR="00366BAD" w:rsidRPr="00640F1C">
        <w:rPr>
          <w:rtl/>
        </w:rPr>
        <w:t xml:space="preserve">اجتماع </w:t>
      </w:r>
      <w:r w:rsidR="00366BAD" w:rsidRPr="006C4C61">
        <w:rPr>
          <w:rtl/>
          <w:lang w:val="fr-CH"/>
        </w:rPr>
        <w:t>الإدارات الدولية</w:t>
      </w:r>
      <w:r w:rsidR="00366BAD">
        <w:rPr>
          <w:rtl/>
        </w:rPr>
        <w:t>،</w:t>
      </w:r>
      <w:r w:rsidRPr="009A446C">
        <w:rPr>
          <w:rtl/>
        </w:rPr>
        <w:t xml:space="preserve"> </w:t>
      </w:r>
      <w:r w:rsidR="00366BAD">
        <w:rPr>
          <w:rFonts w:hint="cs"/>
          <w:rtl/>
        </w:rPr>
        <w:t xml:space="preserve">تحتاج فرقة العمل </w:t>
      </w:r>
      <w:r w:rsidRPr="009A446C">
        <w:rPr>
          <w:rtl/>
        </w:rPr>
        <w:t>إلى:</w:t>
      </w:r>
    </w:p>
    <w:p w:rsidR="00366BAD" w:rsidRDefault="00366BAD" w:rsidP="00101811">
      <w:pPr>
        <w:pStyle w:val="NumberedParaAR"/>
        <w:numPr>
          <w:ilvl w:val="0"/>
          <w:numId w:val="22"/>
        </w:numPr>
        <w:ind w:left="566" w:firstLine="0"/>
      </w:pPr>
      <w:r>
        <w:rPr>
          <w:rFonts w:hint="cs"/>
          <w:rtl/>
        </w:rPr>
        <w:t xml:space="preserve">إصدار </w:t>
      </w:r>
      <w:r w:rsidRPr="00366BAD">
        <w:rPr>
          <w:rtl/>
        </w:rPr>
        <w:t>توصيات فعالة و</w:t>
      </w:r>
      <w:r>
        <w:rPr>
          <w:rFonts w:hint="cs"/>
          <w:rtl/>
        </w:rPr>
        <w:t xml:space="preserve">وضع </w:t>
      </w:r>
      <w:r w:rsidRPr="00366BAD">
        <w:rPr>
          <w:rtl/>
        </w:rPr>
        <w:t>معايير معقولة بما يمكّن المكاتب الوطنية من الامتثال لها من أجل ضمان إدراج مجموعاتها الوطنية في الحد الأدنى للوثائق المنصوص عليها في المعاهدة</w:t>
      </w:r>
      <w:r>
        <w:rPr>
          <w:rFonts w:hint="cs"/>
          <w:rtl/>
        </w:rPr>
        <w:t>،</w:t>
      </w:r>
      <w:r w:rsidRPr="00366BAD">
        <w:rPr>
          <w:rtl/>
        </w:rPr>
        <w:t xml:space="preserve"> وتمكين الإدارات الدولية ومورّدي قواعد البيانات من تحميل المعلوما</w:t>
      </w:r>
      <w:bookmarkStart w:id="2" w:name="_GoBack"/>
      <w:bookmarkEnd w:id="2"/>
      <w:r w:rsidRPr="00366BAD">
        <w:rPr>
          <w:rtl/>
        </w:rPr>
        <w:t>ت اللازمة في الوقت المناسب وعلى نحو يسير وموثوق؛</w:t>
      </w:r>
    </w:p>
    <w:p w:rsidR="009A7BB1" w:rsidRDefault="00366BAD" w:rsidP="00101811">
      <w:pPr>
        <w:pStyle w:val="NumberedParaAR"/>
        <w:numPr>
          <w:ilvl w:val="0"/>
          <w:numId w:val="22"/>
        </w:numPr>
        <w:ind w:left="566" w:firstLine="0"/>
      </w:pPr>
      <w:r>
        <w:rPr>
          <w:rtl/>
        </w:rPr>
        <w:t>و</w:t>
      </w:r>
      <w:r>
        <w:rPr>
          <w:rFonts w:hint="cs"/>
          <w:rtl/>
        </w:rPr>
        <w:t>تحديد</w:t>
      </w:r>
      <w:r w:rsidRPr="00366BAD">
        <w:rPr>
          <w:rtl/>
        </w:rPr>
        <w:t xml:space="preserve"> </w:t>
      </w:r>
      <w:r>
        <w:rPr>
          <w:rFonts w:hint="cs"/>
          <w:rtl/>
        </w:rPr>
        <w:t xml:space="preserve">المعايير اللازمة كي </w:t>
      </w:r>
      <w:r w:rsidRPr="00366BAD">
        <w:rPr>
          <w:rtl/>
        </w:rPr>
        <w:t xml:space="preserve">تصبح مجموعة براءات جزءا من الحد الأدنى للوثائق المنصوص عليها في المعاهدة وتحديد إلى أي مدى يمكن أن يُتوقّع من الإدارات إدراج الوثائق والبحث فيها عندما تكون بلغات مختلفة أو تكون </w:t>
      </w:r>
      <w:r w:rsidR="00101811">
        <w:rPr>
          <w:rFonts w:hint="cs"/>
          <w:rtl/>
        </w:rPr>
        <w:t>(</w:t>
      </w:r>
      <w:r w:rsidR="00101811" w:rsidRPr="00366BAD">
        <w:rPr>
          <w:rtl/>
        </w:rPr>
        <w:t xml:space="preserve"> </w:t>
      </w:r>
      <w:r w:rsidRPr="00366BAD">
        <w:rPr>
          <w:rtl/>
        </w:rPr>
        <w:lastRenderedPageBreak/>
        <w:t>محتوياتها التقنية المكشوف عنها مضاهية لما يرد في وثائق براءات أخرى</w:t>
      </w:r>
      <w:r w:rsidRPr="00366BAD">
        <w:t>.</w:t>
      </w:r>
      <w:r w:rsidR="009A7BB1">
        <w:rPr>
          <w:rFonts w:hint="cs"/>
          <w:rtl/>
        </w:rPr>
        <w:t xml:space="preserve"> و</w:t>
      </w:r>
      <w:r w:rsidR="009A7BB1">
        <w:rPr>
          <w:rtl/>
        </w:rPr>
        <w:t>سي</w:t>
      </w:r>
      <w:r w:rsidR="009A7BB1">
        <w:rPr>
          <w:rFonts w:hint="cs"/>
          <w:rtl/>
        </w:rPr>
        <w:t>ولى</w:t>
      </w:r>
      <w:r w:rsidR="009A7BB1">
        <w:rPr>
          <w:rtl/>
        </w:rPr>
        <w:t xml:space="preserve"> اهتمام خاص لمعايير </w:t>
      </w:r>
      <w:r w:rsidR="009A7BB1" w:rsidRPr="009A7BB1">
        <w:rPr>
          <w:rtl/>
        </w:rPr>
        <w:t>إدراج نماذج المنفعة التي تشكل جزءا هاما من حالة التقنية الصناعية السابقة.</w:t>
      </w:r>
    </w:p>
    <w:p w:rsidR="009A7BB1" w:rsidRDefault="00101811" w:rsidP="00101811">
      <w:pPr>
        <w:pStyle w:val="NumberedParaAR"/>
        <w:numPr>
          <w:ilvl w:val="0"/>
          <w:numId w:val="0"/>
        </w:numPr>
        <w:ind w:left="566"/>
        <w:rPr>
          <w:rtl/>
        </w:rPr>
      </w:pPr>
      <w:r>
        <w:rPr>
          <w:rFonts w:hint="cs"/>
          <w:rtl/>
        </w:rPr>
        <w:t>(ج)</w:t>
      </w:r>
      <w:r>
        <w:rPr>
          <w:rFonts w:hint="cs"/>
          <w:rtl/>
        </w:rPr>
        <w:tab/>
      </w:r>
      <w:r w:rsidR="00935849">
        <w:rPr>
          <w:rFonts w:hint="cs"/>
          <w:rtl/>
        </w:rPr>
        <w:t>و</w:t>
      </w:r>
      <w:r w:rsidR="00095910">
        <w:rPr>
          <w:rtl/>
        </w:rPr>
        <w:t xml:space="preserve">تقديم </w:t>
      </w:r>
      <w:r w:rsidR="009A7BB1" w:rsidRPr="009A7BB1">
        <w:rPr>
          <w:rtl/>
        </w:rPr>
        <w:t>توصيات و</w:t>
      </w:r>
      <w:r w:rsidR="00095910">
        <w:rPr>
          <w:rFonts w:hint="cs"/>
          <w:rtl/>
        </w:rPr>
        <w:t xml:space="preserve">اقتراح </w:t>
      </w:r>
      <w:r w:rsidR="00095910">
        <w:rPr>
          <w:rtl/>
        </w:rPr>
        <w:t xml:space="preserve">آليات </w:t>
      </w:r>
      <w:r w:rsidR="009A7BB1" w:rsidRPr="009A7BB1">
        <w:rPr>
          <w:rtl/>
        </w:rPr>
        <w:t xml:space="preserve">لاستعراض </w:t>
      </w:r>
      <w:r w:rsidR="00095910">
        <w:rPr>
          <w:rtl/>
        </w:rPr>
        <w:t>الجزء المتعلق ب</w:t>
      </w:r>
      <w:r w:rsidR="00095910" w:rsidRPr="00095910">
        <w:rPr>
          <w:rtl/>
        </w:rPr>
        <w:t xml:space="preserve">الأدبيات التي لا تتصل بالبراءات من الحد الأدنى للوثائق المنصوص عليها </w:t>
      </w:r>
      <w:r w:rsidR="00095910">
        <w:rPr>
          <w:rtl/>
        </w:rPr>
        <w:t xml:space="preserve">في </w:t>
      </w:r>
      <w:r w:rsidR="00095910">
        <w:rPr>
          <w:rFonts w:hint="cs"/>
          <w:rtl/>
        </w:rPr>
        <w:t>ال</w:t>
      </w:r>
      <w:r w:rsidR="00095910">
        <w:rPr>
          <w:rtl/>
        </w:rPr>
        <w:t xml:space="preserve">معاهدة، مع </w:t>
      </w:r>
      <w:r w:rsidR="00095910">
        <w:rPr>
          <w:rFonts w:hint="cs"/>
          <w:rtl/>
        </w:rPr>
        <w:t>مراعاة</w:t>
      </w:r>
      <w:r w:rsidR="009A7BB1" w:rsidRPr="009A7BB1">
        <w:rPr>
          <w:rtl/>
        </w:rPr>
        <w:t xml:space="preserve"> عوامل مثل:</w:t>
      </w:r>
    </w:p>
    <w:p w:rsidR="00095910" w:rsidRDefault="00095910" w:rsidP="00101811">
      <w:pPr>
        <w:bidi/>
        <w:spacing w:after="120" w:line="360" w:lineRule="exact"/>
        <w:ind w:left="1134"/>
        <w:rPr>
          <w:rFonts w:ascii="Arabic Typesetting" w:hAnsi="Arabic Typesetting" w:cs="Arabic Typesetting"/>
          <w:sz w:val="36"/>
          <w:szCs w:val="36"/>
          <w:rtl/>
        </w:rPr>
      </w:pPr>
      <w:r>
        <w:rPr>
          <w:rFonts w:ascii="Arabic Typesetting" w:hAnsi="Arabic Typesetting" w:cs="Arabic Typesetting" w:hint="cs"/>
          <w:sz w:val="36"/>
          <w:szCs w:val="36"/>
          <w:rtl/>
        </w:rPr>
        <w:t>"1"</w:t>
      </w:r>
      <w:r>
        <w:rPr>
          <w:rFonts w:ascii="Arabic Typesetting" w:hAnsi="Arabic Typesetting" w:cs="Arabic Typesetting" w:hint="cs"/>
          <w:sz w:val="36"/>
          <w:szCs w:val="36"/>
          <w:rtl/>
        </w:rPr>
        <w:tab/>
        <w:t>سهولة ال</w:t>
      </w:r>
      <w:r>
        <w:rPr>
          <w:rFonts w:ascii="Arabic Typesetting" w:hAnsi="Arabic Typesetting" w:cs="Arabic Typesetting"/>
          <w:sz w:val="36"/>
          <w:szCs w:val="36"/>
          <w:rtl/>
        </w:rPr>
        <w:t>وصول</w:t>
      </w:r>
      <w:r w:rsidRPr="00095910">
        <w:rPr>
          <w:rFonts w:ascii="Arabic Typesetting" w:hAnsi="Arabic Typesetting" w:cs="Arabic Typesetting"/>
          <w:sz w:val="36"/>
          <w:szCs w:val="36"/>
          <w:rtl/>
        </w:rPr>
        <w:t xml:space="preserve"> إلى </w:t>
      </w:r>
      <w:r>
        <w:rPr>
          <w:rFonts w:ascii="Arabic Typesetting" w:hAnsi="Arabic Typesetting" w:cs="Arabic Typesetting" w:hint="cs"/>
          <w:sz w:val="36"/>
          <w:szCs w:val="36"/>
          <w:rtl/>
        </w:rPr>
        <w:t xml:space="preserve">النشرات </w:t>
      </w:r>
      <w:r>
        <w:rPr>
          <w:rFonts w:ascii="Arabic Typesetting" w:hAnsi="Arabic Typesetting" w:cs="Arabic Typesetting"/>
          <w:sz w:val="36"/>
          <w:szCs w:val="36"/>
          <w:rtl/>
        </w:rPr>
        <w:t>الدوري</w:t>
      </w:r>
      <w:r>
        <w:rPr>
          <w:rFonts w:ascii="Arabic Typesetting" w:hAnsi="Arabic Typesetting" w:cs="Arabic Typesetting" w:hint="cs"/>
          <w:sz w:val="36"/>
          <w:szCs w:val="36"/>
          <w:rtl/>
        </w:rPr>
        <w:t>ة</w:t>
      </w:r>
      <w:r>
        <w:rPr>
          <w:rFonts w:ascii="Arabic Typesetting" w:hAnsi="Arabic Typesetting" w:cs="Arabic Typesetting"/>
          <w:sz w:val="36"/>
          <w:szCs w:val="36"/>
          <w:rtl/>
        </w:rPr>
        <w:t xml:space="preserve">، بما في ذلك توافرها في </w:t>
      </w:r>
      <w:r>
        <w:rPr>
          <w:rFonts w:ascii="Arabic Typesetting" w:hAnsi="Arabic Typesetting" w:cs="Arabic Typesetting" w:hint="cs"/>
          <w:sz w:val="36"/>
          <w:szCs w:val="36"/>
          <w:rtl/>
        </w:rPr>
        <w:t>صيغ</w:t>
      </w:r>
      <w:r w:rsidRPr="00095910">
        <w:rPr>
          <w:rFonts w:ascii="Arabic Typesetting" w:hAnsi="Arabic Typesetting" w:cs="Arabic Typesetting"/>
          <w:sz w:val="36"/>
          <w:szCs w:val="36"/>
          <w:rtl/>
        </w:rPr>
        <w:t xml:space="preserve"> إلكتروني</w:t>
      </w:r>
      <w:r>
        <w:rPr>
          <w:rFonts w:ascii="Arabic Typesetting" w:hAnsi="Arabic Typesetting" w:cs="Arabic Typesetting" w:hint="cs"/>
          <w:sz w:val="36"/>
          <w:szCs w:val="36"/>
          <w:rtl/>
        </w:rPr>
        <w:t>ة؛</w:t>
      </w:r>
    </w:p>
    <w:p w:rsidR="00095910" w:rsidRDefault="00095910" w:rsidP="00101811">
      <w:pPr>
        <w:bidi/>
        <w:spacing w:after="120" w:line="360" w:lineRule="exact"/>
        <w:ind w:left="1134"/>
        <w:rPr>
          <w:rFonts w:ascii="Arabic Typesetting" w:hAnsi="Arabic Typesetting" w:cs="Arabic Typesetting"/>
          <w:sz w:val="36"/>
          <w:szCs w:val="36"/>
          <w:rtl/>
        </w:rPr>
      </w:pPr>
      <w:r>
        <w:rPr>
          <w:rFonts w:ascii="Arabic Typesetting" w:hAnsi="Arabic Typesetting" w:cs="Arabic Typesetting" w:hint="cs"/>
          <w:sz w:val="36"/>
          <w:szCs w:val="36"/>
          <w:rtl/>
        </w:rPr>
        <w:t>"2"</w:t>
      </w:r>
      <w:r>
        <w:rPr>
          <w:rFonts w:ascii="Arabic Typesetting" w:hAnsi="Arabic Typesetting" w:cs="Arabic Typesetting" w:hint="cs"/>
          <w:sz w:val="36"/>
          <w:szCs w:val="36"/>
          <w:rtl/>
        </w:rPr>
        <w:tab/>
        <w:t>طيف</w:t>
      </w:r>
      <w:r w:rsidRPr="00095910">
        <w:rPr>
          <w:rFonts w:ascii="Arabic Typesetting" w:hAnsi="Arabic Typesetting" w:cs="Arabic Typesetting"/>
          <w:sz w:val="36"/>
          <w:szCs w:val="36"/>
          <w:rtl/>
        </w:rPr>
        <w:t xml:space="preserve"> مجالات التكنولوجيا </w:t>
      </w:r>
      <w:r>
        <w:rPr>
          <w:rFonts w:ascii="Arabic Typesetting" w:hAnsi="Arabic Typesetting" w:cs="Arabic Typesetting" w:hint="cs"/>
          <w:sz w:val="36"/>
          <w:szCs w:val="36"/>
          <w:rtl/>
        </w:rPr>
        <w:t>التي تغطيها</w:t>
      </w:r>
      <w:r w:rsidRPr="00095910">
        <w:rPr>
          <w:rFonts w:ascii="Arabic Typesetting" w:hAnsi="Arabic Typesetting" w:cs="Arabic Typesetting"/>
          <w:sz w:val="36"/>
          <w:szCs w:val="36"/>
          <w:rtl/>
        </w:rPr>
        <w:t xml:space="preserve"> </w:t>
      </w:r>
      <w:r>
        <w:rPr>
          <w:rFonts w:ascii="Arabic Typesetting" w:hAnsi="Arabic Typesetting" w:cs="Arabic Typesetting" w:hint="cs"/>
          <w:sz w:val="36"/>
          <w:szCs w:val="36"/>
          <w:rtl/>
        </w:rPr>
        <w:t>هذه النشرا</w:t>
      </w:r>
      <w:r>
        <w:rPr>
          <w:rFonts w:ascii="Arabic Typesetting" w:hAnsi="Arabic Typesetting" w:cs="Arabic Typesetting"/>
          <w:sz w:val="36"/>
          <w:szCs w:val="36"/>
          <w:rtl/>
        </w:rPr>
        <w:t>ت</w:t>
      </w:r>
      <w:r>
        <w:rPr>
          <w:rFonts w:ascii="Arabic Typesetting" w:hAnsi="Arabic Typesetting" w:cs="Arabic Typesetting" w:hint="cs"/>
          <w:sz w:val="36"/>
          <w:szCs w:val="36"/>
          <w:rtl/>
        </w:rPr>
        <w:t>؛</w:t>
      </w:r>
    </w:p>
    <w:p w:rsidR="00095910" w:rsidRDefault="00095910" w:rsidP="0096123B">
      <w:pPr>
        <w:bidi/>
        <w:spacing w:after="240" w:line="360" w:lineRule="exact"/>
        <w:ind w:left="1133"/>
        <w:rPr>
          <w:rFonts w:ascii="Arabic Typesetting" w:hAnsi="Arabic Typesetting" w:cs="Arabic Typesetting"/>
          <w:sz w:val="36"/>
          <w:szCs w:val="36"/>
          <w:rtl/>
        </w:rPr>
      </w:pPr>
      <w:r>
        <w:rPr>
          <w:rFonts w:ascii="Arabic Typesetting" w:hAnsi="Arabic Typesetting" w:cs="Arabic Typesetting" w:hint="cs"/>
          <w:sz w:val="36"/>
          <w:szCs w:val="36"/>
          <w:rtl/>
        </w:rPr>
        <w:t>"3"</w:t>
      </w:r>
      <w:r>
        <w:rPr>
          <w:rFonts w:ascii="Arabic Typesetting" w:hAnsi="Arabic Typesetting" w:cs="Arabic Typesetting" w:hint="cs"/>
          <w:sz w:val="36"/>
          <w:szCs w:val="36"/>
          <w:rtl/>
        </w:rPr>
        <w:tab/>
      </w:r>
      <w:r w:rsidR="00935849">
        <w:rPr>
          <w:rFonts w:ascii="Arabic Typesetting" w:hAnsi="Arabic Typesetting" w:cs="Arabic Typesetting"/>
          <w:sz w:val="36"/>
          <w:szCs w:val="36"/>
          <w:rtl/>
        </w:rPr>
        <w:t>شروط الوصو</w:t>
      </w:r>
      <w:r w:rsidR="00935849">
        <w:rPr>
          <w:rFonts w:ascii="Arabic Typesetting" w:hAnsi="Arabic Typesetting" w:cs="Arabic Typesetting" w:hint="cs"/>
          <w:sz w:val="36"/>
          <w:szCs w:val="36"/>
          <w:rtl/>
        </w:rPr>
        <w:t>ل</w:t>
      </w:r>
      <w:r w:rsidRPr="00095910">
        <w:rPr>
          <w:rFonts w:ascii="Arabic Typesetting" w:hAnsi="Arabic Typesetting" w:cs="Arabic Typesetting"/>
          <w:sz w:val="36"/>
          <w:szCs w:val="36"/>
          <w:rtl/>
        </w:rPr>
        <w:t xml:space="preserve"> </w:t>
      </w:r>
      <w:r w:rsidR="00935849">
        <w:rPr>
          <w:rFonts w:ascii="Arabic Typesetting" w:hAnsi="Arabic Typesetting" w:cs="Arabic Typesetting" w:hint="cs"/>
          <w:sz w:val="36"/>
          <w:szCs w:val="36"/>
          <w:rtl/>
        </w:rPr>
        <w:t xml:space="preserve">المتبعة </w:t>
      </w:r>
      <w:r w:rsidRPr="00095910">
        <w:rPr>
          <w:rFonts w:ascii="Arabic Typesetting" w:hAnsi="Arabic Typesetting" w:cs="Arabic Typesetting"/>
          <w:sz w:val="36"/>
          <w:szCs w:val="36"/>
          <w:rtl/>
        </w:rPr>
        <w:t xml:space="preserve">في </w:t>
      </w:r>
      <w:r w:rsidR="00935849">
        <w:rPr>
          <w:rFonts w:ascii="Arabic Typesetting" w:hAnsi="Arabic Typesetting" w:cs="Arabic Typesetting" w:hint="cs"/>
          <w:sz w:val="36"/>
          <w:szCs w:val="36"/>
          <w:rtl/>
        </w:rPr>
        <w:t>هذه النشرات</w:t>
      </w:r>
      <w:r w:rsidR="00935849">
        <w:rPr>
          <w:rFonts w:ascii="Arabic Typesetting" w:hAnsi="Arabic Typesetting" w:cs="Arabic Typesetting"/>
          <w:sz w:val="36"/>
          <w:szCs w:val="36"/>
          <w:rtl/>
        </w:rPr>
        <w:t xml:space="preserve">، بما في ذلك </w:t>
      </w:r>
      <w:r w:rsidRPr="00095910">
        <w:rPr>
          <w:rFonts w:ascii="Arabic Typesetting" w:hAnsi="Arabic Typesetting" w:cs="Arabic Typesetting"/>
          <w:sz w:val="36"/>
          <w:szCs w:val="36"/>
          <w:rtl/>
        </w:rPr>
        <w:t>تكاليف</w:t>
      </w:r>
      <w:r w:rsidR="00935849">
        <w:rPr>
          <w:rFonts w:ascii="Arabic Typesetting" w:hAnsi="Arabic Typesetting" w:cs="Arabic Typesetting" w:hint="cs"/>
          <w:sz w:val="36"/>
          <w:szCs w:val="36"/>
          <w:rtl/>
        </w:rPr>
        <w:t>ها</w:t>
      </w:r>
      <w:r w:rsidR="00935849">
        <w:rPr>
          <w:rFonts w:ascii="Arabic Typesetting" w:hAnsi="Arabic Typesetting" w:cs="Arabic Typesetting"/>
          <w:sz w:val="36"/>
          <w:szCs w:val="36"/>
          <w:rtl/>
        </w:rPr>
        <w:t xml:space="preserve"> و</w:t>
      </w:r>
      <w:r w:rsidR="00935849">
        <w:rPr>
          <w:rFonts w:ascii="Arabic Typesetting" w:hAnsi="Arabic Typesetting" w:cs="Arabic Typesetting" w:hint="cs"/>
          <w:sz w:val="36"/>
          <w:szCs w:val="36"/>
          <w:rtl/>
        </w:rPr>
        <w:t>إمكان</w:t>
      </w:r>
      <w:r w:rsidRPr="00095910">
        <w:rPr>
          <w:rFonts w:ascii="Arabic Typesetting" w:hAnsi="Arabic Typesetting" w:cs="Arabic Typesetting"/>
          <w:sz w:val="36"/>
          <w:szCs w:val="36"/>
          <w:rtl/>
        </w:rPr>
        <w:t xml:space="preserve">ية البحث </w:t>
      </w:r>
      <w:r w:rsidR="00935849">
        <w:rPr>
          <w:rFonts w:ascii="Arabic Typesetting" w:hAnsi="Arabic Typesetting" w:cs="Arabic Typesetting" w:hint="cs"/>
          <w:sz w:val="36"/>
          <w:szCs w:val="36"/>
          <w:rtl/>
        </w:rPr>
        <w:t xml:space="preserve">في </w:t>
      </w:r>
      <w:r w:rsidRPr="00095910">
        <w:rPr>
          <w:rFonts w:ascii="Arabic Typesetting" w:hAnsi="Arabic Typesetting" w:cs="Arabic Typesetting"/>
          <w:sz w:val="36"/>
          <w:szCs w:val="36"/>
          <w:rtl/>
        </w:rPr>
        <w:t>النص</w:t>
      </w:r>
      <w:r w:rsidR="00935849">
        <w:rPr>
          <w:rFonts w:ascii="Arabic Typesetting" w:hAnsi="Arabic Typesetting" w:cs="Arabic Typesetting" w:hint="cs"/>
          <w:sz w:val="36"/>
          <w:szCs w:val="36"/>
          <w:rtl/>
        </w:rPr>
        <w:t>وص</w:t>
      </w:r>
      <w:r w:rsidRPr="00095910">
        <w:rPr>
          <w:rFonts w:ascii="Arabic Typesetting" w:hAnsi="Arabic Typesetting" w:cs="Arabic Typesetting"/>
          <w:sz w:val="36"/>
          <w:szCs w:val="36"/>
          <w:rtl/>
        </w:rPr>
        <w:t>.</w:t>
      </w:r>
    </w:p>
    <w:p w:rsidR="00935849" w:rsidRDefault="00935849" w:rsidP="00101811">
      <w:pPr>
        <w:pStyle w:val="NumberedParaAR"/>
        <w:numPr>
          <w:ilvl w:val="0"/>
          <w:numId w:val="0"/>
        </w:numPr>
        <w:ind w:left="566"/>
        <w:rPr>
          <w:rtl/>
        </w:rPr>
      </w:pPr>
      <w:r>
        <w:rPr>
          <w:rFonts w:hint="cs"/>
          <w:rtl/>
        </w:rPr>
        <w:t>(د)</w:t>
      </w:r>
      <w:r>
        <w:rPr>
          <w:rFonts w:hint="cs"/>
          <w:rtl/>
        </w:rPr>
        <w:tab/>
        <w:t>و</w:t>
      </w:r>
      <w:r>
        <w:rPr>
          <w:rtl/>
        </w:rPr>
        <w:t xml:space="preserve">اقتراح مكونات محددة بوضوح </w:t>
      </w:r>
      <w:r>
        <w:rPr>
          <w:rFonts w:hint="cs"/>
          <w:rtl/>
        </w:rPr>
        <w:t>ل</w:t>
      </w:r>
      <w:r w:rsidRPr="00935849">
        <w:rPr>
          <w:rtl/>
        </w:rPr>
        <w:t xml:space="preserve">بيانات </w:t>
      </w:r>
      <w:r>
        <w:rPr>
          <w:rFonts w:hint="cs"/>
          <w:rtl/>
        </w:rPr>
        <w:t>ال</w:t>
      </w:r>
      <w:r>
        <w:rPr>
          <w:rtl/>
        </w:rPr>
        <w:t>براءات ي</w:t>
      </w:r>
      <w:r>
        <w:rPr>
          <w:rFonts w:hint="cs"/>
          <w:rtl/>
        </w:rPr>
        <w:t>نبغي</w:t>
      </w:r>
      <w:r>
        <w:rPr>
          <w:rtl/>
        </w:rPr>
        <w:t xml:space="preserve"> أن </w:t>
      </w:r>
      <w:r>
        <w:rPr>
          <w:rFonts w:hint="cs"/>
          <w:rtl/>
        </w:rPr>
        <w:t>ترد</w:t>
      </w:r>
      <w:r>
        <w:rPr>
          <w:rtl/>
        </w:rPr>
        <w:t xml:space="preserve"> في جميع</w:t>
      </w:r>
      <w:r>
        <w:rPr>
          <w:rFonts w:hint="cs"/>
          <w:rtl/>
        </w:rPr>
        <w:t xml:space="preserve"> </w:t>
      </w:r>
      <w:r w:rsidRPr="00935849">
        <w:rPr>
          <w:rtl/>
        </w:rPr>
        <w:t xml:space="preserve">مجموعات </w:t>
      </w:r>
      <w:r>
        <w:rPr>
          <w:rFonts w:hint="cs"/>
          <w:rtl/>
        </w:rPr>
        <w:t>ال</w:t>
      </w:r>
      <w:r w:rsidRPr="00935849">
        <w:rPr>
          <w:rtl/>
        </w:rPr>
        <w:t>ب</w:t>
      </w:r>
      <w:r>
        <w:rPr>
          <w:rtl/>
        </w:rPr>
        <w:t>راءات</w:t>
      </w:r>
      <w:r>
        <w:rPr>
          <w:rFonts w:hint="cs"/>
          <w:rtl/>
        </w:rPr>
        <w:t xml:space="preserve"> </w:t>
      </w:r>
      <w:r>
        <w:rPr>
          <w:rtl/>
        </w:rPr>
        <w:t>التي تنتمي إلى قائمة</w:t>
      </w:r>
      <w:r>
        <w:rPr>
          <w:rFonts w:hint="cs"/>
          <w:rtl/>
        </w:rPr>
        <w:t xml:space="preserve"> </w:t>
      </w:r>
      <w:r w:rsidRPr="00935849">
        <w:rPr>
          <w:rtl/>
        </w:rPr>
        <w:t xml:space="preserve">الحد الأدنى </w:t>
      </w:r>
      <w:r>
        <w:rPr>
          <w:rFonts w:hint="cs"/>
          <w:rtl/>
        </w:rPr>
        <w:t>من وثائق ال</w:t>
      </w:r>
      <w:r>
        <w:rPr>
          <w:rtl/>
        </w:rPr>
        <w:t>معاهدة (مث</w:t>
      </w:r>
      <w:r w:rsidRPr="00935849">
        <w:rPr>
          <w:rtl/>
        </w:rPr>
        <w:t>ل، ا</w:t>
      </w:r>
      <w:r>
        <w:rPr>
          <w:rtl/>
        </w:rPr>
        <w:t>لبيانات الببليوغرافية والملخصات</w:t>
      </w:r>
      <w:r w:rsidRPr="00935849">
        <w:rPr>
          <w:rtl/>
        </w:rPr>
        <w:t xml:space="preserve"> </w:t>
      </w:r>
      <w:r>
        <w:rPr>
          <w:rFonts w:hint="cs"/>
          <w:rtl/>
        </w:rPr>
        <w:t>و</w:t>
      </w:r>
      <w:r w:rsidRPr="00935849">
        <w:rPr>
          <w:rtl/>
        </w:rPr>
        <w:t>النص</w:t>
      </w:r>
      <w:r>
        <w:rPr>
          <w:rtl/>
        </w:rPr>
        <w:t xml:space="preserve"> الكامل</w:t>
      </w:r>
      <w:r w:rsidRPr="00935849">
        <w:rPr>
          <w:rtl/>
        </w:rPr>
        <w:t xml:space="preserve"> </w:t>
      </w:r>
      <w:r>
        <w:rPr>
          <w:rFonts w:hint="cs"/>
          <w:rtl/>
        </w:rPr>
        <w:t>و</w:t>
      </w:r>
      <w:r>
        <w:rPr>
          <w:rtl/>
        </w:rPr>
        <w:t>صور الفاكس و</w:t>
      </w:r>
      <w:r w:rsidRPr="00935849">
        <w:rPr>
          <w:rtl/>
        </w:rPr>
        <w:t xml:space="preserve">بيانات التصنيف)، فضلا عن </w:t>
      </w:r>
      <w:r>
        <w:rPr>
          <w:rFonts w:hint="cs"/>
          <w:rtl/>
        </w:rPr>
        <w:t xml:space="preserve">معايير </w:t>
      </w:r>
      <w:r w:rsidRPr="00935849">
        <w:rPr>
          <w:rtl/>
        </w:rPr>
        <w:t>الجودة و</w:t>
      </w:r>
      <w:r>
        <w:rPr>
          <w:rFonts w:hint="cs"/>
          <w:rtl/>
        </w:rPr>
        <w:t>ال</w:t>
      </w:r>
      <w:r>
        <w:rPr>
          <w:rtl/>
        </w:rPr>
        <w:t>نشر</w:t>
      </w:r>
      <w:r w:rsidRPr="00935849">
        <w:rPr>
          <w:rtl/>
        </w:rPr>
        <w:t xml:space="preserve"> </w:t>
      </w:r>
      <w:r>
        <w:rPr>
          <w:rFonts w:hint="cs"/>
          <w:rtl/>
        </w:rPr>
        <w:t xml:space="preserve">التي ينبغي أن تلتزمها </w:t>
      </w:r>
      <w:r>
        <w:rPr>
          <w:rtl/>
        </w:rPr>
        <w:t>هذه البيانات</w:t>
      </w:r>
      <w:r w:rsidRPr="00935849">
        <w:rPr>
          <w:rtl/>
        </w:rPr>
        <w:t>، من أجل تحسين إمكانية البحث وتسهيل تبادل ال</w:t>
      </w:r>
      <w:r>
        <w:rPr>
          <w:rtl/>
        </w:rPr>
        <w:t>بيانات بين مكاتب البراءات وم</w:t>
      </w:r>
      <w:r>
        <w:rPr>
          <w:rFonts w:hint="cs"/>
          <w:rtl/>
        </w:rPr>
        <w:t>ورّدي</w:t>
      </w:r>
      <w:r>
        <w:rPr>
          <w:rtl/>
        </w:rPr>
        <w:t xml:space="preserve"> ق</w:t>
      </w:r>
      <w:r>
        <w:rPr>
          <w:rFonts w:hint="cs"/>
          <w:rtl/>
        </w:rPr>
        <w:t>وا</w:t>
      </w:r>
      <w:r>
        <w:rPr>
          <w:rtl/>
        </w:rPr>
        <w:t>عد</w:t>
      </w:r>
      <w:r w:rsidRPr="00935849">
        <w:rPr>
          <w:rtl/>
        </w:rPr>
        <w:t xml:space="preserve"> البيانات التجارية</w:t>
      </w:r>
      <w:r>
        <w:rPr>
          <w:rFonts w:hint="cs"/>
          <w:rtl/>
        </w:rPr>
        <w:t>.</w:t>
      </w:r>
    </w:p>
    <w:p w:rsidR="00935849" w:rsidRDefault="00935849" w:rsidP="00101811">
      <w:pPr>
        <w:pStyle w:val="NumberedParaAR"/>
        <w:numPr>
          <w:ilvl w:val="0"/>
          <w:numId w:val="0"/>
        </w:numPr>
        <w:ind w:left="566"/>
        <w:rPr>
          <w:rtl/>
        </w:rPr>
      </w:pPr>
      <w:r>
        <w:rPr>
          <w:rFonts w:hint="cs"/>
          <w:rtl/>
        </w:rPr>
        <w:t>(ه)</w:t>
      </w:r>
      <w:r>
        <w:rPr>
          <w:rFonts w:hint="cs"/>
          <w:rtl/>
        </w:rPr>
        <w:tab/>
        <w:t>و</w:t>
      </w:r>
      <w:r w:rsidRPr="00935849">
        <w:rPr>
          <w:rtl/>
        </w:rPr>
        <w:t>تحسين توافر المعلومات التقنية التي يمكن استخراجها من وثائق البراءات، من حيث ما تضمنه الوثائق من تغطية تقنية وتغطية لغوية ومن حيث إمكانية البحث عن المعلومات الواردة فيها.</w:t>
      </w:r>
      <w:r>
        <w:rPr>
          <w:rFonts w:hint="cs"/>
          <w:rtl/>
        </w:rPr>
        <w:t xml:space="preserve"> </w:t>
      </w:r>
      <w:r w:rsidR="00EF54A9">
        <w:rPr>
          <w:rtl/>
        </w:rPr>
        <w:t>و</w:t>
      </w:r>
      <w:r w:rsidR="00EF54A9">
        <w:rPr>
          <w:rFonts w:hint="cs"/>
          <w:rtl/>
        </w:rPr>
        <w:t xml:space="preserve">هو ما من شأنه </w:t>
      </w:r>
      <w:r w:rsidRPr="00935849">
        <w:rPr>
          <w:rtl/>
        </w:rPr>
        <w:t>تحسين نوعية</w:t>
      </w:r>
      <w:r w:rsidR="00EF54A9">
        <w:rPr>
          <w:rtl/>
        </w:rPr>
        <w:t xml:space="preserve"> البحث الدولي، و</w:t>
      </w:r>
      <w:r w:rsidR="00EF54A9">
        <w:rPr>
          <w:rFonts w:hint="cs"/>
          <w:rtl/>
        </w:rPr>
        <w:t>ضمان</w:t>
      </w:r>
      <w:r w:rsidRPr="00935849">
        <w:rPr>
          <w:rtl/>
        </w:rPr>
        <w:t xml:space="preserve"> نفاذ الغير إلى المعلومات الخاصة بالبراءات.</w:t>
      </w:r>
    </w:p>
    <w:p w:rsidR="00EF54A9" w:rsidRPr="00300E17" w:rsidRDefault="00EF54A9" w:rsidP="00101811">
      <w:pPr>
        <w:pStyle w:val="NumberedParaAR"/>
        <w:numPr>
          <w:ilvl w:val="0"/>
          <w:numId w:val="0"/>
        </w:numPr>
        <w:ind w:left="566"/>
        <w:rPr>
          <w:rtl/>
        </w:rPr>
      </w:pPr>
      <w:r w:rsidRPr="00300E17">
        <w:rPr>
          <w:rtl/>
        </w:rPr>
        <w:t>(و)</w:t>
      </w:r>
      <w:r w:rsidRPr="00300E17">
        <w:rPr>
          <w:rtl/>
        </w:rPr>
        <w:tab/>
        <w:t xml:space="preserve">وإصدار توصيات بشأن معايير إدراج حالة التقنية الصناعية السابقة القائمة على المعارف التقليدية في الجزء المتعلق بالأدبيات التي لا تتصل بالبراءات من الحد الأدنى للوثائق المنصوص عليها في المعاهدة، وخاصة، العمل مع الإدارة الهندية بعد أن تعيد إرسال مقترحاتها المفصلة بشأن إدراج المكتبة الهندية في الحد الأدنى للوثائق بناء على المعاهدة </w:t>
      </w:r>
      <w:r w:rsidR="00101811">
        <w:rPr>
          <w:rtl/>
        </w:rPr>
        <w:t>(انظر الفقرة 85</w:t>
      </w:r>
      <w:r w:rsidR="00903A79" w:rsidRPr="00300E17">
        <w:rPr>
          <w:rtl/>
        </w:rPr>
        <w:t xml:space="preserve">(ب) من الوثيقة </w:t>
      </w:r>
      <w:r w:rsidR="00903A79" w:rsidRPr="00300E17">
        <w:rPr>
          <w:spacing w:val="-1"/>
        </w:rPr>
        <w:t>PCT/MIA/23/14</w:t>
      </w:r>
      <w:r w:rsidR="00903A79" w:rsidRPr="00300E17">
        <w:rPr>
          <w:rtl/>
        </w:rPr>
        <w:t>).</w:t>
      </w:r>
    </w:p>
    <w:p w:rsidR="00903A79" w:rsidRPr="009A7BB1" w:rsidRDefault="00903A79" w:rsidP="00A85532">
      <w:pPr>
        <w:pStyle w:val="Heading1AR"/>
      </w:pPr>
      <w:r>
        <w:rPr>
          <w:rFonts w:hint="cs"/>
          <w:rtl/>
        </w:rPr>
        <w:t xml:space="preserve">المنهجية </w:t>
      </w:r>
      <w:r w:rsidRPr="00A85532">
        <w:rPr>
          <w:rFonts w:hint="cs"/>
          <w:rtl/>
        </w:rPr>
        <w:t>والجدول</w:t>
      </w:r>
      <w:r>
        <w:rPr>
          <w:rFonts w:hint="cs"/>
          <w:rtl/>
        </w:rPr>
        <w:t xml:space="preserve"> الزمني</w:t>
      </w:r>
    </w:p>
    <w:p w:rsidR="00903A79" w:rsidRDefault="00903A79" w:rsidP="0096123B">
      <w:pPr>
        <w:pStyle w:val="NumberedParaAR"/>
      </w:pPr>
      <w:r>
        <w:rPr>
          <w:rtl/>
        </w:rPr>
        <w:t>ست</w:t>
      </w:r>
      <w:r>
        <w:rPr>
          <w:rFonts w:hint="cs"/>
          <w:rtl/>
        </w:rPr>
        <w:t xml:space="preserve">عقد </w:t>
      </w:r>
      <w:r>
        <w:rPr>
          <w:rtl/>
        </w:rPr>
        <w:t xml:space="preserve">فرقة العمل </w:t>
      </w:r>
      <w:r w:rsidRPr="00903A79">
        <w:rPr>
          <w:rtl/>
        </w:rPr>
        <w:t>مناقشاته</w:t>
      </w:r>
      <w:r>
        <w:rPr>
          <w:rFonts w:hint="cs"/>
          <w:rtl/>
        </w:rPr>
        <w:t>ا</w:t>
      </w:r>
      <w:r>
        <w:rPr>
          <w:rtl/>
        </w:rPr>
        <w:t xml:space="preserve"> </w:t>
      </w:r>
      <w:r>
        <w:rPr>
          <w:rFonts w:hint="cs"/>
          <w:rtl/>
        </w:rPr>
        <w:t>عبر المنتدى</w:t>
      </w:r>
      <w:r>
        <w:rPr>
          <w:rtl/>
        </w:rPr>
        <w:t xml:space="preserve">. </w:t>
      </w:r>
      <w:r>
        <w:rPr>
          <w:rFonts w:hint="cs"/>
          <w:rtl/>
        </w:rPr>
        <w:t xml:space="preserve">وجميع </w:t>
      </w:r>
      <w:r>
        <w:rPr>
          <w:rtl/>
        </w:rPr>
        <w:t>ال</w:t>
      </w:r>
      <w:r>
        <w:rPr>
          <w:rFonts w:hint="cs"/>
          <w:rtl/>
        </w:rPr>
        <w:t>إدارات</w:t>
      </w:r>
      <w:r>
        <w:rPr>
          <w:rtl/>
        </w:rPr>
        <w:t xml:space="preserve"> الدولية مدعوة إلى ترشيح ممثل</w:t>
      </w:r>
      <w:r>
        <w:rPr>
          <w:rFonts w:hint="cs"/>
          <w:rtl/>
        </w:rPr>
        <w:t xml:space="preserve"> (أو ممثلين)</w:t>
      </w:r>
      <w:r>
        <w:rPr>
          <w:rtl/>
        </w:rPr>
        <w:t>،</w:t>
      </w:r>
      <w:r w:rsidRPr="00903A79">
        <w:rPr>
          <w:rtl/>
        </w:rPr>
        <w:t xml:space="preserve"> </w:t>
      </w:r>
      <w:r>
        <w:rPr>
          <w:rFonts w:hint="cs"/>
          <w:rtl/>
        </w:rPr>
        <w:t xml:space="preserve">من بينهم </w:t>
      </w:r>
      <w:r w:rsidRPr="00903A79">
        <w:rPr>
          <w:rtl/>
        </w:rPr>
        <w:t>خبير واحد على</w:t>
      </w:r>
      <w:r>
        <w:rPr>
          <w:rtl/>
        </w:rPr>
        <w:t xml:space="preserve"> الأقل في مجال </w:t>
      </w:r>
      <w:r w:rsidRPr="00903A79">
        <w:rPr>
          <w:rtl/>
        </w:rPr>
        <w:t xml:space="preserve">توثيق </w:t>
      </w:r>
      <w:r>
        <w:rPr>
          <w:rFonts w:hint="cs"/>
          <w:rtl/>
        </w:rPr>
        <w:t>ال</w:t>
      </w:r>
      <w:r>
        <w:rPr>
          <w:rtl/>
        </w:rPr>
        <w:t>براءات</w:t>
      </w:r>
      <w:r>
        <w:rPr>
          <w:rFonts w:hint="cs"/>
          <w:rtl/>
        </w:rPr>
        <w:t>،</w:t>
      </w:r>
      <w:r>
        <w:rPr>
          <w:rtl/>
        </w:rPr>
        <w:t xml:space="preserve"> إن </w:t>
      </w:r>
      <w:r>
        <w:rPr>
          <w:rFonts w:hint="cs"/>
          <w:rtl/>
        </w:rPr>
        <w:t>لم تكن قد عيّنت ممثلا مسبقا</w:t>
      </w:r>
      <w:r>
        <w:rPr>
          <w:rtl/>
        </w:rPr>
        <w:t xml:space="preserve">. </w:t>
      </w:r>
      <w:r>
        <w:rPr>
          <w:rFonts w:hint="cs"/>
          <w:rtl/>
        </w:rPr>
        <w:t xml:space="preserve">والمكتب الدولي، بصفته </w:t>
      </w:r>
      <w:r>
        <w:rPr>
          <w:rtl/>
        </w:rPr>
        <w:t>ميس</w:t>
      </w:r>
      <w:r>
        <w:rPr>
          <w:rFonts w:hint="cs"/>
          <w:rtl/>
        </w:rPr>
        <w:t>ّ</w:t>
      </w:r>
      <w:r>
        <w:rPr>
          <w:rtl/>
        </w:rPr>
        <w:t xml:space="preserve">ر </w:t>
      </w:r>
      <w:r>
        <w:rPr>
          <w:rFonts w:hint="cs"/>
          <w:rtl/>
        </w:rPr>
        <w:t>المنتدى</w:t>
      </w:r>
      <w:r>
        <w:rPr>
          <w:rtl/>
        </w:rPr>
        <w:t>،</w:t>
      </w:r>
      <w:r>
        <w:rPr>
          <w:rFonts w:hint="cs"/>
          <w:rtl/>
        </w:rPr>
        <w:t xml:space="preserve"> </w:t>
      </w:r>
      <w:r>
        <w:rPr>
          <w:rtl/>
        </w:rPr>
        <w:t xml:space="preserve">هو المسؤول عن تسجيل </w:t>
      </w:r>
      <w:r>
        <w:rPr>
          <w:rFonts w:hint="cs"/>
          <w:rtl/>
        </w:rPr>
        <w:t xml:space="preserve">هؤلاء </w:t>
      </w:r>
      <w:r w:rsidRPr="00903A79">
        <w:rPr>
          <w:rtl/>
        </w:rPr>
        <w:t>الممثلين</w:t>
      </w:r>
      <w:r>
        <w:rPr>
          <w:rFonts w:hint="cs"/>
          <w:rtl/>
        </w:rPr>
        <w:t>.</w:t>
      </w:r>
    </w:p>
    <w:p w:rsidR="00A85532" w:rsidRDefault="00903A79" w:rsidP="0096123B">
      <w:pPr>
        <w:pStyle w:val="NumberedParaAR"/>
        <w:rPr>
          <w:rtl/>
        </w:rPr>
      </w:pPr>
      <w:r>
        <w:rPr>
          <w:rFonts w:hint="cs"/>
          <w:rtl/>
        </w:rPr>
        <w:t>ويعتزم</w:t>
      </w:r>
      <w:r>
        <w:rPr>
          <w:rtl/>
        </w:rPr>
        <w:t xml:space="preserve"> المكتب الأوروبي للبراءات</w:t>
      </w:r>
      <w:r>
        <w:rPr>
          <w:rFonts w:hint="cs"/>
          <w:rtl/>
        </w:rPr>
        <w:t>، في مايو من هذه السنة،</w:t>
      </w:r>
      <w:r>
        <w:rPr>
          <w:rtl/>
        </w:rPr>
        <w:t xml:space="preserve"> </w:t>
      </w:r>
      <w:r>
        <w:rPr>
          <w:rFonts w:hint="cs"/>
          <w:rtl/>
        </w:rPr>
        <w:t>نشر</w:t>
      </w:r>
      <w:r w:rsidRPr="00903A79">
        <w:rPr>
          <w:rtl/>
        </w:rPr>
        <w:t xml:space="preserve"> وثيقة رفيعة المستوى </w:t>
      </w:r>
      <w:r>
        <w:rPr>
          <w:rFonts w:hint="cs"/>
          <w:rtl/>
        </w:rPr>
        <w:t>على المنتدى</w:t>
      </w:r>
      <w:r w:rsidRPr="00903A79">
        <w:rPr>
          <w:rtl/>
        </w:rPr>
        <w:t xml:space="preserve"> </w:t>
      </w:r>
      <w:r>
        <w:rPr>
          <w:rFonts w:hint="cs"/>
          <w:rtl/>
        </w:rPr>
        <w:t xml:space="preserve">تعرض </w:t>
      </w:r>
      <w:r w:rsidRPr="00903A79">
        <w:rPr>
          <w:rtl/>
        </w:rPr>
        <w:t xml:space="preserve">التقييم والأهداف </w:t>
      </w:r>
      <w:r>
        <w:rPr>
          <w:rFonts w:hint="cs"/>
          <w:rtl/>
        </w:rPr>
        <w:t xml:space="preserve">المقترحة </w:t>
      </w:r>
      <w:r>
        <w:rPr>
          <w:rtl/>
        </w:rPr>
        <w:t>ال</w:t>
      </w:r>
      <w:r>
        <w:rPr>
          <w:rFonts w:hint="cs"/>
          <w:rtl/>
        </w:rPr>
        <w:t>مذكور</w:t>
      </w:r>
      <w:r w:rsidRPr="00903A79">
        <w:rPr>
          <w:rtl/>
        </w:rPr>
        <w:t xml:space="preserve">ة في الفقرتين </w:t>
      </w:r>
      <w:r>
        <w:rPr>
          <w:rtl/>
        </w:rPr>
        <w:t xml:space="preserve">8 و9 أعلاه، وخطة عمل </w:t>
      </w:r>
      <w:r w:rsidRPr="00903A79">
        <w:rPr>
          <w:rtl/>
        </w:rPr>
        <w:t>سنوي</w:t>
      </w:r>
      <w:r>
        <w:rPr>
          <w:rtl/>
        </w:rPr>
        <w:t>ة لفر</w:t>
      </w:r>
      <w:r w:rsidR="0096123B">
        <w:rPr>
          <w:rtl/>
        </w:rPr>
        <w:t xml:space="preserve">قة العمل. </w:t>
      </w:r>
      <w:r w:rsidR="0096123B">
        <w:rPr>
          <w:rFonts w:hint="cs"/>
          <w:rtl/>
        </w:rPr>
        <w:t>وما إن يتفق</w:t>
      </w:r>
      <w:r w:rsidRPr="00903A79">
        <w:rPr>
          <w:rtl/>
        </w:rPr>
        <w:t xml:space="preserve"> على هذه الوثيقة، </w:t>
      </w:r>
      <w:r w:rsidR="0096123B">
        <w:rPr>
          <w:rFonts w:hint="cs"/>
          <w:rtl/>
        </w:rPr>
        <w:t xml:space="preserve">سيعدّ </w:t>
      </w:r>
      <w:r w:rsidR="0096123B">
        <w:rPr>
          <w:rtl/>
        </w:rPr>
        <w:t>المكتب الأوروبي للبراءا</w:t>
      </w:r>
      <w:r w:rsidR="0096123B">
        <w:rPr>
          <w:rFonts w:hint="cs"/>
          <w:rtl/>
        </w:rPr>
        <w:t>ت</w:t>
      </w:r>
      <w:r w:rsidRPr="00903A79">
        <w:rPr>
          <w:rtl/>
        </w:rPr>
        <w:t xml:space="preserve"> سلسلة من الوثائق </w:t>
      </w:r>
      <w:r w:rsidR="0096123B">
        <w:rPr>
          <w:rFonts w:hint="cs"/>
          <w:rtl/>
        </w:rPr>
        <w:t>ال</w:t>
      </w:r>
      <w:r w:rsidR="0096123B">
        <w:rPr>
          <w:rtl/>
        </w:rPr>
        <w:t>مخصصة لم</w:t>
      </w:r>
      <w:r w:rsidR="0096123B">
        <w:rPr>
          <w:rFonts w:hint="cs"/>
          <w:rtl/>
        </w:rPr>
        <w:t>سائل الاستعراض</w:t>
      </w:r>
      <w:r w:rsidRPr="00903A79">
        <w:rPr>
          <w:rtl/>
        </w:rPr>
        <w:t xml:space="preserve">. </w:t>
      </w:r>
      <w:r w:rsidR="0096123B">
        <w:rPr>
          <w:rFonts w:hint="cs"/>
          <w:rtl/>
        </w:rPr>
        <w:t>و</w:t>
      </w:r>
      <w:r w:rsidR="0096123B">
        <w:rPr>
          <w:rtl/>
        </w:rPr>
        <w:t>س</w:t>
      </w:r>
      <w:r w:rsidR="0096123B">
        <w:rPr>
          <w:rFonts w:hint="cs"/>
          <w:rtl/>
        </w:rPr>
        <w:t>يجرى</w:t>
      </w:r>
      <w:r w:rsidRPr="00903A79">
        <w:rPr>
          <w:rtl/>
        </w:rPr>
        <w:t xml:space="preserve"> </w:t>
      </w:r>
      <w:r w:rsidR="0096123B">
        <w:rPr>
          <w:rFonts w:hint="cs"/>
          <w:rtl/>
        </w:rPr>
        <w:t>الاستعراض</w:t>
      </w:r>
      <w:r w:rsidRPr="00903A79">
        <w:rPr>
          <w:rtl/>
        </w:rPr>
        <w:t xml:space="preserve"> </w:t>
      </w:r>
      <w:r w:rsidR="0096123B">
        <w:rPr>
          <w:rFonts w:hint="cs"/>
          <w:rtl/>
        </w:rPr>
        <w:t xml:space="preserve">ضمن </w:t>
      </w:r>
      <w:r w:rsidRPr="00903A79">
        <w:rPr>
          <w:rtl/>
        </w:rPr>
        <w:t xml:space="preserve">جولات من المناقشات </w:t>
      </w:r>
      <w:r w:rsidR="0096123B">
        <w:rPr>
          <w:rFonts w:hint="cs"/>
          <w:rtl/>
        </w:rPr>
        <w:t>ت</w:t>
      </w:r>
      <w:r w:rsidR="0096123B">
        <w:rPr>
          <w:rtl/>
        </w:rPr>
        <w:t>عقد</w:t>
      </w:r>
      <w:r w:rsidRPr="00903A79">
        <w:rPr>
          <w:rtl/>
        </w:rPr>
        <w:t xml:space="preserve"> </w:t>
      </w:r>
      <w:r w:rsidR="0096123B">
        <w:rPr>
          <w:rFonts w:hint="cs"/>
          <w:rtl/>
        </w:rPr>
        <w:t xml:space="preserve">على المنتدى </w:t>
      </w:r>
      <w:r w:rsidRPr="00903A79">
        <w:rPr>
          <w:rtl/>
        </w:rPr>
        <w:t xml:space="preserve">في النصف الثاني من </w:t>
      </w:r>
      <w:r w:rsidR="0096123B">
        <w:rPr>
          <w:rFonts w:hint="cs"/>
          <w:rtl/>
        </w:rPr>
        <w:t xml:space="preserve">عام </w:t>
      </w:r>
      <w:r w:rsidRPr="00903A79">
        <w:rPr>
          <w:rtl/>
        </w:rPr>
        <w:t>2016.</w:t>
      </w:r>
    </w:p>
    <w:p w:rsidR="00A85532" w:rsidRDefault="00A85532">
      <w:pPr>
        <w:rPr>
          <w:rFonts w:ascii="Arabic Typesetting" w:hAnsi="Arabic Typesetting" w:cs="Arabic Typesetting"/>
          <w:sz w:val="36"/>
          <w:szCs w:val="36"/>
          <w:rtl/>
        </w:rPr>
      </w:pPr>
      <w:r>
        <w:rPr>
          <w:rtl/>
        </w:rPr>
        <w:br w:type="page"/>
      </w:r>
    </w:p>
    <w:p w:rsidR="0096123B" w:rsidRDefault="0096123B" w:rsidP="0096123B">
      <w:pPr>
        <w:pStyle w:val="NumberedParaAR"/>
      </w:pPr>
      <w:r>
        <w:rPr>
          <w:rtl/>
        </w:rPr>
        <w:lastRenderedPageBreak/>
        <w:t>و</w:t>
      </w:r>
      <w:r>
        <w:rPr>
          <w:rFonts w:hint="cs"/>
          <w:rtl/>
        </w:rPr>
        <w:t>ي</w:t>
      </w:r>
      <w:r w:rsidRPr="0096123B">
        <w:rPr>
          <w:rtl/>
        </w:rPr>
        <w:t>ه</w:t>
      </w:r>
      <w:r>
        <w:rPr>
          <w:rtl/>
        </w:rPr>
        <w:t>دف المكتب الأوروبي للبراءات</w:t>
      </w:r>
      <w:r>
        <w:rPr>
          <w:rFonts w:hint="cs"/>
          <w:rtl/>
        </w:rPr>
        <w:t>،</w:t>
      </w:r>
      <w:r>
        <w:rPr>
          <w:rtl/>
        </w:rPr>
        <w:t xml:space="preserve"> </w:t>
      </w:r>
      <w:r>
        <w:rPr>
          <w:rFonts w:hint="cs"/>
          <w:rtl/>
        </w:rPr>
        <w:t>من خلال</w:t>
      </w:r>
      <w:r w:rsidRPr="0096123B">
        <w:rPr>
          <w:rtl/>
        </w:rPr>
        <w:t xml:space="preserve"> دوره كقائد </w:t>
      </w:r>
      <w:r>
        <w:rPr>
          <w:rFonts w:hint="cs"/>
          <w:rtl/>
        </w:rPr>
        <w:t>ل</w:t>
      </w:r>
      <w:r>
        <w:rPr>
          <w:rtl/>
        </w:rPr>
        <w:t>فرقة العمل</w:t>
      </w:r>
      <w:r>
        <w:rPr>
          <w:rFonts w:hint="cs"/>
          <w:rtl/>
        </w:rPr>
        <w:t>،</w:t>
      </w:r>
      <w:r w:rsidRPr="0096123B">
        <w:rPr>
          <w:rtl/>
        </w:rPr>
        <w:t xml:space="preserve"> </w:t>
      </w:r>
      <w:r>
        <w:rPr>
          <w:rFonts w:hint="cs"/>
          <w:rtl/>
        </w:rPr>
        <w:t xml:space="preserve">إلى </w:t>
      </w:r>
      <w:r>
        <w:rPr>
          <w:rtl/>
        </w:rPr>
        <w:t xml:space="preserve">إحراز تقدم في جميع </w:t>
      </w:r>
      <w:r>
        <w:rPr>
          <w:rFonts w:hint="cs"/>
          <w:rtl/>
        </w:rPr>
        <w:t>مسائل</w:t>
      </w:r>
      <w:r w:rsidRPr="0096123B">
        <w:rPr>
          <w:rtl/>
        </w:rPr>
        <w:t xml:space="preserve"> </w:t>
      </w:r>
      <w:r>
        <w:rPr>
          <w:rFonts w:hint="cs"/>
          <w:rtl/>
        </w:rPr>
        <w:t xml:space="preserve">الاستعراض </w:t>
      </w:r>
      <w:r>
        <w:rPr>
          <w:rtl/>
        </w:rPr>
        <w:t>بموجب الفقرتين 8 و9 أعلاه، و</w:t>
      </w:r>
      <w:r w:rsidRPr="0096123B">
        <w:rPr>
          <w:rtl/>
        </w:rPr>
        <w:t>تحقيق نتائج ملموسة في وقت مبكر من العام المقبل</w:t>
      </w:r>
      <w:r>
        <w:rPr>
          <w:rFonts w:hint="cs"/>
          <w:rtl/>
        </w:rPr>
        <w:t xml:space="preserve"> إن أمكن</w:t>
      </w:r>
      <w:r>
        <w:rPr>
          <w:rtl/>
        </w:rPr>
        <w:t>. وس</w:t>
      </w:r>
      <w:r w:rsidRPr="0096123B">
        <w:rPr>
          <w:rtl/>
        </w:rPr>
        <w:t xml:space="preserve">يقدم </w:t>
      </w:r>
      <w:r>
        <w:rPr>
          <w:rFonts w:hint="cs"/>
          <w:rtl/>
        </w:rPr>
        <w:t xml:space="preserve">المكتب </w:t>
      </w:r>
      <w:r w:rsidRPr="0096123B">
        <w:rPr>
          <w:rtl/>
        </w:rPr>
        <w:t>تقرير</w:t>
      </w:r>
      <w:r>
        <w:rPr>
          <w:rFonts w:hint="cs"/>
          <w:rtl/>
        </w:rPr>
        <w:t>ا</w:t>
      </w:r>
      <w:r w:rsidRPr="0096123B">
        <w:rPr>
          <w:rtl/>
        </w:rPr>
        <w:t xml:space="preserve"> </w:t>
      </w:r>
      <w:r>
        <w:rPr>
          <w:rFonts w:hint="cs"/>
          <w:rtl/>
        </w:rPr>
        <w:t xml:space="preserve">مرحليا في اجتماع الإدارات الدولية </w:t>
      </w:r>
      <w:r w:rsidRPr="0096123B">
        <w:rPr>
          <w:rtl/>
        </w:rPr>
        <w:t>المقبل عام 2017.</w:t>
      </w:r>
    </w:p>
    <w:p w:rsidR="00CD6766" w:rsidRDefault="0096123B" w:rsidP="00101811">
      <w:pPr>
        <w:pStyle w:val="DecisionParaAR"/>
      </w:pPr>
      <w:r>
        <w:rPr>
          <w:rFonts w:hint="cs"/>
          <w:rtl/>
        </w:rPr>
        <w:t xml:space="preserve"> </w:t>
      </w:r>
      <w:r w:rsidR="007403EF">
        <w:rPr>
          <w:rtl/>
        </w:rPr>
        <w:t xml:space="preserve">إن </w:t>
      </w:r>
      <w:r w:rsidR="00101811">
        <w:rPr>
          <w:rFonts w:hint="cs"/>
          <w:rtl/>
        </w:rPr>
        <w:t>الفريق العامل</w:t>
      </w:r>
      <w:r w:rsidR="007403EF">
        <w:rPr>
          <w:rtl/>
        </w:rPr>
        <w:t xml:space="preserve"> مدع</w:t>
      </w:r>
      <w:r w:rsidR="00101811">
        <w:rPr>
          <w:rFonts w:hint="cs"/>
          <w:rtl/>
        </w:rPr>
        <w:t>و</w:t>
      </w:r>
      <w:r w:rsidR="00CD6766">
        <w:rPr>
          <w:rtl/>
        </w:rPr>
        <w:t xml:space="preserve"> إلى الإحاطة علما بمضمون هذه الوثيقة.</w:t>
      </w:r>
    </w:p>
    <w:p w:rsidR="002D5BEB" w:rsidRDefault="00CD6766" w:rsidP="003F2DB7">
      <w:pPr>
        <w:pStyle w:val="EndofDocumentAR"/>
        <w:rPr>
          <w:rtl/>
        </w:rPr>
      </w:pPr>
      <w:r>
        <w:rPr>
          <w:rtl/>
        </w:rPr>
        <w:t>[نهاية الوثيقة]</w:t>
      </w:r>
    </w:p>
    <w:sectPr w:rsidR="002D5BEB"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027" w:rsidRDefault="007B5027">
      <w:r>
        <w:separator/>
      </w:r>
    </w:p>
  </w:endnote>
  <w:endnote w:type="continuationSeparator" w:id="0">
    <w:p w:rsidR="007B5027" w:rsidRDefault="007B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027" w:rsidRDefault="007B5027" w:rsidP="009622BF">
      <w:pPr>
        <w:bidi/>
      </w:pPr>
      <w:bookmarkStart w:id="0" w:name="OLE_LINK1"/>
      <w:bookmarkStart w:id="1" w:name="OLE_LINK2"/>
      <w:r>
        <w:separator/>
      </w:r>
      <w:bookmarkEnd w:id="0"/>
      <w:bookmarkEnd w:id="1"/>
    </w:p>
  </w:footnote>
  <w:footnote w:type="continuationSeparator" w:id="0">
    <w:p w:rsidR="007B5027" w:rsidRDefault="007B502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1E3F88">
    <w:r>
      <w:t>PCT</w:t>
    </w:r>
    <w:r w:rsidR="00772E46">
      <w:t>/</w:t>
    </w:r>
    <w:r w:rsidR="00C742C5">
      <w:t>WG</w:t>
    </w:r>
    <w:r w:rsidR="002F77FC">
      <w:t>/</w:t>
    </w:r>
    <w:r w:rsidR="001E3F88">
      <w:t>9</w:t>
    </w:r>
    <w:r w:rsidR="0000687F">
      <w:t>/22</w:t>
    </w:r>
  </w:p>
  <w:p w:rsidR="002F77FC" w:rsidRDefault="002F77FC" w:rsidP="00D61541">
    <w:r>
      <w:fldChar w:fldCharType="begin"/>
    </w:r>
    <w:r>
      <w:instrText xml:space="preserve"> PAGE  \* MERGEFORMAT </w:instrText>
    </w:r>
    <w:r>
      <w:fldChar w:fldCharType="separate"/>
    </w:r>
    <w:r w:rsidR="00897996">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A572B0C"/>
    <w:multiLevelType w:val="hybridMultilevel"/>
    <w:tmpl w:val="40AA297A"/>
    <w:lvl w:ilvl="0" w:tplc="6BEEFFC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B5499D"/>
    <w:multiLevelType w:val="hybridMultilevel"/>
    <w:tmpl w:val="56F802B2"/>
    <w:lvl w:ilvl="0" w:tplc="E310825A">
      <w:start w:val="1"/>
      <w:numFmt w:val="arabicAbjad"/>
      <w:lvlText w:val="(%1)"/>
      <w:lvlJc w:val="left"/>
      <w:pPr>
        <w:ind w:left="720" w:hanging="360"/>
      </w:pPr>
      <w:rPr>
        <w:rFonts w:hint="default"/>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6"/>
  </w:num>
  <w:num w:numId="3">
    <w:abstractNumId w:val="10"/>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5"/>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C61"/>
    <w:rsid w:val="00002CBE"/>
    <w:rsid w:val="00003232"/>
    <w:rsid w:val="000033DA"/>
    <w:rsid w:val="0000579F"/>
    <w:rsid w:val="0000687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910"/>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201"/>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1811"/>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B766E"/>
    <w:rsid w:val="002C014C"/>
    <w:rsid w:val="002C060C"/>
    <w:rsid w:val="002C0BA6"/>
    <w:rsid w:val="002C12A7"/>
    <w:rsid w:val="002C1C4D"/>
    <w:rsid w:val="002C2B6F"/>
    <w:rsid w:val="002C314F"/>
    <w:rsid w:val="002C4AD1"/>
    <w:rsid w:val="002C7D29"/>
    <w:rsid w:val="002D0298"/>
    <w:rsid w:val="002D1662"/>
    <w:rsid w:val="002D1DE5"/>
    <w:rsid w:val="002D3506"/>
    <w:rsid w:val="002D3670"/>
    <w:rsid w:val="002D4807"/>
    <w:rsid w:val="002D5BEB"/>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0E17"/>
    <w:rsid w:val="0030129C"/>
    <w:rsid w:val="003013E2"/>
    <w:rsid w:val="00301FE4"/>
    <w:rsid w:val="00303E3A"/>
    <w:rsid w:val="00305417"/>
    <w:rsid w:val="003055B1"/>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6BA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2DB7"/>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188B"/>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1C"/>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0F9A"/>
    <w:rsid w:val="006B1F20"/>
    <w:rsid w:val="006B398A"/>
    <w:rsid w:val="006B3E04"/>
    <w:rsid w:val="006B4024"/>
    <w:rsid w:val="006B47D7"/>
    <w:rsid w:val="006B499D"/>
    <w:rsid w:val="006B5041"/>
    <w:rsid w:val="006B643D"/>
    <w:rsid w:val="006B79A4"/>
    <w:rsid w:val="006C1254"/>
    <w:rsid w:val="006C2DC5"/>
    <w:rsid w:val="006C480B"/>
    <w:rsid w:val="006C4C61"/>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03EF"/>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027"/>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97996"/>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3A79"/>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5849"/>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23B"/>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C73"/>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46C"/>
    <w:rsid w:val="009A4F5A"/>
    <w:rsid w:val="009A5C82"/>
    <w:rsid w:val="009A7BB1"/>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553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C7FB6"/>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66"/>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7D"/>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67D4"/>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4A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ListParagraph">
    <w:name w:val="List Paragraph"/>
    <w:basedOn w:val="Normal"/>
    <w:uiPriority w:val="34"/>
    <w:qFormat/>
    <w:rsid w:val="00366B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ListParagraph">
    <w:name w:val="List Paragraph"/>
    <w:basedOn w:val="Normal"/>
    <w:uiPriority w:val="34"/>
    <w:qFormat/>
    <w:rsid w:val="00366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88141-30D2-473D-ACE9-533D87F15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PCT_WG_9_AR.dotx</Template>
  <TotalTime>154</TotalTime>
  <Pages>4</Pages>
  <Words>1170</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PCT/WG/9/-- (Arabic)</vt:lpstr>
    </vt:vector>
  </TitlesOfParts>
  <Company>World Intellectual Property Organization</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 (Arabic)</dc:title>
  <dc:creator>Basel Alakhras</dc:creator>
  <cp:lastModifiedBy>CHADAREVIAN Diane</cp:lastModifiedBy>
  <cp:revision>18</cp:revision>
  <cp:lastPrinted>2016-04-27T09:05:00Z</cp:lastPrinted>
  <dcterms:created xsi:type="dcterms:W3CDTF">2016-04-26T10:22:00Z</dcterms:created>
  <dcterms:modified xsi:type="dcterms:W3CDTF">2016-04-27T09:05:00Z</dcterms:modified>
</cp:coreProperties>
</file>