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1E3F88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A63460">
              <w:t>/21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6346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6346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6346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63460">
              <w:rPr>
                <w:rFonts w:hint="cs"/>
                <w:rtl/>
              </w:rPr>
              <w:t>15</w:t>
            </w:r>
            <w:r w:rsidRPr="00B6101C">
              <w:rPr>
                <w:rFonts w:hint="cs"/>
                <w:rtl/>
              </w:rPr>
              <w:t xml:space="preserve"> </w:t>
            </w:r>
            <w:r w:rsidR="00A63460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D5434" w:rsidP="00AD5434">
      <w:pPr>
        <w:pStyle w:val="DocumentTitleAR"/>
        <w:bidi/>
        <w:rPr>
          <w:rtl/>
        </w:rPr>
      </w:pPr>
      <w:r>
        <w:rPr>
          <w:rtl/>
        </w:rPr>
        <w:t>نظام</w:t>
      </w:r>
      <w:r>
        <w:rPr>
          <w:rFonts w:hint="cs"/>
          <w:rtl/>
        </w:rPr>
        <w:t xml:space="preserve"> </w:t>
      </w:r>
      <w:r>
        <w:t>PCT Direct</w:t>
      </w:r>
      <w:r>
        <w:rPr>
          <w:rFonts w:hint="cs"/>
          <w:rtl/>
        </w:rPr>
        <w:t xml:space="preserve"> </w:t>
      </w:r>
      <w:r w:rsidR="00A63460" w:rsidRPr="00A63460">
        <w:rPr>
          <w:rtl/>
        </w:rPr>
        <w:t>في المكتب الأوروبي للبراءات: تقرير مرحلي</w:t>
      </w:r>
    </w:p>
    <w:p w:rsidR="00D61541" w:rsidRPr="00D61541" w:rsidRDefault="00950A5A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A63460">
        <w:rPr>
          <w:rFonts w:hint="cs"/>
          <w:rtl/>
        </w:rPr>
        <w:t>من تقديم المكتب الأوروبي للبراءات</w:t>
      </w:r>
    </w:p>
    <w:p w:rsidR="00D61541" w:rsidRDefault="00A63460" w:rsidP="00E959CD">
      <w:pPr>
        <w:pStyle w:val="NumberedParaAR"/>
      </w:pPr>
      <w:r>
        <w:rPr>
          <w:rFonts w:hint="cs"/>
          <w:rtl/>
        </w:rPr>
        <w:t xml:space="preserve">وفقاً لما ورد في </w:t>
      </w:r>
      <w:r w:rsidR="00950A5A">
        <w:rPr>
          <w:rFonts w:hint="cs"/>
          <w:rtl/>
        </w:rPr>
        <w:t>الوثيقة التي قدمها</w:t>
      </w:r>
      <w:r>
        <w:rPr>
          <w:rFonts w:hint="cs"/>
          <w:rtl/>
        </w:rPr>
        <w:t xml:space="preserve"> المكتب الأوروبي للبراءات (المكتب) إلى الفريق العامل في عام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2015 (الوثيقة</w:t>
      </w:r>
      <w:r w:rsidR="00950A5A">
        <w:rPr>
          <w:rFonts w:hint="eastAsia"/>
          <w:rtl/>
        </w:rPr>
        <w:t> </w:t>
      </w:r>
      <w:r>
        <w:t>PCT/WG/8/17</w:t>
      </w:r>
      <w:r>
        <w:rPr>
          <w:rFonts w:hint="cs"/>
          <w:rtl/>
        </w:rPr>
        <w:t xml:space="preserve">)، أطلق </w:t>
      </w:r>
      <w:r w:rsidRPr="00A63460">
        <w:rPr>
          <w:rtl/>
        </w:rPr>
        <w:t>المكتب، بصفته مكتبا</w:t>
      </w:r>
      <w:r w:rsidR="00950A5A">
        <w:rPr>
          <w:rFonts w:hint="cs"/>
          <w:rtl/>
        </w:rPr>
        <w:t>ً</w:t>
      </w:r>
      <w:r w:rsidRPr="00A63460">
        <w:rPr>
          <w:rtl/>
        </w:rPr>
        <w:t xml:space="preserve"> لتسل</w:t>
      </w:r>
      <w:r w:rsidR="00950A5A">
        <w:rPr>
          <w:rFonts w:hint="cs"/>
          <w:rtl/>
        </w:rPr>
        <w:t>ّ</w:t>
      </w:r>
      <w:r w:rsidRPr="00A63460">
        <w:rPr>
          <w:rtl/>
        </w:rPr>
        <w:t>م الطلبات وإدارة للبحث الدولي، خدمة جديدة لنظام معاهدة التعاون بشأن البراءات</w:t>
      </w:r>
      <w:r w:rsidR="00053238">
        <w:rPr>
          <w:rFonts w:hint="cs"/>
          <w:rtl/>
        </w:rPr>
        <w:t xml:space="preserve"> (المعاهدة)</w:t>
      </w:r>
      <w:r w:rsidRPr="00A63460">
        <w:rPr>
          <w:rtl/>
        </w:rPr>
        <w:t xml:space="preserve"> </w:t>
      </w:r>
      <w:r w:rsidR="0014771B">
        <w:rPr>
          <w:rFonts w:hint="cs"/>
          <w:rtl/>
        </w:rPr>
        <w:t>اسمها</w:t>
      </w:r>
      <w:r w:rsidRPr="00A63460">
        <w:rPr>
          <w:rtl/>
        </w:rPr>
        <w:t xml:space="preserve"> "</w:t>
      </w:r>
      <w:r w:rsidRPr="00A63460">
        <w:rPr>
          <w:cs/>
        </w:rPr>
        <w:t>‎</w:t>
      </w:r>
      <w:r w:rsidRPr="00A63460">
        <w:t>PCT</w:t>
      </w:r>
      <w:r w:rsidR="00950A5A">
        <w:t> </w:t>
      </w:r>
      <w:r w:rsidRPr="00A63460">
        <w:t>Direct</w:t>
      </w:r>
      <w:r w:rsidRPr="00A63460">
        <w:rPr>
          <w:rtl/>
        </w:rPr>
        <w:t>‏"</w:t>
      </w:r>
      <w:r w:rsidR="00950A5A">
        <w:rPr>
          <w:rFonts w:hint="cs"/>
          <w:rtl/>
        </w:rPr>
        <w:t xml:space="preserve"> </w:t>
      </w:r>
      <w:r w:rsidRPr="00A63460">
        <w:rPr>
          <w:rtl/>
        </w:rPr>
        <w:t>في 1</w:t>
      </w:r>
      <w:r w:rsidR="00950A5A">
        <w:rPr>
          <w:rFonts w:hint="cs"/>
          <w:rtl/>
        </w:rPr>
        <w:t> </w:t>
      </w:r>
      <w:r w:rsidRPr="00A63460">
        <w:rPr>
          <w:rtl/>
        </w:rPr>
        <w:t>نوفمب</w:t>
      </w:r>
      <w:r w:rsidR="00950A5A">
        <w:rPr>
          <w:rFonts w:hint="cs"/>
          <w:rtl/>
        </w:rPr>
        <w:t>ر </w:t>
      </w:r>
      <w:r w:rsidRPr="00A63460">
        <w:rPr>
          <w:rtl/>
        </w:rPr>
        <w:t xml:space="preserve">2014 (انظر مذكرة </w:t>
      </w:r>
      <w:r>
        <w:rPr>
          <w:rtl/>
        </w:rPr>
        <w:t xml:space="preserve">المكتب </w:t>
      </w:r>
      <w:r>
        <w:rPr>
          <w:rFonts w:hint="cs"/>
          <w:rtl/>
        </w:rPr>
        <w:t>المؤرخة في</w:t>
      </w:r>
      <w:r w:rsidRPr="00A63460">
        <w:rPr>
          <w:rtl/>
        </w:rPr>
        <w:t xml:space="preserve"> 18</w:t>
      </w:r>
      <w:r>
        <w:rPr>
          <w:rFonts w:hint="cs"/>
          <w:rtl/>
        </w:rPr>
        <w:t> </w:t>
      </w:r>
      <w:r w:rsidRPr="00A63460">
        <w:rPr>
          <w:rtl/>
        </w:rPr>
        <w:t>أغسطس</w:t>
      </w:r>
      <w:r w:rsidR="00950A5A">
        <w:rPr>
          <w:rFonts w:hint="cs"/>
          <w:rtl/>
        </w:rPr>
        <w:t> </w:t>
      </w:r>
      <w:r w:rsidRPr="00A63460">
        <w:rPr>
          <w:rtl/>
        </w:rPr>
        <w:t xml:space="preserve">2014 </w:t>
      </w:r>
      <w:r w:rsidR="0014771B">
        <w:rPr>
          <w:rFonts w:hint="cs"/>
          <w:rtl/>
        </w:rPr>
        <w:t>و</w:t>
      </w:r>
      <w:r w:rsidRPr="00A63460">
        <w:rPr>
          <w:rtl/>
        </w:rPr>
        <w:t>المنشورة في الجريدة الرسمية للمكت</w:t>
      </w:r>
      <w:r>
        <w:rPr>
          <w:rFonts w:hint="cs"/>
          <w:rtl/>
        </w:rPr>
        <w:t xml:space="preserve">ب </w:t>
      </w:r>
      <w:r w:rsidRPr="00950A5A">
        <w:rPr>
          <w:cs/>
        </w:rPr>
        <w:t>‎</w:t>
      </w:r>
      <w:r w:rsidRPr="00950A5A">
        <w:t>2014</w:t>
      </w:r>
      <w:r w:rsidRPr="00950A5A">
        <w:rPr>
          <w:rtl/>
        </w:rPr>
        <w:t xml:space="preserve">‏، </w:t>
      </w:r>
      <w:r w:rsidRPr="00950A5A">
        <w:rPr>
          <w:cs/>
        </w:rPr>
        <w:t>‎</w:t>
      </w:r>
      <w:r w:rsidRPr="00950A5A">
        <w:t>A89</w:t>
      </w:r>
      <w:r w:rsidRPr="00950A5A">
        <w:rPr>
          <w:rtl/>
        </w:rPr>
        <w:t>‏)</w:t>
      </w:r>
      <w:r w:rsidRPr="00A63460">
        <w:rPr>
          <w:rtl/>
        </w:rPr>
        <w:t>.</w:t>
      </w:r>
    </w:p>
    <w:p w:rsidR="0014771B" w:rsidRDefault="0014771B" w:rsidP="00053238">
      <w:pPr>
        <w:pStyle w:val="NumberedParaAR"/>
      </w:pPr>
      <w:r>
        <w:rPr>
          <w:rFonts w:hint="cs"/>
          <w:rtl/>
        </w:rPr>
        <w:t xml:space="preserve">ووسِّع نطاق استخدام </w:t>
      </w:r>
      <w:r w:rsidR="00950A5A">
        <w:rPr>
          <w:rFonts w:hint="cs"/>
          <w:rtl/>
        </w:rPr>
        <w:t xml:space="preserve">نظام </w:t>
      </w:r>
      <w:r>
        <w:t>PCT Direct</w:t>
      </w:r>
      <w:r>
        <w:rPr>
          <w:rFonts w:hint="cs"/>
          <w:rtl/>
        </w:rPr>
        <w:t xml:space="preserve"> في 1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يوليو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2015 ليشمل جميع مكاتب تسلّم الطلبات. ومن ثم، أصبح المودعون، الذين اختاروا المكتب كإدارة للبحث الدولي، قادرين على</w:t>
      </w:r>
      <w:r w:rsidRPr="0014771B">
        <w:rPr>
          <w:rtl/>
        </w:rPr>
        <w:t xml:space="preserve"> تقديم رسائل </w:t>
      </w:r>
      <w:r w:rsidR="00950A5A">
        <w:rPr>
          <w:rFonts w:hint="cs"/>
          <w:rtl/>
        </w:rPr>
        <w:t xml:space="preserve">نظام </w:t>
      </w:r>
      <w:r w:rsidR="00950A5A">
        <w:t>PCT Direct</w:t>
      </w:r>
      <w:r w:rsidR="00950A5A">
        <w:rPr>
          <w:rFonts w:hint="cs"/>
          <w:rtl/>
        </w:rPr>
        <w:t xml:space="preserve"> </w:t>
      </w:r>
      <w:r w:rsidRPr="0014771B">
        <w:rPr>
          <w:rtl/>
        </w:rPr>
        <w:t>برفقة طلباتهم بغض النظر عن مكتب تسل</w:t>
      </w:r>
      <w:r w:rsidR="00950A5A">
        <w:rPr>
          <w:rFonts w:hint="cs"/>
          <w:rtl/>
        </w:rPr>
        <w:t>ّ</w:t>
      </w:r>
      <w:r w:rsidRPr="0014771B">
        <w:rPr>
          <w:rtl/>
        </w:rPr>
        <w:t>م الطلبات</w:t>
      </w:r>
      <w:r>
        <w:rPr>
          <w:rFonts w:hint="cs"/>
          <w:rtl/>
        </w:rPr>
        <w:t xml:space="preserve"> (انظر مذكرة المكتب المؤرخة في 22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يونيو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2015 و</w:t>
      </w:r>
      <w:r w:rsidRPr="00A63460">
        <w:rPr>
          <w:rtl/>
        </w:rPr>
        <w:t>المنشورة في الجريدة الرسمية للمكت</w:t>
      </w:r>
      <w:r>
        <w:rPr>
          <w:rFonts w:hint="cs"/>
          <w:rtl/>
        </w:rPr>
        <w:t xml:space="preserve">ب </w:t>
      </w:r>
      <w:r w:rsidRPr="00A63460">
        <w:rPr>
          <w:cs/>
        </w:rPr>
        <w:t>‎</w:t>
      </w:r>
      <w:r>
        <w:t>2015</w:t>
      </w:r>
      <w:r w:rsidRPr="00A63460">
        <w:rPr>
          <w:rtl/>
        </w:rPr>
        <w:t xml:space="preserve">‏، </w:t>
      </w:r>
      <w:r w:rsidRPr="00A63460">
        <w:rPr>
          <w:cs/>
        </w:rPr>
        <w:t>‎</w:t>
      </w:r>
      <w:r w:rsidRPr="00A63460">
        <w:t>A</w:t>
      </w:r>
      <w:r>
        <w:t>51</w:t>
      </w:r>
      <w:r>
        <w:rPr>
          <w:rFonts w:hint="cs"/>
          <w:rtl/>
        </w:rPr>
        <w:t>). وبات مكتب إسرائيل للبراءات يوفر خدمة مشابهة منذ 1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أبريل</w:t>
      </w:r>
      <w:r w:rsidR="00950A5A">
        <w:rPr>
          <w:rFonts w:hint="eastAsia"/>
          <w:rtl/>
        </w:rPr>
        <w:t> </w:t>
      </w:r>
      <w:r>
        <w:rPr>
          <w:rFonts w:hint="cs"/>
          <w:rtl/>
        </w:rPr>
        <w:t>2015</w:t>
      </w:r>
      <w:r w:rsidR="00950A5A">
        <w:rPr>
          <w:rFonts w:hint="cs"/>
          <w:rtl/>
        </w:rPr>
        <w:t>؛</w:t>
      </w:r>
      <w:r>
        <w:rPr>
          <w:rFonts w:hint="cs"/>
          <w:rtl/>
        </w:rPr>
        <w:t xml:space="preserve"> ولأي إدارة بحث دولي أخرى أن تقرر تو</w:t>
      </w:r>
      <w:r w:rsidR="00950A5A">
        <w:rPr>
          <w:rFonts w:hint="cs"/>
          <w:rtl/>
        </w:rPr>
        <w:t>فير خدمة مماثلة في أي وقت. وكُيِّ</w:t>
      </w:r>
      <w:r>
        <w:rPr>
          <w:rFonts w:hint="cs"/>
          <w:rtl/>
        </w:rPr>
        <w:t xml:space="preserve">فت أدوات الإيداع الإلكتروني بناء على </w:t>
      </w:r>
      <w:r w:rsidR="00053238">
        <w:rPr>
          <w:rFonts w:hint="cs"/>
          <w:rtl/>
        </w:rPr>
        <w:t>المعاهدة</w:t>
      </w:r>
      <w:r>
        <w:rPr>
          <w:rFonts w:hint="cs"/>
          <w:rtl/>
        </w:rPr>
        <w:t xml:space="preserve"> ومنها نظام الإيداع الإلكتروني لمعاهدة التعاون بشأن البراءات (</w:t>
      </w:r>
      <w:proofErr w:type="spellStart"/>
      <w:r>
        <w:t>ePCT</w:t>
      </w:r>
      <w:proofErr w:type="spellEnd"/>
      <w:r>
        <w:rPr>
          <w:rFonts w:hint="cs"/>
          <w:rtl/>
        </w:rPr>
        <w:t xml:space="preserve">)؛ وعدِّلت </w:t>
      </w:r>
      <w:r w:rsidRPr="0014771B">
        <w:rPr>
          <w:rtl/>
        </w:rPr>
        <w:t>المبادئ التوجيهية لمكاتب تسل</w:t>
      </w:r>
      <w:r w:rsidR="00950A5A">
        <w:rPr>
          <w:rFonts w:hint="cs"/>
          <w:rtl/>
        </w:rPr>
        <w:t>ّ</w:t>
      </w:r>
      <w:r w:rsidRPr="0014771B">
        <w:rPr>
          <w:rtl/>
        </w:rPr>
        <w:t xml:space="preserve">م الطلبات من أجل ضمان </w:t>
      </w:r>
      <w:r w:rsidR="00950A5A">
        <w:rPr>
          <w:rFonts w:hint="cs"/>
          <w:rtl/>
        </w:rPr>
        <w:t>ال</w:t>
      </w:r>
      <w:r w:rsidRPr="0014771B">
        <w:rPr>
          <w:rtl/>
        </w:rPr>
        <w:t xml:space="preserve">تنفيذ </w:t>
      </w:r>
      <w:r w:rsidR="00950A5A">
        <w:rPr>
          <w:rFonts w:hint="cs"/>
          <w:rtl/>
        </w:rPr>
        <w:t>ال</w:t>
      </w:r>
      <w:r w:rsidRPr="0014771B">
        <w:rPr>
          <w:rtl/>
        </w:rPr>
        <w:t xml:space="preserve">سلس لرسائل </w:t>
      </w:r>
      <w:r w:rsidR="004154C2">
        <w:rPr>
          <w:rFonts w:hint="cs"/>
          <w:rtl/>
        </w:rPr>
        <w:t xml:space="preserve">نظام </w:t>
      </w:r>
      <w:r w:rsidR="00950A5A">
        <w:t>P</w:t>
      </w:r>
      <w:bookmarkStart w:id="2" w:name="_GoBack"/>
      <w:bookmarkEnd w:id="2"/>
      <w:r w:rsidR="00950A5A">
        <w:t>CT Direct</w:t>
      </w:r>
      <w:r w:rsidRPr="0014771B">
        <w:rPr>
          <w:rtl/>
        </w:rPr>
        <w:t xml:space="preserve"> </w:t>
      </w:r>
      <w:r>
        <w:rPr>
          <w:rFonts w:hint="cs"/>
          <w:rtl/>
        </w:rPr>
        <w:t>في</w:t>
      </w:r>
      <w:r w:rsidRPr="0014771B">
        <w:rPr>
          <w:rtl/>
        </w:rPr>
        <w:t xml:space="preserve"> مكاتب تسل</w:t>
      </w:r>
      <w:r w:rsidR="00950A5A">
        <w:rPr>
          <w:rFonts w:hint="cs"/>
          <w:rtl/>
        </w:rPr>
        <w:t>ّ</w:t>
      </w:r>
      <w:r w:rsidRPr="0014771B">
        <w:rPr>
          <w:rtl/>
        </w:rPr>
        <w:t>م الطلبات</w:t>
      </w:r>
      <w:r>
        <w:rPr>
          <w:rFonts w:hint="cs"/>
          <w:rtl/>
        </w:rPr>
        <w:t xml:space="preserve"> (الفقرة </w:t>
      </w:r>
      <w:r w:rsidR="00950A5A">
        <w:t>116E</w:t>
      </w:r>
      <w:r w:rsidR="004154C2" w:rsidRPr="004154C2">
        <w:rPr>
          <w:rFonts w:hint="cs"/>
          <w:rtl/>
        </w:rPr>
        <w:t xml:space="preserve"> </w:t>
      </w:r>
      <w:r w:rsidR="004154C2">
        <w:rPr>
          <w:rFonts w:hint="cs"/>
          <w:rtl/>
        </w:rPr>
        <w:t>الجديدة</w:t>
      </w:r>
      <w:r>
        <w:rPr>
          <w:rFonts w:hint="cs"/>
          <w:rtl/>
        </w:rPr>
        <w:t>).</w:t>
      </w:r>
    </w:p>
    <w:p w:rsidR="00CB79E4" w:rsidRDefault="0014771B" w:rsidP="00807408">
      <w:pPr>
        <w:pStyle w:val="NumberedParaAR"/>
        <w:keepLines/>
      </w:pPr>
      <w:r w:rsidRPr="0014771B">
        <w:rPr>
          <w:rtl/>
        </w:rPr>
        <w:lastRenderedPageBreak/>
        <w:t xml:space="preserve">‏وبموجب نظام </w:t>
      </w:r>
      <w:r w:rsidRPr="0014771B">
        <w:rPr>
          <w:cs/>
        </w:rPr>
        <w:t>‎</w:t>
      </w:r>
      <w:r w:rsidRPr="0014771B">
        <w:t>PCT</w:t>
      </w:r>
      <w:r w:rsidR="004154C2">
        <w:t> </w:t>
      </w:r>
      <w:r w:rsidRPr="0014771B">
        <w:t>Direct</w:t>
      </w:r>
      <w:r>
        <w:rPr>
          <w:rtl/>
        </w:rPr>
        <w:t>‏</w:t>
      </w:r>
      <w:r w:rsidRPr="0014771B">
        <w:rPr>
          <w:rtl/>
        </w:rPr>
        <w:t xml:space="preserve">، </w:t>
      </w:r>
      <w:r w:rsidR="004154C2">
        <w:rPr>
          <w:rFonts w:hint="cs"/>
          <w:rtl/>
        </w:rPr>
        <w:t>يجوز</w:t>
      </w:r>
      <w:r w:rsidRPr="0014771B">
        <w:rPr>
          <w:rtl/>
        </w:rPr>
        <w:t xml:space="preserve"> </w:t>
      </w:r>
      <w:r w:rsidR="004154C2">
        <w:rPr>
          <w:rFonts w:hint="cs"/>
          <w:rtl/>
        </w:rPr>
        <w:t>ل</w:t>
      </w:r>
      <w:r w:rsidRPr="0014771B">
        <w:rPr>
          <w:rtl/>
        </w:rPr>
        <w:t>لمودع الذي يقدم طلبا</w:t>
      </w:r>
      <w:r w:rsidR="004154C2">
        <w:rPr>
          <w:rFonts w:hint="cs"/>
          <w:rtl/>
        </w:rPr>
        <w:t>ً</w:t>
      </w:r>
      <w:r w:rsidRPr="0014771B">
        <w:rPr>
          <w:rtl/>
        </w:rPr>
        <w:t xml:space="preserve"> دوليا</w:t>
      </w:r>
      <w:r w:rsidR="004154C2">
        <w:rPr>
          <w:rFonts w:hint="cs"/>
          <w:rtl/>
        </w:rPr>
        <w:t>ً</w:t>
      </w:r>
      <w:r w:rsidRPr="0014771B">
        <w:rPr>
          <w:rtl/>
        </w:rPr>
        <w:t xml:space="preserve"> يطالب فيه بأولوية طلب سابق يكون المكتب قد بحث </w:t>
      </w:r>
      <w:r w:rsidRPr="004154C2">
        <w:rPr>
          <w:rtl/>
        </w:rPr>
        <w:t>فيه</w:t>
      </w:r>
      <w:r w:rsidRPr="0014771B">
        <w:rPr>
          <w:rtl/>
        </w:rPr>
        <w:t xml:space="preserve"> </w:t>
      </w:r>
      <w:r w:rsidR="004154C2">
        <w:rPr>
          <w:rFonts w:hint="cs"/>
          <w:rtl/>
        </w:rPr>
        <w:t>أن يرد</w:t>
      </w:r>
      <w:r w:rsidRPr="0014771B">
        <w:rPr>
          <w:rtl/>
        </w:rPr>
        <w:t xml:space="preserve"> على أي اعتراضات تثار بشأن قرار البحث الذي أُعد لأغراض طلب الأولوية. و</w:t>
      </w:r>
      <w:r w:rsidR="004154C2">
        <w:rPr>
          <w:rFonts w:hint="cs"/>
          <w:rtl/>
        </w:rPr>
        <w:t>ي</w:t>
      </w:r>
      <w:r w:rsidRPr="0014771B">
        <w:rPr>
          <w:rtl/>
        </w:rPr>
        <w:t xml:space="preserve">بسط </w:t>
      </w:r>
      <w:r w:rsidR="004154C2">
        <w:rPr>
          <w:rFonts w:hint="cs"/>
          <w:rtl/>
        </w:rPr>
        <w:t>هذا النظام الجديد</w:t>
      </w:r>
      <w:r w:rsidRPr="0014771B">
        <w:rPr>
          <w:rtl/>
        </w:rPr>
        <w:t xml:space="preserve"> تقييم الطلب الدولي </w:t>
      </w:r>
      <w:r w:rsidR="004154C2">
        <w:rPr>
          <w:rFonts w:hint="cs"/>
          <w:rtl/>
        </w:rPr>
        <w:t>ويضفي</w:t>
      </w:r>
      <w:r w:rsidRPr="0014771B">
        <w:rPr>
          <w:rtl/>
        </w:rPr>
        <w:t xml:space="preserve"> قيمة </w:t>
      </w:r>
      <w:r w:rsidR="004154C2">
        <w:rPr>
          <w:rFonts w:hint="cs"/>
          <w:rtl/>
        </w:rPr>
        <w:t xml:space="preserve">على </w:t>
      </w:r>
      <w:r w:rsidRPr="0014771B">
        <w:rPr>
          <w:rtl/>
        </w:rPr>
        <w:t xml:space="preserve">تقرير البحث الدولي والرأي المكتوب </w:t>
      </w:r>
      <w:r w:rsidR="004154C2">
        <w:rPr>
          <w:rFonts w:hint="cs"/>
          <w:rtl/>
        </w:rPr>
        <w:t>اللذين يضعهما</w:t>
      </w:r>
      <w:r w:rsidR="004154C2" w:rsidRPr="0014771B">
        <w:rPr>
          <w:rtl/>
        </w:rPr>
        <w:t xml:space="preserve"> </w:t>
      </w:r>
      <w:r w:rsidRPr="0014771B">
        <w:rPr>
          <w:rtl/>
        </w:rPr>
        <w:t>المكتب.</w:t>
      </w:r>
      <w:r>
        <w:rPr>
          <w:rFonts w:hint="cs"/>
          <w:rtl/>
        </w:rPr>
        <w:t xml:space="preserve"> ويربط بفعالية </w:t>
      </w:r>
      <w:r w:rsidR="00C76974">
        <w:rPr>
          <w:rFonts w:hint="cs"/>
          <w:rtl/>
        </w:rPr>
        <w:t xml:space="preserve">بين </w:t>
      </w:r>
      <w:r>
        <w:rPr>
          <w:rFonts w:hint="cs"/>
          <w:rtl/>
        </w:rPr>
        <w:t xml:space="preserve">الإيداعات الأولى لدى المكتب والطلبات الدولية اللاحقة المودعة </w:t>
      </w:r>
      <w:r w:rsidR="00C76974">
        <w:rPr>
          <w:rFonts w:hint="cs"/>
          <w:rtl/>
        </w:rPr>
        <w:t>لديه</w:t>
      </w:r>
      <w:r>
        <w:rPr>
          <w:rFonts w:hint="cs"/>
          <w:rtl/>
        </w:rPr>
        <w:t xml:space="preserve"> بوصفه إدارة للبحث الدولي. و</w:t>
      </w:r>
      <w:r w:rsidR="00C76974">
        <w:rPr>
          <w:rFonts w:hint="cs"/>
          <w:rtl/>
        </w:rPr>
        <w:t>ت</w:t>
      </w:r>
      <w:r>
        <w:rPr>
          <w:rFonts w:hint="cs"/>
          <w:rtl/>
        </w:rPr>
        <w:t xml:space="preserve">مكِّن </w:t>
      </w:r>
      <w:r w:rsidR="00C76974">
        <w:rPr>
          <w:rFonts w:hint="cs"/>
          <w:rtl/>
        </w:rPr>
        <w:t>رسالة</w:t>
      </w:r>
      <w:r>
        <w:rPr>
          <w:rFonts w:hint="cs"/>
          <w:rtl/>
        </w:rPr>
        <w:t xml:space="preserve"> </w:t>
      </w:r>
      <w:r>
        <w:t>PCT Direct</w:t>
      </w:r>
      <w:r>
        <w:rPr>
          <w:rFonts w:hint="cs"/>
          <w:rtl/>
        </w:rPr>
        <w:t xml:space="preserve"> الفاحصين والمودعين من الاستفادة من العمل المنجز في الإيداع</w:t>
      </w:r>
      <w:r w:rsidR="00E959CD">
        <w:rPr>
          <w:rFonts w:hint="cs"/>
          <w:rtl/>
        </w:rPr>
        <w:t>ات</w:t>
      </w:r>
      <w:r>
        <w:rPr>
          <w:rFonts w:hint="cs"/>
          <w:rtl/>
        </w:rPr>
        <w:t xml:space="preserve"> الأول</w:t>
      </w:r>
      <w:r w:rsidR="00E959CD">
        <w:rPr>
          <w:rFonts w:hint="cs"/>
          <w:rtl/>
        </w:rPr>
        <w:t>ى</w:t>
      </w:r>
      <w:r>
        <w:rPr>
          <w:rFonts w:hint="cs"/>
          <w:rtl/>
        </w:rPr>
        <w:t xml:space="preserve">. </w:t>
      </w:r>
      <w:r w:rsidRPr="00053238">
        <w:rPr>
          <w:rFonts w:hint="cs"/>
          <w:rtl/>
        </w:rPr>
        <w:t>و</w:t>
      </w:r>
      <w:r w:rsidR="00807408" w:rsidRPr="00053238">
        <w:rPr>
          <w:rFonts w:hint="cs"/>
          <w:rtl/>
        </w:rPr>
        <w:t>عند إعداد تقرير البحث الدولي والرأي المكتوب لإدارة البحث الدولي، يراعي</w:t>
      </w:r>
      <w:r w:rsidRPr="00053238">
        <w:rPr>
          <w:rFonts w:hint="cs"/>
          <w:rtl/>
        </w:rPr>
        <w:t xml:space="preserve"> </w:t>
      </w:r>
      <w:r w:rsidR="008F01F9" w:rsidRPr="00053238">
        <w:rPr>
          <w:rFonts w:hint="cs"/>
          <w:rtl/>
        </w:rPr>
        <w:t xml:space="preserve">الفاحص </w:t>
      </w:r>
      <w:r w:rsidR="00C76974" w:rsidRPr="00053238">
        <w:rPr>
          <w:rFonts w:hint="cs"/>
          <w:rtl/>
        </w:rPr>
        <w:t xml:space="preserve">نتائج إجراء </w:t>
      </w:r>
      <w:r w:rsidR="008F01F9" w:rsidRPr="00053238">
        <w:rPr>
          <w:rFonts w:hint="cs"/>
          <w:rtl/>
        </w:rPr>
        <w:t xml:space="preserve">الفصل الأول من </w:t>
      </w:r>
      <w:r w:rsidR="00807408" w:rsidRPr="00053238">
        <w:rPr>
          <w:rFonts w:hint="cs"/>
          <w:rtl/>
        </w:rPr>
        <w:t>ال</w:t>
      </w:r>
      <w:r w:rsidR="008F01F9" w:rsidRPr="00053238">
        <w:rPr>
          <w:rFonts w:hint="cs"/>
          <w:rtl/>
        </w:rPr>
        <w:t xml:space="preserve">معاهدة في </w:t>
      </w:r>
      <w:r w:rsidR="00DE3A76" w:rsidRPr="00053238">
        <w:rPr>
          <w:rFonts w:hint="cs"/>
          <w:rtl/>
        </w:rPr>
        <w:t>المكتب</w:t>
      </w:r>
      <w:r w:rsidR="008F01F9" w:rsidRPr="00053238">
        <w:rPr>
          <w:rFonts w:hint="cs"/>
          <w:rtl/>
        </w:rPr>
        <w:t xml:space="preserve"> </w:t>
      </w:r>
      <w:r w:rsidR="00807408" w:rsidRPr="00053238">
        <w:rPr>
          <w:rFonts w:hint="cs"/>
          <w:rtl/>
        </w:rPr>
        <w:t>بوصفه مكتباً لتسلّم الطلبات لضمان الاتساق مع</w:t>
      </w:r>
      <w:r w:rsidR="00781D16" w:rsidRPr="00053238">
        <w:rPr>
          <w:rFonts w:hint="cs"/>
          <w:rtl/>
        </w:rPr>
        <w:t xml:space="preserve"> نتائج </w:t>
      </w:r>
      <w:r w:rsidR="008F01F9" w:rsidRPr="00053238">
        <w:rPr>
          <w:rFonts w:hint="cs"/>
          <w:rtl/>
        </w:rPr>
        <w:t xml:space="preserve">الإجراء في </w:t>
      </w:r>
      <w:r w:rsidR="00DE3A76" w:rsidRPr="00053238">
        <w:rPr>
          <w:rFonts w:hint="cs"/>
          <w:rtl/>
        </w:rPr>
        <w:t xml:space="preserve">المكتب بوصفه إدارة </w:t>
      </w:r>
      <w:r w:rsidR="00807408" w:rsidRPr="00053238">
        <w:rPr>
          <w:rFonts w:hint="cs"/>
          <w:rtl/>
        </w:rPr>
        <w:t>ل</w:t>
      </w:r>
      <w:r w:rsidR="00DE3A76" w:rsidRPr="00053238">
        <w:rPr>
          <w:rFonts w:hint="cs"/>
          <w:rtl/>
        </w:rPr>
        <w:t>لبحث الدولي</w:t>
      </w:r>
      <w:r w:rsidR="008F01F9" w:rsidRPr="00053238">
        <w:rPr>
          <w:rFonts w:hint="cs"/>
          <w:rtl/>
        </w:rPr>
        <w:t xml:space="preserve">؛ </w:t>
      </w:r>
      <w:r w:rsidR="00C76974" w:rsidRPr="00053238">
        <w:rPr>
          <w:rFonts w:hint="cs"/>
          <w:rtl/>
        </w:rPr>
        <w:t>و</w:t>
      </w:r>
      <w:r w:rsidR="00C76974">
        <w:rPr>
          <w:rFonts w:hint="cs"/>
          <w:rtl/>
        </w:rPr>
        <w:t>هي تجربة أثبتت إيجابيتها على مدار السنوات الماضية</w:t>
      </w:r>
      <w:r w:rsidR="008F01F9" w:rsidRPr="00C76974">
        <w:rPr>
          <w:rFonts w:hint="cs"/>
          <w:rtl/>
        </w:rPr>
        <w:t>.</w:t>
      </w:r>
    </w:p>
    <w:p w:rsidR="008F01F9" w:rsidRDefault="008F01F9" w:rsidP="00053238">
      <w:pPr>
        <w:pStyle w:val="NumberedParaAR"/>
      </w:pPr>
      <w:r>
        <w:rPr>
          <w:rFonts w:hint="cs"/>
          <w:rtl/>
        </w:rPr>
        <w:t>وينبغي للمودع الراغب في استخدام هذه الخدمة أن يعدُّ وثيقة بعنوان "</w:t>
      </w:r>
      <w:r w:rsidRPr="008F01F9">
        <w:rPr>
          <w:rtl/>
        </w:rPr>
        <w:t>نظا</w:t>
      </w:r>
      <w:r>
        <w:rPr>
          <w:rFonts w:hint="cs"/>
          <w:rtl/>
        </w:rPr>
        <w:t xml:space="preserve">م </w:t>
      </w:r>
      <w:r w:rsidRPr="008F01F9">
        <w:rPr>
          <w:cs/>
        </w:rPr>
        <w:t>‎</w:t>
      </w:r>
      <w:r w:rsidRPr="008F01F9">
        <w:t>PCT</w:t>
      </w:r>
      <w:r>
        <w:t> </w:t>
      </w:r>
      <w:r w:rsidRPr="008F01F9">
        <w:t>Direct</w:t>
      </w:r>
      <w:r w:rsidRPr="008F01F9">
        <w:rPr>
          <w:rtl/>
        </w:rPr>
        <w:t>‏/تعليقات غير رسمية</w:t>
      </w:r>
      <w:r>
        <w:rPr>
          <w:rFonts w:hint="cs"/>
          <w:rtl/>
        </w:rPr>
        <w:t xml:space="preserve">" حيث يبيِّن بوضوح في رأس الوثيقة رقم الطلب السابق. </w:t>
      </w:r>
      <w:r w:rsidRPr="008F01F9">
        <w:rPr>
          <w:rtl/>
        </w:rPr>
        <w:t xml:space="preserve">وينبغي تقديم رسالة </w:t>
      </w:r>
      <w:r w:rsidR="00C76974">
        <w:t>PCT Direct</w:t>
      </w:r>
      <w:r w:rsidRPr="008F01F9">
        <w:rPr>
          <w:rtl/>
        </w:rPr>
        <w:t xml:space="preserve"> وأية نسخة منقحة للمطالبات و/أو الوصف في وثيقة واحدة </w:t>
      </w:r>
      <w:r>
        <w:rPr>
          <w:rFonts w:hint="cs"/>
          <w:rtl/>
        </w:rPr>
        <w:t>(</w:t>
      </w:r>
      <w:r w:rsidRPr="008F01F9">
        <w:rPr>
          <w:rtl/>
        </w:rPr>
        <w:t xml:space="preserve">في نسق </w:t>
      </w:r>
      <w:r w:rsidRPr="008F01F9">
        <w:rPr>
          <w:cs/>
        </w:rPr>
        <w:t>‎</w:t>
      </w:r>
      <w:r w:rsidRPr="00053238">
        <w:t>PDF</w:t>
      </w:r>
      <w:r w:rsidRPr="00053238">
        <w:rPr>
          <w:rtl/>
        </w:rPr>
        <w:t xml:space="preserve">‏ </w:t>
      </w:r>
      <w:r w:rsidRPr="00053238">
        <w:rPr>
          <w:rFonts w:hint="cs"/>
          <w:rtl/>
        </w:rPr>
        <w:t>إذا أودعت إلكترونياً)</w:t>
      </w:r>
      <w:r>
        <w:rPr>
          <w:rFonts w:hint="cs"/>
          <w:rtl/>
        </w:rPr>
        <w:t xml:space="preserve"> </w:t>
      </w:r>
      <w:r w:rsidR="00053238">
        <w:rPr>
          <w:rFonts w:hint="cs"/>
          <w:rtl/>
        </w:rPr>
        <w:t>باستخدام</w:t>
      </w:r>
      <w:r w:rsidRPr="008F01F9">
        <w:rPr>
          <w:rtl/>
        </w:rPr>
        <w:t xml:space="preserve"> الإطار </w:t>
      </w:r>
      <w:r w:rsidRPr="008F01F9">
        <w:rPr>
          <w:cs/>
        </w:rPr>
        <w:t>‎</w:t>
      </w:r>
      <w:r w:rsidRPr="008F01F9">
        <w:t>IX</w:t>
      </w:r>
      <w:r w:rsidRPr="008F01F9">
        <w:rPr>
          <w:rtl/>
        </w:rPr>
        <w:t xml:space="preserve">‏ من الاستمارة </w:t>
      </w:r>
      <w:r w:rsidRPr="008F01F9">
        <w:t>PCT/RO/101</w:t>
      </w:r>
      <w:r w:rsidRPr="008F01F9">
        <w:rPr>
          <w:rtl/>
        </w:rPr>
        <w:t>‏</w:t>
      </w:r>
      <w:r>
        <w:rPr>
          <w:rFonts w:hint="cs"/>
          <w:rtl/>
        </w:rPr>
        <w:t xml:space="preserve">. </w:t>
      </w:r>
      <w:r w:rsidRPr="008F01F9">
        <w:rPr>
          <w:rtl/>
        </w:rPr>
        <w:t xml:space="preserve">وينبغي </w:t>
      </w:r>
      <w:r>
        <w:rPr>
          <w:rFonts w:hint="cs"/>
          <w:rtl/>
        </w:rPr>
        <w:t>ب</w:t>
      </w:r>
      <w:r w:rsidRPr="008F01F9">
        <w:rPr>
          <w:rtl/>
        </w:rPr>
        <w:t>وجه خ</w:t>
      </w:r>
      <w:r>
        <w:rPr>
          <w:rFonts w:hint="cs"/>
          <w:rtl/>
        </w:rPr>
        <w:t>ا</w:t>
      </w:r>
      <w:r w:rsidRPr="008F01F9">
        <w:rPr>
          <w:rtl/>
        </w:rPr>
        <w:t xml:space="preserve">ص وضع </w:t>
      </w:r>
      <w:r w:rsidR="00053238">
        <w:rPr>
          <w:rFonts w:hint="cs"/>
          <w:rtl/>
        </w:rPr>
        <w:t xml:space="preserve">علامة في خانة النقطة 11 "عناصر أخرى" وإضافة عبارة </w:t>
      </w:r>
      <w:r w:rsidRPr="008F01F9">
        <w:rPr>
          <w:rtl/>
        </w:rPr>
        <w:t>"نظا</w:t>
      </w:r>
      <w:r>
        <w:rPr>
          <w:rFonts w:hint="cs"/>
          <w:rtl/>
        </w:rPr>
        <w:t xml:space="preserve">م </w:t>
      </w:r>
      <w:r w:rsidRPr="008F01F9">
        <w:rPr>
          <w:cs/>
        </w:rPr>
        <w:t>‎</w:t>
      </w:r>
      <w:r w:rsidRPr="008F01F9">
        <w:t>PCT</w:t>
      </w:r>
      <w:r>
        <w:t> </w:t>
      </w:r>
      <w:r w:rsidRPr="008F01F9">
        <w:t>Direct</w:t>
      </w:r>
      <w:r w:rsidRPr="008F01F9">
        <w:rPr>
          <w:rtl/>
        </w:rPr>
        <w:t xml:space="preserve">‏/تعليقات غير رسمية" بالنسبة </w:t>
      </w:r>
      <w:r w:rsidR="00C76974">
        <w:rPr>
          <w:rFonts w:hint="cs"/>
          <w:rtl/>
        </w:rPr>
        <w:t>إلى ا</w:t>
      </w:r>
      <w:r w:rsidRPr="008F01F9">
        <w:rPr>
          <w:rtl/>
        </w:rPr>
        <w:t>لإيداع</w:t>
      </w:r>
      <w:r w:rsidR="00053238">
        <w:rPr>
          <w:rFonts w:hint="cs"/>
          <w:rtl/>
        </w:rPr>
        <w:t>ات</w:t>
      </w:r>
      <w:r w:rsidR="00053238">
        <w:rPr>
          <w:rtl/>
        </w:rPr>
        <w:t xml:space="preserve"> الورق</w:t>
      </w:r>
      <w:r w:rsidR="00053238">
        <w:rPr>
          <w:rFonts w:hint="cs"/>
          <w:rtl/>
        </w:rPr>
        <w:t>ية،</w:t>
      </w:r>
      <w:r w:rsidRPr="008F01F9">
        <w:rPr>
          <w:rtl/>
        </w:rPr>
        <w:t xml:space="preserve"> </w:t>
      </w:r>
      <w:r>
        <w:rPr>
          <w:rFonts w:hint="cs"/>
          <w:rtl/>
        </w:rPr>
        <w:t xml:space="preserve">وملحوظة </w:t>
      </w:r>
      <w:r w:rsidR="00B65ECF">
        <w:rPr>
          <w:rFonts w:hint="cs"/>
          <w:rtl/>
        </w:rPr>
        <w:t>في الإيداعات الإلكترونية باستخدام برمجية</w:t>
      </w:r>
      <w:r w:rsidR="00E959CD">
        <w:rPr>
          <w:rFonts w:hint="cs"/>
          <w:rtl/>
        </w:rPr>
        <w:t xml:space="preserve"> المكتب</w:t>
      </w:r>
      <w:r w:rsidR="00B65ECF">
        <w:rPr>
          <w:rFonts w:hint="cs"/>
          <w:rtl/>
        </w:rPr>
        <w:t xml:space="preserve"> </w:t>
      </w:r>
      <w:r w:rsidR="00E959CD">
        <w:rPr>
          <w:rFonts w:hint="cs"/>
          <w:rtl/>
        </w:rPr>
        <w:t>ل</w:t>
      </w:r>
      <w:r w:rsidR="00B65ECF">
        <w:rPr>
          <w:rFonts w:hint="cs"/>
          <w:rtl/>
        </w:rPr>
        <w:t xml:space="preserve">لإيداع الإلكتروني </w:t>
      </w:r>
      <w:r w:rsidR="00E959CD">
        <w:rPr>
          <w:rFonts w:hint="cs"/>
          <w:rtl/>
        </w:rPr>
        <w:t>(</w:t>
      </w:r>
      <w:r w:rsidR="00E959CD" w:rsidRPr="00E959CD">
        <w:rPr>
          <w:cs/>
        </w:rPr>
        <w:t>‎</w:t>
      </w:r>
      <w:proofErr w:type="spellStart"/>
      <w:r w:rsidR="00E959CD" w:rsidRPr="00E959CD">
        <w:t>eOLF</w:t>
      </w:r>
      <w:proofErr w:type="spellEnd"/>
      <w:r w:rsidR="00E959CD" w:rsidRPr="00E959CD">
        <w:rPr>
          <w:rtl/>
        </w:rPr>
        <w:t>‏</w:t>
      </w:r>
      <w:r w:rsidR="00E959CD">
        <w:rPr>
          <w:rFonts w:hint="cs"/>
          <w:rtl/>
        </w:rPr>
        <w:t>)</w:t>
      </w:r>
      <w:r w:rsidR="00B65ECF">
        <w:rPr>
          <w:rFonts w:hint="cs"/>
          <w:rtl/>
        </w:rPr>
        <w:t xml:space="preserve"> أو </w:t>
      </w:r>
      <w:r w:rsidR="00E959CD">
        <w:rPr>
          <w:rFonts w:hint="cs"/>
          <w:rtl/>
        </w:rPr>
        <w:t>نظامه الجديد للإيداع الإلكتروني</w:t>
      </w:r>
      <w:r w:rsidR="00B65ECF">
        <w:rPr>
          <w:rFonts w:hint="cs"/>
          <w:rtl/>
        </w:rPr>
        <w:t xml:space="preserve"> (</w:t>
      </w:r>
      <w:r w:rsidR="00E959CD">
        <w:t>CMS</w:t>
      </w:r>
      <w:r w:rsidR="00B65ECF">
        <w:rPr>
          <w:rFonts w:hint="cs"/>
          <w:rtl/>
        </w:rPr>
        <w:t xml:space="preserve">). وبالنسبة إلى الإيداعات الإلكترونية باستخدام منصة </w:t>
      </w:r>
      <w:proofErr w:type="spellStart"/>
      <w:r w:rsidR="00AD5434">
        <w:t>ePCT</w:t>
      </w:r>
      <w:proofErr w:type="spellEnd"/>
      <w:r w:rsidR="00B65ECF">
        <w:rPr>
          <w:rFonts w:hint="cs"/>
          <w:rtl/>
        </w:rPr>
        <w:t xml:space="preserve">، </w:t>
      </w:r>
      <w:r w:rsidR="00053238">
        <w:rPr>
          <w:rFonts w:hint="cs"/>
          <w:rtl/>
        </w:rPr>
        <w:t>ف</w:t>
      </w:r>
      <w:r w:rsidR="00B65ECF" w:rsidRPr="00B65ECF">
        <w:rPr>
          <w:rtl/>
        </w:rPr>
        <w:t xml:space="preserve">ينبغي </w:t>
      </w:r>
      <w:r w:rsidR="00B65ECF">
        <w:rPr>
          <w:rFonts w:hint="cs"/>
          <w:rtl/>
        </w:rPr>
        <w:t>رفع</w:t>
      </w:r>
      <w:r w:rsidR="00B65ECF" w:rsidRPr="00B65ECF">
        <w:rPr>
          <w:rtl/>
        </w:rPr>
        <w:t xml:space="preserve"> رسالة </w:t>
      </w:r>
      <w:r w:rsidR="00B65ECF">
        <w:t>PCT Direct</w:t>
      </w:r>
      <w:r w:rsidR="00B65ECF" w:rsidRPr="00B65ECF">
        <w:rPr>
          <w:rtl/>
        </w:rPr>
        <w:t xml:space="preserve"> وأية نسخة منقحة للمطالبات و/أو الوصف</w:t>
      </w:r>
      <w:r w:rsidR="00B65ECF">
        <w:rPr>
          <w:rFonts w:hint="cs"/>
          <w:rtl/>
        </w:rPr>
        <w:t xml:space="preserve"> </w:t>
      </w:r>
      <w:r w:rsidR="006B3B4E">
        <w:rPr>
          <w:rFonts w:hint="cs"/>
          <w:rtl/>
        </w:rPr>
        <w:t>بوصفها</w:t>
      </w:r>
      <w:r w:rsidRPr="008F01F9">
        <w:rPr>
          <w:rtl/>
        </w:rPr>
        <w:t xml:space="preserve"> "عناصر أخرى" </w:t>
      </w:r>
      <w:r w:rsidR="006B3B4E">
        <w:rPr>
          <w:rFonts w:hint="cs"/>
          <w:rtl/>
        </w:rPr>
        <w:t>عن طريق وضع علامة في خانة</w:t>
      </w:r>
      <w:r w:rsidR="00E959CD">
        <w:rPr>
          <w:rFonts w:hint="cs"/>
          <w:rtl/>
        </w:rPr>
        <w:t xml:space="preserve"> </w:t>
      </w:r>
      <w:r w:rsidR="00E959CD" w:rsidRPr="00E959CD">
        <w:rPr>
          <w:rtl/>
        </w:rPr>
        <w:t xml:space="preserve">"رسالة </w:t>
      </w:r>
      <w:r w:rsidR="00053238">
        <w:rPr>
          <w:rFonts w:hint="cs"/>
          <w:rtl/>
        </w:rPr>
        <w:t xml:space="preserve">من </w:t>
      </w:r>
      <w:r w:rsidR="00E959CD" w:rsidRPr="00E959CD">
        <w:rPr>
          <w:rtl/>
        </w:rPr>
        <w:t>المودع إلى إدارة البحث الدولي بشأن بحث سابق ("</w:t>
      </w:r>
      <w:r w:rsidR="00E959CD" w:rsidRPr="00E959CD">
        <w:t>PCT</w:t>
      </w:r>
      <w:r w:rsidR="00E959CD">
        <w:t> </w:t>
      </w:r>
      <w:r w:rsidR="00E959CD" w:rsidRPr="00E959CD">
        <w:t>Direct</w:t>
      </w:r>
      <w:r w:rsidR="00E959CD" w:rsidRPr="00E959CD">
        <w:rPr>
          <w:rtl/>
        </w:rPr>
        <w:t>")</w:t>
      </w:r>
      <w:r w:rsidR="00E959CD">
        <w:rPr>
          <w:rFonts w:hint="cs"/>
          <w:rtl/>
        </w:rPr>
        <w:t>.</w:t>
      </w:r>
    </w:p>
    <w:p w:rsidR="006B3B4E" w:rsidRDefault="006B3B4E" w:rsidP="00E959CD">
      <w:pPr>
        <w:pStyle w:val="NumberedParaAR"/>
      </w:pPr>
      <w:r>
        <w:rPr>
          <w:rFonts w:hint="cs"/>
          <w:rtl/>
        </w:rPr>
        <w:t>و</w:t>
      </w:r>
      <w:r w:rsidRPr="006B3B4E">
        <w:rPr>
          <w:rtl/>
        </w:rPr>
        <w:t xml:space="preserve">عند استلام رسالة </w:t>
      </w:r>
      <w:r w:rsidR="00E959CD">
        <w:rPr>
          <w:rFonts w:hint="cs"/>
          <w:rtl/>
        </w:rPr>
        <w:t xml:space="preserve">نظام </w:t>
      </w:r>
      <w:r w:rsidR="00E959CD">
        <w:t>PCT Direct</w:t>
      </w:r>
      <w:r w:rsidRPr="006B3B4E">
        <w:rPr>
          <w:rtl/>
        </w:rPr>
        <w:t xml:space="preserve">، سيعالج الطلب الدولي بموجب </w:t>
      </w:r>
      <w:r w:rsidR="00E959CD">
        <w:rPr>
          <w:rFonts w:hint="cs"/>
          <w:rtl/>
        </w:rPr>
        <w:t>هذا النظام</w:t>
      </w:r>
      <w:r w:rsidRPr="006B3B4E">
        <w:rPr>
          <w:rtl/>
        </w:rPr>
        <w:t xml:space="preserve"> في حال استيفاء الشرطين</w:t>
      </w:r>
      <w:r>
        <w:rPr>
          <w:rFonts w:hint="cs"/>
          <w:rtl/>
        </w:rPr>
        <w:t> </w:t>
      </w:r>
      <w:r w:rsidRPr="006B3B4E">
        <w:rPr>
          <w:rtl/>
        </w:rPr>
        <w:t>التاليين:</w:t>
      </w:r>
    </w:p>
    <w:p w:rsidR="006B3B4E" w:rsidRDefault="006B3B4E" w:rsidP="00FF3E36">
      <w:pPr>
        <w:pStyle w:val="NormalParaAR"/>
        <w:ind w:left="567"/>
      </w:pPr>
      <w:r>
        <w:rPr>
          <w:rtl/>
        </w:rPr>
        <w:t>‏</w:t>
      </w:r>
      <w:r>
        <w:rPr>
          <w:rFonts w:hint="cs"/>
          <w:rtl/>
        </w:rPr>
        <w:t>(أ)</w:t>
      </w:r>
      <w:r>
        <w:rPr>
          <w:rtl/>
        </w:rPr>
        <w:tab/>
        <w:t xml:space="preserve">أن تودع التعليقات غير الرسمية مع الطلب الدولي لدى المكتب </w:t>
      </w:r>
      <w:r w:rsidR="00FF3E36">
        <w:rPr>
          <w:rFonts w:hint="cs"/>
          <w:rtl/>
        </w:rPr>
        <w:t>بوصفه</w:t>
      </w:r>
      <w:r>
        <w:rPr>
          <w:rtl/>
        </w:rPr>
        <w:t xml:space="preserve"> مكتبا</w:t>
      </w:r>
      <w:r w:rsidR="00E959CD">
        <w:rPr>
          <w:rFonts w:hint="cs"/>
          <w:rtl/>
        </w:rPr>
        <w:t>ً</w:t>
      </w:r>
      <w:r>
        <w:rPr>
          <w:rtl/>
        </w:rPr>
        <w:t xml:space="preserve"> لتسل</w:t>
      </w:r>
      <w:r w:rsidR="00950A5A">
        <w:rPr>
          <w:rFonts w:hint="cs"/>
          <w:rtl/>
        </w:rPr>
        <w:t>ّ</w:t>
      </w:r>
      <w:r>
        <w:rPr>
          <w:rtl/>
        </w:rPr>
        <w:t>م الطلبات؛</w:t>
      </w:r>
    </w:p>
    <w:p w:rsidR="006B3B4E" w:rsidRDefault="006B3B4E" w:rsidP="00E959CD">
      <w:pPr>
        <w:pStyle w:val="NormalParaAR"/>
        <w:ind w:left="567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  <w:t>‏وأن يطالب الطلب الدولي بأولوية طلب سابق يكون المكتب قد بحث فيه (أي الإيداعات الأولية الأوروبية أو البعض من الإيداعات الأولية الوطنية).</w:t>
      </w:r>
    </w:p>
    <w:p w:rsidR="006B3B4E" w:rsidRDefault="006B3B4E" w:rsidP="00053238">
      <w:pPr>
        <w:pStyle w:val="NumberedParaAR"/>
      </w:pPr>
      <w:r>
        <w:rPr>
          <w:rFonts w:hint="cs"/>
          <w:rtl/>
        </w:rPr>
        <w:t xml:space="preserve">وتلقى المكتب منذ </w:t>
      </w:r>
      <w:r w:rsidR="00E959CD">
        <w:rPr>
          <w:rFonts w:hint="cs"/>
          <w:rtl/>
        </w:rPr>
        <w:t>إطلاق</w:t>
      </w:r>
      <w:r>
        <w:rPr>
          <w:rFonts w:hint="cs"/>
          <w:rtl/>
        </w:rPr>
        <w:t xml:space="preserve"> هذ</w:t>
      </w:r>
      <w:r w:rsidR="00E959CD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E959CD">
        <w:rPr>
          <w:rFonts w:hint="cs"/>
          <w:rtl/>
        </w:rPr>
        <w:t>النظام</w:t>
      </w:r>
      <w:r>
        <w:rPr>
          <w:rFonts w:hint="cs"/>
          <w:rtl/>
        </w:rPr>
        <w:t xml:space="preserve"> في 1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نوفمبر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2014 وحتى 31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مارس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2016 ما مجموعه 3048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طلباً بناء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 xml:space="preserve">على </w:t>
      </w:r>
      <w:r w:rsidR="00053238">
        <w:rPr>
          <w:rFonts w:hint="cs"/>
          <w:rtl/>
        </w:rPr>
        <w:t>المعاهدة</w:t>
      </w:r>
      <w:r>
        <w:rPr>
          <w:rFonts w:hint="cs"/>
          <w:rtl/>
        </w:rPr>
        <w:t xml:space="preserve"> أُرفقت بها رسائل</w:t>
      </w:r>
      <w:r w:rsidR="00E959CD">
        <w:rPr>
          <w:rFonts w:hint="cs"/>
          <w:rtl/>
        </w:rPr>
        <w:t xml:space="preserve"> نظام</w:t>
      </w:r>
      <w:r>
        <w:rPr>
          <w:rFonts w:hint="cs"/>
          <w:rtl/>
        </w:rPr>
        <w:t xml:space="preserve"> </w:t>
      </w:r>
      <w:r>
        <w:t>PCT Direct</w:t>
      </w:r>
      <w:r>
        <w:rPr>
          <w:rFonts w:hint="cs"/>
          <w:rtl/>
        </w:rPr>
        <w:t>. و</w:t>
      </w:r>
      <w:r w:rsidR="00E959CD">
        <w:rPr>
          <w:rFonts w:hint="cs"/>
          <w:rtl/>
        </w:rPr>
        <w:t>يعني ذلك أنه تلقى ما متوسطه</w:t>
      </w:r>
      <w:r>
        <w:rPr>
          <w:rFonts w:hint="cs"/>
          <w:rtl/>
        </w:rPr>
        <w:t xml:space="preserve"> 180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ملفاً في الشهر على مدار الفترة كلها (17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شهراً) و200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>ملف في الشهر على مدار السنة الماضية (مارس</w:t>
      </w:r>
      <w:r w:rsidR="00053238">
        <w:rPr>
          <w:rFonts w:hint="eastAsia"/>
          <w:rtl/>
        </w:rPr>
        <w:t> </w:t>
      </w:r>
      <w:r>
        <w:rPr>
          <w:rFonts w:hint="cs"/>
          <w:rtl/>
        </w:rPr>
        <w:t>2015 إلى مارس</w:t>
      </w:r>
      <w:r w:rsidR="00E959CD">
        <w:rPr>
          <w:rFonts w:hint="eastAsia"/>
          <w:rtl/>
        </w:rPr>
        <w:t> </w:t>
      </w:r>
      <w:r>
        <w:rPr>
          <w:rFonts w:hint="cs"/>
          <w:rtl/>
        </w:rPr>
        <w:t xml:space="preserve">2016). </w:t>
      </w:r>
      <w:r w:rsidRPr="006B3B4E">
        <w:rPr>
          <w:rtl/>
        </w:rPr>
        <w:t xml:space="preserve">وأشادت مجموعات المستخدمين بإطلاق هذه الخدمة الجديدة لأنها </w:t>
      </w:r>
      <w:r w:rsidR="00FF3E36">
        <w:rPr>
          <w:rFonts w:hint="cs"/>
          <w:rtl/>
        </w:rPr>
        <w:t>تحقق المزيد من الفعالية</w:t>
      </w:r>
      <w:r w:rsidRPr="006B3B4E">
        <w:rPr>
          <w:rtl/>
        </w:rPr>
        <w:t xml:space="preserve"> سواء بالنسبة </w:t>
      </w:r>
      <w:r w:rsidR="00FF3E36">
        <w:rPr>
          <w:rFonts w:hint="cs"/>
          <w:rtl/>
        </w:rPr>
        <w:t>إلي</w:t>
      </w:r>
      <w:r w:rsidRPr="006B3B4E">
        <w:rPr>
          <w:rtl/>
        </w:rPr>
        <w:t xml:space="preserve">هم </w:t>
      </w:r>
      <w:r w:rsidR="00FF3E36">
        <w:rPr>
          <w:rFonts w:hint="cs"/>
          <w:rtl/>
        </w:rPr>
        <w:t xml:space="preserve">أو </w:t>
      </w:r>
      <w:r w:rsidR="00053238">
        <w:rPr>
          <w:rFonts w:hint="cs"/>
          <w:rtl/>
        </w:rPr>
        <w:t>بالنسبة إلى ال</w:t>
      </w:r>
      <w:r w:rsidRPr="006B3B4E">
        <w:rPr>
          <w:rtl/>
        </w:rPr>
        <w:t>مكتب بصفته إدارة للبحث الدولي.</w:t>
      </w:r>
    </w:p>
    <w:p w:rsidR="006B3B4E" w:rsidRPr="0014771B" w:rsidRDefault="006B3B4E" w:rsidP="00BC261D">
      <w:pPr>
        <w:pStyle w:val="DecisionParaAR"/>
        <w:spacing w:after="720"/>
        <w:rPr>
          <w:rtl/>
        </w:rPr>
      </w:pPr>
      <w:r>
        <w:rPr>
          <w:rFonts w:hint="cs"/>
          <w:rtl/>
        </w:rPr>
        <w:t>إن الفريق العامل مدعو إلى الإحاطة علماً بمضمون هذه الوثيقة.</w:t>
      </w:r>
    </w:p>
    <w:p w:rsidR="005C64F7" w:rsidRDefault="00A63460" w:rsidP="00A63460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5C64F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B1" w:rsidRDefault="00C41CB1">
      <w:r>
        <w:separator/>
      </w:r>
    </w:p>
  </w:endnote>
  <w:endnote w:type="continuationSeparator" w:id="0">
    <w:p w:rsidR="00C41CB1" w:rsidRDefault="00C4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B1" w:rsidRDefault="00C41CB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41CB1" w:rsidRDefault="00C41CB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1E3F88">
    <w:r>
      <w:t>PCT</w:t>
    </w:r>
    <w:r w:rsidR="00772E46">
      <w:t>/</w:t>
    </w:r>
    <w:r w:rsidR="00C742C5">
      <w:t>WG</w:t>
    </w:r>
    <w:r w:rsidR="002F77FC">
      <w:t>/</w:t>
    </w:r>
    <w:r w:rsidR="001E3F88">
      <w:t>9</w:t>
    </w:r>
    <w:r w:rsidR="0014771B">
      <w:t>/21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326B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3CC855BE"/>
    <w:lvl w:ilvl="0" w:tplc="B052C222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6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23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771B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4C2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323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1200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B4E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D16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40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1F9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0A5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46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434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5ECF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61D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1CB1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974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A76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2825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6B1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9CD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3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A63460"/>
    <w:pPr>
      <w:numPr>
        <w:numId w:val="21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A634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3460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BC26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261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61D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C261D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E12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074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A63460"/>
    <w:pPr>
      <w:numPr>
        <w:numId w:val="21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A634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3460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BC26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261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61D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C261D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E12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07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8948-5D36-4292-A67F-1FD5A0F5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</Template>
  <TotalTime>227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PCT/WG/9/21 (Arabic)</vt:lpstr>
    </vt:vector>
  </TitlesOfParts>
  <Company>World Intellectual Property Organization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PCT/WG/9/21 (Arabic)</dc:title>
  <dc:creator>Ahmed Hassan</dc:creator>
  <cp:lastModifiedBy>Ahmed Hassan</cp:lastModifiedBy>
  <cp:revision>7</cp:revision>
  <cp:lastPrinted>2015-01-29T08:17:00Z</cp:lastPrinted>
  <dcterms:created xsi:type="dcterms:W3CDTF">2016-04-28T13:13:00Z</dcterms:created>
  <dcterms:modified xsi:type="dcterms:W3CDTF">2016-04-29T08:24:00Z</dcterms:modified>
</cp:coreProperties>
</file>