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1E3F88">
            <w:pPr>
              <w:pStyle w:val="DocumentCodeAR"/>
              <w:bidi/>
              <w:rPr>
                <w:rtl/>
              </w:rPr>
            </w:pPr>
            <w:r>
              <w:t>PCT</w:t>
            </w:r>
            <w:r w:rsidR="00772E46">
              <w:t>/</w:t>
            </w:r>
            <w:r w:rsidR="00C742C5">
              <w:t>WG</w:t>
            </w:r>
            <w:r w:rsidR="00100F97">
              <w:t>/</w:t>
            </w:r>
            <w:r w:rsidR="001E3F88">
              <w:t>9</w:t>
            </w:r>
            <w:r w:rsidR="005D44ED">
              <w:t>/17</w:t>
            </w:r>
          </w:p>
        </w:tc>
      </w:tr>
      <w:tr w:rsidR="001667B6" w:rsidTr="00BF164F">
        <w:tc>
          <w:tcPr>
            <w:tcW w:w="9571" w:type="dxa"/>
            <w:gridSpan w:val="3"/>
          </w:tcPr>
          <w:p w:rsidR="001667B6" w:rsidRPr="00B6101C" w:rsidRDefault="00B6101C" w:rsidP="005D44ED">
            <w:pPr>
              <w:pStyle w:val="DocumentLanguageAR"/>
              <w:bidi/>
              <w:rPr>
                <w:rtl/>
              </w:rPr>
            </w:pPr>
            <w:r w:rsidRPr="00B6101C">
              <w:rPr>
                <w:rFonts w:hint="cs"/>
                <w:rtl/>
              </w:rPr>
              <w:t xml:space="preserve">الأصل: </w:t>
            </w:r>
            <w:r w:rsidR="005D44ED">
              <w:rPr>
                <w:rFonts w:hint="cs"/>
                <w:rtl/>
              </w:rPr>
              <w:t>بالإنكليزية</w:t>
            </w:r>
          </w:p>
        </w:tc>
      </w:tr>
      <w:tr w:rsidR="001667B6" w:rsidTr="00BF164F">
        <w:tc>
          <w:tcPr>
            <w:tcW w:w="9571" w:type="dxa"/>
            <w:gridSpan w:val="3"/>
          </w:tcPr>
          <w:p w:rsidR="001667B6" w:rsidRPr="00B6101C" w:rsidRDefault="00B6101C" w:rsidP="005D44ED">
            <w:pPr>
              <w:pStyle w:val="DocumentDateAR"/>
              <w:bidi/>
              <w:rPr>
                <w:rtl/>
              </w:rPr>
            </w:pPr>
            <w:r w:rsidRPr="00B6101C">
              <w:rPr>
                <w:rFonts w:hint="cs"/>
                <w:rtl/>
              </w:rPr>
              <w:t xml:space="preserve">التاريخ: </w:t>
            </w:r>
            <w:r w:rsidR="005D44ED">
              <w:rPr>
                <w:rFonts w:hint="cs"/>
                <w:rtl/>
              </w:rPr>
              <w:t>11 أبريل</w:t>
            </w:r>
            <w:r w:rsidRPr="00B6101C">
              <w:rPr>
                <w:rFonts w:hint="cs"/>
                <w:rtl/>
              </w:rPr>
              <w:t xml:space="preserve"> </w:t>
            </w:r>
            <w:r w:rsidR="005C64F7">
              <w:rPr>
                <w:rFonts w:hint="cs"/>
                <w:rtl/>
              </w:rPr>
              <w:t>201</w:t>
            </w:r>
            <w:r w:rsidR="001E3F88">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E3F88">
      <w:pPr>
        <w:pStyle w:val="MeetingSessionAR"/>
        <w:bidi/>
        <w:rPr>
          <w:rFonts w:ascii="Cambria Math" w:hAnsi="Cambria Math"/>
          <w:rtl/>
        </w:rPr>
      </w:pPr>
      <w:r w:rsidRPr="00783D11">
        <w:rPr>
          <w:rFonts w:ascii="Cambria Math" w:hAnsi="Cambria Math"/>
          <w:rtl/>
        </w:rPr>
        <w:t xml:space="preserve">الدورة </w:t>
      </w:r>
      <w:r w:rsidR="001E3F88">
        <w:rPr>
          <w:rFonts w:ascii="Cambria Math" w:hAnsi="Cambria Math" w:hint="cs"/>
          <w:rtl/>
        </w:rPr>
        <w:t>التاسعة</w:t>
      </w:r>
    </w:p>
    <w:p w:rsidR="00D61541" w:rsidRPr="00D61541" w:rsidRDefault="00D61541" w:rsidP="00D07291">
      <w:pPr>
        <w:pStyle w:val="MeetingDatesAR"/>
        <w:bidi/>
        <w:rPr>
          <w:rtl/>
        </w:rPr>
      </w:pPr>
      <w:r w:rsidRPr="00D61541">
        <w:rPr>
          <w:rFonts w:hint="cs"/>
          <w:rtl/>
        </w:rPr>
        <w:t xml:space="preserve">جنيف، من </w:t>
      </w:r>
      <w:r w:rsidR="00D07291">
        <w:rPr>
          <w:rFonts w:hint="cs"/>
          <w:rtl/>
        </w:rPr>
        <w:t>17</w:t>
      </w:r>
      <w:r w:rsidR="00C742C5">
        <w:rPr>
          <w:rFonts w:hint="cs"/>
          <w:rtl/>
        </w:rPr>
        <w:t xml:space="preserve"> إلى </w:t>
      </w:r>
      <w:r w:rsidR="00D07291">
        <w:rPr>
          <w:rFonts w:hint="cs"/>
          <w:rtl/>
        </w:rPr>
        <w:t>20 مايو</w:t>
      </w:r>
      <w:r w:rsidR="00C742C5">
        <w:rPr>
          <w:rFonts w:hint="cs"/>
          <w:rtl/>
        </w:rPr>
        <w:t xml:space="preserve"> </w:t>
      </w:r>
      <w:r w:rsidR="005C64F7">
        <w:rPr>
          <w:rFonts w:hint="cs"/>
          <w:rtl/>
        </w:rPr>
        <w:t>201</w:t>
      </w:r>
      <w:r w:rsidR="00D0729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D44ED" w:rsidP="00660557">
      <w:pPr>
        <w:pStyle w:val="DocumentTitleAR"/>
        <w:bidi/>
        <w:rPr>
          <w:rtl/>
        </w:rPr>
      </w:pPr>
      <w:r>
        <w:rPr>
          <w:rFonts w:hint="cs"/>
          <w:rtl/>
        </w:rPr>
        <w:t xml:space="preserve">الخدمات </w:t>
      </w:r>
      <w:r w:rsidR="00660557">
        <w:rPr>
          <w:rFonts w:hint="cs"/>
          <w:rtl/>
        </w:rPr>
        <w:t>الشبكية</w:t>
      </w:r>
      <w:r>
        <w:rPr>
          <w:rFonts w:hint="cs"/>
          <w:rtl/>
        </w:rPr>
        <w:t xml:space="preserve"> </w:t>
      </w:r>
      <w:r w:rsidR="00660557">
        <w:rPr>
          <w:rFonts w:hint="cs"/>
          <w:rtl/>
        </w:rPr>
        <w:t>ل</w:t>
      </w:r>
      <w:r>
        <w:rPr>
          <w:rFonts w:hint="cs"/>
          <w:rtl/>
        </w:rPr>
        <w:t>معاهدة التعاون بشأن البراءات</w:t>
      </w:r>
    </w:p>
    <w:p w:rsidR="00D61541" w:rsidRPr="00D61541" w:rsidRDefault="005D44ED" w:rsidP="00931859">
      <w:pPr>
        <w:pStyle w:val="PreparedbyAR"/>
        <w:bidi/>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5F5CD4" w:rsidRDefault="005F5CD4" w:rsidP="005F5CD4">
      <w:pPr>
        <w:pStyle w:val="NormalParaAR"/>
        <w:keepNext/>
        <w:rPr>
          <w:b/>
          <w:bCs/>
          <w:sz w:val="40"/>
          <w:szCs w:val="40"/>
        </w:rPr>
      </w:pPr>
      <w:r w:rsidRPr="005F5CD4">
        <w:rPr>
          <w:rFonts w:hint="cs"/>
          <w:b/>
          <w:bCs/>
          <w:sz w:val="40"/>
          <w:szCs w:val="40"/>
          <w:rtl/>
        </w:rPr>
        <w:t>ملخص</w:t>
      </w:r>
    </w:p>
    <w:p w:rsidR="005C64F7" w:rsidRDefault="00660557" w:rsidP="00320762">
      <w:pPr>
        <w:pStyle w:val="NumberedParaAR"/>
      </w:pPr>
      <w:r>
        <w:rPr>
          <w:rFonts w:hint="cs"/>
          <w:rtl/>
        </w:rPr>
        <w:t>لقد أسهمت الخدمات الشبكية لمعاهدة التعاون بشأن البراءات (الخدمات الشبكية للمعاهدة) في وضع وإتاحة أدوات جديدة ومحسّنة للاست</w:t>
      </w:r>
      <w:r w:rsidR="006928F9">
        <w:rPr>
          <w:rFonts w:hint="cs"/>
          <w:rtl/>
        </w:rPr>
        <w:t>خدام من قبل المودعين ومكاتب تسل</w:t>
      </w:r>
      <w:r>
        <w:rPr>
          <w:rFonts w:hint="cs"/>
          <w:rtl/>
        </w:rPr>
        <w:t>م الطلبات والإدارات الدولية والمكاتب المعيّنة. ولا</w:t>
      </w:r>
      <w:r w:rsidR="00320762">
        <w:rPr>
          <w:rFonts w:hint="eastAsia"/>
          <w:rtl/>
        </w:rPr>
        <w:t> </w:t>
      </w:r>
      <w:r>
        <w:rPr>
          <w:rFonts w:hint="cs"/>
          <w:rtl/>
        </w:rPr>
        <w:t xml:space="preserve">تقتصر التحسينات </w:t>
      </w:r>
      <w:r w:rsidR="00EC0B1A">
        <w:rPr>
          <w:rFonts w:hint="cs"/>
          <w:rtl/>
        </w:rPr>
        <w:t>على الوظائف الخاصة بتصفح</w:t>
      </w:r>
      <w:r>
        <w:rPr>
          <w:rFonts w:hint="cs"/>
          <w:rtl/>
        </w:rPr>
        <w:t xml:space="preserve"> آحاد الطلبات ومعالجتها، بل تشمل أيضا الوظائف المتعلقة برصد تدفق الطلبات الدولية للمساعدة على إدارة تدفق العمل بفعالية وتحديد المشاكل المحتملة في مراحل مبكّرة.</w:t>
      </w:r>
    </w:p>
    <w:p w:rsidR="00660557" w:rsidRDefault="00EC0B1A" w:rsidP="004B4944">
      <w:pPr>
        <w:pStyle w:val="NumberedParaAR"/>
      </w:pPr>
      <w:r>
        <w:rPr>
          <w:rFonts w:hint="cs"/>
          <w:rtl/>
        </w:rPr>
        <w:t xml:space="preserve">وفضلا عن الوظائف، ستشمل أبرز التطورات في هذا العام إصدارا مكرّسا لقابلية </w:t>
      </w:r>
      <w:r w:rsidR="00B82FA6">
        <w:rPr>
          <w:rFonts w:hint="cs"/>
          <w:rtl/>
        </w:rPr>
        <w:t>استعمال</w:t>
      </w:r>
      <w:r>
        <w:rPr>
          <w:rFonts w:hint="cs"/>
          <w:rtl/>
        </w:rPr>
        <w:t xml:space="preserve"> الخدمات </w:t>
      </w:r>
      <w:r w:rsidR="001B084D">
        <w:rPr>
          <w:rFonts w:hint="cs"/>
          <w:rtl/>
        </w:rPr>
        <w:t>القائمة على برنا</w:t>
      </w:r>
      <w:r>
        <w:rPr>
          <w:rFonts w:hint="cs"/>
          <w:rtl/>
        </w:rPr>
        <w:t xml:space="preserve">مج التصفح، سيُدرج </w:t>
      </w:r>
      <w:r w:rsidR="003D12DA">
        <w:rPr>
          <w:rFonts w:hint="cs"/>
          <w:rtl/>
        </w:rPr>
        <w:t xml:space="preserve">خاصية جديدة </w:t>
      </w:r>
      <w:r>
        <w:rPr>
          <w:rFonts w:hint="cs"/>
          <w:rtl/>
        </w:rPr>
        <w:t>"</w:t>
      </w:r>
      <w:r w:rsidR="003D12DA">
        <w:rPr>
          <w:rFonts w:hint="cs"/>
          <w:rtl/>
        </w:rPr>
        <w:t xml:space="preserve">للشكل وطريقة العرض" وأنظمة محسّنة لإدارة النفاذ. وستمكّن الخدمات المتاحة باستعمال النظام الجديد لإدارة النفاذ أيضا من استحداث ونشر خدمات آمنة جديدة وأكثر فعالية </w:t>
      </w:r>
      <w:r w:rsidR="004B4944">
        <w:rPr>
          <w:rFonts w:hint="cs"/>
          <w:rtl/>
        </w:rPr>
        <w:t xml:space="preserve">للإحالة </w:t>
      </w:r>
      <w:r w:rsidR="00397D2B">
        <w:rPr>
          <w:rFonts w:hint="cs"/>
          <w:rtl/>
        </w:rPr>
        <w:t xml:space="preserve">بين </w:t>
      </w:r>
      <w:r w:rsidR="004B4944">
        <w:rPr>
          <w:rFonts w:hint="cs"/>
          <w:rtl/>
        </w:rPr>
        <w:t>الآلات</w:t>
      </w:r>
      <w:r w:rsidR="003D12DA">
        <w:rPr>
          <w:rFonts w:hint="cs"/>
          <w:rtl/>
        </w:rPr>
        <w:t>.</w:t>
      </w:r>
    </w:p>
    <w:p w:rsidR="003D12DA" w:rsidRDefault="007E682A" w:rsidP="00F33184">
      <w:pPr>
        <w:pStyle w:val="NumberedParaAR"/>
      </w:pPr>
      <w:r>
        <w:rPr>
          <w:rFonts w:hint="cs"/>
          <w:rtl/>
        </w:rPr>
        <w:t>وفيما يلي الأولويات القصيرة الأجل بالنسبة لل</w:t>
      </w:r>
      <w:r w:rsidR="006928F9">
        <w:rPr>
          <w:rFonts w:hint="cs"/>
          <w:rtl/>
        </w:rPr>
        <w:t>مكاتب الوطنية بصفتها مكاتب لتسل</w:t>
      </w:r>
      <w:r>
        <w:rPr>
          <w:rFonts w:hint="cs"/>
          <w:rtl/>
        </w:rPr>
        <w:t xml:space="preserve">م </w:t>
      </w:r>
      <w:r w:rsidR="003B6781">
        <w:rPr>
          <w:rFonts w:hint="cs"/>
          <w:rtl/>
        </w:rPr>
        <w:t>الطلبات أو إدارات دولية: "1"</w:t>
      </w:r>
      <w:r w:rsidR="003B6781">
        <w:rPr>
          <w:rFonts w:hint="eastAsia"/>
          <w:rtl/>
        </w:rPr>
        <w:t> </w:t>
      </w:r>
      <w:r w:rsidR="003B6781">
        <w:rPr>
          <w:rFonts w:hint="cs"/>
          <w:rtl/>
        </w:rPr>
        <w:t xml:space="preserve">ضمان تمكّن المودعين من تحميل وثائق لفائدة المكتب؛ "2" وضمان توافر الوثائق الرئيسية الصادرة عن المكتب على الإنترنت؛ "3" </w:t>
      </w:r>
      <w:r w:rsidR="004B4944">
        <w:rPr>
          <w:rFonts w:hint="cs"/>
          <w:rtl/>
        </w:rPr>
        <w:t>و</w:t>
      </w:r>
      <w:r w:rsidR="003B6781">
        <w:rPr>
          <w:rFonts w:hint="cs"/>
          <w:rtl/>
        </w:rPr>
        <w:t xml:space="preserve">تقييم أو بدء استخدام </w:t>
      </w:r>
      <w:r w:rsidR="003B6781" w:rsidRPr="003B6781">
        <w:rPr>
          <w:rtl/>
        </w:rPr>
        <w:t>نظام</w:t>
      </w:r>
      <w:r w:rsidR="00F33184">
        <w:rPr>
          <w:rFonts w:hint="cs"/>
          <w:rtl/>
        </w:rPr>
        <w:t xml:space="preserve"> نسخة البحث الإلكترونية (</w:t>
      </w:r>
      <w:r w:rsidR="003B6781" w:rsidRPr="003B6781">
        <w:rPr>
          <w:cs/>
        </w:rPr>
        <w:t>‎</w:t>
      </w:r>
      <w:proofErr w:type="spellStart"/>
      <w:r w:rsidR="003B6781" w:rsidRPr="003B6781">
        <w:t>eSearchCopy</w:t>
      </w:r>
      <w:proofErr w:type="spellEnd"/>
      <w:r w:rsidR="003B6781" w:rsidRPr="003B6781">
        <w:rPr>
          <w:rtl/>
        </w:rPr>
        <w:t>‏</w:t>
      </w:r>
      <w:r w:rsidR="00F33184">
        <w:rPr>
          <w:rFonts w:hint="cs"/>
          <w:rtl/>
        </w:rPr>
        <w:t>)</w:t>
      </w:r>
      <w:r w:rsidR="003B6781">
        <w:rPr>
          <w:rFonts w:hint="cs"/>
          <w:rtl/>
        </w:rPr>
        <w:t xml:space="preserve"> كأداة لإحالة نُسخ البحث بنسق إلكتروني متساوق بين المكت</w:t>
      </w:r>
      <w:r w:rsidR="006928F9">
        <w:rPr>
          <w:rFonts w:hint="cs"/>
          <w:rtl/>
        </w:rPr>
        <w:t>ب وأي مكتب آخر بصفته مكتبا لتسل</w:t>
      </w:r>
      <w:r w:rsidR="001D0D35">
        <w:rPr>
          <w:rFonts w:hint="cs"/>
          <w:rtl/>
        </w:rPr>
        <w:t>م الطلبات أو إدارة للبحث دولي</w:t>
      </w:r>
      <w:r w:rsidR="003B6781">
        <w:rPr>
          <w:rFonts w:hint="cs"/>
          <w:rtl/>
        </w:rPr>
        <w:t>.</w:t>
      </w:r>
    </w:p>
    <w:p w:rsidR="003B6781" w:rsidRDefault="003B6781" w:rsidP="00EA69EB">
      <w:pPr>
        <w:pStyle w:val="NumberedParaAR"/>
      </w:pPr>
      <w:r>
        <w:rPr>
          <w:rFonts w:hint="cs"/>
          <w:rtl/>
        </w:rPr>
        <w:t>ولن يبدأ نفاذ التعديلات المُدخلة على القاعدة</w:t>
      </w:r>
      <w:r>
        <w:rPr>
          <w:rFonts w:hint="eastAsia"/>
          <w:rtl/>
        </w:rPr>
        <w:t> </w:t>
      </w:r>
      <w:r>
        <w:rPr>
          <w:rFonts w:hint="cs"/>
          <w:rtl/>
        </w:rPr>
        <w:t>95، والتي تشترط من المكاتب المعيّنة توفير معلومات</w:t>
      </w:r>
      <w:r w:rsidR="00EA69EB">
        <w:rPr>
          <w:rFonts w:hint="cs"/>
          <w:rtl/>
        </w:rPr>
        <w:t xml:space="preserve"> عن حالات دخول المرحلة الوطنية والمنشورات وحالات منح الحماية، قبل 1</w:t>
      </w:r>
      <w:r w:rsidR="00EA69EB">
        <w:rPr>
          <w:rFonts w:hint="eastAsia"/>
          <w:rtl/>
        </w:rPr>
        <w:t> </w:t>
      </w:r>
      <w:r w:rsidR="00EA69EB">
        <w:rPr>
          <w:rFonts w:hint="cs"/>
          <w:rtl/>
        </w:rPr>
        <w:t>يوليو</w:t>
      </w:r>
      <w:r w:rsidR="00EA69EB">
        <w:rPr>
          <w:rFonts w:hint="eastAsia"/>
          <w:rtl/>
        </w:rPr>
        <w:t> </w:t>
      </w:r>
      <w:r w:rsidR="00EA69EB">
        <w:rPr>
          <w:rFonts w:hint="cs"/>
          <w:rtl/>
        </w:rPr>
        <w:t xml:space="preserve">2017، ولكن يُلتمس من المكاتب ضمان توفير كل </w:t>
      </w:r>
      <w:r w:rsidR="00EA69EB">
        <w:rPr>
          <w:rFonts w:hint="cs"/>
          <w:rtl/>
        </w:rPr>
        <w:lastRenderedPageBreak/>
        <w:t>المعلومات المطلوبة في أقرب فرصة ممكنة بدلا من انتظار آخر لحظة. ويتيح المكتب الدولي أنظمة لمساعدة المكاتب على القيام بذلك، ومساعدتها أيضا على استخراج الوثائق والبيانات اللازمة للمعالجة في المرحلة الوطنية.</w:t>
      </w:r>
    </w:p>
    <w:p w:rsidR="00EA69EB" w:rsidRDefault="00EA69EB" w:rsidP="00EA69EB">
      <w:pPr>
        <w:pStyle w:val="NumberedParaAR"/>
      </w:pPr>
      <w:r>
        <w:rPr>
          <w:rFonts w:hint="cs"/>
          <w:rtl/>
        </w:rPr>
        <w:t>والفريق العامل مدعو</w:t>
      </w:r>
      <w:r>
        <w:rPr>
          <w:rtl/>
        </w:rPr>
        <w:t>ٌ</w:t>
      </w:r>
      <w:r>
        <w:rPr>
          <w:rFonts w:hint="cs"/>
          <w:rtl/>
        </w:rPr>
        <w:t xml:space="preserve"> إلى النظر في الكيفية التي يمكن بها للمودعين والمكاتب تحسين استخدام الأدوات المتاحة وفي تحديد التطويرات الإضافية المستحسن إدخالها على الخدمات الشبكية من أجل توفير خدمة عالية الجودة للمودعين والمكاتب المعيّنة والغير بتكلفة إجمالية أقلّ.</w:t>
      </w:r>
    </w:p>
    <w:p w:rsidR="00EA69EB" w:rsidRPr="00ED4CD5" w:rsidRDefault="00EA69EB" w:rsidP="00ED4CD5">
      <w:pPr>
        <w:pStyle w:val="NormalParaAR"/>
        <w:keepNext/>
        <w:rPr>
          <w:b/>
          <w:bCs/>
          <w:sz w:val="40"/>
          <w:szCs w:val="40"/>
          <w:rtl/>
        </w:rPr>
      </w:pPr>
      <w:r w:rsidRPr="00ED4CD5">
        <w:rPr>
          <w:rFonts w:hint="cs"/>
          <w:b/>
          <w:bCs/>
          <w:sz w:val="40"/>
          <w:szCs w:val="40"/>
          <w:rtl/>
        </w:rPr>
        <w:t xml:space="preserve">الوضع </w:t>
      </w:r>
      <w:r w:rsidR="00ED4CD5" w:rsidRPr="00ED4CD5">
        <w:rPr>
          <w:rFonts w:hint="cs"/>
          <w:b/>
          <w:bCs/>
          <w:sz w:val="40"/>
          <w:szCs w:val="40"/>
          <w:rtl/>
        </w:rPr>
        <w:t>الراهن ل</w:t>
      </w:r>
      <w:r w:rsidRPr="00ED4CD5">
        <w:rPr>
          <w:rFonts w:hint="cs"/>
          <w:b/>
          <w:bCs/>
          <w:sz w:val="40"/>
          <w:szCs w:val="40"/>
          <w:rtl/>
        </w:rPr>
        <w:t xml:space="preserve">خدمات </w:t>
      </w:r>
      <w:r w:rsidR="00ED4CD5" w:rsidRPr="00ED4CD5">
        <w:rPr>
          <w:rFonts w:hint="cs"/>
          <w:b/>
          <w:bCs/>
          <w:sz w:val="40"/>
          <w:szCs w:val="40"/>
          <w:rtl/>
        </w:rPr>
        <w:t>نظام المعاهدة الإلكتروني (</w:t>
      </w:r>
      <w:proofErr w:type="spellStart"/>
      <w:r w:rsidR="00ED4CD5" w:rsidRPr="00ED4CD5">
        <w:rPr>
          <w:b/>
          <w:bCs/>
          <w:sz w:val="40"/>
          <w:szCs w:val="40"/>
        </w:rPr>
        <w:t>ePCT</w:t>
      </w:r>
      <w:proofErr w:type="spellEnd"/>
      <w:r w:rsidR="00ED4CD5" w:rsidRPr="00ED4CD5">
        <w:rPr>
          <w:rFonts w:hint="cs"/>
          <w:b/>
          <w:bCs/>
          <w:sz w:val="40"/>
          <w:szCs w:val="40"/>
          <w:rtl/>
        </w:rPr>
        <w:t>)</w:t>
      </w:r>
      <w:r w:rsidRPr="00ED4CD5">
        <w:rPr>
          <w:rFonts w:hint="cs"/>
          <w:b/>
          <w:bCs/>
          <w:sz w:val="40"/>
          <w:szCs w:val="40"/>
          <w:rtl/>
        </w:rPr>
        <w:t xml:space="preserve"> </w:t>
      </w:r>
      <w:r w:rsidR="001B084D">
        <w:rPr>
          <w:rFonts w:hint="cs"/>
          <w:b/>
          <w:bCs/>
          <w:sz w:val="40"/>
          <w:szCs w:val="40"/>
          <w:rtl/>
        </w:rPr>
        <w:t>القائمة على برنا</w:t>
      </w:r>
      <w:r w:rsidR="00ED4CD5" w:rsidRPr="00ED4CD5">
        <w:rPr>
          <w:rFonts w:hint="cs"/>
          <w:b/>
          <w:bCs/>
          <w:sz w:val="40"/>
          <w:szCs w:val="40"/>
          <w:rtl/>
        </w:rPr>
        <w:t>مج التصفح</w:t>
      </w:r>
    </w:p>
    <w:p w:rsidR="00ED4CD5" w:rsidRDefault="00F33184" w:rsidP="00FD6EB0">
      <w:pPr>
        <w:pStyle w:val="NumberedParaAR"/>
      </w:pPr>
      <w:r>
        <w:rPr>
          <w:rFonts w:hint="cs"/>
          <w:rtl/>
        </w:rPr>
        <w:t>يسعى نظام</w:t>
      </w:r>
      <w:r w:rsidR="00FD6EB0">
        <w:rPr>
          <w:rFonts w:hint="eastAsia"/>
          <w:rtl/>
        </w:rPr>
        <w:t> </w:t>
      </w:r>
      <w:proofErr w:type="spellStart"/>
      <w:r w:rsidRPr="00F33184">
        <w:t>ePCT</w:t>
      </w:r>
      <w:proofErr w:type="spellEnd"/>
      <w:r>
        <w:rPr>
          <w:rFonts w:hint="cs"/>
          <w:rtl/>
        </w:rPr>
        <w:t>، الذي</w:t>
      </w:r>
      <w:r w:rsidR="001B084D">
        <w:rPr>
          <w:rFonts w:hint="cs"/>
          <w:rtl/>
        </w:rPr>
        <w:t xml:space="preserve"> لا يشمل الخدمات القائمة على برنا</w:t>
      </w:r>
      <w:r>
        <w:rPr>
          <w:rFonts w:hint="cs"/>
          <w:rtl/>
        </w:rPr>
        <w:t>مج التصفح فحسب بل كذلك خدمات من قبيل نسخة البحث الإلكترونية (</w:t>
      </w:r>
      <w:r w:rsidRPr="003B6781">
        <w:rPr>
          <w:cs/>
        </w:rPr>
        <w:t>‎</w:t>
      </w:r>
      <w:proofErr w:type="spellStart"/>
      <w:r w:rsidRPr="003B6781">
        <w:t>eSearchCopy</w:t>
      </w:r>
      <w:proofErr w:type="spellEnd"/>
      <w:r w:rsidRPr="003B6781">
        <w:rPr>
          <w:rtl/>
        </w:rPr>
        <w:t>‏</w:t>
      </w:r>
      <w:r>
        <w:rPr>
          <w:rFonts w:hint="cs"/>
          <w:rtl/>
        </w:rPr>
        <w:t>) وخدمة</w:t>
      </w:r>
      <w:r>
        <w:rPr>
          <w:rFonts w:hint="eastAsia"/>
          <w:rtl/>
        </w:rPr>
        <w:t> </w:t>
      </w:r>
      <w:r w:rsidRPr="00F33184">
        <w:t>PCT</w:t>
      </w:r>
      <w:r w:rsidRPr="00F33184">
        <w:noBreakHyphen/>
        <w:t>EDI</w:t>
      </w:r>
      <w:r>
        <w:rPr>
          <w:rFonts w:hint="cs"/>
          <w:rtl/>
        </w:rPr>
        <w:t xml:space="preserve"> (وهي </w:t>
      </w:r>
      <w:r w:rsidRPr="00F33184">
        <w:rPr>
          <w:rtl/>
        </w:rPr>
        <w:t>خدمة قائمة على بروتوكول نقل الملفات الآمن</w:t>
      </w:r>
      <w:r w:rsidR="004B4944">
        <w:rPr>
          <w:rFonts w:hint="cs"/>
          <w:rtl/>
        </w:rPr>
        <w:t> </w:t>
      </w:r>
      <w:r w:rsidRPr="00F33184">
        <w:rPr>
          <w:rtl/>
        </w:rPr>
        <w:t>(</w:t>
      </w:r>
      <w:r w:rsidRPr="00F33184">
        <w:t>SFTP</w:t>
      </w:r>
      <w:r w:rsidRPr="00F33184">
        <w:rPr>
          <w:rtl/>
        </w:rPr>
        <w:t xml:space="preserve">) </w:t>
      </w:r>
      <w:r w:rsidR="006928F9">
        <w:rPr>
          <w:rtl/>
        </w:rPr>
        <w:t xml:space="preserve">تُستخدم </w:t>
      </w:r>
      <w:r w:rsidR="006928F9">
        <w:rPr>
          <w:rFonts w:hint="cs"/>
          <w:rtl/>
        </w:rPr>
        <w:t>لأغراض إرسال الوثائق والبيانات)، إلى ضمان تمكّن مكاتب تسلم الطلبات والإدارات الدولية والمكتب الدولي من توفير خدمات عالية الجودة بكفاءة واتساق وأدنى قدر من التكاليف الإدارية، أيا كان منشأ الطلبات الدولية.</w:t>
      </w:r>
    </w:p>
    <w:p w:rsidR="006928F9" w:rsidRDefault="006928F9" w:rsidP="00B23CF0">
      <w:pPr>
        <w:pStyle w:val="NumberedParaAR"/>
      </w:pPr>
      <w:r>
        <w:rPr>
          <w:rFonts w:hint="cs"/>
          <w:rtl/>
        </w:rPr>
        <w:t xml:space="preserve">وتوفر </w:t>
      </w:r>
      <w:r w:rsidR="001B084D">
        <w:rPr>
          <w:rFonts w:hint="cs"/>
          <w:rtl/>
        </w:rPr>
        <w:t>الخدمات القائمة على برنا</w:t>
      </w:r>
      <w:r>
        <w:rPr>
          <w:rFonts w:hint="cs"/>
          <w:rtl/>
        </w:rPr>
        <w:t xml:space="preserve">مج التصفح للمودعين ومكاتب تسلم الطلبات، حاليا، كل الوظائف اللازمة للمعالجة الإلكترونية لدى مكتب تسلم الطلبات والمكتب الدولي، باستثناء وثائق الأولوية الصادرة عن مكتب الإيداع الأول في شكل ورقي والتي لا يزال يجب إرسالها في ذلك الشكل إلى </w:t>
      </w:r>
      <w:r w:rsidR="00981650">
        <w:rPr>
          <w:rFonts w:hint="cs"/>
          <w:rtl/>
        </w:rPr>
        <w:t xml:space="preserve">مكتب تسلم الطلبات أو المكتب الدولي </w:t>
      </w:r>
      <w:r w:rsidR="00981650">
        <w:rPr>
          <w:rtl/>
        </w:rPr>
        <w:t>–</w:t>
      </w:r>
      <w:r w:rsidR="00981650">
        <w:rPr>
          <w:rFonts w:hint="cs"/>
          <w:rtl/>
        </w:rPr>
        <w:t xml:space="preserve"> لا تُقبل النسخ الإلكترونية التي يجريها المودع بالمسح الضوئي. وبالرغم من هذا التقييد، يُستلم نحو 85</w:t>
      </w:r>
      <w:r w:rsidR="00B23CF0">
        <w:rPr>
          <w:rFonts w:hint="eastAsia"/>
          <w:rtl/>
        </w:rPr>
        <w:t> </w:t>
      </w:r>
      <w:r w:rsidR="00981650">
        <w:rPr>
          <w:rFonts w:hint="cs"/>
          <w:rtl/>
        </w:rPr>
        <w:t>بالمائة من وثائق الأولوية إلكترونيا.</w:t>
      </w:r>
    </w:p>
    <w:p w:rsidR="00981650" w:rsidRDefault="00981650" w:rsidP="00B23CF0">
      <w:pPr>
        <w:pStyle w:val="NumberedParaAR"/>
      </w:pPr>
      <w:r>
        <w:rPr>
          <w:rFonts w:hint="cs"/>
          <w:rtl/>
        </w:rPr>
        <w:t xml:space="preserve">وهناك نطاق أضيق من الخدمات المتاحة مباشرة لفائدة الإدارات الدولية. وفي وقت إعداد هذه الوثيقة، </w:t>
      </w:r>
      <w:r w:rsidR="00B23CF0">
        <w:rPr>
          <w:rFonts w:hint="cs"/>
          <w:rtl/>
        </w:rPr>
        <w:t xml:space="preserve">تركّز الخدمات المباشرة أساسا على </w:t>
      </w:r>
      <w:r>
        <w:rPr>
          <w:rFonts w:hint="cs"/>
          <w:rtl/>
        </w:rPr>
        <w:t xml:space="preserve">إرسال الوثائق والمعلومات فيما يخص الإدارات التي لم تقم </w:t>
      </w:r>
      <w:proofErr w:type="spellStart"/>
      <w:r>
        <w:rPr>
          <w:rFonts w:hint="cs"/>
          <w:rtl/>
        </w:rPr>
        <w:t>بأتمتة</w:t>
      </w:r>
      <w:proofErr w:type="spellEnd"/>
      <w:r>
        <w:rPr>
          <w:rFonts w:hint="cs"/>
          <w:rtl/>
        </w:rPr>
        <w:t xml:space="preserve"> كاملة للإجراءات المعنية.</w:t>
      </w:r>
    </w:p>
    <w:p w:rsidR="00981650" w:rsidRDefault="00981650" w:rsidP="00981650">
      <w:pPr>
        <w:pStyle w:val="NormalParaAR"/>
        <w:ind w:left="566"/>
        <w:rPr>
          <w:rtl/>
        </w:rPr>
      </w:pPr>
      <w:r>
        <w:rPr>
          <w:rFonts w:hint="cs"/>
          <w:rtl/>
        </w:rPr>
        <w:t>(أ)</w:t>
      </w:r>
      <w:r>
        <w:rPr>
          <w:rtl/>
        </w:rPr>
        <w:tab/>
      </w:r>
      <w:r>
        <w:rPr>
          <w:rFonts w:hint="cs"/>
          <w:rtl/>
        </w:rPr>
        <w:t xml:space="preserve">يُتاح للإدارات نفاذ مباشر إلى ملفات المكتب الدولي فيما يخص الطلبات الدولية التي </w:t>
      </w:r>
      <w:r w:rsidR="001C693D">
        <w:rPr>
          <w:rFonts w:hint="cs"/>
          <w:rtl/>
        </w:rPr>
        <w:t>تدخل ضمن اختصاصها، بما في ذلك الوثائق والبيانات الببليوغرافية.</w:t>
      </w:r>
    </w:p>
    <w:p w:rsidR="001C693D" w:rsidRDefault="001C693D" w:rsidP="00FD6EB0">
      <w:pPr>
        <w:pStyle w:val="NormalParaAR"/>
        <w:ind w:left="566"/>
        <w:rPr>
          <w:rtl/>
        </w:rPr>
      </w:pPr>
      <w:r>
        <w:rPr>
          <w:rFonts w:hint="cs"/>
          <w:rtl/>
        </w:rPr>
        <w:t>(ب)</w:t>
      </w:r>
      <w:r>
        <w:rPr>
          <w:rtl/>
        </w:rPr>
        <w:tab/>
      </w:r>
      <w:r w:rsidR="002662AC">
        <w:rPr>
          <w:rFonts w:hint="cs"/>
          <w:rtl/>
        </w:rPr>
        <w:t>يمكن ل</w:t>
      </w:r>
      <w:r>
        <w:rPr>
          <w:rFonts w:hint="cs"/>
          <w:rtl/>
        </w:rPr>
        <w:t>لإدارات</w:t>
      </w:r>
      <w:r w:rsidR="002662AC">
        <w:rPr>
          <w:rFonts w:hint="cs"/>
          <w:rtl/>
        </w:rPr>
        <w:t xml:space="preserve"> السماح</w:t>
      </w:r>
      <w:r>
        <w:rPr>
          <w:rFonts w:hint="cs"/>
          <w:rtl/>
        </w:rPr>
        <w:t xml:space="preserve"> للمودعين والمكاتب الأخرى بتحميل </w:t>
      </w:r>
      <w:r w:rsidR="00B23CF0">
        <w:rPr>
          <w:rFonts w:hint="cs"/>
          <w:rtl/>
        </w:rPr>
        <w:t>الوثائق الموجهة إليها</w:t>
      </w:r>
      <w:r w:rsidR="009340AC">
        <w:rPr>
          <w:rFonts w:hint="cs"/>
          <w:rtl/>
        </w:rPr>
        <w:t xml:space="preserve"> </w:t>
      </w:r>
      <w:r w:rsidR="009340AC">
        <w:rPr>
          <w:rtl/>
        </w:rPr>
        <w:t>–</w:t>
      </w:r>
      <w:r w:rsidR="00B23CF0">
        <w:rPr>
          <w:rFonts w:hint="cs"/>
          <w:rtl/>
        </w:rPr>
        <w:t xml:space="preserve"> </w:t>
      </w:r>
      <w:r w:rsidR="009340AC">
        <w:rPr>
          <w:rFonts w:hint="cs"/>
          <w:rtl/>
        </w:rPr>
        <w:t xml:space="preserve">الوثائق المُستلمة يمكن إما تنزيلها من واجهة المتصفح (تُرسل </w:t>
      </w:r>
      <w:proofErr w:type="spellStart"/>
      <w:r w:rsidR="009340AC">
        <w:rPr>
          <w:rFonts w:hint="cs"/>
          <w:rtl/>
        </w:rPr>
        <w:t>إخطارات</w:t>
      </w:r>
      <w:proofErr w:type="spellEnd"/>
      <w:r w:rsidR="009340AC">
        <w:rPr>
          <w:rFonts w:hint="cs"/>
          <w:rtl/>
        </w:rPr>
        <w:t xml:space="preserve"> لبيان أن هناك وثيقة جديدة في الانتظار) أو تُرسل في دفعات عبر </w:t>
      </w:r>
      <w:r w:rsidR="00F33184" w:rsidRPr="009340AC">
        <w:rPr>
          <w:rtl/>
        </w:rPr>
        <w:t>بروتوكول</w:t>
      </w:r>
      <w:r w:rsidR="009340AC">
        <w:rPr>
          <w:rFonts w:hint="cs"/>
          <w:rtl/>
        </w:rPr>
        <w:t> </w:t>
      </w:r>
      <w:r w:rsidR="00F33184" w:rsidRPr="009340AC">
        <w:t>SFTP</w:t>
      </w:r>
      <w:r w:rsidR="009340AC">
        <w:rPr>
          <w:rFonts w:hint="cs"/>
          <w:rtl/>
        </w:rPr>
        <w:t xml:space="preserve"> بالنسق ذاته المُستخدم في الوثائق المُستلمة من المكتب الدولي. وسيتم في القريب توسيع نطاق هذا الترتيب للتمكين من إرسال نُسخ البحث </w:t>
      </w:r>
      <w:r w:rsidR="001F3984">
        <w:rPr>
          <w:rFonts w:hint="cs"/>
          <w:rtl/>
        </w:rPr>
        <w:t>بواسطة</w:t>
      </w:r>
      <w:r w:rsidR="009340AC">
        <w:rPr>
          <w:rFonts w:hint="cs"/>
          <w:rtl/>
        </w:rPr>
        <w:t xml:space="preserve"> </w:t>
      </w:r>
      <w:r w:rsidR="001F3984" w:rsidRPr="001F3984">
        <w:rPr>
          <w:rtl/>
        </w:rPr>
        <w:t>خدمات نظام</w:t>
      </w:r>
      <w:r w:rsidR="00FD6EB0">
        <w:rPr>
          <w:rFonts w:hint="cs"/>
          <w:rtl/>
        </w:rPr>
        <w:t> </w:t>
      </w:r>
      <w:proofErr w:type="spellStart"/>
      <w:r w:rsidR="001F3984" w:rsidRPr="001F3984">
        <w:t>ePCT</w:t>
      </w:r>
      <w:proofErr w:type="spellEnd"/>
      <w:r w:rsidR="001F3984" w:rsidRPr="001F3984">
        <w:rPr>
          <w:rtl/>
        </w:rPr>
        <w:t xml:space="preserve"> القائم</w:t>
      </w:r>
      <w:r w:rsidR="001B084D">
        <w:rPr>
          <w:rtl/>
        </w:rPr>
        <w:t>ة على بر</w:t>
      </w:r>
      <w:r w:rsidR="001B084D">
        <w:rPr>
          <w:rFonts w:hint="cs"/>
          <w:rtl/>
        </w:rPr>
        <w:t>نا</w:t>
      </w:r>
      <w:r w:rsidR="001F3984" w:rsidRPr="001F3984">
        <w:rPr>
          <w:rtl/>
        </w:rPr>
        <w:t>مج التصفح</w:t>
      </w:r>
      <w:r w:rsidR="001F3984">
        <w:rPr>
          <w:rFonts w:hint="cs"/>
          <w:rtl/>
        </w:rPr>
        <w:t xml:space="preserve"> عندما يُفضّل ذلك على إرسالها عبر ب</w:t>
      </w:r>
      <w:r w:rsidR="001F3984" w:rsidRPr="009340AC">
        <w:rPr>
          <w:rtl/>
        </w:rPr>
        <w:t>روتوكول</w:t>
      </w:r>
      <w:r w:rsidR="001F3984">
        <w:rPr>
          <w:rFonts w:hint="cs"/>
          <w:rtl/>
        </w:rPr>
        <w:t> </w:t>
      </w:r>
      <w:r w:rsidR="001F3984" w:rsidRPr="009340AC">
        <w:t>SFTP</w:t>
      </w:r>
      <w:r w:rsidR="001F3984">
        <w:rPr>
          <w:rFonts w:hint="cs"/>
          <w:rtl/>
        </w:rPr>
        <w:t>.</w:t>
      </w:r>
    </w:p>
    <w:p w:rsidR="001F3984" w:rsidRDefault="001F3984" w:rsidP="00B23CF0">
      <w:pPr>
        <w:pStyle w:val="NormalParaAR"/>
        <w:ind w:left="566"/>
        <w:rPr>
          <w:rtl/>
        </w:rPr>
      </w:pPr>
      <w:r>
        <w:rPr>
          <w:rFonts w:hint="cs"/>
          <w:rtl/>
        </w:rPr>
        <w:t>(ج)</w:t>
      </w:r>
      <w:r>
        <w:rPr>
          <w:rtl/>
        </w:rPr>
        <w:tab/>
      </w:r>
      <w:r w:rsidR="002662AC">
        <w:rPr>
          <w:rFonts w:hint="cs"/>
          <w:rtl/>
        </w:rPr>
        <w:t>يمكن للإدارات تحميل الوثائق في النظام، سواء لأغراض إرسال الوثائق اللازم إرسالها إلى المكتب الدولي أو</w:t>
      </w:r>
      <w:r w:rsidR="00B23CF0">
        <w:rPr>
          <w:rFonts w:hint="eastAsia"/>
          <w:rtl/>
        </w:rPr>
        <w:t> </w:t>
      </w:r>
      <w:r w:rsidR="002662AC">
        <w:rPr>
          <w:rFonts w:hint="cs"/>
          <w:rtl/>
        </w:rPr>
        <w:t xml:space="preserve">لمجرّد إتاحة الوثائق على الفور للمودع (يمكن تحقيق هذه النتيجة أيضا باستعمال المزيد من الخدمات </w:t>
      </w:r>
      <w:proofErr w:type="spellStart"/>
      <w:r w:rsidR="002662AC">
        <w:rPr>
          <w:rFonts w:hint="cs"/>
          <w:rtl/>
        </w:rPr>
        <w:t>المتأمتة</w:t>
      </w:r>
      <w:proofErr w:type="spellEnd"/>
      <w:r w:rsidR="002662AC">
        <w:rPr>
          <w:rFonts w:hint="cs"/>
          <w:rtl/>
        </w:rPr>
        <w:t xml:space="preserve"> عبر ب</w:t>
      </w:r>
      <w:r w:rsidR="002662AC" w:rsidRPr="009340AC">
        <w:rPr>
          <w:rtl/>
        </w:rPr>
        <w:t>روتوكول</w:t>
      </w:r>
      <w:r w:rsidR="002662AC">
        <w:rPr>
          <w:rFonts w:hint="cs"/>
          <w:rtl/>
        </w:rPr>
        <w:t> </w:t>
      </w:r>
      <w:r w:rsidR="002662AC" w:rsidRPr="009340AC">
        <w:t>SFTP</w:t>
      </w:r>
      <w:r w:rsidR="00B23CF0">
        <w:rPr>
          <w:rFonts w:hint="cs"/>
          <w:rtl/>
        </w:rPr>
        <w:t>)</w:t>
      </w:r>
      <w:r w:rsidR="002662AC">
        <w:rPr>
          <w:rFonts w:hint="cs"/>
          <w:rtl/>
        </w:rPr>
        <w:t>.</w:t>
      </w:r>
    </w:p>
    <w:p w:rsidR="00FD6EB0" w:rsidRDefault="002662AC" w:rsidP="000A2814">
      <w:pPr>
        <w:pStyle w:val="NumberedParaAR"/>
        <w:rPr>
          <w:rtl/>
        </w:rPr>
      </w:pPr>
      <w:r>
        <w:rPr>
          <w:rFonts w:hint="cs"/>
          <w:rtl/>
        </w:rPr>
        <w:t>وبحلول اجتماع الفريق العامل، ستكون هناك إجراءات قائمة لاستحداث تقارير البحث والآراء المكتوبة لإدارة البحث الدولي</w:t>
      </w:r>
      <w:r w:rsidR="001D0D35">
        <w:rPr>
          <w:rFonts w:hint="cs"/>
          <w:rtl/>
        </w:rPr>
        <w:t xml:space="preserve"> (انظر كذلك الفقرة</w:t>
      </w:r>
      <w:r w:rsidR="000A2814">
        <w:rPr>
          <w:rFonts w:hint="eastAsia"/>
          <w:rtl/>
        </w:rPr>
        <w:t> </w:t>
      </w:r>
      <w:r w:rsidR="001D0D35">
        <w:rPr>
          <w:rFonts w:hint="cs"/>
          <w:rtl/>
        </w:rPr>
        <w:t>25 أدناه).</w:t>
      </w:r>
    </w:p>
    <w:p w:rsidR="00FD6EB0" w:rsidRDefault="00FD6EB0">
      <w:pPr>
        <w:rPr>
          <w:rFonts w:ascii="Arabic Typesetting" w:hAnsi="Arabic Typesetting" w:cs="Arabic Typesetting"/>
          <w:sz w:val="36"/>
          <w:szCs w:val="36"/>
          <w:rtl/>
        </w:rPr>
      </w:pPr>
      <w:r>
        <w:rPr>
          <w:rtl/>
        </w:rPr>
        <w:br w:type="page"/>
      </w:r>
    </w:p>
    <w:p w:rsidR="001D0D35" w:rsidRDefault="001D0D35" w:rsidP="00FD6EB0">
      <w:pPr>
        <w:pStyle w:val="NumberedParaAR"/>
      </w:pPr>
      <w:r>
        <w:rPr>
          <w:rFonts w:hint="cs"/>
          <w:rtl/>
        </w:rPr>
        <w:t xml:space="preserve">وعلاوة </w:t>
      </w:r>
      <w:r w:rsidR="00097804">
        <w:rPr>
          <w:rFonts w:hint="cs"/>
          <w:rtl/>
        </w:rPr>
        <w:t>على ذلك</w:t>
      </w:r>
      <w:r>
        <w:rPr>
          <w:rFonts w:hint="cs"/>
          <w:rtl/>
        </w:rPr>
        <w:t xml:space="preserve"> هناك</w:t>
      </w:r>
      <w:r w:rsidR="00097804">
        <w:rPr>
          <w:rFonts w:hint="cs"/>
          <w:rtl/>
        </w:rPr>
        <w:t>،</w:t>
      </w:r>
      <w:r>
        <w:rPr>
          <w:rFonts w:hint="cs"/>
          <w:rtl/>
        </w:rPr>
        <w:t xml:space="preserve"> </w:t>
      </w:r>
      <w:r w:rsidR="00097804">
        <w:rPr>
          <w:rFonts w:hint="cs"/>
          <w:rtl/>
        </w:rPr>
        <w:t>من ضمن تقارير الإدارة، ما هو متاح أو</w:t>
      </w:r>
      <w:r>
        <w:rPr>
          <w:rFonts w:hint="cs"/>
          <w:rtl/>
        </w:rPr>
        <w:t xml:space="preserve"> </w:t>
      </w:r>
      <w:r w:rsidR="00097804">
        <w:rPr>
          <w:rFonts w:hint="cs"/>
          <w:rtl/>
        </w:rPr>
        <w:t>يلزم إتاحته</w:t>
      </w:r>
      <w:r>
        <w:rPr>
          <w:rFonts w:hint="cs"/>
          <w:rtl/>
        </w:rPr>
        <w:t xml:space="preserve"> قبل اجتماع الفريق العامل، بما في ذلك:</w:t>
      </w:r>
    </w:p>
    <w:p w:rsidR="001D0D35" w:rsidRDefault="001D0D35" w:rsidP="001D0D35">
      <w:pPr>
        <w:pStyle w:val="NormalParaAR"/>
        <w:ind w:left="566"/>
        <w:rPr>
          <w:rtl/>
        </w:rPr>
      </w:pPr>
      <w:r>
        <w:rPr>
          <w:rFonts w:hint="cs"/>
          <w:rtl/>
        </w:rPr>
        <w:t>(أ)</w:t>
      </w:r>
      <w:r>
        <w:rPr>
          <w:rtl/>
        </w:rPr>
        <w:tab/>
      </w:r>
      <w:r w:rsidR="00097804">
        <w:rPr>
          <w:rFonts w:hint="cs"/>
          <w:rtl/>
        </w:rPr>
        <w:t xml:space="preserve">لمكاتب تسلم الطلبات </w:t>
      </w:r>
      <w:r w:rsidR="00097804">
        <w:rPr>
          <w:rtl/>
        </w:rPr>
        <w:t>–</w:t>
      </w:r>
      <w:r w:rsidR="00097804">
        <w:rPr>
          <w:rFonts w:hint="cs"/>
          <w:rtl/>
        </w:rPr>
        <w:t xml:space="preserve"> ملخص الطلبات المودعة، بحسب النوع والوضع؛</w:t>
      </w:r>
    </w:p>
    <w:p w:rsidR="00097804" w:rsidRDefault="00097804" w:rsidP="001D0D35">
      <w:pPr>
        <w:pStyle w:val="NormalParaAR"/>
        <w:ind w:left="566"/>
        <w:rPr>
          <w:rtl/>
        </w:rPr>
      </w:pPr>
      <w:r>
        <w:rPr>
          <w:rFonts w:hint="cs"/>
          <w:rtl/>
        </w:rPr>
        <w:t>(ب)</w:t>
      </w:r>
      <w:r>
        <w:rPr>
          <w:rtl/>
        </w:rPr>
        <w:tab/>
      </w:r>
      <w:r w:rsidR="006A0EEE">
        <w:rPr>
          <w:rFonts w:hint="cs"/>
          <w:rtl/>
        </w:rPr>
        <w:t xml:space="preserve">لمكاتب تسلم الطلبات وإدارات البحث الدولي </w:t>
      </w:r>
      <w:r w:rsidR="006A0EEE">
        <w:rPr>
          <w:rtl/>
        </w:rPr>
        <w:t>–</w:t>
      </w:r>
      <w:r w:rsidR="006A0EEE">
        <w:rPr>
          <w:rFonts w:hint="cs"/>
          <w:rtl/>
        </w:rPr>
        <w:t xml:space="preserve"> ملخص الطلبات الدولية التي لدى المكتب الدولي علم بها والتي تدخل ضمن اختصاص المكتب عندما تبدو نسخة البحث عالقة؛</w:t>
      </w:r>
    </w:p>
    <w:p w:rsidR="006A0EEE" w:rsidRDefault="006A0EEE" w:rsidP="001D0D35">
      <w:pPr>
        <w:pStyle w:val="NormalParaAR"/>
        <w:ind w:left="566"/>
        <w:rPr>
          <w:rtl/>
        </w:rPr>
      </w:pPr>
      <w:r>
        <w:rPr>
          <w:rFonts w:hint="cs"/>
          <w:rtl/>
        </w:rPr>
        <w:t>(ج)</w:t>
      </w:r>
      <w:r>
        <w:rPr>
          <w:rtl/>
        </w:rPr>
        <w:tab/>
      </w:r>
      <w:r>
        <w:rPr>
          <w:rFonts w:hint="cs"/>
          <w:rtl/>
        </w:rPr>
        <w:t xml:space="preserve">لإدارات البحث الدولي </w:t>
      </w:r>
      <w:r>
        <w:rPr>
          <w:rtl/>
        </w:rPr>
        <w:t>–</w:t>
      </w:r>
      <w:r>
        <w:rPr>
          <w:rFonts w:hint="cs"/>
          <w:rtl/>
        </w:rPr>
        <w:t xml:space="preserve"> ملخص الطلبات الدولية التي لدى المكتب الدولي علم بها والتي تدخل ضمن </w:t>
      </w:r>
      <w:r w:rsidR="004A1E62">
        <w:rPr>
          <w:rFonts w:hint="cs"/>
          <w:rtl/>
        </w:rPr>
        <w:t>اختصاص الإدارة عندما يكون تقرير البحث الدولي عالقا؛</w:t>
      </w:r>
    </w:p>
    <w:p w:rsidR="004A1E62" w:rsidRDefault="004A1E62" w:rsidP="004A1E62">
      <w:pPr>
        <w:pStyle w:val="NormalParaAR"/>
        <w:ind w:left="566"/>
        <w:rPr>
          <w:rtl/>
        </w:rPr>
      </w:pPr>
      <w:r>
        <w:rPr>
          <w:rFonts w:hint="cs"/>
          <w:rtl/>
        </w:rPr>
        <w:t>(د)</w:t>
      </w:r>
      <w:r>
        <w:rPr>
          <w:rtl/>
        </w:rPr>
        <w:tab/>
      </w:r>
      <w:r>
        <w:rPr>
          <w:rFonts w:hint="cs"/>
          <w:rtl/>
        </w:rPr>
        <w:t xml:space="preserve">لإدارات الفحص التمهيدي الدولي </w:t>
      </w:r>
      <w:r>
        <w:rPr>
          <w:rtl/>
        </w:rPr>
        <w:t>–</w:t>
      </w:r>
      <w:r>
        <w:rPr>
          <w:rFonts w:hint="cs"/>
          <w:rtl/>
        </w:rPr>
        <w:t xml:space="preserve"> ملخص الطلبات الدولية التي يعلم المكتب الدولي بشأنها أن مطالبة قُدِّمت إلى الإدارة ولكن تقرير الفحص التمهيدي الدولي بقي عالقا.</w:t>
      </w:r>
    </w:p>
    <w:p w:rsidR="004A1E62" w:rsidRDefault="004A1E62" w:rsidP="004A1E62">
      <w:pPr>
        <w:pStyle w:val="NumberedParaAR"/>
      </w:pPr>
      <w:r>
        <w:rPr>
          <w:rFonts w:hint="cs"/>
          <w:rtl/>
        </w:rPr>
        <w:t>ويُؤمل أن تستخدم المكاتب تلك التقارير بنشاط للمساعدة على إدارة عبء العمل الواقع على عاتقها، بما في ذلك تسريع الكشف عن الحالات المنطوية على مشاكل ومعالجتها. وستُبذل جهود بغرض الارتقاء بتلك التقارير إلى المستوى الأمثل في سبيل زيادة فرص نفاذ المستخدمين، بمختلف احتياجاتهم، إلى المعلومات.</w:t>
      </w:r>
    </w:p>
    <w:p w:rsidR="004A1E62" w:rsidRPr="004A1E62" w:rsidRDefault="00B82FA6" w:rsidP="004A1E62">
      <w:pPr>
        <w:pStyle w:val="NormalParaAR"/>
        <w:keepNext/>
        <w:rPr>
          <w:b/>
          <w:bCs/>
          <w:sz w:val="40"/>
          <w:szCs w:val="40"/>
          <w:rtl/>
        </w:rPr>
      </w:pPr>
      <w:r>
        <w:rPr>
          <w:rFonts w:hint="cs"/>
          <w:b/>
          <w:bCs/>
          <w:sz w:val="40"/>
          <w:szCs w:val="40"/>
          <w:rtl/>
        </w:rPr>
        <w:t xml:space="preserve">استعمال </w:t>
      </w:r>
      <w:r w:rsidR="004A1E62" w:rsidRPr="00ED4CD5">
        <w:rPr>
          <w:rFonts w:hint="cs"/>
          <w:b/>
          <w:bCs/>
          <w:sz w:val="40"/>
          <w:szCs w:val="40"/>
          <w:rtl/>
        </w:rPr>
        <w:t>خدمات نظام المعاهدة الإلكتروني (</w:t>
      </w:r>
      <w:proofErr w:type="spellStart"/>
      <w:r w:rsidR="004A1E62" w:rsidRPr="00ED4CD5">
        <w:rPr>
          <w:b/>
          <w:bCs/>
          <w:sz w:val="40"/>
          <w:szCs w:val="40"/>
        </w:rPr>
        <w:t>ePCT</w:t>
      </w:r>
      <w:proofErr w:type="spellEnd"/>
      <w:r w:rsidR="004A1E62" w:rsidRPr="00ED4CD5">
        <w:rPr>
          <w:rFonts w:hint="cs"/>
          <w:b/>
          <w:bCs/>
          <w:sz w:val="40"/>
          <w:szCs w:val="40"/>
          <w:rtl/>
        </w:rPr>
        <w:t xml:space="preserve">) </w:t>
      </w:r>
      <w:r w:rsidR="001B084D">
        <w:rPr>
          <w:rFonts w:hint="cs"/>
          <w:b/>
          <w:bCs/>
          <w:sz w:val="40"/>
          <w:szCs w:val="40"/>
          <w:rtl/>
        </w:rPr>
        <w:t>القائمة على برنا</w:t>
      </w:r>
      <w:r w:rsidR="004A1E62" w:rsidRPr="00ED4CD5">
        <w:rPr>
          <w:rFonts w:hint="cs"/>
          <w:b/>
          <w:bCs/>
          <w:sz w:val="40"/>
          <w:szCs w:val="40"/>
          <w:rtl/>
        </w:rPr>
        <w:t>مج التصفح</w:t>
      </w:r>
    </w:p>
    <w:p w:rsidR="004A1E62" w:rsidRDefault="00744411" w:rsidP="00FD6EB0">
      <w:pPr>
        <w:pStyle w:val="NumberedParaAR"/>
      </w:pPr>
      <w:r>
        <w:rPr>
          <w:rFonts w:hint="cs"/>
          <w:rtl/>
        </w:rPr>
        <w:t xml:space="preserve">في وقت إعداد هذه الوثيقة، يتيح </w:t>
      </w:r>
      <w:r w:rsidRPr="00744411">
        <w:rPr>
          <w:rtl/>
        </w:rPr>
        <w:t>نظام</w:t>
      </w:r>
      <w:r w:rsidR="00FD6EB0">
        <w:rPr>
          <w:rFonts w:hint="cs"/>
          <w:rtl/>
        </w:rPr>
        <w:t> </w:t>
      </w:r>
      <w:proofErr w:type="spellStart"/>
      <w:r w:rsidRPr="00744411">
        <w:t>ePCT</w:t>
      </w:r>
      <w:proofErr w:type="spellEnd"/>
      <w:r>
        <w:rPr>
          <w:rFonts w:hint="cs"/>
          <w:rtl/>
        </w:rPr>
        <w:t xml:space="preserve"> إمكانية إيداع الطلبات الدولية ل</w:t>
      </w:r>
      <w:r w:rsidR="00B82FA6">
        <w:rPr>
          <w:rFonts w:hint="cs"/>
          <w:rtl/>
        </w:rPr>
        <w:t>زهاء 37</w:t>
      </w:r>
      <w:r w:rsidR="00FD6EB0">
        <w:rPr>
          <w:rFonts w:hint="eastAsia"/>
          <w:rtl/>
        </w:rPr>
        <w:t> </w:t>
      </w:r>
      <w:r w:rsidR="00B82FA6">
        <w:rPr>
          <w:rFonts w:hint="cs"/>
          <w:rtl/>
        </w:rPr>
        <w:t>مكتبا من مكاتب تسلم الطلبات، لدى 26</w:t>
      </w:r>
      <w:r w:rsidR="00FD6EB0">
        <w:rPr>
          <w:rFonts w:hint="eastAsia"/>
          <w:rtl/>
        </w:rPr>
        <w:t> </w:t>
      </w:r>
      <w:r w:rsidR="00B82FA6">
        <w:rPr>
          <w:rFonts w:hint="cs"/>
          <w:rtl/>
        </w:rPr>
        <w:t>مكتبا منها (بما في ذلك مكتب تسلم الطلبات ب</w:t>
      </w:r>
      <w:r w:rsidR="00FD6EB0">
        <w:rPr>
          <w:rFonts w:hint="cs"/>
          <w:rtl/>
        </w:rPr>
        <w:t>ال</w:t>
      </w:r>
      <w:r w:rsidR="00B82FA6">
        <w:rPr>
          <w:rFonts w:hint="cs"/>
          <w:rtl/>
        </w:rPr>
        <w:t>مكتب الدولي) خادم يستضيفه المكتب الدولي. ومن المزمع أو من المتوقّع أن تُضاف عدة مكاتب أخرى إلى تلك القائمة في المستقبل القريب.</w:t>
      </w:r>
    </w:p>
    <w:p w:rsidR="00B82FA6" w:rsidRDefault="00B82FA6" w:rsidP="00FD6EB0">
      <w:pPr>
        <w:pStyle w:val="NumberedParaAR"/>
      </w:pPr>
      <w:r>
        <w:rPr>
          <w:rFonts w:hint="cs"/>
          <w:rtl/>
        </w:rPr>
        <w:t xml:space="preserve">وتُتاح </w:t>
      </w:r>
      <w:r w:rsidR="00FD6EB0">
        <w:rPr>
          <w:rFonts w:hint="cs"/>
          <w:rtl/>
        </w:rPr>
        <w:t>ل</w:t>
      </w:r>
      <w:r>
        <w:rPr>
          <w:rFonts w:hint="cs"/>
          <w:rtl/>
        </w:rPr>
        <w:t>أكثر من 50</w:t>
      </w:r>
      <w:r w:rsidR="00FD6EB0">
        <w:rPr>
          <w:rFonts w:hint="eastAsia"/>
          <w:rtl/>
        </w:rPr>
        <w:t> </w:t>
      </w:r>
      <w:r w:rsidR="00FD6EB0">
        <w:rPr>
          <w:rFonts w:hint="cs"/>
          <w:rtl/>
        </w:rPr>
        <w:t xml:space="preserve">مكتبا </w:t>
      </w:r>
      <w:r>
        <w:rPr>
          <w:rFonts w:hint="cs"/>
          <w:rtl/>
        </w:rPr>
        <w:t>من المكاتب الوطنية والإقليمية إمكانية النفاذ إلى نظام</w:t>
      </w:r>
      <w:r>
        <w:rPr>
          <w:rFonts w:hint="eastAsia"/>
          <w:rtl/>
        </w:rPr>
        <w:t> </w:t>
      </w:r>
      <w:proofErr w:type="spellStart"/>
      <w:r w:rsidR="00744411" w:rsidRPr="00B82FA6">
        <w:t>ePCT</w:t>
      </w:r>
      <w:proofErr w:type="spellEnd"/>
      <w:r w:rsidR="00FD6EB0">
        <w:rPr>
          <w:rFonts w:hint="cs"/>
          <w:rtl/>
        </w:rPr>
        <w:t xml:space="preserve"> بصفة واحدة أو أكثر ، أي بصفة مكتب لتسلم الطلبات أو م</w:t>
      </w:r>
      <w:r>
        <w:rPr>
          <w:rFonts w:hint="cs"/>
          <w:rtl/>
        </w:rPr>
        <w:t>كتب للبحث الد</w:t>
      </w:r>
      <w:r w:rsidR="00FD6EB0">
        <w:rPr>
          <w:rFonts w:hint="cs"/>
          <w:rtl/>
        </w:rPr>
        <w:t>ولي والفحص التمهيدي الدولي أو م</w:t>
      </w:r>
      <w:r>
        <w:rPr>
          <w:rFonts w:hint="cs"/>
          <w:rtl/>
        </w:rPr>
        <w:t>كتب معيّن أو مختار. ويستخدم نحو 40</w:t>
      </w:r>
      <w:r w:rsidR="00FD6EB0">
        <w:rPr>
          <w:rFonts w:hint="eastAsia"/>
          <w:rtl/>
        </w:rPr>
        <w:t> </w:t>
      </w:r>
      <w:r w:rsidR="00FD6EB0">
        <w:rPr>
          <w:rFonts w:hint="cs"/>
          <w:rtl/>
        </w:rPr>
        <w:t xml:space="preserve">مكتبا </w:t>
      </w:r>
      <w:r>
        <w:rPr>
          <w:rFonts w:hint="cs"/>
          <w:rtl/>
        </w:rPr>
        <w:t xml:space="preserve">من تلك المكاتب، </w:t>
      </w:r>
      <w:r w:rsidR="001B084D">
        <w:rPr>
          <w:rFonts w:hint="cs"/>
          <w:rtl/>
        </w:rPr>
        <w:t>بانتظام، الخدمات القائمة على برنا</w:t>
      </w:r>
      <w:r>
        <w:rPr>
          <w:rFonts w:hint="cs"/>
          <w:rtl/>
        </w:rPr>
        <w:t xml:space="preserve">مج التصفح في إطار مهامها الخاصة بالمرحلة الدولية. وتستعمل مكاتب أخرى تلك الخدمات لأغراض التقييم أو لدعم الخدمات المُقدمة للزبائن أو أشكال أخرى من </w:t>
      </w:r>
      <w:r w:rsidR="00DD1288">
        <w:rPr>
          <w:rFonts w:hint="cs"/>
          <w:rtl/>
        </w:rPr>
        <w:t>أشكال تحديد المشاكل وتسويتها.</w:t>
      </w:r>
    </w:p>
    <w:p w:rsidR="00DD1288" w:rsidRDefault="00DD1288" w:rsidP="00FD6EB0">
      <w:pPr>
        <w:pStyle w:val="NumberedParaAR"/>
      </w:pPr>
      <w:r>
        <w:rPr>
          <w:rFonts w:hint="cs"/>
          <w:rtl/>
        </w:rPr>
        <w:t>ويسمح 37</w:t>
      </w:r>
      <w:r w:rsidR="00FD6EB0">
        <w:rPr>
          <w:rFonts w:hint="eastAsia"/>
          <w:rtl/>
        </w:rPr>
        <w:t> </w:t>
      </w:r>
      <w:r>
        <w:rPr>
          <w:rFonts w:hint="cs"/>
          <w:rtl/>
        </w:rPr>
        <w:t>مكتبا من مكاتب تسلم الطلبات للمودعين بتزويده بوثائق ما بعد الإيداع من خلال تحميلها باستعمال نظام</w:t>
      </w:r>
      <w:r>
        <w:rPr>
          <w:rFonts w:hint="eastAsia"/>
          <w:rtl/>
        </w:rPr>
        <w:t> </w:t>
      </w:r>
      <w:proofErr w:type="spellStart"/>
      <w:r w:rsidRPr="00B82FA6">
        <w:t>ePCT</w:t>
      </w:r>
      <w:proofErr w:type="spellEnd"/>
      <w:r>
        <w:rPr>
          <w:rFonts w:hint="cs"/>
          <w:rtl/>
        </w:rPr>
        <w:t>. ويستخرج 34</w:t>
      </w:r>
      <w:r w:rsidR="00FD6EB0">
        <w:rPr>
          <w:rFonts w:hint="eastAsia"/>
          <w:rtl/>
        </w:rPr>
        <w:t> </w:t>
      </w:r>
      <w:r>
        <w:rPr>
          <w:rFonts w:hint="cs"/>
          <w:rtl/>
        </w:rPr>
        <w:t>مكتبا من تلك المكاتب الوثائق عبر واجهة نظام</w:t>
      </w:r>
      <w:r>
        <w:rPr>
          <w:rFonts w:hint="eastAsia"/>
          <w:rtl/>
        </w:rPr>
        <w:t> </w:t>
      </w:r>
      <w:proofErr w:type="spellStart"/>
      <w:r w:rsidRPr="00B82FA6">
        <w:t>ePCT</w:t>
      </w:r>
      <w:proofErr w:type="spellEnd"/>
      <w:r w:rsidR="001B084D">
        <w:rPr>
          <w:rFonts w:hint="cs"/>
          <w:rtl/>
        </w:rPr>
        <w:t xml:space="preserve"> القائمة على برنا</w:t>
      </w:r>
      <w:r>
        <w:rPr>
          <w:rFonts w:hint="cs"/>
          <w:rtl/>
        </w:rPr>
        <w:t xml:space="preserve">مج التصفح؛ أما فيما يخص بقية المكاتب فإن الوثائق تُرسل في دفعات من خلال </w:t>
      </w:r>
      <w:r w:rsidR="00F33184" w:rsidRPr="00DD1288">
        <w:rPr>
          <w:rFonts w:hint="cs"/>
          <w:rtl/>
        </w:rPr>
        <w:t>خدمة</w:t>
      </w:r>
      <w:r w:rsidR="00F33184" w:rsidRPr="00DD1288">
        <w:rPr>
          <w:rFonts w:hint="eastAsia"/>
          <w:rtl/>
        </w:rPr>
        <w:t> </w:t>
      </w:r>
      <w:r w:rsidR="00F33184" w:rsidRPr="00DD1288">
        <w:t>PCT</w:t>
      </w:r>
      <w:r w:rsidR="00F33184" w:rsidRPr="00DD1288">
        <w:noBreakHyphen/>
        <w:t>EDI</w:t>
      </w:r>
      <w:r>
        <w:rPr>
          <w:rFonts w:hint="cs"/>
          <w:rtl/>
        </w:rPr>
        <w:t>. كما تسمح تسع إدارات من إدارات البحث والفحص التمهيدي الدوليين للمودعين من تزويدها بالوثائق من خلال تحميلها باستعمال نظام</w:t>
      </w:r>
      <w:r>
        <w:rPr>
          <w:rFonts w:hint="eastAsia"/>
          <w:rtl/>
        </w:rPr>
        <w:t> </w:t>
      </w:r>
      <w:proofErr w:type="spellStart"/>
      <w:r w:rsidRPr="00B82FA6">
        <w:t>ePCT</w:t>
      </w:r>
      <w:proofErr w:type="spellEnd"/>
      <w:r>
        <w:rPr>
          <w:rFonts w:hint="cs"/>
          <w:rtl/>
        </w:rPr>
        <w:t>.</w:t>
      </w:r>
    </w:p>
    <w:p w:rsidR="00DD1288" w:rsidRPr="00DD1288" w:rsidRDefault="00DD1288" w:rsidP="00DD1288">
      <w:pPr>
        <w:pStyle w:val="NormalParaAR"/>
        <w:keepNext/>
        <w:rPr>
          <w:b/>
          <w:bCs/>
          <w:sz w:val="40"/>
          <w:szCs w:val="40"/>
          <w:rtl/>
        </w:rPr>
      </w:pPr>
      <w:r w:rsidRPr="00DD1288">
        <w:rPr>
          <w:rFonts w:hint="cs"/>
          <w:b/>
          <w:bCs/>
          <w:sz w:val="40"/>
          <w:szCs w:val="40"/>
          <w:rtl/>
        </w:rPr>
        <w:t>استعمال خدمة</w:t>
      </w:r>
      <w:r w:rsidRPr="00DD1288">
        <w:rPr>
          <w:rFonts w:hint="eastAsia"/>
          <w:b/>
          <w:bCs/>
          <w:sz w:val="40"/>
          <w:szCs w:val="40"/>
          <w:rtl/>
        </w:rPr>
        <w:t> </w:t>
      </w:r>
      <w:proofErr w:type="spellStart"/>
      <w:r w:rsidR="003B6781" w:rsidRPr="00DD1288">
        <w:rPr>
          <w:b/>
          <w:bCs/>
          <w:sz w:val="40"/>
          <w:szCs w:val="40"/>
        </w:rPr>
        <w:t>eSearchCopy</w:t>
      </w:r>
      <w:proofErr w:type="spellEnd"/>
    </w:p>
    <w:p w:rsidR="00DD1288" w:rsidRDefault="00B24A3D" w:rsidP="009418B9">
      <w:pPr>
        <w:pStyle w:val="NumberedParaAR"/>
      </w:pPr>
      <w:r>
        <w:rPr>
          <w:rFonts w:hint="cs"/>
          <w:rtl/>
        </w:rPr>
        <w:t>تُستعمل خدمة</w:t>
      </w:r>
      <w:r>
        <w:rPr>
          <w:rFonts w:hint="eastAsia"/>
          <w:rtl/>
        </w:rPr>
        <w:t> </w:t>
      </w:r>
      <w:proofErr w:type="spellStart"/>
      <w:r w:rsidRPr="003B6781">
        <w:t>eSearchCopy</w:t>
      </w:r>
      <w:proofErr w:type="spellEnd"/>
      <w:r>
        <w:rPr>
          <w:rFonts w:hint="cs"/>
          <w:rtl/>
        </w:rPr>
        <w:t>، حاليا، بين 36</w:t>
      </w:r>
      <w:r w:rsidR="00FD6EB0">
        <w:rPr>
          <w:rFonts w:hint="eastAsia"/>
          <w:rtl/>
        </w:rPr>
        <w:t> </w:t>
      </w:r>
      <w:r>
        <w:rPr>
          <w:rFonts w:hint="cs"/>
          <w:rtl/>
        </w:rPr>
        <w:t xml:space="preserve">زوجا </w:t>
      </w:r>
      <w:r w:rsidR="009418B9">
        <w:rPr>
          <w:rFonts w:hint="cs"/>
          <w:rtl/>
        </w:rPr>
        <w:t>من المكاتب تتألف من ثماني إدارات</w:t>
      </w:r>
      <w:r>
        <w:rPr>
          <w:rFonts w:hint="cs"/>
          <w:rtl/>
        </w:rPr>
        <w:t xml:space="preserve"> من إدارات البحث الدولي و19</w:t>
      </w:r>
      <w:r w:rsidR="009418B9">
        <w:rPr>
          <w:rFonts w:hint="eastAsia"/>
          <w:rtl/>
        </w:rPr>
        <w:t> </w:t>
      </w:r>
      <w:r>
        <w:rPr>
          <w:rFonts w:hint="cs"/>
          <w:rtl/>
        </w:rPr>
        <w:t xml:space="preserve">مكتبا من مكاتب تسلم الطلبات. ويجري تقييم الخدمة لضمان استيفائها التوقعات الخاصة بالجودة والملاءمة من حيث التوقيت عند استعمالها من قبل مكاتب لتسلم الطلبات تختلف من حيث النوع أو تنتهج ممارسات مختلفة </w:t>
      </w:r>
      <w:r>
        <w:rPr>
          <w:rtl/>
        </w:rPr>
        <w:t>–</w:t>
      </w:r>
      <w:r>
        <w:rPr>
          <w:rFonts w:hint="cs"/>
          <w:rtl/>
        </w:rPr>
        <w:t xml:space="preserve"> بما في ذلك المكاتب التي تقع قرب الإدارة الدولية أو تبعد عنها كثيرا؛ والمكاتب التي تحيل وثائق أودِعت أساسا بالوسائل الإلكترونية أو نُسخت أساسا بالمسح الضوئي من الورق؛ والمكاتب التي توفر معلومات عن تسديد رسم البحث</w:t>
      </w:r>
      <w:r w:rsidR="0019505F">
        <w:rPr>
          <w:rFonts w:hint="cs"/>
          <w:rtl/>
        </w:rPr>
        <w:t xml:space="preserve"> بواسطة بيانات فردية في نظام</w:t>
      </w:r>
      <w:r w:rsidR="0019505F">
        <w:rPr>
          <w:rFonts w:hint="eastAsia"/>
          <w:rtl/>
        </w:rPr>
        <w:t> </w:t>
      </w:r>
      <w:proofErr w:type="spellStart"/>
      <w:r w:rsidR="0019505F" w:rsidRPr="00B82FA6">
        <w:t>ePCT</w:t>
      </w:r>
      <w:proofErr w:type="spellEnd"/>
      <w:r w:rsidR="0019505F">
        <w:rPr>
          <w:rFonts w:hint="cs"/>
          <w:rtl/>
        </w:rPr>
        <w:t xml:space="preserve"> أو عبر دفعة من </w:t>
      </w:r>
      <w:proofErr w:type="spellStart"/>
      <w:r w:rsidR="0019505F">
        <w:rPr>
          <w:rFonts w:hint="cs"/>
          <w:rtl/>
        </w:rPr>
        <w:t>الإخطارات</w:t>
      </w:r>
      <w:proofErr w:type="spellEnd"/>
      <w:r w:rsidR="0019505F">
        <w:rPr>
          <w:rFonts w:hint="cs"/>
          <w:rtl/>
        </w:rPr>
        <w:t xml:space="preserve"> الصادرة عن نظام مركزي لمعالجة الرسوم.</w:t>
      </w:r>
    </w:p>
    <w:p w:rsidR="0019505F" w:rsidRPr="0019505F" w:rsidRDefault="0019505F" w:rsidP="0019505F">
      <w:pPr>
        <w:pStyle w:val="NormalParaAR"/>
        <w:keepNext/>
        <w:rPr>
          <w:b/>
          <w:bCs/>
          <w:sz w:val="40"/>
          <w:szCs w:val="40"/>
          <w:rtl/>
        </w:rPr>
      </w:pPr>
      <w:r w:rsidRPr="0019505F">
        <w:rPr>
          <w:rFonts w:hint="cs"/>
          <w:b/>
          <w:bCs/>
          <w:sz w:val="40"/>
          <w:szCs w:val="40"/>
          <w:rtl/>
        </w:rPr>
        <w:t>الفرص والأولويات</w:t>
      </w:r>
    </w:p>
    <w:p w:rsidR="0019505F" w:rsidRPr="0019505F" w:rsidRDefault="0019505F" w:rsidP="0019505F">
      <w:pPr>
        <w:pStyle w:val="NumberedParaAR"/>
        <w:keepNext/>
        <w:numPr>
          <w:ilvl w:val="0"/>
          <w:numId w:val="0"/>
        </w:numPr>
        <w:rPr>
          <w:u w:val="single"/>
          <w:rtl/>
        </w:rPr>
      </w:pPr>
      <w:r w:rsidRPr="0019505F">
        <w:rPr>
          <w:rFonts w:hint="cs"/>
          <w:u w:val="single"/>
          <w:rtl/>
        </w:rPr>
        <w:t>التطوير ال</w:t>
      </w:r>
      <w:r>
        <w:rPr>
          <w:rFonts w:hint="cs"/>
          <w:u w:val="single"/>
          <w:rtl/>
        </w:rPr>
        <w:t>متوقّع إدخاله على الخدمات</w:t>
      </w:r>
      <w:r w:rsidR="001B084D">
        <w:rPr>
          <w:rFonts w:hint="cs"/>
          <w:u w:val="single"/>
          <w:rtl/>
        </w:rPr>
        <w:t xml:space="preserve"> القائمة على برنا</w:t>
      </w:r>
      <w:r w:rsidRPr="0019505F">
        <w:rPr>
          <w:rFonts w:hint="cs"/>
          <w:u w:val="single"/>
          <w:rtl/>
        </w:rPr>
        <w:t>مج التصفح</w:t>
      </w:r>
    </w:p>
    <w:p w:rsidR="0019505F" w:rsidRDefault="001B084D" w:rsidP="001B084D">
      <w:pPr>
        <w:pStyle w:val="NumberedParaAR"/>
      </w:pPr>
      <w:r>
        <w:rPr>
          <w:rFonts w:hint="cs"/>
          <w:rtl/>
        </w:rPr>
        <w:t>بالإضافة إلى طائفة واسعة من التحسينات الطفيفة المتوقّع أن تدخل حيّز التطبيق في العام المقبل، ستكون التطويرات الرئيسية التي يعتزم المكتب الدولي إدخالها على خدمات نظام</w:t>
      </w:r>
      <w:r>
        <w:rPr>
          <w:rFonts w:hint="eastAsia"/>
          <w:rtl/>
        </w:rPr>
        <w:t> </w:t>
      </w:r>
      <w:proofErr w:type="spellStart"/>
      <w:r w:rsidRPr="00B82FA6">
        <w:t>ePCT</w:t>
      </w:r>
      <w:proofErr w:type="spellEnd"/>
      <w:r w:rsidRPr="001B084D">
        <w:rPr>
          <w:rtl/>
        </w:rPr>
        <w:t xml:space="preserve"> </w:t>
      </w:r>
      <w:r>
        <w:rPr>
          <w:rtl/>
        </w:rPr>
        <w:t>القائمة على بر</w:t>
      </w:r>
      <w:r>
        <w:rPr>
          <w:rFonts w:hint="cs"/>
          <w:rtl/>
        </w:rPr>
        <w:t>نا</w:t>
      </w:r>
      <w:r w:rsidRPr="001B084D">
        <w:rPr>
          <w:rtl/>
        </w:rPr>
        <w:t>مج التصفح</w:t>
      </w:r>
      <w:r>
        <w:rPr>
          <w:rFonts w:hint="cs"/>
          <w:rtl/>
        </w:rPr>
        <w:t xml:space="preserve"> في عام</w:t>
      </w:r>
      <w:r>
        <w:rPr>
          <w:rFonts w:hint="eastAsia"/>
          <w:rtl/>
        </w:rPr>
        <w:t> </w:t>
      </w:r>
      <w:r>
        <w:rPr>
          <w:rFonts w:hint="cs"/>
          <w:rtl/>
        </w:rPr>
        <w:t>2016 كما يلي:</w:t>
      </w:r>
    </w:p>
    <w:p w:rsidR="001B084D" w:rsidRDefault="001B084D" w:rsidP="00235791">
      <w:pPr>
        <w:pStyle w:val="NormalParaAR"/>
        <w:ind w:left="566"/>
        <w:rPr>
          <w:rtl/>
        </w:rPr>
      </w:pPr>
      <w:r>
        <w:rPr>
          <w:rFonts w:hint="cs"/>
          <w:rtl/>
        </w:rPr>
        <w:t>(أ)</w:t>
      </w:r>
      <w:r>
        <w:rPr>
          <w:rtl/>
        </w:rPr>
        <w:tab/>
      </w:r>
      <w:r>
        <w:rPr>
          <w:rFonts w:hint="cs"/>
          <w:rtl/>
        </w:rPr>
        <w:t>إصلاح "شكل و</w:t>
      </w:r>
      <w:r w:rsidR="00235791">
        <w:rPr>
          <w:rFonts w:hint="cs"/>
          <w:rtl/>
        </w:rPr>
        <w:t>طريقة عرض" التطبيق الخاص ببرنامج التصفح بغرض توفير تصميم أسهل من حيث الاستخدام وأكثر اتساقا وجاذبية؛</w:t>
      </w:r>
    </w:p>
    <w:p w:rsidR="00235791" w:rsidRDefault="00235791" w:rsidP="00235791">
      <w:pPr>
        <w:pStyle w:val="NormalParaAR"/>
        <w:ind w:left="566"/>
        <w:rPr>
          <w:rtl/>
        </w:rPr>
      </w:pPr>
      <w:r>
        <w:rPr>
          <w:rFonts w:hint="cs"/>
          <w:rtl/>
        </w:rPr>
        <w:t>(ب)</w:t>
      </w:r>
      <w:r>
        <w:rPr>
          <w:rtl/>
        </w:rPr>
        <w:tab/>
      </w:r>
      <w:r>
        <w:rPr>
          <w:rFonts w:hint="cs"/>
          <w:rtl/>
        </w:rPr>
        <w:t>نظام جديد لإدارة الهوية والنفاذ يمكّن المودعين (وربما المكاتب التي تستخدمه) من الدخول باستعمال أنظمة للتحقق تكون أسهل من حيث الاستخدام مقارنة بالشهادات الرقمية الحالية، وتضمن مستوى مماثلا من الأمن على الأقل؛</w:t>
      </w:r>
    </w:p>
    <w:p w:rsidR="00235791" w:rsidRDefault="00235791" w:rsidP="009418B9">
      <w:pPr>
        <w:pStyle w:val="NormalParaAR"/>
        <w:ind w:left="566"/>
        <w:rPr>
          <w:rtl/>
        </w:rPr>
      </w:pPr>
      <w:r>
        <w:rPr>
          <w:rFonts w:hint="cs"/>
          <w:rtl/>
        </w:rPr>
        <w:t>(ج)</w:t>
      </w:r>
      <w:r>
        <w:rPr>
          <w:rtl/>
        </w:rPr>
        <w:tab/>
      </w:r>
      <w:r>
        <w:rPr>
          <w:rFonts w:hint="cs"/>
          <w:rtl/>
        </w:rPr>
        <w:t xml:space="preserve">ترتيبات محسّنة لتدفق العمل لفائدة مكاتب تسلم الطلبات لتوضيح المعالجة الإضافية المطلوبة وضمان عدم إغفال أي </w:t>
      </w:r>
      <w:r w:rsidR="009418B9">
        <w:rPr>
          <w:rFonts w:hint="cs"/>
          <w:rtl/>
        </w:rPr>
        <w:t>إجراء</w:t>
      </w:r>
      <w:r>
        <w:rPr>
          <w:rFonts w:hint="cs"/>
          <w:rtl/>
        </w:rPr>
        <w:t>؛</w:t>
      </w:r>
    </w:p>
    <w:p w:rsidR="00235791" w:rsidRDefault="00235791" w:rsidP="004A56DC">
      <w:pPr>
        <w:pStyle w:val="NormalParaAR"/>
        <w:ind w:left="566"/>
        <w:rPr>
          <w:rtl/>
        </w:rPr>
      </w:pPr>
      <w:r>
        <w:rPr>
          <w:rFonts w:hint="cs"/>
          <w:rtl/>
        </w:rPr>
        <w:t>(د)</w:t>
      </w:r>
      <w:r>
        <w:rPr>
          <w:rtl/>
        </w:rPr>
        <w:tab/>
      </w:r>
      <w:r>
        <w:rPr>
          <w:rFonts w:hint="cs"/>
          <w:rtl/>
        </w:rPr>
        <w:t>تحسين استخدام المعلومات القابلة للقراءة آليا بغرض توفير خدمات محسّنة، بما في ذلك استخدام المعلومات المستشهد بها من تقارير البحث الدولي المُرسلة بنسق</w:t>
      </w:r>
      <w:r w:rsidR="004A56DC">
        <w:rPr>
          <w:rFonts w:hint="eastAsia"/>
          <w:rtl/>
        </w:rPr>
        <w:t> </w:t>
      </w:r>
      <w:r w:rsidR="004A56DC" w:rsidRPr="004A56DC">
        <w:t>XML</w:t>
      </w:r>
      <w:r w:rsidR="004A56DC">
        <w:rPr>
          <w:rFonts w:hint="cs"/>
          <w:rtl/>
        </w:rPr>
        <w:t xml:space="preserve"> من أجل تحسين فاعلية نفاذ المودعين والمكاتب المعيّنة والمختارة إلى الوثائق المستشهد بها، بما في ذلك البراءات الم</w:t>
      </w:r>
      <w:r w:rsidR="00246202">
        <w:rPr>
          <w:rFonts w:hint="cs"/>
          <w:rtl/>
        </w:rPr>
        <w:t>نتمية إلى الأسرة ذاتها والمستندات بخلاف البراءات.</w:t>
      </w:r>
    </w:p>
    <w:p w:rsidR="00246202" w:rsidRPr="00246202" w:rsidRDefault="00246202" w:rsidP="00246202">
      <w:pPr>
        <w:pStyle w:val="NumberedParaAR"/>
        <w:keepNext/>
        <w:numPr>
          <w:ilvl w:val="0"/>
          <w:numId w:val="0"/>
        </w:numPr>
        <w:rPr>
          <w:u w:val="single"/>
          <w:rtl/>
        </w:rPr>
      </w:pPr>
      <w:r w:rsidRPr="00246202">
        <w:rPr>
          <w:rFonts w:hint="cs"/>
          <w:u w:val="single"/>
          <w:rtl/>
        </w:rPr>
        <w:t>الخدمات الشبكية</w:t>
      </w:r>
    </w:p>
    <w:p w:rsidR="00246202" w:rsidRDefault="00246202" w:rsidP="009418B9">
      <w:pPr>
        <w:pStyle w:val="NumberedParaAR"/>
      </w:pPr>
      <w:r>
        <w:rPr>
          <w:rFonts w:hint="cs"/>
          <w:rtl/>
        </w:rPr>
        <w:t>بالإضافة إلى ذلك، يعكف المكتب الدولي على تطوير مجموعة أولية من الخدمات الشبكية بغرض تقييم الفرص المتاحة ومدى اهتمام المكاتب بتلك الخدمات. ويمكن أن تُستعمل تلك الخدمات لأغراض التفاعلات الآلية شبه الآنية مع المودعين (من خلال أنظمة إدارة البراءات) أو المكاتب. ومن شأنها، في الوقت الحالي، أن تكمّل</w:t>
      </w:r>
      <w:r w:rsidR="004D52BA">
        <w:rPr>
          <w:rFonts w:hint="cs"/>
          <w:rtl/>
        </w:rPr>
        <w:t xml:space="preserve"> </w:t>
      </w:r>
      <w:r w:rsidR="009418B9">
        <w:rPr>
          <w:rFonts w:hint="cs"/>
          <w:rtl/>
        </w:rPr>
        <w:t>مجموعة</w:t>
      </w:r>
      <w:r w:rsidR="004D52BA">
        <w:rPr>
          <w:rFonts w:hint="cs"/>
          <w:rtl/>
        </w:rPr>
        <w:t xml:space="preserve"> الخدمات الدورية القائمة على برنامج التصفح والتي تمثّل خدمات التواصل الراهنة</w:t>
      </w:r>
      <w:r>
        <w:rPr>
          <w:rFonts w:hint="cs"/>
          <w:rtl/>
        </w:rPr>
        <w:t xml:space="preserve">، </w:t>
      </w:r>
      <w:r w:rsidR="004D52BA">
        <w:rPr>
          <w:rFonts w:hint="cs"/>
          <w:rtl/>
        </w:rPr>
        <w:t xml:space="preserve">دون </w:t>
      </w:r>
      <w:r>
        <w:rPr>
          <w:rFonts w:hint="cs"/>
          <w:rtl/>
        </w:rPr>
        <w:t>أن ت</w:t>
      </w:r>
      <w:r w:rsidR="004D52BA">
        <w:rPr>
          <w:rFonts w:hint="cs"/>
          <w:rtl/>
        </w:rPr>
        <w:t xml:space="preserve">حلّ محلّها. والغرض المنشود أولا هو </w:t>
      </w:r>
      <w:proofErr w:type="spellStart"/>
      <w:r w:rsidR="004D52BA">
        <w:rPr>
          <w:rFonts w:hint="cs"/>
          <w:rtl/>
        </w:rPr>
        <w:t>الأتمتة</w:t>
      </w:r>
      <w:proofErr w:type="spellEnd"/>
      <w:r w:rsidR="004D52BA">
        <w:rPr>
          <w:rFonts w:hint="cs"/>
          <w:rtl/>
        </w:rPr>
        <w:t xml:space="preserve"> الفعالة للخدمات حيث يكون اتخاذ الإجراء اللازم، أو على الأقل الإقرار بالاستلام، أمرا ملحا، أو يمكن تحقيق أوجه كفاءة أخرى من خلال الاستعمال المباشر للبيانات من نظام آخر أو إقرار آلي بالاستلام أو آليات تحقق آني من البيانات. ومن الإمكانيات المتاحة الأخرى إضفاء طابع مركزي على بعض الخدمات التقنية المشتركة للحد من تكاليف التطوير والصيانة وضمان نتائج متسقة بين مختلف المكاتب.</w:t>
      </w:r>
    </w:p>
    <w:p w:rsidR="004D52BA" w:rsidRPr="004D52BA" w:rsidRDefault="004D52BA" w:rsidP="004D52BA">
      <w:pPr>
        <w:pStyle w:val="NumberedParaAR"/>
        <w:keepNext/>
        <w:numPr>
          <w:ilvl w:val="0"/>
          <w:numId w:val="0"/>
        </w:numPr>
        <w:rPr>
          <w:u w:val="single"/>
          <w:rtl/>
        </w:rPr>
      </w:pPr>
      <w:r w:rsidRPr="004D52BA">
        <w:rPr>
          <w:rFonts w:hint="cs"/>
          <w:u w:val="single"/>
          <w:rtl/>
        </w:rPr>
        <w:t>التطويرات المزمع إدخالها على خدمة</w:t>
      </w:r>
      <w:r w:rsidRPr="004D52BA">
        <w:rPr>
          <w:rFonts w:hint="eastAsia"/>
          <w:u w:val="single"/>
          <w:rtl/>
        </w:rPr>
        <w:t> </w:t>
      </w:r>
      <w:proofErr w:type="spellStart"/>
      <w:r w:rsidR="003B6781" w:rsidRPr="004D52BA">
        <w:rPr>
          <w:u w:val="single"/>
        </w:rPr>
        <w:t>eSearchCopy</w:t>
      </w:r>
      <w:proofErr w:type="spellEnd"/>
    </w:p>
    <w:p w:rsidR="004D52BA" w:rsidRDefault="004D52BA" w:rsidP="009719D8">
      <w:pPr>
        <w:pStyle w:val="NumberedParaAR"/>
      </w:pPr>
      <w:r>
        <w:rPr>
          <w:rFonts w:hint="cs"/>
          <w:rtl/>
        </w:rPr>
        <w:t xml:space="preserve">أدخِل عدد من التحسينات على </w:t>
      </w:r>
      <w:r w:rsidR="009719D8" w:rsidRPr="009719D8">
        <w:rPr>
          <w:rtl/>
        </w:rPr>
        <w:t>خدمة</w:t>
      </w:r>
      <w:r w:rsidR="009719D8">
        <w:rPr>
          <w:rFonts w:hint="cs"/>
          <w:rtl/>
        </w:rPr>
        <w:t> </w:t>
      </w:r>
      <w:proofErr w:type="spellStart"/>
      <w:r w:rsidR="009719D8" w:rsidRPr="009719D8">
        <w:t>eSearchCopy</w:t>
      </w:r>
      <w:proofErr w:type="spellEnd"/>
      <w:r w:rsidR="009719D8">
        <w:rPr>
          <w:rFonts w:hint="cs"/>
          <w:rtl/>
        </w:rPr>
        <w:t xml:space="preserve"> عقب التعقيبات الواردة من المكاتب المشاركة، لا</w:t>
      </w:r>
      <w:r w:rsidR="009719D8">
        <w:rPr>
          <w:rFonts w:hint="eastAsia"/>
          <w:rtl/>
        </w:rPr>
        <w:t> </w:t>
      </w:r>
      <w:r w:rsidR="009719D8">
        <w:rPr>
          <w:rFonts w:hint="cs"/>
          <w:rtl/>
        </w:rPr>
        <w:t>سيما توسيع نطاق الوثائق المتاحة وتحسين البيانات ذات الصلة لتمكين المكاتب من استجلاب المعلومات آليا إلى أنظمتها بفعالية أكبر. ومن التحسينات الأخرى المزمع إدخالها في المستقبل القريب توافر ال</w:t>
      </w:r>
      <w:r w:rsidR="009719D8" w:rsidRPr="009719D8">
        <w:rPr>
          <w:rtl/>
        </w:rPr>
        <w:t xml:space="preserve">نص </w:t>
      </w:r>
      <w:r w:rsidR="009719D8">
        <w:rPr>
          <w:rFonts w:hint="cs"/>
          <w:rtl/>
        </w:rPr>
        <w:t>المعالج</w:t>
      </w:r>
      <w:r w:rsidR="009719D8" w:rsidRPr="009719D8">
        <w:rPr>
          <w:rtl/>
        </w:rPr>
        <w:t xml:space="preserve"> بتقنية التعرف على الحروف بالمسح الضوئي</w:t>
      </w:r>
      <w:r w:rsidR="009719D8">
        <w:rPr>
          <w:rFonts w:hint="cs"/>
          <w:rtl/>
        </w:rPr>
        <w:t xml:space="preserve"> فيما يخص متون الطلبات التي لم تودع بنسق </w:t>
      </w:r>
      <w:r w:rsidR="009719D8" w:rsidRPr="009719D8">
        <w:t>XML</w:t>
      </w:r>
      <w:r w:rsidR="003E5CEC">
        <w:rPr>
          <w:rFonts w:hint="cs"/>
          <w:rtl/>
        </w:rPr>
        <w:t xml:space="preserve"> وزيادة تحسين البيانات الببليوغرافية التي تشترطها إدارات البحث الدولي. وأبرزت تلك العملية أيضا مشكلات تقنية لا يمكن معالجتها على المدى القريب، ولكنها ستساعد في تصميم مسار العمل التطويري الأعم </w:t>
      </w:r>
      <w:r w:rsidR="00557B57">
        <w:rPr>
          <w:rFonts w:hint="cs"/>
          <w:rtl/>
        </w:rPr>
        <w:t xml:space="preserve">الذي سيُجرى </w:t>
      </w:r>
      <w:r w:rsidR="003E5CEC">
        <w:rPr>
          <w:rFonts w:hint="cs"/>
          <w:rtl/>
        </w:rPr>
        <w:t>في المستقبل.</w:t>
      </w:r>
    </w:p>
    <w:p w:rsidR="003E5CEC" w:rsidRPr="003E5CEC" w:rsidRDefault="003E5CEC" w:rsidP="003E5CEC">
      <w:pPr>
        <w:pStyle w:val="NumberedParaAR"/>
        <w:keepNext/>
        <w:numPr>
          <w:ilvl w:val="0"/>
          <w:numId w:val="0"/>
        </w:numPr>
        <w:rPr>
          <w:u w:val="single"/>
          <w:rtl/>
        </w:rPr>
      </w:pPr>
      <w:r w:rsidRPr="003E5CEC">
        <w:rPr>
          <w:rFonts w:hint="cs"/>
          <w:u w:val="single"/>
          <w:rtl/>
        </w:rPr>
        <w:t>الاستخدام الفعال لنظام</w:t>
      </w:r>
      <w:r w:rsidRPr="003E5CEC">
        <w:rPr>
          <w:rFonts w:hint="eastAsia"/>
          <w:u w:val="single"/>
          <w:rtl/>
        </w:rPr>
        <w:t> </w:t>
      </w:r>
      <w:proofErr w:type="spellStart"/>
      <w:r w:rsidRPr="003E5CEC">
        <w:rPr>
          <w:u w:val="single"/>
        </w:rPr>
        <w:t>ePCT</w:t>
      </w:r>
      <w:proofErr w:type="spellEnd"/>
    </w:p>
    <w:p w:rsidR="003E5CEC" w:rsidRDefault="002A4A8B" w:rsidP="003E5CEC">
      <w:pPr>
        <w:pStyle w:val="NumberedParaAR"/>
      </w:pPr>
      <w:r>
        <w:rPr>
          <w:rFonts w:hint="cs"/>
          <w:rtl/>
        </w:rPr>
        <w:t>هناك مسألة تكتسي أهمية بقدر أهمية التطويرات التقنية المُدخلة من قبل المكتب الدولي وهي مدى استخدام المكاتب للفرص الجديدة المتاحة للتواصل بفعالية أكبر وتقديم خدمات أفضل بشكل عام للمستخدمين النهائيين، بما في ذ</w:t>
      </w:r>
      <w:r w:rsidR="00496C19">
        <w:rPr>
          <w:rFonts w:hint="cs"/>
          <w:rtl/>
        </w:rPr>
        <w:t>ل</w:t>
      </w:r>
      <w:r>
        <w:rPr>
          <w:rFonts w:hint="cs"/>
          <w:rtl/>
        </w:rPr>
        <w:t>ك الغير والمكاتب المعيّنة.</w:t>
      </w:r>
    </w:p>
    <w:p w:rsidR="002A4A8B" w:rsidRDefault="002A4A8B" w:rsidP="009418B9">
      <w:pPr>
        <w:pStyle w:val="NumberedParaAR"/>
      </w:pPr>
      <w:r>
        <w:rPr>
          <w:rFonts w:hint="cs"/>
          <w:rtl/>
        </w:rPr>
        <w:t>وتحقيقا لهذا الغرض، يقترح المكتب الدولي أن يكون من أولويات المكاتب السماح للمودعين بتزويدها بالوثائق من خلال تحميلها إلكترونيا لضمان ردود سريعة وواضحة وإزالة الحاجة إلى نسخ الوثائق الورقية بالمسح الضوئي. ويعني ذ</w:t>
      </w:r>
      <w:r w:rsidR="00F359BD">
        <w:rPr>
          <w:rFonts w:hint="cs"/>
          <w:rtl/>
        </w:rPr>
        <w:t xml:space="preserve">لك أن المكاتب التي لديها أنظمة إلكترونية </w:t>
      </w:r>
      <w:r>
        <w:rPr>
          <w:rFonts w:hint="cs"/>
          <w:rtl/>
        </w:rPr>
        <w:t xml:space="preserve">خاصة </w:t>
      </w:r>
      <w:r w:rsidR="00F359BD">
        <w:rPr>
          <w:rFonts w:hint="cs"/>
          <w:rtl/>
        </w:rPr>
        <w:t xml:space="preserve">بها </w:t>
      </w:r>
      <w:r>
        <w:rPr>
          <w:rFonts w:hint="cs"/>
          <w:rtl/>
        </w:rPr>
        <w:t xml:space="preserve">لإدارة الوثائق ستبدي رغبة في السماح بذلك عبر خدماتها </w:t>
      </w:r>
      <w:r w:rsidR="00F359BD">
        <w:rPr>
          <w:rFonts w:hint="cs"/>
          <w:rtl/>
        </w:rPr>
        <w:t>المحلية</w:t>
      </w:r>
      <w:r w:rsidR="009418B9">
        <w:rPr>
          <w:rFonts w:hint="cs"/>
          <w:rtl/>
        </w:rPr>
        <w:t xml:space="preserve"> الخاصة</w:t>
      </w:r>
      <w:r w:rsidR="00F359BD">
        <w:rPr>
          <w:rFonts w:hint="cs"/>
          <w:rtl/>
        </w:rPr>
        <w:t xml:space="preserve">. غير أن معظم المكاتب التي تعمل بصفتها إدارات دولية تعالج كمية كبير من الطلبات المودعة عن طريق مكاتب تسلم الطلبات فضلا عن ما يودع لديها من طلبات. وبالتالي، ينبغي أن يكون </w:t>
      </w:r>
      <w:r w:rsidR="00F359BD" w:rsidRPr="00F359BD">
        <w:rPr>
          <w:rFonts w:hint="cs"/>
          <w:rtl/>
        </w:rPr>
        <w:t>نظام</w:t>
      </w:r>
      <w:r w:rsidR="00F359BD" w:rsidRPr="00F359BD">
        <w:rPr>
          <w:rFonts w:hint="eastAsia"/>
          <w:rtl/>
        </w:rPr>
        <w:t> </w:t>
      </w:r>
      <w:proofErr w:type="spellStart"/>
      <w:r w:rsidR="00F359BD" w:rsidRPr="00F359BD">
        <w:t>ePCT</w:t>
      </w:r>
      <w:proofErr w:type="spellEnd"/>
      <w:r w:rsidR="00F359BD">
        <w:rPr>
          <w:rFonts w:hint="cs"/>
          <w:rtl/>
        </w:rPr>
        <w:t xml:space="preserve"> من الخيارات الممكنة لضمان النفاذ الفعال إلى النظام بالنسبة للمودعين الذين ليس لديهم حسابات مستخدمين لدى أي من الخدمات الشبكية التي تتولى الإدارة الدولية تشغيلها بشكل مباشر.</w:t>
      </w:r>
    </w:p>
    <w:p w:rsidR="00F359BD" w:rsidRDefault="00F359BD" w:rsidP="00124A83">
      <w:pPr>
        <w:pStyle w:val="NumberedParaAR"/>
      </w:pPr>
      <w:r>
        <w:rPr>
          <w:rFonts w:hint="cs"/>
          <w:rtl/>
        </w:rPr>
        <w:t xml:space="preserve">وعلاوة على ذلك، </w:t>
      </w:r>
      <w:r w:rsidR="00124A83">
        <w:rPr>
          <w:rFonts w:hint="cs"/>
          <w:rtl/>
        </w:rPr>
        <w:t>ينبغي أن يتمكّن المودعون من النفاذ إلكترونيا إلى أكبر قدر ممكن من الوثائق، بما في ذلك الاستمارات والوثائق التي لا يُشترط إرسالها إلى المكتب الدولي. والوثائق التي تكتسي أهمية خاصة في هذا الصدد هي الوثائق التي قد تتطلب ردا ضمن مهلة صارمة، مثل ما يلي:</w:t>
      </w:r>
    </w:p>
    <w:p w:rsidR="00124A83" w:rsidRDefault="00124A83" w:rsidP="00101E22">
      <w:pPr>
        <w:pStyle w:val="NormalParaAR"/>
        <w:ind w:left="566"/>
        <w:rPr>
          <w:rtl/>
        </w:rPr>
      </w:pPr>
      <w:r>
        <w:rPr>
          <w:rFonts w:hint="cs"/>
          <w:rtl/>
        </w:rPr>
        <w:t>(أ)</w:t>
      </w:r>
      <w:r>
        <w:rPr>
          <w:rtl/>
        </w:rPr>
        <w:tab/>
      </w:r>
      <w:r w:rsidR="00101E22">
        <w:rPr>
          <w:rFonts w:hint="cs"/>
          <w:rtl/>
        </w:rPr>
        <w:t>الآراء المكتوبة لإدارة الفحص التمهيدي الدولي (</w:t>
      </w:r>
      <w:r w:rsidR="00101E22" w:rsidRPr="00101E22">
        <w:t>PCT/IPEA/408</w:t>
      </w:r>
      <w:r w:rsidR="00101E22">
        <w:rPr>
          <w:rFonts w:hint="cs"/>
          <w:rtl/>
        </w:rPr>
        <w:t>)؛</w:t>
      </w:r>
    </w:p>
    <w:p w:rsidR="00101E22" w:rsidRDefault="00101E22" w:rsidP="00BF0B3C">
      <w:pPr>
        <w:pStyle w:val="NormalParaAR"/>
        <w:ind w:left="566"/>
        <w:rPr>
          <w:rtl/>
        </w:rPr>
      </w:pPr>
      <w:r>
        <w:rPr>
          <w:rFonts w:hint="cs"/>
          <w:rtl/>
        </w:rPr>
        <w:t>(ب)</w:t>
      </w:r>
      <w:r>
        <w:rPr>
          <w:rtl/>
        </w:rPr>
        <w:tab/>
      </w:r>
      <w:r w:rsidR="00A81E59">
        <w:rPr>
          <w:rFonts w:hint="cs"/>
          <w:rtl/>
        </w:rPr>
        <w:t>الدعوات إلى تسديد رسوم إضافية بسبب انعدام وحدة الاختراع (</w:t>
      </w:r>
      <w:r w:rsidR="00BF0B3C" w:rsidRPr="00BF0B3C">
        <w:t>PCT/ISA/206</w:t>
      </w:r>
      <w:r w:rsidR="00BF0B3C">
        <w:rPr>
          <w:rFonts w:hint="cs"/>
          <w:rtl/>
        </w:rPr>
        <w:t xml:space="preserve"> أو</w:t>
      </w:r>
      <w:r w:rsidR="00BF0B3C">
        <w:rPr>
          <w:rFonts w:hint="eastAsia"/>
          <w:rtl/>
        </w:rPr>
        <w:t> </w:t>
      </w:r>
      <w:r w:rsidR="00BF0B3C" w:rsidRPr="00BF0B3C">
        <w:t>PCT/IPEA/405</w:t>
      </w:r>
      <w:r w:rsidR="00A81E59">
        <w:rPr>
          <w:rFonts w:hint="cs"/>
          <w:rtl/>
        </w:rPr>
        <w:t>)</w:t>
      </w:r>
      <w:r w:rsidR="00BF0B3C">
        <w:rPr>
          <w:rFonts w:hint="cs"/>
          <w:rtl/>
        </w:rPr>
        <w:t>؛</w:t>
      </w:r>
    </w:p>
    <w:p w:rsidR="00BF0B3C" w:rsidRDefault="00BF0B3C" w:rsidP="000A2814">
      <w:pPr>
        <w:pStyle w:val="NormalParaAR"/>
        <w:ind w:left="566"/>
        <w:rPr>
          <w:rtl/>
        </w:rPr>
      </w:pPr>
      <w:r>
        <w:rPr>
          <w:rFonts w:hint="cs"/>
          <w:rtl/>
        </w:rPr>
        <w:t>(ج)</w:t>
      </w:r>
      <w:r>
        <w:rPr>
          <w:rtl/>
        </w:rPr>
        <w:tab/>
      </w:r>
      <w:r>
        <w:rPr>
          <w:rFonts w:hint="cs"/>
          <w:rtl/>
        </w:rPr>
        <w:t>الوثائق المستشهد بها خلال البحث الدولي أو الفحص التمهيدي الدولي (ل</w:t>
      </w:r>
      <w:r w:rsidR="00496C19">
        <w:rPr>
          <w:rFonts w:hint="cs"/>
          <w:rtl/>
        </w:rPr>
        <w:t>ن</w:t>
      </w:r>
      <w:r>
        <w:rPr>
          <w:rFonts w:hint="cs"/>
          <w:rtl/>
        </w:rPr>
        <w:t xml:space="preserve"> تُتاح تلك الوثائق في ركن البراءات، ولكنها تُتاح </w:t>
      </w:r>
      <w:r w:rsidR="00496C19">
        <w:rPr>
          <w:rFonts w:hint="cs"/>
          <w:rtl/>
        </w:rPr>
        <w:t xml:space="preserve">بسرعة </w:t>
      </w:r>
      <w:r>
        <w:rPr>
          <w:rFonts w:hint="cs"/>
          <w:rtl/>
        </w:rPr>
        <w:t>للمودع أو المكتب المعيّن طبقا للمادة</w:t>
      </w:r>
      <w:r w:rsidR="000A2814">
        <w:rPr>
          <w:rFonts w:hint="eastAsia"/>
          <w:rtl/>
        </w:rPr>
        <w:t> </w:t>
      </w:r>
      <w:r>
        <w:rPr>
          <w:rFonts w:hint="cs"/>
          <w:rtl/>
        </w:rPr>
        <w:t>20(3) دون أعمال أو تكاليف بريدية إضافية بالنسبة للإدارة الدولية)؛</w:t>
      </w:r>
    </w:p>
    <w:p w:rsidR="00BF0B3C" w:rsidRDefault="00BF0B3C" w:rsidP="00CA2D68">
      <w:pPr>
        <w:pStyle w:val="NormalParaAR"/>
        <w:ind w:left="566"/>
        <w:rPr>
          <w:rtl/>
        </w:rPr>
      </w:pPr>
      <w:r>
        <w:rPr>
          <w:rFonts w:hint="cs"/>
          <w:rtl/>
        </w:rPr>
        <w:t>(د)</w:t>
      </w:r>
      <w:r>
        <w:rPr>
          <w:rtl/>
        </w:rPr>
        <w:tab/>
      </w:r>
      <w:r w:rsidR="009427E4">
        <w:rPr>
          <w:rFonts w:hint="cs"/>
          <w:rtl/>
        </w:rPr>
        <w:t>الدعوات الأخرى إلى تسديد رسوم أو</w:t>
      </w:r>
      <w:r w:rsidR="00CA2D68">
        <w:rPr>
          <w:rFonts w:hint="cs"/>
          <w:rtl/>
        </w:rPr>
        <w:t xml:space="preserve"> تصحيح أوجه نقص أو تقديم وثائق أو التماس تصحيح </w:t>
      </w:r>
      <w:r w:rsidR="009427E4">
        <w:rPr>
          <w:rFonts w:hint="cs"/>
          <w:rtl/>
        </w:rPr>
        <w:t>أو تحديد إدارة دولية مختصة.</w:t>
      </w:r>
    </w:p>
    <w:p w:rsidR="009427E4" w:rsidRDefault="00737B80" w:rsidP="00497DF4">
      <w:pPr>
        <w:pStyle w:val="NumberedParaAR"/>
      </w:pPr>
      <w:r>
        <w:rPr>
          <w:rFonts w:hint="cs"/>
          <w:rtl/>
        </w:rPr>
        <w:t xml:space="preserve">وفي حين يمكن عموما ضمان المنافع للمودعين المحليين بتوفير تلك الوثائق من خلال خدمة محلية لمعاينة الملفات، كما ذُكر من قبل، فإن معظم الإدارات تتعامل مع عدد كبير من المودعين من دول أخرى. والأهم من ذلك ربما هو أن بعضا من تلك الوثائق (وبخاصة نُسخ الوثائق المستشهد بها) قد يكون مفيدا بالنسبة للمكاتب المعيّنة. وبالتالي </w:t>
      </w:r>
      <w:r w:rsidR="00497DF4">
        <w:rPr>
          <w:rFonts w:hint="cs"/>
          <w:rtl/>
        </w:rPr>
        <w:t>فمن المهمّ</w:t>
      </w:r>
      <w:r>
        <w:rPr>
          <w:rFonts w:hint="cs"/>
          <w:rtl/>
        </w:rPr>
        <w:t xml:space="preserve">، مرّة أخرى، </w:t>
      </w:r>
      <w:r w:rsidR="00497DF4">
        <w:rPr>
          <w:rFonts w:hint="cs"/>
          <w:rtl/>
        </w:rPr>
        <w:t xml:space="preserve">إتاحتها من خلال </w:t>
      </w:r>
      <w:r w:rsidR="00497DF4" w:rsidRPr="00F359BD">
        <w:rPr>
          <w:rFonts w:hint="cs"/>
          <w:rtl/>
        </w:rPr>
        <w:t>نظام</w:t>
      </w:r>
      <w:r w:rsidR="00497DF4" w:rsidRPr="00F359BD">
        <w:rPr>
          <w:rFonts w:hint="eastAsia"/>
          <w:rtl/>
        </w:rPr>
        <w:t> </w:t>
      </w:r>
      <w:proofErr w:type="spellStart"/>
      <w:r w:rsidR="00497DF4" w:rsidRPr="00F359BD">
        <w:t>ePCT</w:t>
      </w:r>
      <w:proofErr w:type="spellEnd"/>
      <w:r w:rsidR="00497DF4">
        <w:rPr>
          <w:rFonts w:hint="cs"/>
          <w:rtl/>
        </w:rPr>
        <w:t>.</w:t>
      </w:r>
    </w:p>
    <w:p w:rsidR="00497DF4" w:rsidRDefault="00496C19" w:rsidP="00496C19">
      <w:pPr>
        <w:pStyle w:val="NumberedParaAR"/>
      </w:pPr>
      <w:r>
        <w:rPr>
          <w:rFonts w:hint="cs"/>
          <w:rtl/>
        </w:rPr>
        <w:t xml:space="preserve">وينبغي التركيز على أنه لا يجب على المكاتب توفير تلك الوثائق باستخدام واجهة </w:t>
      </w:r>
      <w:r w:rsidRPr="00F359BD">
        <w:rPr>
          <w:rFonts w:hint="cs"/>
          <w:rtl/>
        </w:rPr>
        <w:t>نظام</w:t>
      </w:r>
      <w:r w:rsidRPr="00F359BD">
        <w:rPr>
          <w:rFonts w:hint="eastAsia"/>
          <w:rtl/>
        </w:rPr>
        <w:t> </w:t>
      </w:r>
      <w:proofErr w:type="spellStart"/>
      <w:r w:rsidRPr="00F359BD">
        <w:t>ePCT</w:t>
      </w:r>
      <w:proofErr w:type="spellEnd"/>
      <w:r>
        <w:rPr>
          <w:rFonts w:hint="cs"/>
          <w:rtl/>
        </w:rPr>
        <w:t xml:space="preserve"> القائمة على برنامج التصفح. فيمكن إرسالها باستعمال </w:t>
      </w:r>
      <w:r w:rsidRPr="00DD1288">
        <w:rPr>
          <w:rFonts w:hint="cs"/>
          <w:rtl/>
        </w:rPr>
        <w:t>خدمة</w:t>
      </w:r>
      <w:r w:rsidRPr="00DD1288">
        <w:rPr>
          <w:rFonts w:hint="eastAsia"/>
          <w:rtl/>
        </w:rPr>
        <w:t> </w:t>
      </w:r>
      <w:r w:rsidRPr="00DD1288">
        <w:t>PCT</w:t>
      </w:r>
      <w:r w:rsidRPr="00DD1288">
        <w:noBreakHyphen/>
        <w:t>EDI</w:t>
      </w:r>
      <w:r>
        <w:rPr>
          <w:rFonts w:hint="cs"/>
          <w:rtl/>
        </w:rPr>
        <w:t xml:space="preserve"> مع رموز الوثائق المناسبة وإتاحتها آليا للمودعين والمكاتب المعيّنة بشكل خصوصي من خلال </w:t>
      </w:r>
      <w:r w:rsidRPr="00F359BD">
        <w:rPr>
          <w:rFonts w:hint="cs"/>
          <w:rtl/>
        </w:rPr>
        <w:t>نظام</w:t>
      </w:r>
      <w:r w:rsidRPr="00F359BD">
        <w:rPr>
          <w:rFonts w:hint="eastAsia"/>
          <w:rtl/>
        </w:rPr>
        <w:t> </w:t>
      </w:r>
      <w:proofErr w:type="spellStart"/>
      <w:r w:rsidRPr="00F359BD">
        <w:t>ePCT</w:t>
      </w:r>
      <w:proofErr w:type="spellEnd"/>
      <w:r>
        <w:rPr>
          <w:rFonts w:hint="cs"/>
          <w:rtl/>
        </w:rPr>
        <w:t>، أو في ركن البراءات لفائدة الجمهور عامة، حسب طبيعة الوثيقة.</w:t>
      </w:r>
    </w:p>
    <w:p w:rsidR="00496C19" w:rsidRPr="008075AB" w:rsidRDefault="008075AB" w:rsidP="008075AB">
      <w:pPr>
        <w:pStyle w:val="NumberedParaAR"/>
        <w:keepNext/>
        <w:numPr>
          <w:ilvl w:val="0"/>
          <w:numId w:val="0"/>
        </w:numPr>
        <w:rPr>
          <w:u w:val="single"/>
          <w:rtl/>
        </w:rPr>
      </w:pPr>
      <w:r w:rsidRPr="008075AB">
        <w:rPr>
          <w:rFonts w:hint="cs"/>
          <w:u w:val="single"/>
          <w:rtl/>
        </w:rPr>
        <w:t>المنشورات</w:t>
      </w:r>
    </w:p>
    <w:p w:rsidR="008075AB" w:rsidRDefault="00116983" w:rsidP="00116983">
      <w:pPr>
        <w:pStyle w:val="NumberedParaAR"/>
      </w:pPr>
      <w:r>
        <w:rPr>
          <w:rFonts w:hint="cs"/>
          <w:rtl/>
        </w:rPr>
        <w:t>يُعتزم إدخال تعديل على إجراءات المعالجة الداخلية المؤدية إلى النشر الدولي، ومن شأن ذلك التعديل تحسين الكفاءة وضمان إدارة أفضل للمنشورات الدولية التي تنطوي على بعض الصعوبات، وعلى وجه التحديد الطلبات التي يحتوي فيها الرسم المرافق للملخص على نص (انظر كذلك الوثيقة</w:t>
      </w:r>
      <w:r>
        <w:rPr>
          <w:rFonts w:hint="eastAsia"/>
          <w:rtl/>
        </w:rPr>
        <w:t> </w:t>
      </w:r>
      <w:r w:rsidRPr="00116983">
        <w:t>PCT/WG/9/16</w:t>
      </w:r>
      <w:r>
        <w:rPr>
          <w:rFonts w:hint="cs"/>
          <w:rtl/>
        </w:rPr>
        <w:t>).</w:t>
      </w:r>
    </w:p>
    <w:p w:rsidR="00116983" w:rsidRPr="00116983" w:rsidRDefault="00116983" w:rsidP="00116983">
      <w:pPr>
        <w:pStyle w:val="NumberedParaAR"/>
        <w:keepNext/>
        <w:numPr>
          <w:ilvl w:val="0"/>
          <w:numId w:val="0"/>
        </w:numPr>
        <w:rPr>
          <w:u w:val="single"/>
          <w:rtl/>
        </w:rPr>
      </w:pPr>
      <w:r w:rsidRPr="00116983">
        <w:rPr>
          <w:rFonts w:hint="cs"/>
          <w:u w:val="single"/>
          <w:rtl/>
        </w:rPr>
        <w:t xml:space="preserve">الوثائق </w:t>
      </w:r>
      <w:r>
        <w:rPr>
          <w:rFonts w:hint="cs"/>
          <w:u w:val="single"/>
          <w:rtl/>
        </w:rPr>
        <w:t>المُرسلة</w:t>
      </w:r>
      <w:r w:rsidRPr="00116983">
        <w:rPr>
          <w:rFonts w:hint="cs"/>
          <w:u w:val="single"/>
          <w:rtl/>
        </w:rPr>
        <w:t xml:space="preserve"> بنسق</w:t>
      </w:r>
      <w:r w:rsidRPr="00116983">
        <w:rPr>
          <w:rFonts w:hint="eastAsia"/>
          <w:u w:val="single"/>
          <w:rtl/>
        </w:rPr>
        <w:t> </w:t>
      </w:r>
      <w:r w:rsidRPr="00116983">
        <w:rPr>
          <w:u w:val="single"/>
        </w:rPr>
        <w:t>XML</w:t>
      </w:r>
    </w:p>
    <w:p w:rsidR="00116983" w:rsidRDefault="00423DE2" w:rsidP="000A2814">
      <w:pPr>
        <w:pStyle w:val="NumberedParaAR"/>
      </w:pPr>
      <w:r>
        <w:rPr>
          <w:rFonts w:hint="cs"/>
          <w:rtl/>
        </w:rPr>
        <w:t>كم</w:t>
      </w:r>
      <w:r w:rsidR="008C7F26">
        <w:rPr>
          <w:rFonts w:hint="cs"/>
          <w:rtl/>
        </w:rPr>
        <w:t>ا أشير إليه في الفقرة</w:t>
      </w:r>
      <w:r w:rsidR="000A2814">
        <w:rPr>
          <w:rFonts w:hint="eastAsia"/>
          <w:rtl/>
        </w:rPr>
        <w:t> </w:t>
      </w:r>
      <w:r w:rsidR="008C7F26">
        <w:rPr>
          <w:rFonts w:hint="cs"/>
          <w:rtl/>
        </w:rPr>
        <w:t>16(</w:t>
      </w:r>
      <w:r w:rsidR="000A2814">
        <w:rPr>
          <w:rFonts w:hint="cs"/>
          <w:rtl/>
        </w:rPr>
        <w:t>د</w:t>
      </w:r>
      <w:r w:rsidR="008C7F26">
        <w:rPr>
          <w:rFonts w:hint="cs"/>
          <w:rtl/>
        </w:rPr>
        <w:t xml:space="preserve">) أعلاه، بدأ المكتب الدولي في استلام تقارير البحث الدولي والآراء المكتوبة </w:t>
      </w:r>
      <w:r w:rsidR="006A3CBD">
        <w:rPr>
          <w:rFonts w:hint="cs"/>
          <w:rtl/>
        </w:rPr>
        <w:t>لإدارة البحث الدولي بنسق</w:t>
      </w:r>
      <w:r w:rsidR="006A3CBD">
        <w:rPr>
          <w:rFonts w:hint="eastAsia"/>
          <w:rtl/>
        </w:rPr>
        <w:t> </w:t>
      </w:r>
      <w:r w:rsidR="006A3CBD" w:rsidRPr="004A56DC">
        <w:t>XML</w:t>
      </w:r>
      <w:r w:rsidR="006A3CBD">
        <w:rPr>
          <w:rFonts w:hint="cs"/>
          <w:rtl/>
        </w:rPr>
        <w:t xml:space="preserve"> من عدد من الإدارات الدولية. ويرحّب المكتب الدولي بشدة </w:t>
      </w:r>
      <w:r w:rsidR="007C12E2">
        <w:rPr>
          <w:rFonts w:hint="cs"/>
          <w:rtl/>
        </w:rPr>
        <w:t>باستلام المزيد من تقارير البحث الدولي والآراء المكتوبة والتقارير التمهيدية الدولية عن قابلية الحماية ببراءة بنسق</w:t>
      </w:r>
      <w:r w:rsidR="007C12E2">
        <w:rPr>
          <w:rFonts w:hint="eastAsia"/>
          <w:rtl/>
        </w:rPr>
        <w:t> </w:t>
      </w:r>
      <w:r w:rsidR="007C12E2" w:rsidRPr="004A56DC">
        <w:t>XML</w:t>
      </w:r>
      <w:r w:rsidR="007C12E2">
        <w:rPr>
          <w:rFonts w:hint="cs"/>
          <w:rtl/>
        </w:rPr>
        <w:t xml:space="preserve"> أو بنسق نصي من عدد أكبر من الإدارات الدولية. ويش</w:t>
      </w:r>
      <w:r w:rsidR="000A2814">
        <w:rPr>
          <w:rFonts w:hint="cs"/>
          <w:rtl/>
        </w:rPr>
        <w:t>ت</w:t>
      </w:r>
      <w:r w:rsidR="007C12E2">
        <w:rPr>
          <w:rFonts w:hint="cs"/>
          <w:rtl/>
        </w:rPr>
        <w:t xml:space="preserve">مل الإصدار القادم لخدمات </w:t>
      </w:r>
      <w:r w:rsidR="007C12E2" w:rsidRPr="00F359BD">
        <w:rPr>
          <w:rFonts w:hint="cs"/>
          <w:rtl/>
        </w:rPr>
        <w:t>نظام</w:t>
      </w:r>
      <w:r w:rsidR="007C12E2" w:rsidRPr="00F359BD">
        <w:rPr>
          <w:rFonts w:hint="eastAsia"/>
          <w:rtl/>
        </w:rPr>
        <w:t> </w:t>
      </w:r>
      <w:proofErr w:type="spellStart"/>
      <w:r w:rsidR="007C12E2" w:rsidRPr="00F359BD">
        <w:t>ePCT</w:t>
      </w:r>
      <w:proofErr w:type="spellEnd"/>
      <w:r w:rsidR="007C12E2">
        <w:rPr>
          <w:rFonts w:hint="cs"/>
          <w:rtl/>
        </w:rPr>
        <w:t xml:space="preserve"> القائمة على برنامج التصفح، كما ذُكر في الفقرة</w:t>
      </w:r>
      <w:r w:rsidR="000A2814">
        <w:rPr>
          <w:rFonts w:hint="eastAsia"/>
          <w:rtl/>
        </w:rPr>
        <w:t> </w:t>
      </w:r>
      <w:r w:rsidR="007C12E2">
        <w:rPr>
          <w:rFonts w:hint="cs"/>
          <w:rtl/>
        </w:rPr>
        <w:t>9 أعلاه، على إجراء يهدف إلى استحداث تقارير البحث الدولي والآراء المكتوبة، التي قد تكون مفيدة بالنسبة لبعض الإدارات وتساعد في مناقشة القضايا والشروط بالنسبة لإدارات أخرى.</w:t>
      </w:r>
    </w:p>
    <w:p w:rsidR="007C12E2" w:rsidRDefault="007C12E2" w:rsidP="006A45B1">
      <w:pPr>
        <w:pStyle w:val="NumberedParaAR"/>
      </w:pPr>
      <w:r>
        <w:rPr>
          <w:rFonts w:hint="cs"/>
          <w:rtl/>
        </w:rPr>
        <w:t xml:space="preserve">وسيولى اهتمام لوضع وتنفيذ معايير جديدة أخرى لزيادة فعالية تقاسم المعلومات التي تشترطها المكاتب لأغراض </w:t>
      </w:r>
      <w:r w:rsidR="006A45B1">
        <w:rPr>
          <w:rFonts w:hint="cs"/>
          <w:rtl/>
        </w:rPr>
        <w:t>معالجة الطلبات الدولية بطريقة فعالة، بما في ذلك المعلومات الببليوغرافية العامة والمعلومات الخاصة بالمعالجة، فضلا عن المعلومات الموضوعية من قبيل قوائم التسلسل الواردة في نسق المعيار</w:t>
      </w:r>
      <w:r w:rsidR="006A45B1">
        <w:rPr>
          <w:rFonts w:hint="eastAsia"/>
          <w:rtl/>
        </w:rPr>
        <w:t> </w:t>
      </w:r>
      <w:r w:rsidR="006A45B1" w:rsidRPr="006A45B1">
        <w:t>ST.26</w:t>
      </w:r>
      <w:r w:rsidR="006A45B1">
        <w:rPr>
          <w:rFonts w:hint="cs"/>
          <w:rtl/>
        </w:rPr>
        <w:t xml:space="preserve"> المُعتمد مؤخرا.</w:t>
      </w:r>
    </w:p>
    <w:p w:rsidR="006A45B1" w:rsidRDefault="006A45B1" w:rsidP="00987D5A">
      <w:pPr>
        <w:pStyle w:val="NumberedParaAR"/>
      </w:pPr>
      <w:r>
        <w:rPr>
          <w:rFonts w:hint="cs"/>
          <w:rtl/>
        </w:rPr>
        <w:t>وبالإضافة إلى ذلك، أنشئ داخل خدمة الإيداع الإلكتروني</w:t>
      </w:r>
      <w:r w:rsidRPr="00F359BD">
        <w:rPr>
          <w:rFonts w:hint="eastAsia"/>
          <w:rtl/>
        </w:rPr>
        <w:t> </w:t>
      </w:r>
      <w:proofErr w:type="spellStart"/>
      <w:r w:rsidRPr="00F359BD">
        <w:t>ePCT</w:t>
      </w:r>
      <w:proofErr w:type="spellEnd"/>
      <w:r>
        <w:rPr>
          <w:rFonts w:hint="cs"/>
          <w:rtl/>
        </w:rPr>
        <w:t xml:space="preserve"> نظام استجلاب لتمكين المودعين من إرفاق </w:t>
      </w:r>
      <w:r w:rsidR="000A2814">
        <w:rPr>
          <w:rFonts w:hint="cs"/>
          <w:rtl/>
        </w:rPr>
        <w:t>وثائق مُعدة بنسق</w:t>
      </w:r>
      <w:r w:rsidR="000A2814">
        <w:rPr>
          <w:rFonts w:hint="eastAsia"/>
          <w:rtl/>
        </w:rPr>
        <w:t> </w:t>
      </w:r>
      <w:r w:rsidR="000A2814" w:rsidRPr="006A45B1">
        <w:t>Microsoft Word</w:t>
      </w:r>
      <w:r w:rsidR="000A2814">
        <w:rPr>
          <w:rFonts w:hint="cs"/>
          <w:rtl/>
        </w:rPr>
        <w:t xml:space="preserve"> بمتون الطلبات</w:t>
      </w:r>
      <w:r>
        <w:rPr>
          <w:rFonts w:hint="cs"/>
          <w:rtl/>
        </w:rPr>
        <w:t xml:space="preserve">، لتُحوّل محتوياتها بعد ذلك إلى </w:t>
      </w:r>
      <w:r w:rsidR="00BF5AF9">
        <w:rPr>
          <w:rFonts w:hint="cs"/>
          <w:rtl/>
        </w:rPr>
        <w:t>نسق</w:t>
      </w:r>
      <w:r w:rsidR="00BF5AF9">
        <w:rPr>
          <w:rFonts w:hint="eastAsia"/>
          <w:rtl/>
        </w:rPr>
        <w:t> </w:t>
      </w:r>
      <w:r w:rsidR="00BF5AF9" w:rsidRPr="004A56DC">
        <w:t>XML</w:t>
      </w:r>
      <w:r w:rsidR="00BF5AF9">
        <w:rPr>
          <w:rFonts w:hint="cs"/>
          <w:rtl/>
        </w:rPr>
        <w:t xml:space="preserve"> المحدّد في المرفق</w:t>
      </w:r>
      <w:r w:rsidR="00987D5A">
        <w:rPr>
          <w:rFonts w:hint="eastAsia"/>
          <w:rtl/>
        </w:rPr>
        <w:t> </w:t>
      </w:r>
      <w:r w:rsidR="00BF5AF9">
        <w:rPr>
          <w:rFonts w:hint="cs"/>
          <w:rtl/>
        </w:rPr>
        <w:t>"واو" من التعليمات الإدارية (مع إصدار تحذيرات عندما تُواجه صعوبات) وتظلّ الوثيقة الأصلية في الملف بنسق ما</w:t>
      </w:r>
      <w:r w:rsidR="00987D5A">
        <w:rPr>
          <w:rFonts w:hint="eastAsia"/>
          <w:rtl/>
        </w:rPr>
        <w:t> </w:t>
      </w:r>
      <w:r w:rsidR="00BF5AF9">
        <w:rPr>
          <w:rFonts w:hint="cs"/>
          <w:rtl/>
        </w:rPr>
        <w:t>قبل التحويل طبقا للبند</w:t>
      </w:r>
      <w:r w:rsidR="00BF5AF9">
        <w:rPr>
          <w:rFonts w:hint="eastAsia"/>
          <w:rtl/>
        </w:rPr>
        <w:t> </w:t>
      </w:r>
      <w:r w:rsidR="00BF5AF9">
        <w:rPr>
          <w:rFonts w:hint="cs"/>
          <w:rtl/>
        </w:rPr>
        <w:t xml:space="preserve">706 من التعليمات الإدارية. ويُؤمل أن يشجّع العمل في هذا المجال المزيد من المودعين على إيداع الطلبات </w:t>
      </w:r>
      <w:proofErr w:type="spellStart"/>
      <w:r w:rsidR="00BF5AF9">
        <w:rPr>
          <w:rFonts w:hint="cs"/>
          <w:rtl/>
        </w:rPr>
        <w:t>بأنساق</w:t>
      </w:r>
      <w:proofErr w:type="spellEnd"/>
      <w:r w:rsidR="00BF5AF9">
        <w:rPr>
          <w:rFonts w:hint="cs"/>
          <w:rtl/>
        </w:rPr>
        <w:t xml:space="preserve"> النص الكامل في المستقبل، والمساهمة بالتالي في تحسين جودة المعلومات المُقدمة من خلال نظام المعاهدة.</w:t>
      </w:r>
    </w:p>
    <w:p w:rsidR="00BF5AF9" w:rsidRPr="006B6B52" w:rsidRDefault="00BF5AF9" w:rsidP="006B6B52">
      <w:pPr>
        <w:pStyle w:val="NormalParaAR"/>
        <w:keepNext/>
        <w:rPr>
          <w:b/>
          <w:bCs/>
          <w:sz w:val="40"/>
          <w:szCs w:val="40"/>
          <w:rtl/>
        </w:rPr>
      </w:pPr>
      <w:r w:rsidRPr="006B6B52">
        <w:rPr>
          <w:rFonts w:hint="cs"/>
          <w:b/>
          <w:bCs/>
          <w:sz w:val="40"/>
          <w:szCs w:val="40"/>
          <w:rtl/>
        </w:rPr>
        <w:t>المعلومات الخاصة بالمرحلة الوطنية</w:t>
      </w:r>
    </w:p>
    <w:p w:rsidR="00BF5AF9" w:rsidRDefault="007B778A" w:rsidP="004450E2">
      <w:pPr>
        <w:pStyle w:val="NumberedParaAR"/>
      </w:pPr>
      <w:r>
        <w:rPr>
          <w:rFonts w:hint="cs"/>
          <w:rtl/>
        </w:rPr>
        <w:t>اعتمدت جمعية المعاهدة، في دورتها السابعة والأربعين المعقودة في أكتوبر</w:t>
      </w:r>
      <w:r w:rsidR="004450E2">
        <w:rPr>
          <w:rFonts w:hint="eastAsia"/>
          <w:rtl/>
        </w:rPr>
        <w:t> </w:t>
      </w:r>
      <w:r>
        <w:rPr>
          <w:rFonts w:hint="cs"/>
          <w:rtl/>
        </w:rPr>
        <w:t>2015، تعديلات على القاعدة</w:t>
      </w:r>
      <w:r>
        <w:rPr>
          <w:rFonts w:hint="eastAsia"/>
          <w:rtl/>
        </w:rPr>
        <w:t> </w:t>
      </w:r>
      <w:r>
        <w:rPr>
          <w:rFonts w:hint="cs"/>
          <w:rtl/>
        </w:rPr>
        <w:t xml:space="preserve">95 من اللائحة التنفيذية للمعاهدة تشترط من المكاتب المعيّنة </w:t>
      </w:r>
      <w:r w:rsidR="004450E2">
        <w:rPr>
          <w:rFonts w:hint="cs"/>
          <w:rtl/>
        </w:rPr>
        <w:t>إرسال معلومات مناسبة التوقيت إلى المكتب الدولي بشأن حالات دخول المرحلة الوطنية والمنشورات الوطنية وحالات منح الحماية على الصعيد الوطني. وستُتاح تلك المعلومات عبر ركن البراءات وكمعلومات مجمّعة للجهات</w:t>
      </w:r>
      <w:r w:rsidR="00987D5A">
        <w:rPr>
          <w:rFonts w:hint="cs"/>
          <w:rtl/>
        </w:rPr>
        <w:t xml:space="preserve"> الأخرى المعنية بتوريد المعلومات الخاصة بالبراءات</w:t>
      </w:r>
      <w:r w:rsidR="004450E2">
        <w:rPr>
          <w:rFonts w:hint="cs"/>
          <w:rtl/>
        </w:rPr>
        <w:t>، مما يمكّن من توفير معلومات محسّنة بقدر كبير بخصوص الحالات التي قد تكون فيها الحقوق الوطنية عالقة أو ممنوحة.</w:t>
      </w:r>
    </w:p>
    <w:p w:rsidR="004450E2" w:rsidRDefault="006B2378" w:rsidP="00987D5A">
      <w:pPr>
        <w:pStyle w:val="NumberedParaAR"/>
      </w:pPr>
      <w:r>
        <w:rPr>
          <w:rFonts w:hint="cs"/>
          <w:rtl/>
        </w:rPr>
        <w:t xml:space="preserve">وستدخل التعديلات </w:t>
      </w:r>
      <w:r w:rsidR="00987D5A">
        <w:rPr>
          <w:rFonts w:hint="cs"/>
          <w:rtl/>
        </w:rPr>
        <w:t>المُدرجة</w:t>
      </w:r>
      <w:r>
        <w:rPr>
          <w:rFonts w:hint="cs"/>
          <w:rtl/>
        </w:rPr>
        <w:t xml:space="preserve"> على القاعدة حيّز النفاذ في 1</w:t>
      </w:r>
      <w:r>
        <w:rPr>
          <w:rFonts w:hint="eastAsia"/>
          <w:rtl/>
        </w:rPr>
        <w:t> </w:t>
      </w:r>
      <w:r>
        <w:rPr>
          <w:rFonts w:hint="cs"/>
          <w:rtl/>
        </w:rPr>
        <w:t>يوليو</w:t>
      </w:r>
      <w:r>
        <w:rPr>
          <w:rFonts w:hint="eastAsia"/>
          <w:rtl/>
        </w:rPr>
        <w:t> </w:t>
      </w:r>
      <w:r>
        <w:rPr>
          <w:rFonts w:hint="cs"/>
          <w:rtl/>
        </w:rPr>
        <w:t xml:space="preserve">2017، </w:t>
      </w:r>
      <w:r w:rsidR="00CB4D4E">
        <w:rPr>
          <w:rFonts w:hint="cs"/>
          <w:rtl/>
        </w:rPr>
        <w:t>ولكن المكاتب مدعوة إلى توفير المعلومات قبل ذلك التاريخ إن أمكن ذلك. وهناك عدد من المكاتب المعيّنة التي توفر فعلا معلومات عن دخول المرحلة الوطنية</w:t>
      </w:r>
      <w:r w:rsidR="00CB4D4E">
        <w:rPr>
          <w:rStyle w:val="FootnoteReference"/>
          <w:rtl/>
        </w:rPr>
        <w:footnoteReference w:id="1"/>
      </w:r>
      <w:r w:rsidR="00CB4D4E">
        <w:rPr>
          <w:rFonts w:hint="cs"/>
          <w:rtl/>
        </w:rPr>
        <w:t>. غير أنه يجب توسيع تلك الممارسة لتشمل كل المكاتب المعيّنة، وجعلها أنسب من حيث التوقيت وأوسع لتشمل المعلومات الخاصة بالمنشورات وحالات منح الحماية. وترد قائمة مواصفات إرسال المعلومات الخاصة بالمرحلة الوطنية بنسق</w:t>
      </w:r>
      <w:r w:rsidR="00CB4D4E">
        <w:rPr>
          <w:rFonts w:hint="eastAsia"/>
          <w:rtl/>
        </w:rPr>
        <w:t> </w:t>
      </w:r>
      <w:r w:rsidR="00CB4D4E" w:rsidRPr="004A56DC">
        <w:t>XML</w:t>
      </w:r>
      <w:r w:rsidR="00CB4D4E">
        <w:rPr>
          <w:rFonts w:hint="cs"/>
          <w:rtl/>
        </w:rPr>
        <w:t xml:space="preserve"> أو</w:t>
      </w:r>
      <w:r w:rsidR="00CB4D4E">
        <w:rPr>
          <w:rFonts w:hint="eastAsia"/>
          <w:rtl/>
        </w:rPr>
        <w:t> </w:t>
      </w:r>
      <w:r w:rsidR="00CB4D4E">
        <w:rPr>
          <w:rFonts w:hint="cs"/>
          <w:rtl/>
        </w:rPr>
        <w:t>نسق</w:t>
      </w:r>
      <w:r w:rsidR="00CB4D4E">
        <w:rPr>
          <w:rFonts w:hint="eastAsia"/>
          <w:rtl/>
        </w:rPr>
        <w:t> </w:t>
      </w:r>
      <w:r w:rsidR="00CB4D4E" w:rsidRPr="00CB4D4E">
        <w:t>CSV</w:t>
      </w:r>
      <w:r w:rsidR="00CB4D4E">
        <w:rPr>
          <w:rFonts w:hint="cs"/>
          <w:rtl/>
        </w:rPr>
        <w:t xml:space="preserve"> على الموقع الإلكتروني </w:t>
      </w:r>
      <w:proofErr w:type="spellStart"/>
      <w:r w:rsidR="00CB4D4E">
        <w:rPr>
          <w:rFonts w:hint="cs"/>
          <w:rtl/>
        </w:rPr>
        <w:t>للويبو</w:t>
      </w:r>
      <w:proofErr w:type="spellEnd"/>
      <w:r w:rsidR="00CB4D4E">
        <w:rPr>
          <w:rStyle w:val="FootnoteReference"/>
          <w:rtl/>
        </w:rPr>
        <w:footnoteReference w:id="2"/>
      </w:r>
      <w:r w:rsidR="00CB4D4E">
        <w:rPr>
          <w:rFonts w:hint="cs"/>
          <w:rtl/>
        </w:rPr>
        <w:t xml:space="preserve"> وستُحدّث في القريب لتضمينها حكما</w:t>
      </w:r>
      <w:r w:rsidR="00181304">
        <w:rPr>
          <w:rFonts w:hint="cs"/>
          <w:rtl/>
        </w:rPr>
        <w:t xml:space="preserve"> يتعلق ببيان أرقام المنشورات (في</w:t>
      </w:r>
      <w:r w:rsidR="00987D5A">
        <w:rPr>
          <w:rFonts w:hint="eastAsia"/>
          <w:rtl/>
        </w:rPr>
        <w:t> </w:t>
      </w:r>
      <w:r w:rsidR="00181304">
        <w:rPr>
          <w:rFonts w:hint="cs"/>
          <w:rtl/>
        </w:rPr>
        <w:t>الوقت</w:t>
      </w:r>
      <w:r w:rsidR="00987D5A">
        <w:rPr>
          <w:rFonts w:hint="eastAsia"/>
          <w:rtl/>
        </w:rPr>
        <w:t> </w:t>
      </w:r>
      <w:r w:rsidR="00181304">
        <w:rPr>
          <w:rFonts w:hint="cs"/>
          <w:rtl/>
        </w:rPr>
        <w:t xml:space="preserve">الحالي، لا تنص المواصفات سوى على سرد أرقام الطلبات وتواريخ النشر أو منح الحماية). ويمكن إرسال الاستفسارات حول النسق أو توجيه طلبات </w:t>
      </w:r>
      <w:r w:rsidR="00D16DF2">
        <w:rPr>
          <w:rFonts w:hint="cs"/>
          <w:rtl/>
        </w:rPr>
        <w:t>الاختبار</w:t>
      </w:r>
      <w:r w:rsidR="00181304">
        <w:rPr>
          <w:rFonts w:hint="cs"/>
          <w:rtl/>
        </w:rPr>
        <w:t xml:space="preserve"> لضمان صحة الإجراءات الجديدة لإدخال البيانات</w:t>
      </w:r>
      <w:r w:rsidR="00D16DF2">
        <w:rPr>
          <w:rFonts w:hint="cs"/>
          <w:rtl/>
        </w:rPr>
        <w:t xml:space="preserve"> </w:t>
      </w:r>
      <w:r w:rsidR="00006558">
        <w:rPr>
          <w:rFonts w:hint="cs"/>
          <w:rtl/>
        </w:rPr>
        <w:t>على</w:t>
      </w:r>
      <w:r w:rsidR="00D16DF2">
        <w:rPr>
          <w:rFonts w:hint="cs"/>
          <w:rtl/>
        </w:rPr>
        <w:t xml:space="preserve"> العنوان </w:t>
      </w:r>
      <w:r w:rsidR="00006558">
        <w:rPr>
          <w:rFonts w:hint="cs"/>
          <w:rtl/>
        </w:rPr>
        <w:t xml:space="preserve">الإلكتروني </w:t>
      </w:r>
      <w:r w:rsidR="00D16DF2">
        <w:rPr>
          <w:rFonts w:hint="cs"/>
          <w:rtl/>
        </w:rPr>
        <w:t xml:space="preserve">التالي: </w:t>
      </w:r>
      <w:hyperlink r:id="rId10" w:history="1">
        <w:r w:rsidR="00D16DF2" w:rsidRPr="00F71BDA">
          <w:rPr>
            <w:rStyle w:val="Hyperlink"/>
          </w:rPr>
          <w:t>patentscope@wipo.int</w:t>
        </w:r>
      </w:hyperlink>
      <w:r w:rsidR="00D16DF2">
        <w:rPr>
          <w:rFonts w:hint="cs"/>
          <w:rtl/>
        </w:rPr>
        <w:t>.</w:t>
      </w:r>
    </w:p>
    <w:p w:rsidR="00D16DF2" w:rsidRDefault="00D16DF2" w:rsidP="00987D5A">
      <w:pPr>
        <w:pStyle w:val="NumberedParaAR"/>
      </w:pPr>
      <w:r>
        <w:rPr>
          <w:rFonts w:hint="cs"/>
          <w:rtl/>
        </w:rPr>
        <w:t>وبالنسبة إلى المكاتب التي ليس لديها أنظمة مؤتمتة خاصة بها، تتيح الويبو نظام إدارة الملكية الصناعية</w:t>
      </w:r>
      <w:r w:rsidR="00987D5A">
        <w:rPr>
          <w:rFonts w:hint="eastAsia"/>
          <w:rtl/>
        </w:rPr>
        <w:t> </w:t>
      </w:r>
      <w:r>
        <w:rPr>
          <w:rFonts w:hint="cs"/>
          <w:rtl/>
        </w:rPr>
        <w:t>(</w:t>
      </w:r>
      <w:r w:rsidRPr="00D16DF2">
        <w:t>IPAS</w:t>
      </w:r>
      <w:r>
        <w:rPr>
          <w:rFonts w:hint="cs"/>
          <w:rtl/>
        </w:rPr>
        <w:t>). وذلك النظام يُستخدم الآن من قبل 77</w:t>
      </w:r>
      <w:r w:rsidR="00987D5A">
        <w:rPr>
          <w:rFonts w:hint="eastAsia"/>
          <w:rtl/>
        </w:rPr>
        <w:t> </w:t>
      </w:r>
      <w:r>
        <w:rPr>
          <w:rFonts w:hint="cs"/>
          <w:rtl/>
        </w:rPr>
        <w:t>مكتبا (بما في ذلك المكاتب التي لا تستخدمه حاليا إلا لإدارة أشكال أخرى من الحقوق، مثل العلامات التجارية) وينطوي على وحدات تمكّن من إرسال المعلومات المطلوبة إلى المكتب الدولي. وهو يسمح أيضا باستخراج معلومات من المكتب الدولي للمساعدة على معالجة حالات دخول المرحلة الوطنية بخصوص الطلبات الدولية المنشورة. والمكاتب التي ترغب في تقييم النشر المحتمل لنظام</w:t>
      </w:r>
      <w:r>
        <w:rPr>
          <w:rFonts w:hint="eastAsia"/>
          <w:rtl/>
        </w:rPr>
        <w:t> </w:t>
      </w:r>
      <w:r w:rsidRPr="00D16DF2">
        <w:t>IPAS</w:t>
      </w:r>
      <w:r>
        <w:rPr>
          <w:rFonts w:hint="cs"/>
          <w:rtl/>
        </w:rPr>
        <w:t>، أو الاستفادة من الوحدات لتحسين معالجة حالات دخول المرحلة الوطنية بناء على المعاهدة، مدعوة</w:t>
      </w:r>
      <w:r>
        <w:rPr>
          <w:rtl/>
        </w:rPr>
        <w:t>ٌ</w:t>
      </w:r>
      <w:r>
        <w:rPr>
          <w:rFonts w:hint="cs"/>
          <w:rtl/>
        </w:rPr>
        <w:t xml:space="preserve"> إلى </w:t>
      </w:r>
      <w:r w:rsidR="00006558">
        <w:rPr>
          <w:rFonts w:hint="cs"/>
          <w:rtl/>
        </w:rPr>
        <w:t xml:space="preserve">الاتصال بشعبة حلول الأعمال التجارية لمكاتب الملكية الفكرية على العنوان الإلكتروني التالي: </w:t>
      </w:r>
      <w:hyperlink r:id="rId11" w:history="1">
        <w:r w:rsidR="00006558" w:rsidRPr="00006558">
          <w:rPr>
            <w:rStyle w:val="Hyperlink"/>
          </w:rPr>
          <w:t>william.meredith@wipo.int</w:t>
        </w:r>
      </w:hyperlink>
      <w:r w:rsidR="00006558">
        <w:rPr>
          <w:rFonts w:hint="cs"/>
          <w:rtl/>
        </w:rPr>
        <w:t>.</w:t>
      </w:r>
    </w:p>
    <w:p w:rsidR="00006558" w:rsidRDefault="00987D5A" w:rsidP="00987D5A">
      <w:pPr>
        <w:pStyle w:val="NumberedParaAR"/>
      </w:pPr>
      <w:r>
        <w:rPr>
          <w:rFonts w:hint="cs"/>
          <w:rtl/>
        </w:rPr>
        <w:t>ولأغراض</w:t>
      </w:r>
      <w:r w:rsidR="00542769">
        <w:rPr>
          <w:rFonts w:hint="cs"/>
          <w:rtl/>
        </w:rPr>
        <w:t xml:space="preserve"> حالات </w:t>
      </w:r>
      <w:r>
        <w:rPr>
          <w:rFonts w:hint="cs"/>
          <w:rtl/>
        </w:rPr>
        <w:t>ال</w:t>
      </w:r>
      <w:r w:rsidR="00542769">
        <w:rPr>
          <w:rFonts w:hint="cs"/>
          <w:rtl/>
        </w:rPr>
        <w:t xml:space="preserve">دخول </w:t>
      </w:r>
      <w:r>
        <w:rPr>
          <w:rFonts w:hint="cs"/>
          <w:rtl/>
        </w:rPr>
        <w:t>ال</w:t>
      </w:r>
      <w:r w:rsidR="00542769">
        <w:rPr>
          <w:rFonts w:hint="cs"/>
          <w:rtl/>
        </w:rPr>
        <w:t>مبكّرة في المرحلة الوطنية قبل النشر الدولي، يجدر التذكير بأن تطبيق</w:t>
      </w:r>
      <w:r w:rsidR="00542769" w:rsidRPr="00F359BD">
        <w:rPr>
          <w:rFonts w:hint="eastAsia"/>
          <w:rtl/>
        </w:rPr>
        <w:t> </w:t>
      </w:r>
      <w:proofErr w:type="spellStart"/>
      <w:r w:rsidR="00542769" w:rsidRPr="00F359BD">
        <w:t>ePCT</w:t>
      </w:r>
      <w:proofErr w:type="spellEnd"/>
      <w:r w:rsidR="00542769">
        <w:rPr>
          <w:rFonts w:hint="cs"/>
          <w:rtl/>
        </w:rPr>
        <w:t xml:space="preserve"> القائم على برنامج التصفح </w:t>
      </w:r>
      <w:r w:rsidR="008B6C87">
        <w:rPr>
          <w:rFonts w:hint="cs"/>
          <w:rtl/>
        </w:rPr>
        <w:t>يمكّن</w:t>
      </w:r>
      <w:r w:rsidR="00542769">
        <w:rPr>
          <w:rFonts w:hint="cs"/>
          <w:rtl/>
        </w:rPr>
        <w:t xml:space="preserve"> </w:t>
      </w:r>
      <w:r w:rsidR="008B6C87">
        <w:rPr>
          <w:rFonts w:hint="cs"/>
          <w:rtl/>
        </w:rPr>
        <w:t>المكاتب المعيّنة من الإخطار بحالة دخول في المرحلة الوطنية والحصول على إمكانية النفاذ إلى الوثائق والبيانات الببليوغرافية الموجودة في الملف. ومن المزمع أن تُتاح تلك الإمكانية أيضا كخدمة شبكية في المستقبل، بما يمكّن من إجراء الوظائف المعادلة آليا.</w:t>
      </w:r>
    </w:p>
    <w:p w:rsidR="008B6C87" w:rsidRPr="008B6C87" w:rsidRDefault="008B6C87" w:rsidP="008B6C87">
      <w:pPr>
        <w:pStyle w:val="NormalParaAR"/>
        <w:keepNext/>
        <w:rPr>
          <w:b/>
          <w:bCs/>
          <w:sz w:val="40"/>
          <w:szCs w:val="40"/>
        </w:rPr>
      </w:pPr>
      <w:r w:rsidRPr="008B6C87">
        <w:rPr>
          <w:rFonts w:hint="cs"/>
          <w:b/>
          <w:bCs/>
          <w:sz w:val="40"/>
          <w:szCs w:val="40"/>
          <w:rtl/>
        </w:rPr>
        <w:t>العلاقة بمنصات الويبو وخدماتها الأخرى الموجهة للمكاتب</w:t>
      </w:r>
    </w:p>
    <w:p w:rsidR="008B6C87" w:rsidRDefault="00B74389" w:rsidP="00C635ED">
      <w:pPr>
        <w:pStyle w:val="NumberedParaAR"/>
      </w:pPr>
      <w:r>
        <w:rPr>
          <w:rFonts w:hint="cs"/>
          <w:rtl/>
        </w:rPr>
        <w:t>بالإضافة إلى نظام</w:t>
      </w:r>
      <w:r w:rsidR="001F64EA">
        <w:rPr>
          <w:rFonts w:hint="eastAsia"/>
          <w:rtl/>
        </w:rPr>
        <w:t> </w:t>
      </w:r>
      <w:r w:rsidRPr="00B74389">
        <w:t>IPAS</w:t>
      </w:r>
      <w:r w:rsidR="001F64EA">
        <w:rPr>
          <w:rFonts w:hint="cs"/>
          <w:rtl/>
        </w:rPr>
        <w:t xml:space="preserve"> المذكور أعلاه، يدير المكتب الدولي خدمات أخرى ينبغي أن تعتبرها المكاتب الوطنية كوسائل كفيلة بمساعدتها في عملها أ</w:t>
      </w:r>
      <w:r w:rsidR="00987D5A">
        <w:rPr>
          <w:rFonts w:hint="cs"/>
          <w:rtl/>
        </w:rPr>
        <w:t>و بتوفير خدمات إضافية مفيدة ل</w:t>
      </w:r>
      <w:r w:rsidR="001F64EA">
        <w:rPr>
          <w:rFonts w:hint="cs"/>
          <w:rtl/>
        </w:rPr>
        <w:t>زبائنها من المودعين، وهي تحديدا خدمة الويبو للنفاذ الرقمي</w:t>
      </w:r>
      <w:r w:rsidR="001F64EA">
        <w:rPr>
          <w:rFonts w:hint="eastAsia"/>
          <w:rtl/>
        </w:rPr>
        <w:t> </w:t>
      </w:r>
      <w:r w:rsidR="001F64EA">
        <w:rPr>
          <w:rFonts w:hint="cs"/>
          <w:rtl/>
        </w:rPr>
        <w:t>(</w:t>
      </w:r>
      <w:r w:rsidR="001F64EA" w:rsidRPr="001F64EA">
        <w:t>DAS</w:t>
      </w:r>
      <w:r w:rsidR="001F64EA">
        <w:rPr>
          <w:rFonts w:hint="cs"/>
          <w:rtl/>
        </w:rPr>
        <w:t>) ون</w:t>
      </w:r>
      <w:r w:rsidR="001F64EA" w:rsidRPr="001F64EA">
        <w:rPr>
          <w:rtl/>
        </w:rPr>
        <w:t>ظام الويبو للنفاذ المركزي إلى نتائج البحث والفحص</w:t>
      </w:r>
      <w:r w:rsidR="001F64EA">
        <w:rPr>
          <w:rFonts w:hint="cs"/>
          <w:rtl/>
        </w:rPr>
        <w:t> </w:t>
      </w:r>
      <w:r w:rsidR="001F64EA" w:rsidRPr="001F64EA">
        <w:rPr>
          <w:rtl/>
        </w:rPr>
        <w:t>(</w:t>
      </w:r>
      <w:r w:rsidR="00C635ED" w:rsidRPr="00C635ED">
        <w:t>WIPO CASE</w:t>
      </w:r>
      <w:r w:rsidR="001F64EA" w:rsidRPr="001F64EA">
        <w:rPr>
          <w:rtl/>
        </w:rPr>
        <w:t>)</w:t>
      </w:r>
      <w:r w:rsidR="001F64EA">
        <w:rPr>
          <w:rFonts w:hint="cs"/>
          <w:rtl/>
        </w:rPr>
        <w:t>.</w:t>
      </w:r>
    </w:p>
    <w:p w:rsidR="00E861D5" w:rsidRDefault="001E676F" w:rsidP="001E676F">
      <w:pPr>
        <w:pStyle w:val="NumberedParaAR"/>
        <w:rPr>
          <w:rtl/>
        </w:rPr>
      </w:pPr>
      <w:r>
        <w:rPr>
          <w:rFonts w:hint="cs"/>
          <w:rtl/>
        </w:rPr>
        <w:t>وفي حين تُ</w:t>
      </w:r>
      <w:r w:rsidR="001F64EA">
        <w:rPr>
          <w:rFonts w:hint="cs"/>
          <w:rtl/>
        </w:rPr>
        <w:t>عد خدمة</w:t>
      </w:r>
      <w:r w:rsidR="001F64EA">
        <w:rPr>
          <w:rFonts w:hint="eastAsia"/>
          <w:rtl/>
        </w:rPr>
        <w:t> </w:t>
      </w:r>
      <w:r w:rsidR="001F64EA" w:rsidRPr="001F64EA">
        <w:t>DAS</w:t>
      </w:r>
      <w:r w:rsidR="001F64EA">
        <w:rPr>
          <w:rFonts w:hint="cs"/>
          <w:rtl/>
        </w:rPr>
        <w:t xml:space="preserve"> خدمة كان الغرض </w:t>
      </w:r>
      <w:r>
        <w:rPr>
          <w:rFonts w:hint="cs"/>
          <w:rtl/>
        </w:rPr>
        <w:t>الأساسي</w:t>
      </w:r>
      <w:r w:rsidR="001F64EA">
        <w:rPr>
          <w:rFonts w:hint="cs"/>
          <w:rtl/>
        </w:rPr>
        <w:t xml:space="preserve"> منها مساعد</w:t>
      </w:r>
      <w:r>
        <w:rPr>
          <w:rFonts w:hint="cs"/>
          <w:rtl/>
        </w:rPr>
        <w:t>ة</w:t>
      </w:r>
      <w:r w:rsidR="001F64EA">
        <w:rPr>
          <w:rFonts w:hint="cs"/>
          <w:rtl/>
        </w:rPr>
        <w:t xml:space="preserve"> المودعين في استخدام </w:t>
      </w:r>
      <w:r>
        <w:rPr>
          <w:rFonts w:hint="cs"/>
          <w:rtl/>
        </w:rPr>
        <w:t>المجرى التقليدي</w:t>
      </w:r>
      <w:r w:rsidR="001F64EA">
        <w:rPr>
          <w:rFonts w:hint="cs"/>
          <w:rtl/>
        </w:rPr>
        <w:t xml:space="preserve"> </w:t>
      </w:r>
      <w:r>
        <w:rPr>
          <w:rFonts w:hint="cs"/>
          <w:rtl/>
        </w:rPr>
        <w:t>ل</w:t>
      </w:r>
      <w:r w:rsidR="001F64EA">
        <w:rPr>
          <w:rFonts w:hint="cs"/>
          <w:rtl/>
        </w:rPr>
        <w:t>اتفاقية باريس ل</w:t>
      </w:r>
      <w:r>
        <w:rPr>
          <w:rFonts w:hint="cs"/>
          <w:rtl/>
        </w:rPr>
        <w:t>أغراض ا</w:t>
      </w:r>
      <w:r w:rsidR="001F64EA">
        <w:rPr>
          <w:rFonts w:hint="cs"/>
          <w:rtl/>
        </w:rPr>
        <w:t xml:space="preserve">لإيداع في الخارج، فإنها مُدمجة </w:t>
      </w:r>
      <w:r>
        <w:rPr>
          <w:rFonts w:hint="cs"/>
          <w:rtl/>
        </w:rPr>
        <w:t xml:space="preserve">الآن </w:t>
      </w:r>
      <w:r w:rsidR="001F64EA">
        <w:rPr>
          <w:rFonts w:hint="cs"/>
          <w:rtl/>
        </w:rPr>
        <w:t xml:space="preserve">بشكل جيد في نظام المعاهدة ويمكنها السماح للمكاتب الوطنية بتوفير خدمة زهيدة التكلفة لمساعدة زبائنها من المودعين الوطنيين بتقديم وثائق الأولوية بطريقة فعالة لاستخدامها مع طلباتهم الدولية، وبخاصة في الحالة التي يستخدم فيها المودع مكتبا لتسلم الطلبات يختلف عن المكتب الذي أودع فيها </w:t>
      </w:r>
      <w:r w:rsidR="00486996">
        <w:rPr>
          <w:rFonts w:hint="cs"/>
          <w:rtl/>
        </w:rPr>
        <w:t>المطالبة</w:t>
      </w:r>
      <w:r w:rsidR="001F64EA">
        <w:rPr>
          <w:rFonts w:hint="cs"/>
          <w:rtl/>
        </w:rPr>
        <w:t xml:space="preserve"> </w:t>
      </w:r>
      <w:r w:rsidR="00486996">
        <w:rPr>
          <w:rFonts w:hint="cs"/>
          <w:rtl/>
        </w:rPr>
        <w:t>ب</w:t>
      </w:r>
      <w:r w:rsidR="001F64EA">
        <w:rPr>
          <w:rFonts w:hint="cs"/>
          <w:rtl/>
        </w:rPr>
        <w:t>الأولوية. وفي عام</w:t>
      </w:r>
      <w:r>
        <w:rPr>
          <w:rFonts w:hint="eastAsia"/>
          <w:rtl/>
        </w:rPr>
        <w:t> </w:t>
      </w:r>
      <w:r w:rsidR="00F7669D">
        <w:rPr>
          <w:rFonts w:hint="cs"/>
          <w:rtl/>
        </w:rPr>
        <w:t>2012</w:t>
      </w:r>
      <w:r w:rsidR="00486996">
        <w:rPr>
          <w:rFonts w:hint="cs"/>
          <w:rtl/>
        </w:rPr>
        <w:t>، كان</w:t>
      </w:r>
      <w:r w:rsidR="000E7050">
        <w:rPr>
          <w:rFonts w:hint="cs"/>
          <w:rtl/>
        </w:rPr>
        <w:t xml:space="preserve"> هناك</w:t>
      </w:r>
      <w:r w:rsidR="00486996">
        <w:rPr>
          <w:rFonts w:hint="cs"/>
          <w:rtl/>
        </w:rPr>
        <w:t xml:space="preserve"> أكثر من 000</w:t>
      </w:r>
      <w:r w:rsidR="00486996">
        <w:rPr>
          <w:rFonts w:hint="eastAsia"/>
          <w:rtl/>
        </w:rPr>
        <w:t> </w:t>
      </w:r>
      <w:r w:rsidR="00486996">
        <w:rPr>
          <w:rFonts w:hint="cs"/>
          <w:rtl/>
        </w:rPr>
        <w:t>47 من تلك المطالبات استنادا إلى طلبات سابقة في 75</w:t>
      </w:r>
      <w:r>
        <w:rPr>
          <w:rFonts w:hint="eastAsia"/>
          <w:rtl/>
        </w:rPr>
        <w:t> </w:t>
      </w:r>
      <w:r w:rsidR="00486996">
        <w:rPr>
          <w:rFonts w:hint="cs"/>
          <w:rtl/>
        </w:rPr>
        <w:t xml:space="preserve">مكتبا </w:t>
      </w:r>
      <w:r>
        <w:rPr>
          <w:rFonts w:hint="cs"/>
          <w:rtl/>
        </w:rPr>
        <w:t xml:space="preserve">وطنيا </w:t>
      </w:r>
      <w:r w:rsidR="00486996">
        <w:rPr>
          <w:rFonts w:hint="cs"/>
          <w:rtl/>
        </w:rPr>
        <w:t>مختلفا.</w:t>
      </w:r>
    </w:p>
    <w:p w:rsidR="00E861D5" w:rsidRDefault="00E861D5">
      <w:pPr>
        <w:rPr>
          <w:rFonts w:ascii="Arabic Typesetting" w:hAnsi="Arabic Typesetting" w:cs="Arabic Typesetting"/>
          <w:sz w:val="36"/>
          <w:szCs w:val="36"/>
          <w:rtl/>
        </w:rPr>
      </w:pPr>
      <w:r>
        <w:rPr>
          <w:rtl/>
        </w:rPr>
        <w:br w:type="page"/>
      </w:r>
    </w:p>
    <w:p w:rsidR="00486996" w:rsidRDefault="00C635ED" w:rsidP="009078D1">
      <w:pPr>
        <w:pStyle w:val="NumberedParaAR"/>
        <w:rPr>
          <w:rFonts w:hint="cs"/>
        </w:rPr>
      </w:pPr>
      <w:r>
        <w:rPr>
          <w:rFonts w:hint="cs"/>
          <w:rtl/>
        </w:rPr>
        <w:t xml:space="preserve">ويمكّن نظام </w:t>
      </w:r>
      <w:r w:rsidRPr="00C635ED">
        <w:t>WIPO</w:t>
      </w:r>
      <w:r>
        <w:t> </w:t>
      </w:r>
      <w:r w:rsidRPr="00C635ED">
        <w:t>CASE</w:t>
      </w:r>
      <w:r>
        <w:rPr>
          <w:rFonts w:hint="cs"/>
          <w:rtl/>
        </w:rPr>
        <w:t xml:space="preserve"> مكاتب البراءات من تقاسم وثائق البحث والفحص المرتبطة بطلبات البراءات بطريقة آمنة، وذلك لتحسين كفاءة </w:t>
      </w:r>
      <w:r w:rsidR="009078D1">
        <w:rPr>
          <w:rFonts w:hint="cs"/>
          <w:rtl/>
        </w:rPr>
        <w:t>إجراء</w:t>
      </w:r>
      <w:r>
        <w:rPr>
          <w:rFonts w:hint="cs"/>
          <w:rtl/>
        </w:rPr>
        <w:t xml:space="preserve"> الفحص الدولي. وستتيح للمكاتب، في سياق المعاهدة، فرصة الاطلاع على تقارير البحث والفحص الخاصة بحالات دخول المرحلة الوطنية في مكاتب أخرى بالإضافة إلى تقرير البحث الدولي والتقرير التمهيدي الدولي عن قابلية الحماية ببراءة. وفي حين يُزمع إتاحة إصدار محدود من هذا النظام عبر ركن البراءات (يتيح إمكانية النفاذ إلى الوثائق الواردة من المكاتب ا</w:t>
      </w:r>
      <w:r w:rsidR="00E861D5">
        <w:rPr>
          <w:rFonts w:hint="cs"/>
          <w:rtl/>
        </w:rPr>
        <w:t>لتي أبدت موافقتها على إتاحة تقارير البحث والفحص الصادرة عنها للجمهور بهذه</w:t>
      </w:r>
      <w:r w:rsidR="009078D1">
        <w:rPr>
          <w:rFonts w:hint="eastAsia"/>
          <w:rtl/>
        </w:rPr>
        <w:t> </w:t>
      </w:r>
      <w:r w:rsidR="00E861D5">
        <w:rPr>
          <w:rFonts w:hint="cs"/>
          <w:rtl/>
        </w:rPr>
        <w:t xml:space="preserve">الطريقة)، فإن الانضمام إلى نظام </w:t>
      </w:r>
      <w:r w:rsidR="00E861D5" w:rsidRPr="00E861D5">
        <w:t>WIPO CASE</w:t>
      </w:r>
      <w:r w:rsidR="00E861D5">
        <w:rPr>
          <w:rFonts w:hint="cs"/>
          <w:rtl/>
        </w:rPr>
        <w:t xml:space="preserve"> سيتيح للمكاتب إمكانية النفاذ إلى الطائفة الكاملة لتقارير البحث والفحص المتاحة عبر النظام. كما سيمكّن المكاتب المستعدة للقيام بذلك من إتاحة ما تصدره من تقارير البحث والفحص لمكاتب مشاركة أخرى (يمكن أن يساعد </w:t>
      </w:r>
      <w:r w:rsidR="00E861D5">
        <w:rPr>
          <w:rFonts w:hint="cs"/>
          <w:rtl/>
        </w:rPr>
        <w:t>نظام</w:t>
      </w:r>
      <w:r w:rsidR="00E861D5">
        <w:rPr>
          <w:rFonts w:hint="eastAsia"/>
          <w:rtl/>
        </w:rPr>
        <w:t> </w:t>
      </w:r>
      <w:r w:rsidR="00E861D5" w:rsidRPr="00B74389">
        <w:t>IPAS</w:t>
      </w:r>
      <w:r w:rsidR="00E861D5">
        <w:rPr>
          <w:rFonts w:hint="cs"/>
          <w:rtl/>
        </w:rPr>
        <w:t xml:space="preserve"> في هذه العملية عند اللزوم). وتورد الوثيقة</w:t>
      </w:r>
      <w:r w:rsidR="00E861D5">
        <w:rPr>
          <w:rFonts w:hint="eastAsia"/>
          <w:rtl/>
        </w:rPr>
        <w:t> </w:t>
      </w:r>
      <w:r w:rsidR="00E861D5" w:rsidRPr="00E861D5">
        <w:t>PCT/WG/9/4</w:t>
      </w:r>
      <w:r w:rsidR="00E861D5">
        <w:rPr>
          <w:rFonts w:hint="cs"/>
          <w:rtl/>
        </w:rPr>
        <w:t xml:space="preserve"> مزيدا من التفاصيل حول نظام </w:t>
      </w:r>
      <w:r w:rsidR="00E861D5" w:rsidRPr="00E861D5">
        <w:t>WIPO CASE</w:t>
      </w:r>
      <w:r w:rsidR="00E861D5">
        <w:rPr>
          <w:rFonts w:hint="cs"/>
          <w:rtl/>
        </w:rPr>
        <w:t xml:space="preserve"> وتشجيعا لمكاتب جميع الدول الأعضاء في المعاهدة وسائر المنظمات الحكومية الدولية العاملة في إطار المعاهدة على الانضمام </w:t>
      </w:r>
      <w:r w:rsidR="009078D1">
        <w:rPr>
          <w:rFonts w:hint="cs"/>
          <w:rtl/>
        </w:rPr>
        <w:t xml:space="preserve">إلى </w:t>
      </w:r>
      <w:bookmarkStart w:id="2" w:name="_GoBack"/>
      <w:bookmarkEnd w:id="2"/>
      <w:r w:rsidR="00E861D5">
        <w:rPr>
          <w:rFonts w:hint="cs"/>
          <w:rtl/>
        </w:rPr>
        <w:t xml:space="preserve">منصة نظام </w:t>
      </w:r>
      <w:r w:rsidR="00E861D5" w:rsidRPr="00E861D5">
        <w:t>WIPO CASE</w:t>
      </w:r>
      <w:r w:rsidR="00E861D5">
        <w:rPr>
          <w:rFonts w:hint="cs"/>
          <w:rtl/>
        </w:rPr>
        <w:t>.</w:t>
      </w:r>
    </w:p>
    <w:p w:rsidR="00E861D5" w:rsidRDefault="00F93089" w:rsidP="00F93089">
      <w:pPr>
        <w:pStyle w:val="DecisionParaAR"/>
        <w:spacing w:after="480"/>
        <w:rPr>
          <w:rFonts w:hint="cs"/>
        </w:rPr>
      </w:pPr>
      <w:r>
        <w:rPr>
          <w:rFonts w:hint="cs"/>
          <w:rtl/>
        </w:rPr>
        <w:t>إن الفريق العامل مدعو</w:t>
      </w:r>
      <w:r>
        <w:rPr>
          <w:rtl/>
        </w:rPr>
        <w:t>ٌ</w:t>
      </w:r>
      <w:r>
        <w:rPr>
          <w:rFonts w:hint="cs"/>
          <w:rtl/>
        </w:rPr>
        <w:t xml:space="preserve"> إلى الإحاطة علما بالتطويرات المُدخلة على الخدمات الشبكية للمعاهدة، والتعليق على الأولويات المقترحة، وتحديد قضايا أخرى ينبغي منحها الأولوية في الخدمات الشبكية للمعاهدة.</w:t>
      </w:r>
    </w:p>
    <w:p w:rsidR="00F93089" w:rsidRDefault="00F93089" w:rsidP="00F93089">
      <w:pPr>
        <w:pStyle w:val="EndofDocumentAR"/>
        <w:rPr>
          <w:rtl/>
        </w:rPr>
      </w:pPr>
      <w:r>
        <w:rPr>
          <w:rFonts w:hint="cs"/>
          <w:rtl/>
        </w:rPr>
        <w:t>[نهاية الوثيقة]</w:t>
      </w:r>
    </w:p>
    <w:sectPr w:rsidR="00F93089" w:rsidSect="00EB7752">
      <w:headerReference w:type="defaul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4ED" w:rsidRDefault="005D44ED">
      <w:r>
        <w:separator/>
      </w:r>
    </w:p>
  </w:endnote>
  <w:endnote w:type="continuationSeparator" w:id="0">
    <w:p w:rsidR="005D44ED" w:rsidRDefault="005D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4ED" w:rsidRDefault="005D44ED" w:rsidP="009622BF">
      <w:pPr>
        <w:bidi/>
      </w:pPr>
      <w:bookmarkStart w:id="0" w:name="OLE_LINK1"/>
      <w:bookmarkStart w:id="1" w:name="OLE_LINK2"/>
      <w:r>
        <w:separator/>
      </w:r>
      <w:bookmarkEnd w:id="0"/>
      <w:bookmarkEnd w:id="1"/>
    </w:p>
  </w:footnote>
  <w:footnote w:type="continuationSeparator" w:id="0">
    <w:p w:rsidR="005D44ED" w:rsidRDefault="005D44ED" w:rsidP="009622BF">
      <w:pPr>
        <w:bidi/>
      </w:pPr>
      <w:r>
        <w:separator/>
      </w:r>
    </w:p>
  </w:footnote>
  <w:footnote w:id="1">
    <w:p w:rsidR="00CB4D4E" w:rsidRDefault="00CB4D4E" w:rsidP="00CB4D4E">
      <w:pPr>
        <w:pStyle w:val="FootnoteText"/>
      </w:pPr>
      <w:r>
        <w:rPr>
          <w:rStyle w:val="FootnoteReference"/>
        </w:rPr>
        <w:footnoteRef/>
      </w:r>
      <w:r>
        <w:rPr>
          <w:rtl/>
        </w:rPr>
        <w:t xml:space="preserve"> </w:t>
      </w:r>
      <w:r>
        <w:rPr>
          <w:rFonts w:hint="cs"/>
          <w:rtl/>
        </w:rPr>
        <w:t xml:space="preserve">يمكن الاطلاع على وضع توافر المعلومات الخاصة بدخول المرحلة الوطنية في خدمة ركن البراءات على الموقع التالي: </w:t>
      </w:r>
      <w:hyperlink r:id="rId1" w:history="1">
        <w:r w:rsidRPr="00CB4D4E">
          <w:rPr>
            <w:rStyle w:val="Hyperlink"/>
          </w:rPr>
          <w:t>https://patentscope.wipo.int/search/en/nationalphase.jsf</w:t>
        </w:r>
      </w:hyperlink>
      <w:r>
        <w:rPr>
          <w:rFonts w:hint="cs"/>
          <w:rtl/>
        </w:rPr>
        <w:t>.</w:t>
      </w:r>
    </w:p>
  </w:footnote>
  <w:footnote w:id="2">
    <w:p w:rsidR="00CB4D4E" w:rsidRDefault="00CB4D4E" w:rsidP="00CB4D4E">
      <w:pPr>
        <w:pStyle w:val="FootnoteText"/>
      </w:pPr>
      <w:r>
        <w:rPr>
          <w:rStyle w:val="FootnoteReference"/>
        </w:rPr>
        <w:footnoteRef/>
      </w:r>
      <w:r>
        <w:rPr>
          <w:rtl/>
        </w:rPr>
        <w:t xml:space="preserve"> </w:t>
      </w:r>
      <w:r>
        <w:rPr>
          <w:rFonts w:hint="cs"/>
          <w:rtl/>
        </w:rPr>
        <w:t xml:space="preserve">انظر الموقع التالي: </w:t>
      </w:r>
      <w:hyperlink r:id="rId2" w:history="1">
        <w:r w:rsidRPr="00CB4D4E">
          <w:rPr>
            <w:rStyle w:val="Hyperlink"/>
          </w:rPr>
          <w:t>http://www.wipo.int/patentscope/en/data/national_phase/</w:t>
        </w:r>
      </w:hyperlink>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1E3F88">
    <w:r>
      <w:t>PCT</w:t>
    </w:r>
    <w:r w:rsidR="00772E46">
      <w:t>/</w:t>
    </w:r>
    <w:r w:rsidR="00C742C5">
      <w:t>WG</w:t>
    </w:r>
    <w:r w:rsidR="002F77FC">
      <w:t>/</w:t>
    </w:r>
    <w:r w:rsidR="001E3F88">
      <w:t>9</w:t>
    </w:r>
    <w:r w:rsidR="00EA69EB">
      <w:t>/17</w:t>
    </w:r>
  </w:p>
  <w:p w:rsidR="002F77FC" w:rsidRDefault="002F77FC" w:rsidP="00D61541">
    <w:r>
      <w:fldChar w:fldCharType="begin"/>
    </w:r>
    <w:r>
      <w:instrText xml:space="preserve"> PAGE  \* MERGEFORMAT </w:instrText>
    </w:r>
    <w:r>
      <w:fldChar w:fldCharType="separate"/>
    </w:r>
    <w:r w:rsidR="00B72182">
      <w:rPr>
        <w:noProof/>
      </w:rPr>
      <w:t>8</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4ED"/>
    <w:rsid w:val="00002CBE"/>
    <w:rsid w:val="00003232"/>
    <w:rsid w:val="000033DA"/>
    <w:rsid w:val="0000579F"/>
    <w:rsid w:val="00006558"/>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7804"/>
    <w:rsid w:val="000A0F13"/>
    <w:rsid w:val="000A12BC"/>
    <w:rsid w:val="000A1306"/>
    <w:rsid w:val="000A1521"/>
    <w:rsid w:val="000A2814"/>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050"/>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1E2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6983"/>
    <w:rsid w:val="001171EF"/>
    <w:rsid w:val="001173C5"/>
    <w:rsid w:val="00121092"/>
    <w:rsid w:val="00121AA0"/>
    <w:rsid w:val="00121FE6"/>
    <w:rsid w:val="00123F16"/>
    <w:rsid w:val="0012405D"/>
    <w:rsid w:val="00124A83"/>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1304"/>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05F"/>
    <w:rsid w:val="00195CE0"/>
    <w:rsid w:val="001A098F"/>
    <w:rsid w:val="001A10CB"/>
    <w:rsid w:val="001A110B"/>
    <w:rsid w:val="001A149A"/>
    <w:rsid w:val="001A2AB7"/>
    <w:rsid w:val="001A4A9C"/>
    <w:rsid w:val="001A6B88"/>
    <w:rsid w:val="001A6C33"/>
    <w:rsid w:val="001A6E68"/>
    <w:rsid w:val="001B084D"/>
    <w:rsid w:val="001B3131"/>
    <w:rsid w:val="001B4B2F"/>
    <w:rsid w:val="001B7C00"/>
    <w:rsid w:val="001C09D2"/>
    <w:rsid w:val="001C1620"/>
    <w:rsid w:val="001C18B2"/>
    <w:rsid w:val="001C1994"/>
    <w:rsid w:val="001C2933"/>
    <w:rsid w:val="001C5EEE"/>
    <w:rsid w:val="001C693D"/>
    <w:rsid w:val="001C6A73"/>
    <w:rsid w:val="001C73C2"/>
    <w:rsid w:val="001D0474"/>
    <w:rsid w:val="001D0D35"/>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E676F"/>
    <w:rsid w:val="001F0AD5"/>
    <w:rsid w:val="001F0C0A"/>
    <w:rsid w:val="001F1509"/>
    <w:rsid w:val="001F18E7"/>
    <w:rsid w:val="001F3984"/>
    <w:rsid w:val="001F3A75"/>
    <w:rsid w:val="001F3A9D"/>
    <w:rsid w:val="001F3FDB"/>
    <w:rsid w:val="001F64EA"/>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791"/>
    <w:rsid w:val="00235C9D"/>
    <w:rsid w:val="002412D4"/>
    <w:rsid w:val="0024220D"/>
    <w:rsid w:val="00242BD3"/>
    <w:rsid w:val="00242C02"/>
    <w:rsid w:val="00243155"/>
    <w:rsid w:val="00246202"/>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2AC"/>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164"/>
    <w:rsid w:val="002A3C9D"/>
    <w:rsid w:val="002A4A8B"/>
    <w:rsid w:val="002A5403"/>
    <w:rsid w:val="002A6C9F"/>
    <w:rsid w:val="002A77F3"/>
    <w:rsid w:val="002B14F0"/>
    <w:rsid w:val="002B1F0F"/>
    <w:rsid w:val="002B53D3"/>
    <w:rsid w:val="002B6202"/>
    <w:rsid w:val="002C014C"/>
    <w:rsid w:val="002C060C"/>
    <w:rsid w:val="002C0BA6"/>
    <w:rsid w:val="002C12A7"/>
    <w:rsid w:val="002C1B61"/>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762"/>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D2B"/>
    <w:rsid w:val="003A07FF"/>
    <w:rsid w:val="003A146E"/>
    <w:rsid w:val="003A26CD"/>
    <w:rsid w:val="003A37F7"/>
    <w:rsid w:val="003A54E9"/>
    <w:rsid w:val="003A5E7C"/>
    <w:rsid w:val="003A78C7"/>
    <w:rsid w:val="003A7E9A"/>
    <w:rsid w:val="003B15FE"/>
    <w:rsid w:val="003B1C41"/>
    <w:rsid w:val="003B46AD"/>
    <w:rsid w:val="003B5929"/>
    <w:rsid w:val="003B5C96"/>
    <w:rsid w:val="003B65FB"/>
    <w:rsid w:val="003B6781"/>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12DA"/>
    <w:rsid w:val="003D37D4"/>
    <w:rsid w:val="003D47A7"/>
    <w:rsid w:val="003D56B5"/>
    <w:rsid w:val="003D5DCC"/>
    <w:rsid w:val="003D6B84"/>
    <w:rsid w:val="003E1A49"/>
    <w:rsid w:val="003E2D01"/>
    <w:rsid w:val="003E330E"/>
    <w:rsid w:val="003E3AE3"/>
    <w:rsid w:val="003E5733"/>
    <w:rsid w:val="003E5CEC"/>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1C30"/>
    <w:rsid w:val="00412057"/>
    <w:rsid w:val="004126C1"/>
    <w:rsid w:val="00413BA5"/>
    <w:rsid w:val="00414FD0"/>
    <w:rsid w:val="00417E93"/>
    <w:rsid w:val="00422A2A"/>
    <w:rsid w:val="00423DE2"/>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50E2"/>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996"/>
    <w:rsid w:val="00486FFC"/>
    <w:rsid w:val="00490ED4"/>
    <w:rsid w:val="00491B91"/>
    <w:rsid w:val="00491C21"/>
    <w:rsid w:val="00491C66"/>
    <w:rsid w:val="004935D6"/>
    <w:rsid w:val="00494195"/>
    <w:rsid w:val="004945FB"/>
    <w:rsid w:val="00496C19"/>
    <w:rsid w:val="00497356"/>
    <w:rsid w:val="00497DF4"/>
    <w:rsid w:val="004A076F"/>
    <w:rsid w:val="004A1DC1"/>
    <w:rsid w:val="004A1E62"/>
    <w:rsid w:val="004A31A2"/>
    <w:rsid w:val="004A48A7"/>
    <w:rsid w:val="004A56DC"/>
    <w:rsid w:val="004A655D"/>
    <w:rsid w:val="004B01B1"/>
    <w:rsid w:val="004B08D1"/>
    <w:rsid w:val="004B10E6"/>
    <w:rsid w:val="004B198F"/>
    <w:rsid w:val="004B357D"/>
    <w:rsid w:val="004B46D0"/>
    <w:rsid w:val="004B4944"/>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52BA"/>
    <w:rsid w:val="004D6144"/>
    <w:rsid w:val="004D678F"/>
    <w:rsid w:val="004E1264"/>
    <w:rsid w:val="004E2CBC"/>
    <w:rsid w:val="004E3DD4"/>
    <w:rsid w:val="004E5C1A"/>
    <w:rsid w:val="004E6C8C"/>
    <w:rsid w:val="004E6CC7"/>
    <w:rsid w:val="004E776F"/>
    <w:rsid w:val="004F0CD8"/>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27E"/>
    <w:rsid w:val="005266BD"/>
    <w:rsid w:val="0052772D"/>
    <w:rsid w:val="00530442"/>
    <w:rsid w:val="00534AF0"/>
    <w:rsid w:val="00535060"/>
    <w:rsid w:val="00535738"/>
    <w:rsid w:val="005409EB"/>
    <w:rsid w:val="00540F30"/>
    <w:rsid w:val="00541DD2"/>
    <w:rsid w:val="00542769"/>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57B57"/>
    <w:rsid w:val="00560C6A"/>
    <w:rsid w:val="00560F85"/>
    <w:rsid w:val="005610A0"/>
    <w:rsid w:val="0056248F"/>
    <w:rsid w:val="00564985"/>
    <w:rsid w:val="00565379"/>
    <w:rsid w:val="005663B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3076"/>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44E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CD4"/>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557"/>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8F9"/>
    <w:rsid w:val="00692BE0"/>
    <w:rsid w:val="00692C98"/>
    <w:rsid w:val="0069324E"/>
    <w:rsid w:val="00694487"/>
    <w:rsid w:val="00695815"/>
    <w:rsid w:val="0069581B"/>
    <w:rsid w:val="00696601"/>
    <w:rsid w:val="006977FA"/>
    <w:rsid w:val="006A0EEE"/>
    <w:rsid w:val="006A20FB"/>
    <w:rsid w:val="006A339D"/>
    <w:rsid w:val="006A3CBD"/>
    <w:rsid w:val="006A4462"/>
    <w:rsid w:val="006A45B1"/>
    <w:rsid w:val="006A5B59"/>
    <w:rsid w:val="006A6A14"/>
    <w:rsid w:val="006A753A"/>
    <w:rsid w:val="006A777C"/>
    <w:rsid w:val="006A7C46"/>
    <w:rsid w:val="006B0F76"/>
    <w:rsid w:val="006B1F20"/>
    <w:rsid w:val="006B2378"/>
    <w:rsid w:val="006B398A"/>
    <w:rsid w:val="006B3E04"/>
    <w:rsid w:val="006B4024"/>
    <w:rsid w:val="006B47D7"/>
    <w:rsid w:val="006B499D"/>
    <w:rsid w:val="006B5041"/>
    <w:rsid w:val="006B643D"/>
    <w:rsid w:val="006B6B52"/>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E762E"/>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B80"/>
    <w:rsid w:val="00737C62"/>
    <w:rsid w:val="00737C91"/>
    <w:rsid w:val="0074130E"/>
    <w:rsid w:val="00743937"/>
    <w:rsid w:val="00744411"/>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4827"/>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5B17"/>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778A"/>
    <w:rsid w:val="007C09C4"/>
    <w:rsid w:val="007C12E2"/>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682A"/>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5AB"/>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6C87"/>
    <w:rsid w:val="008B7F4A"/>
    <w:rsid w:val="008C0D2E"/>
    <w:rsid w:val="008C1056"/>
    <w:rsid w:val="008C2729"/>
    <w:rsid w:val="008C3347"/>
    <w:rsid w:val="008C39D6"/>
    <w:rsid w:val="008C3B96"/>
    <w:rsid w:val="008C43BF"/>
    <w:rsid w:val="008C532F"/>
    <w:rsid w:val="008C60C3"/>
    <w:rsid w:val="008C7736"/>
    <w:rsid w:val="008C7F2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8D1"/>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0AC"/>
    <w:rsid w:val="009343F5"/>
    <w:rsid w:val="0093456A"/>
    <w:rsid w:val="009345AE"/>
    <w:rsid w:val="00935301"/>
    <w:rsid w:val="00936F64"/>
    <w:rsid w:val="00937B8E"/>
    <w:rsid w:val="00940C5B"/>
    <w:rsid w:val="009411F7"/>
    <w:rsid w:val="009417F1"/>
    <w:rsid w:val="009418B9"/>
    <w:rsid w:val="00941A84"/>
    <w:rsid w:val="0094204A"/>
    <w:rsid w:val="009427E4"/>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19D8"/>
    <w:rsid w:val="009728F2"/>
    <w:rsid w:val="00972BEF"/>
    <w:rsid w:val="00973BCF"/>
    <w:rsid w:val="009744BC"/>
    <w:rsid w:val="00974D30"/>
    <w:rsid w:val="00974E60"/>
    <w:rsid w:val="00975896"/>
    <w:rsid w:val="00975DF1"/>
    <w:rsid w:val="00976AFE"/>
    <w:rsid w:val="00981650"/>
    <w:rsid w:val="00983389"/>
    <w:rsid w:val="00983CEA"/>
    <w:rsid w:val="00984198"/>
    <w:rsid w:val="00984E04"/>
    <w:rsid w:val="00986194"/>
    <w:rsid w:val="009861D2"/>
    <w:rsid w:val="00986E53"/>
    <w:rsid w:val="00987CE5"/>
    <w:rsid w:val="00987D5A"/>
    <w:rsid w:val="00993CF0"/>
    <w:rsid w:val="0099428D"/>
    <w:rsid w:val="009949A7"/>
    <w:rsid w:val="00995CDC"/>
    <w:rsid w:val="009975CA"/>
    <w:rsid w:val="009A0C15"/>
    <w:rsid w:val="009A1088"/>
    <w:rsid w:val="009A14CB"/>
    <w:rsid w:val="009A27C7"/>
    <w:rsid w:val="009A2961"/>
    <w:rsid w:val="009A344A"/>
    <w:rsid w:val="009A401E"/>
    <w:rsid w:val="009A41C7"/>
    <w:rsid w:val="009A4F5A"/>
    <w:rsid w:val="009A51E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1E59"/>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3CF0"/>
    <w:rsid w:val="00B24A3D"/>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182"/>
    <w:rsid w:val="00B72C1C"/>
    <w:rsid w:val="00B73BB7"/>
    <w:rsid w:val="00B74389"/>
    <w:rsid w:val="00B751C3"/>
    <w:rsid w:val="00B76C0D"/>
    <w:rsid w:val="00B77D0D"/>
    <w:rsid w:val="00B80817"/>
    <w:rsid w:val="00B827E6"/>
    <w:rsid w:val="00B82A28"/>
    <w:rsid w:val="00B82B8D"/>
    <w:rsid w:val="00B82C97"/>
    <w:rsid w:val="00B82FA6"/>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0B3C"/>
    <w:rsid w:val="00BF164F"/>
    <w:rsid w:val="00BF1AAF"/>
    <w:rsid w:val="00BF268B"/>
    <w:rsid w:val="00BF4D03"/>
    <w:rsid w:val="00BF4E85"/>
    <w:rsid w:val="00BF54BD"/>
    <w:rsid w:val="00BF5892"/>
    <w:rsid w:val="00BF5AF9"/>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19A0"/>
    <w:rsid w:val="00C5294D"/>
    <w:rsid w:val="00C52F83"/>
    <w:rsid w:val="00C54C1B"/>
    <w:rsid w:val="00C54DBA"/>
    <w:rsid w:val="00C57ED3"/>
    <w:rsid w:val="00C61640"/>
    <w:rsid w:val="00C61AA7"/>
    <w:rsid w:val="00C61B8E"/>
    <w:rsid w:val="00C635ED"/>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2D68"/>
    <w:rsid w:val="00CA34BA"/>
    <w:rsid w:val="00CA4503"/>
    <w:rsid w:val="00CA5A66"/>
    <w:rsid w:val="00CA651B"/>
    <w:rsid w:val="00CA796A"/>
    <w:rsid w:val="00CB2575"/>
    <w:rsid w:val="00CB3677"/>
    <w:rsid w:val="00CB368F"/>
    <w:rsid w:val="00CB4C42"/>
    <w:rsid w:val="00CB4D4E"/>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16DF2"/>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6A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7A88"/>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288"/>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2DDD"/>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1D5"/>
    <w:rsid w:val="00E86343"/>
    <w:rsid w:val="00E866CD"/>
    <w:rsid w:val="00E877ED"/>
    <w:rsid w:val="00E901FD"/>
    <w:rsid w:val="00E91964"/>
    <w:rsid w:val="00E91FB1"/>
    <w:rsid w:val="00E94468"/>
    <w:rsid w:val="00E94A0E"/>
    <w:rsid w:val="00E94A7F"/>
    <w:rsid w:val="00E96226"/>
    <w:rsid w:val="00E96DDE"/>
    <w:rsid w:val="00EA04AE"/>
    <w:rsid w:val="00EA062F"/>
    <w:rsid w:val="00EA17A9"/>
    <w:rsid w:val="00EA311B"/>
    <w:rsid w:val="00EA36CA"/>
    <w:rsid w:val="00EA3D9C"/>
    <w:rsid w:val="00EA43C0"/>
    <w:rsid w:val="00EA4CB0"/>
    <w:rsid w:val="00EA566F"/>
    <w:rsid w:val="00EA69EB"/>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B1A"/>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CD5"/>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F69"/>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184"/>
    <w:rsid w:val="00F33355"/>
    <w:rsid w:val="00F34363"/>
    <w:rsid w:val="00F34CE9"/>
    <w:rsid w:val="00F354B9"/>
    <w:rsid w:val="00F35705"/>
    <w:rsid w:val="00F359BD"/>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69D"/>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089"/>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6EB0"/>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CB4D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CB4D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illiam.meredith@wipo.int" TargetMode="External"/><Relationship Id="rId5" Type="http://schemas.openxmlformats.org/officeDocument/2006/relationships/settings" Target="settings.xml"/><Relationship Id="rId10" Type="http://schemas.openxmlformats.org/officeDocument/2006/relationships/hyperlink" Target="mailto:patentscope@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patentscope/en/data/national_phase/" TargetMode="External"/><Relationship Id="rId1" Type="http://schemas.openxmlformats.org/officeDocument/2006/relationships/hyperlink" Target="https://patentscope.wipo.int/search/en/nationalphase.js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22C00-6C19-4061-B757-121B2E625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PCT_WG_9_AR.dotx</Template>
  <TotalTime>897</TotalTime>
  <Pages>8</Pages>
  <Words>2906</Words>
  <Characters>15262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PCT/WG/9/17 (Arabic)</vt:lpstr>
    </vt:vector>
  </TitlesOfParts>
  <Company>World Intellectual Property Organization</Company>
  <LinksUpToDate>false</LinksUpToDate>
  <CharactersWithSpaces>18132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PCT/WG/9/17 (Arabic)</dc:title>
  <dc:creator>وثيقة من إعداد المكتب الدولي</dc:creator>
  <cp:lastModifiedBy>MERZOUK Fawzi</cp:lastModifiedBy>
  <cp:revision>79</cp:revision>
  <cp:lastPrinted>2016-04-22T09:48:00Z</cp:lastPrinted>
  <dcterms:created xsi:type="dcterms:W3CDTF">2016-04-20T08:45:00Z</dcterms:created>
  <dcterms:modified xsi:type="dcterms:W3CDTF">2016-04-22T09:48:00Z</dcterms:modified>
</cp:coreProperties>
</file>