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F5CC4F1" wp14:editId="34FC2878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1B58DC">
            <w:pPr>
              <w:pStyle w:val="DocumentCodeAR"/>
              <w:jc w:val="left"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B58DC">
              <w:rPr>
                <w:rFonts w:hint="cs"/>
                <w:rtl/>
              </w:rPr>
              <w:t>9</w:t>
            </w:r>
            <w:r w:rsidR="003551D9">
              <w:t>/</w:t>
            </w:r>
            <w:r w:rsidR="001B58DC">
              <w:rPr>
                <w:rFonts w:hint="cs"/>
                <w:rtl/>
              </w:rPr>
              <w:t>15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551D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3551D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B58D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B58DC">
              <w:rPr>
                <w:rFonts w:hint="cs"/>
                <w:rtl/>
              </w:rPr>
              <w:t>31</w:t>
            </w:r>
            <w:r w:rsidRPr="00B6101C">
              <w:rPr>
                <w:rFonts w:hint="cs"/>
                <w:rtl/>
              </w:rPr>
              <w:t xml:space="preserve"> </w:t>
            </w:r>
            <w:r w:rsidR="001B58DC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1B58DC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B58D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B58DC">
        <w:rPr>
          <w:rFonts w:ascii="Cambria Math" w:hAnsi="Cambria Math" w:hint="cs"/>
          <w:rtl/>
        </w:rPr>
        <w:t>التاسعة</w:t>
      </w:r>
    </w:p>
    <w:p w:rsidR="00D61541" w:rsidRPr="00D61541" w:rsidRDefault="00D61541" w:rsidP="001B58D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1B58DC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1B58DC">
        <w:rPr>
          <w:rFonts w:hint="cs"/>
          <w:rtl/>
        </w:rPr>
        <w:t>20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مايو</w:t>
      </w:r>
      <w:r w:rsidR="00C742C5">
        <w:rPr>
          <w:rFonts w:hint="cs"/>
          <w:rtl/>
        </w:rPr>
        <w:t xml:space="preserve"> </w:t>
      </w:r>
      <w:r w:rsidR="001B58DC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551D9" w:rsidP="001A5813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معيار </w:t>
      </w:r>
      <w:r w:rsidR="001A5813">
        <w:rPr>
          <w:rFonts w:hint="cs"/>
          <w:rtl/>
        </w:rPr>
        <w:t>عرض</w:t>
      </w:r>
      <w:r w:rsidR="008E4900">
        <w:rPr>
          <w:rFonts w:hint="cs"/>
          <w:rtl/>
        </w:rPr>
        <w:t xml:space="preserve"> قوائم التسلسل</w:t>
      </w:r>
      <w:r>
        <w:rPr>
          <w:rFonts w:hint="cs"/>
          <w:rtl/>
        </w:rPr>
        <w:t xml:space="preserve"> بناء على معاهدة التعاون بشأن البراءات</w:t>
      </w:r>
    </w:p>
    <w:p w:rsidR="00D61541" w:rsidRPr="00D61541" w:rsidRDefault="003551D9" w:rsidP="001B58DC">
      <w:pPr>
        <w:pStyle w:val="PreparedbyAR"/>
        <w:bidi/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</w:t>
      </w:r>
      <w:r w:rsidR="001B58DC">
        <w:rPr>
          <w:rFonts w:hint="cs"/>
          <w:rtl/>
        </w:rPr>
        <w:t>الأوروبي للبراءات</w:t>
      </w:r>
    </w:p>
    <w:p w:rsidR="005C64F7" w:rsidRDefault="008E4900" w:rsidP="00DA05B0">
      <w:pPr>
        <w:pStyle w:val="NumberedParaAR"/>
      </w:pPr>
      <w:r>
        <w:rPr>
          <w:rFonts w:hint="cs"/>
          <w:rtl/>
        </w:rPr>
        <w:t>يحتوي مرفق هذه الوثيقة على تقرير أعده المكتب الأوروبي للبراءات بشأن عمل فرقة العمل المعنية ب</w:t>
      </w:r>
      <w:r w:rsidR="0060190D">
        <w:rPr>
          <w:rFonts w:hint="cs"/>
          <w:rtl/>
        </w:rPr>
        <w:t xml:space="preserve">قوائم التسلسل التي أنشأتها اللجنة المعنية بمعايير الويبو (اللحنة) في دورتها الأولى </w:t>
      </w:r>
      <w:r w:rsidR="001A5813">
        <w:rPr>
          <w:rFonts w:hint="cs"/>
          <w:rtl/>
        </w:rPr>
        <w:t xml:space="preserve">المعقودة </w:t>
      </w:r>
      <w:r w:rsidR="0060190D">
        <w:rPr>
          <w:rFonts w:hint="cs"/>
          <w:rtl/>
        </w:rPr>
        <w:t>في أكتوبر 2010.</w:t>
      </w:r>
    </w:p>
    <w:p w:rsidR="0060190D" w:rsidRDefault="0060190D" w:rsidP="0060190D">
      <w:pPr>
        <w:pStyle w:val="DecisionParaAR"/>
      </w:pPr>
      <w:r>
        <w:rPr>
          <w:rFonts w:hint="cs"/>
          <w:rtl/>
        </w:rPr>
        <w:t>إن الفريق العامل مدعو إلى الإحاطة علما بمضمون مرفق هذه الوثيقة.</w:t>
      </w:r>
    </w:p>
    <w:p w:rsidR="0060190D" w:rsidRDefault="0060190D" w:rsidP="0060190D">
      <w:pPr>
        <w:pStyle w:val="EndofDocumentAR"/>
        <w:rPr>
          <w:rtl/>
        </w:rPr>
        <w:sectPr w:rsidR="0060190D" w:rsidSect="00EB77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60190D" w:rsidRPr="00F24B7E" w:rsidRDefault="00F24B7E" w:rsidP="00F24B7E">
      <w:pPr>
        <w:pStyle w:val="NormalParaAR"/>
        <w:jc w:val="center"/>
        <w:rPr>
          <w:sz w:val="40"/>
          <w:szCs w:val="40"/>
          <w:rtl/>
        </w:rPr>
      </w:pPr>
      <w:r w:rsidRPr="00F24B7E">
        <w:rPr>
          <w:rFonts w:hint="cs"/>
          <w:sz w:val="40"/>
          <w:szCs w:val="40"/>
          <w:rtl/>
        </w:rPr>
        <w:lastRenderedPageBreak/>
        <w:t>ت</w:t>
      </w:r>
      <w:r w:rsidRPr="00F24B7E">
        <w:rPr>
          <w:sz w:val="40"/>
          <w:szCs w:val="40"/>
          <w:rtl/>
        </w:rPr>
        <w:t>قرير عن إعداد معيار جديد للويبو بشأن عرض قوائم تسلسل النوويدات والأحماض الأمينية باستخدام لغة الترميز الموسعة (</w:t>
      </w:r>
      <w:r w:rsidRPr="00F24B7E">
        <w:rPr>
          <w:sz w:val="40"/>
          <w:szCs w:val="40"/>
        </w:rPr>
        <w:t>XML</w:t>
      </w:r>
      <w:r w:rsidRPr="00F24B7E">
        <w:rPr>
          <w:sz w:val="40"/>
          <w:szCs w:val="40"/>
          <w:rtl/>
        </w:rPr>
        <w:t>)</w:t>
      </w:r>
    </w:p>
    <w:p w:rsidR="00F24B7E" w:rsidRPr="00F66B93" w:rsidRDefault="00F66B93" w:rsidP="00F66B93">
      <w:pPr>
        <w:pStyle w:val="NormalParaAR"/>
        <w:keepNext/>
        <w:rPr>
          <w:b/>
          <w:bCs/>
          <w:sz w:val="40"/>
          <w:szCs w:val="40"/>
          <w:rtl/>
        </w:rPr>
      </w:pPr>
      <w:r w:rsidRPr="00F66B93">
        <w:rPr>
          <w:rFonts w:hint="cs"/>
          <w:b/>
          <w:bCs/>
          <w:sz w:val="40"/>
          <w:szCs w:val="40"/>
          <w:rtl/>
        </w:rPr>
        <w:t>معلومات أساسية</w:t>
      </w:r>
    </w:p>
    <w:p w:rsidR="00F66B93" w:rsidRDefault="00F66B93" w:rsidP="00BD7097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أنشئت فرقة العمل الم</w:t>
      </w:r>
      <w:r w:rsidR="00D56765">
        <w:rPr>
          <w:rFonts w:hint="cs"/>
          <w:rtl/>
        </w:rPr>
        <w:t>عنية بقوائم التسلسل من قبل اللجنة المعنية بمعايير الويبو (اللجنة) في دورتها الأولى (المعقودة في الفترة من 25 إلى 29 أكتوبر 2010) لتتولى المهمة رقم 44 (انظر الفقرة</w:t>
      </w:r>
      <w:r w:rsidR="00BD7097">
        <w:rPr>
          <w:rFonts w:hint="eastAsia"/>
          <w:rtl/>
        </w:rPr>
        <w:t> </w:t>
      </w:r>
      <w:r w:rsidR="00D56765">
        <w:rPr>
          <w:rFonts w:hint="cs"/>
          <w:rtl/>
        </w:rPr>
        <w:t>29 من الوثيقة</w:t>
      </w:r>
      <w:r w:rsidR="00BD7097">
        <w:rPr>
          <w:rFonts w:hint="eastAsia"/>
          <w:rtl/>
        </w:rPr>
        <w:t> </w:t>
      </w:r>
      <w:r w:rsidR="00D56765" w:rsidRPr="00D56765">
        <w:t>CWS/1/10</w:t>
      </w:r>
      <w:r w:rsidR="00D56765">
        <w:rPr>
          <w:rFonts w:hint="cs"/>
          <w:rtl/>
        </w:rPr>
        <w:t>):</w:t>
      </w:r>
    </w:p>
    <w:p w:rsidR="00D56765" w:rsidRDefault="00D56765" w:rsidP="00653D82">
      <w:pPr>
        <w:pStyle w:val="NumberedParaAR"/>
        <w:numPr>
          <w:ilvl w:val="0"/>
          <w:numId w:val="0"/>
        </w:numPr>
        <w:ind w:left="566"/>
        <w:rPr>
          <w:rtl/>
        </w:rPr>
      </w:pPr>
      <w:r w:rsidRPr="00D56765">
        <w:rPr>
          <w:rtl/>
        </w:rPr>
        <w:t>"صياغة توصية بشأن عرض قوائم تسلسل النوويدات والحوامض الأمين</w:t>
      </w:r>
      <w:r w:rsidR="00653D82">
        <w:rPr>
          <w:rtl/>
        </w:rPr>
        <w:t>ية باستخدام لغة الترميز الموسعة</w:t>
      </w:r>
      <w:r w:rsidR="00653D82">
        <w:t>(XML)</w:t>
      </w:r>
      <w:r w:rsidR="00653D82">
        <w:rPr>
          <w:rFonts w:hint="cs"/>
          <w:rtl/>
        </w:rPr>
        <w:t xml:space="preserve"> </w:t>
      </w:r>
      <w:r w:rsidRPr="00D56765">
        <w:rPr>
          <w:rtl/>
        </w:rPr>
        <w:t xml:space="preserve">لاعتمادها معيارا للويبو. وينبغي تقديم اقتراح معيار الويبو الجديد إلى جانب تقرير بشأن </w:t>
      </w:r>
      <w:r w:rsidR="00653D82">
        <w:rPr>
          <w:rFonts w:hint="cs"/>
          <w:rtl/>
        </w:rPr>
        <w:t>تأثير</w:t>
      </w:r>
      <w:r w:rsidRPr="00D56765">
        <w:rPr>
          <w:rtl/>
        </w:rPr>
        <w:t xml:space="preserve"> المعيار المذكور على معيار الويبو </w:t>
      </w:r>
      <w:r w:rsidRPr="00D56765">
        <w:t>ST.25</w:t>
      </w:r>
      <w:r w:rsidR="00653D82">
        <w:rPr>
          <w:rFonts w:hint="cs"/>
          <w:rtl/>
        </w:rPr>
        <w:t>، وتضمين التقرير</w:t>
      </w:r>
      <w:r w:rsidRPr="00D56765">
        <w:rPr>
          <w:rtl/>
        </w:rPr>
        <w:t xml:space="preserve"> التغييرات الضرورية المقترح إدخالها على المعيار </w:t>
      </w:r>
      <w:r w:rsidRPr="00D56765">
        <w:t>ST.25</w:t>
      </w:r>
      <w:r w:rsidRPr="00D56765">
        <w:rPr>
          <w:rtl/>
        </w:rPr>
        <w:t>."</w:t>
      </w:r>
    </w:p>
    <w:p w:rsidR="00D56765" w:rsidRDefault="00D56765" w:rsidP="00BD7097">
      <w:pPr>
        <w:pStyle w:val="NumberedParaAR"/>
        <w:rPr>
          <w:rtl/>
        </w:rPr>
      </w:pPr>
      <w:r>
        <w:rPr>
          <w:rtl/>
        </w:rPr>
        <w:t xml:space="preserve">وطُلب </w:t>
      </w:r>
      <w:r w:rsidR="00BD7097">
        <w:rPr>
          <w:rFonts w:hint="cs"/>
          <w:rtl/>
        </w:rPr>
        <w:t xml:space="preserve">أيضا </w:t>
      </w:r>
      <w:r>
        <w:rPr>
          <w:rtl/>
        </w:rPr>
        <w:t>من فرقة العمل ما يلي:</w:t>
      </w:r>
    </w:p>
    <w:p w:rsidR="00D56765" w:rsidRDefault="00D56765" w:rsidP="0048425D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tl/>
        </w:rPr>
        <w:t>"التنسيق مع هيئة معاهدة التعاون بشأن</w:t>
      </w:r>
      <w:r w:rsidR="00653D82">
        <w:rPr>
          <w:rtl/>
        </w:rPr>
        <w:t xml:space="preserve"> </w:t>
      </w:r>
      <w:bookmarkStart w:id="2" w:name="_GoBack"/>
      <w:bookmarkEnd w:id="2"/>
      <w:r w:rsidR="00653D82">
        <w:rPr>
          <w:rtl/>
        </w:rPr>
        <w:t>البراءات المعنية فيما يخص ال</w:t>
      </w:r>
      <w:r w:rsidR="00653D82">
        <w:rPr>
          <w:rFonts w:hint="cs"/>
          <w:rtl/>
        </w:rPr>
        <w:t>تأثير</w:t>
      </w:r>
      <w:r>
        <w:rPr>
          <w:rtl/>
        </w:rPr>
        <w:t xml:space="preserve"> ا</w:t>
      </w:r>
      <w:r w:rsidR="00BD7097">
        <w:rPr>
          <w:rtl/>
        </w:rPr>
        <w:t>لمحتمل لذلك المعيار على المرفق جيم</w:t>
      </w:r>
      <w:r>
        <w:rPr>
          <w:rtl/>
        </w:rPr>
        <w:t xml:space="preserve"> من التعليمات الإدارية لمعاهدة التعاون بشأن البراءات."</w:t>
      </w:r>
    </w:p>
    <w:p w:rsidR="0048425D" w:rsidRDefault="00FB1F31" w:rsidP="007D423B">
      <w:pPr>
        <w:pStyle w:val="NumberedParaAR"/>
      </w:pPr>
      <w:r>
        <w:rPr>
          <w:rtl/>
        </w:rPr>
        <w:t xml:space="preserve">وأُسند </w:t>
      </w:r>
      <w:r w:rsidR="0048425D" w:rsidRPr="0048425D">
        <w:rPr>
          <w:rtl/>
        </w:rPr>
        <w:t xml:space="preserve">إلى المكتب الأوروبي للبراءات </w:t>
      </w:r>
      <w:r>
        <w:rPr>
          <w:rtl/>
        </w:rPr>
        <w:t xml:space="preserve">دور المشرف </w:t>
      </w:r>
      <w:r>
        <w:rPr>
          <w:rFonts w:hint="cs"/>
          <w:rtl/>
        </w:rPr>
        <w:t>ع</w:t>
      </w:r>
      <w:r>
        <w:rPr>
          <w:rtl/>
        </w:rPr>
        <w:t>لى فرقة العمل</w:t>
      </w:r>
      <w:r>
        <w:rPr>
          <w:rFonts w:hint="cs"/>
          <w:rtl/>
        </w:rPr>
        <w:t>، و</w:t>
      </w:r>
      <w:r w:rsidR="0048425D">
        <w:rPr>
          <w:rFonts w:hint="cs"/>
          <w:rtl/>
        </w:rPr>
        <w:t>أجرى</w:t>
      </w:r>
      <w:r w:rsidR="0048425D" w:rsidRPr="0048425D">
        <w:rPr>
          <w:rtl/>
        </w:rPr>
        <w:t xml:space="preserve"> </w:t>
      </w:r>
      <w:r>
        <w:rPr>
          <w:rFonts w:hint="cs"/>
          <w:rtl/>
        </w:rPr>
        <w:t xml:space="preserve">المكتب </w:t>
      </w:r>
      <w:r w:rsidR="0048425D" w:rsidRPr="0048425D">
        <w:rPr>
          <w:rtl/>
        </w:rPr>
        <w:t xml:space="preserve">منذ </w:t>
      </w:r>
      <w:r w:rsidR="0048425D">
        <w:rPr>
          <w:rFonts w:hint="cs"/>
          <w:rtl/>
        </w:rPr>
        <w:t>توليه ذلك</w:t>
      </w:r>
      <w:r w:rsidR="0048425D" w:rsidRPr="0048425D">
        <w:rPr>
          <w:rtl/>
        </w:rPr>
        <w:t xml:space="preserve"> الدور </w:t>
      </w:r>
      <w:r w:rsidR="0048425D">
        <w:rPr>
          <w:rFonts w:hint="cs"/>
          <w:rtl/>
        </w:rPr>
        <w:t>سبع</w:t>
      </w:r>
      <w:r w:rsidR="0048425D" w:rsidRPr="0048425D">
        <w:rPr>
          <w:rtl/>
        </w:rPr>
        <w:t xml:space="preserve"> </w:t>
      </w:r>
      <w:r w:rsidR="0048425D">
        <w:rPr>
          <w:rFonts w:hint="cs"/>
          <w:rtl/>
        </w:rPr>
        <w:t>جولات من المناقشات</w:t>
      </w:r>
      <w:r w:rsidR="0048425D" w:rsidRPr="0048425D">
        <w:rPr>
          <w:rtl/>
        </w:rPr>
        <w:t xml:space="preserve"> على </w:t>
      </w:r>
      <w:r w:rsidR="0048425D">
        <w:rPr>
          <w:rFonts w:hint="cs"/>
          <w:rtl/>
        </w:rPr>
        <w:t xml:space="preserve">المنتدى الإلكتروني لفرقة العمل وقدّم </w:t>
      </w:r>
      <w:r w:rsidR="00E75024">
        <w:rPr>
          <w:rFonts w:hint="cs"/>
          <w:rtl/>
        </w:rPr>
        <w:t xml:space="preserve">مشروعا نهائيا </w:t>
      </w:r>
      <w:r w:rsidR="0048425D">
        <w:rPr>
          <w:rFonts w:hint="cs"/>
          <w:rtl/>
        </w:rPr>
        <w:t xml:space="preserve">لأغراض </w:t>
      </w:r>
      <w:r>
        <w:rPr>
          <w:rFonts w:hint="cs"/>
          <w:rtl/>
        </w:rPr>
        <w:t>اطّلاع</w:t>
      </w:r>
      <w:r w:rsidR="007D423B">
        <w:rPr>
          <w:rFonts w:hint="cs"/>
          <w:rtl/>
        </w:rPr>
        <w:t xml:space="preserve"> الزبائن </w:t>
      </w:r>
      <w:r w:rsidR="0048425D" w:rsidRPr="0048425D">
        <w:rPr>
          <w:rtl/>
        </w:rPr>
        <w:t xml:space="preserve">. </w:t>
      </w:r>
      <w:r w:rsidR="004243D5">
        <w:rPr>
          <w:rFonts w:hint="cs"/>
          <w:rtl/>
        </w:rPr>
        <w:t>و</w:t>
      </w:r>
      <w:r w:rsidR="004243D5" w:rsidRPr="004243D5">
        <w:rPr>
          <w:rtl/>
        </w:rPr>
        <w:t>اتُّفق على مبدأ التمييز بين الجوانب التقنية للمعيار</w:t>
      </w:r>
      <w:r w:rsidR="004243D5">
        <w:rPr>
          <w:rFonts w:hint="cs"/>
          <w:rtl/>
        </w:rPr>
        <w:t> </w:t>
      </w:r>
      <w:r w:rsidR="004243D5" w:rsidRPr="004243D5">
        <w:t>ST.25</w:t>
      </w:r>
      <w:r w:rsidR="004243D5" w:rsidRPr="004243D5">
        <w:rPr>
          <w:rtl/>
        </w:rPr>
        <w:t xml:space="preserve"> والمرفق </w:t>
      </w:r>
      <w:r w:rsidR="00BD7097">
        <w:rPr>
          <w:rtl/>
        </w:rPr>
        <w:t xml:space="preserve">جيم (التعليمات الإدارية </w:t>
      </w:r>
      <w:r w:rsidR="00BD7097">
        <w:rPr>
          <w:rFonts w:hint="cs"/>
          <w:rtl/>
        </w:rPr>
        <w:t>ل</w:t>
      </w:r>
      <w:r w:rsidR="004243D5" w:rsidRPr="004243D5">
        <w:rPr>
          <w:rtl/>
        </w:rPr>
        <w:t xml:space="preserve">معاهدة التعاون بشأن البراءات) في الاجتماع الثامن عشر للإدارات الدولية </w:t>
      </w:r>
      <w:r w:rsidR="004243D5">
        <w:rPr>
          <w:rFonts w:hint="cs"/>
          <w:rtl/>
        </w:rPr>
        <w:t xml:space="preserve">المعقود </w:t>
      </w:r>
      <w:r w:rsidR="004243D5" w:rsidRPr="004243D5">
        <w:rPr>
          <w:rtl/>
        </w:rPr>
        <w:t>في فبراير</w:t>
      </w:r>
      <w:r w:rsidR="004243D5">
        <w:rPr>
          <w:rFonts w:hint="cs"/>
          <w:rtl/>
        </w:rPr>
        <w:t> </w:t>
      </w:r>
      <w:r w:rsidR="004243D5" w:rsidRPr="004243D5">
        <w:rPr>
          <w:rtl/>
        </w:rPr>
        <w:t>2011 (انظر الفقرات من</w:t>
      </w:r>
      <w:r w:rsidR="004243D5">
        <w:rPr>
          <w:rFonts w:hint="cs"/>
          <w:rtl/>
        </w:rPr>
        <w:t> </w:t>
      </w:r>
      <w:r w:rsidR="004243D5" w:rsidRPr="004243D5">
        <w:rPr>
          <w:rtl/>
        </w:rPr>
        <w:t>88 إلى</w:t>
      </w:r>
      <w:r w:rsidR="004243D5">
        <w:rPr>
          <w:rFonts w:hint="cs"/>
          <w:rtl/>
        </w:rPr>
        <w:t> </w:t>
      </w:r>
      <w:r w:rsidR="004243D5" w:rsidRPr="004243D5">
        <w:rPr>
          <w:rtl/>
        </w:rPr>
        <w:t>92 من الوثيقة </w:t>
      </w:r>
      <w:r w:rsidR="004243D5" w:rsidRPr="004243D5">
        <w:t>PCT/MIA/18/16</w:t>
      </w:r>
      <w:r w:rsidR="004243D5">
        <w:rPr>
          <w:rFonts w:hint="cs"/>
          <w:rtl/>
        </w:rPr>
        <w:t xml:space="preserve">) </w:t>
      </w:r>
      <w:r w:rsidR="004243D5" w:rsidRPr="004243D5">
        <w:rPr>
          <w:rtl/>
        </w:rPr>
        <w:t xml:space="preserve">وفي الاجتماع الرابع </w:t>
      </w:r>
      <w:r w:rsidR="004243D5">
        <w:rPr>
          <w:rFonts w:hint="cs"/>
          <w:rtl/>
        </w:rPr>
        <w:t>ل</w:t>
      </w:r>
      <w:r w:rsidR="004243D5" w:rsidRPr="004243D5">
        <w:rPr>
          <w:rtl/>
        </w:rPr>
        <w:t>لفريق الع</w:t>
      </w:r>
      <w:r w:rsidR="004243D5">
        <w:rPr>
          <w:rFonts w:hint="cs"/>
          <w:rtl/>
        </w:rPr>
        <w:t>ا</w:t>
      </w:r>
      <w:r w:rsidR="004243D5">
        <w:rPr>
          <w:rtl/>
        </w:rPr>
        <w:t>مل</w:t>
      </w:r>
      <w:r w:rsidR="004243D5">
        <w:rPr>
          <w:rFonts w:hint="cs"/>
          <w:rtl/>
        </w:rPr>
        <w:t xml:space="preserve"> ل</w:t>
      </w:r>
      <w:r w:rsidR="004243D5" w:rsidRPr="004243D5">
        <w:rPr>
          <w:rtl/>
        </w:rPr>
        <w:t xml:space="preserve">معاهدة التعاون بشأن البراءات </w:t>
      </w:r>
      <w:r w:rsidR="004243D5">
        <w:rPr>
          <w:rFonts w:hint="cs"/>
          <w:rtl/>
        </w:rPr>
        <w:t>المعقود</w:t>
      </w:r>
      <w:r w:rsidR="004243D5" w:rsidRPr="004243D5">
        <w:rPr>
          <w:rtl/>
        </w:rPr>
        <w:t xml:space="preserve"> في يونيو</w:t>
      </w:r>
      <w:r w:rsidR="004243D5">
        <w:rPr>
          <w:rFonts w:hint="cs"/>
          <w:rtl/>
        </w:rPr>
        <w:t> </w:t>
      </w:r>
      <w:r w:rsidR="004243D5" w:rsidRPr="004243D5">
        <w:rPr>
          <w:rtl/>
        </w:rPr>
        <w:t>2011 (انظر الفقرات من</w:t>
      </w:r>
      <w:r w:rsidR="004243D5">
        <w:rPr>
          <w:rFonts w:hint="cs"/>
          <w:rtl/>
        </w:rPr>
        <w:t> </w:t>
      </w:r>
      <w:r w:rsidR="004243D5" w:rsidRPr="004243D5">
        <w:rPr>
          <w:rtl/>
        </w:rPr>
        <w:t>180 إلى</w:t>
      </w:r>
      <w:r w:rsidR="004243D5">
        <w:rPr>
          <w:rFonts w:hint="cs"/>
          <w:rtl/>
        </w:rPr>
        <w:t> </w:t>
      </w:r>
      <w:r w:rsidR="004243D5" w:rsidRPr="004243D5">
        <w:rPr>
          <w:rtl/>
        </w:rPr>
        <w:t>188 من الوثيقة </w:t>
      </w:r>
      <w:r w:rsidR="004243D5" w:rsidRPr="004243D5">
        <w:t>PCT/WG/4/17</w:t>
      </w:r>
      <w:r w:rsidR="004243D5" w:rsidRPr="004243D5">
        <w:rPr>
          <w:rtl/>
        </w:rPr>
        <w:t>).</w:t>
      </w:r>
    </w:p>
    <w:p w:rsidR="004243D5" w:rsidRPr="004243D5" w:rsidRDefault="004243D5" w:rsidP="004243D5">
      <w:pPr>
        <w:pStyle w:val="NormalParaAR"/>
        <w:keepNext/>
        <w:rPr>
          <w:b/>
          <w:bCs/>
          <w:sz w:val="40"/>
          <w:szCs w:val="40"/>
          <w:rtl/>
        </w:rPr>
      </w:pPr>
      <w:r w:rsidRPr="004243D5">
        <w:rPr>
          <w:rFonts w:hint="cs"/>
          <w:b/>
          <w:bCs/>
          <w:sz w:val="40"/>
          <w:szCs w:val="40"/>
          <w:rtl/>
        </w:rPr>
        <w:t>التقرير المرحلي</w:t>
      </w:r>
    </w:p>
    <w:p w:rsidR="004243D5" w:rsidRDefault="00FC7947" w:rsidP="00CF6CD2">
      <w:pPr>
        <w:pStyle w:val="NumberedParaAR"/>
      </w:pPr>
      <w:r w:rsidRPr="00FC7947">
        <w:rPr>
          <w:rtl/>
        </w:rPr>
        <w:t xml:space="preserve">بدأت فرقة العمل </w:t>
      </w:r>
      <w:r w:rsidR="007D423B">
        <w:rPr>
          <w:rFonts w:hint="cs"/>
          <w:rtl/>
        </w:rPr>
        <w:t xml:space="preserve">مزاولة </w:t>
      </w:r>
      <w:r w:rsidRPr="00FC7947">
        <w:rPr>
          <w:rtl/>
        </w:rPr>
        <w:t xml:space="preserve">نشاطها في فبراير 2011 استنادا إلى مشروعات أعدها </w:t>
      </w:r>
      <w:r w:rsidR="007D423B">
        <w:rPr>
          <w:rtl/>
        </w:rPr>
        <w:t>المكتب الأوروبي للبراءات. وشارك</w:t>
      </w:r>
      <w:r w:rsidR="007D423B">
        <w:rPr>
          <w:rFonts w:hint="cs"/>
          <w:rtl/>
        </w:rPr>
        <w:t xml:space="preserve"> كتير من ال</w:t>
      </w:r>
      <w:r w:rsidR="007D423B">
        <w:rPr>
          <w:rtl/>
        </w:rPr>
        <w:t>مكاتب</w:t>
      </w:r>
      <w:r w:rsidRPr="00FC7947">
        <w:rPr>
          <w:rtl/>
        </w:rPr>
        <w:t xml:space="preserve"> في ذلك النشاط ون</w:t>
      </w:r>
      <w:r w:rsidR="007D423B">
        <w:rPr>
          <w:rFonts w:hint="cs"/>
          <w:rtl/>
        </w:rPr>
        <w:t>ُ</w:t>
      </w:r>
      <w:r w:rsidRPr="00FC7947">
        <w:rPr>
          <w:rtl/>
        </w:rPr>
        <w:t xml:space="preserve">شرت تعليقات مفيدة على </w:t>
      </w:r>
      <w:r>
        <w:rPr>
          <w:rFonts w:hint="cs"/>
          <w:rtl/>
        </w:rPr>
        <w:t>ال</w:t>
      </w:r>
      <w:r w:rsidRPr="00FC7947">
        <w:rPr>
          <w:rtl/>
        </w:rPr>
        <w:t xml:space="preserve">منتدى </w:t>
      </w:r>
      <w:r>
        <w:rPr>
          <w:rtl/>
        </w:rPr>
        <w:t>الإلكتروني ل</w:t>
      </w:r>
      <w:r>
        <w:rPr>
          <w:rFonts w:hint="cs"/>
          <w:rtl/>
        </w:rPr>
        <w:t>فرقة العمل.</w:t>
      </w:r>
    </w:p>
    <w:p w:rsidR="00FC7947" w:rsidRDefault="007D423B" w:rsidP="00A41AEA">
      <w:pPr>
        <w:pStyle w:val="NumberedParaAR"/>
      </w:pPr>
      <w:r>
        <w:rPr>
          <w:rFonts w:hint="cs"/>
          <w:rtl/>
        </w:rPr>
        <w:t>و</w:t>
      </w:r>
      <w:r w:rsidR="00A41AEA">
        <w:rPr>
          <w:rFonts w:hint="cs"/>
          <w:rtl/>
        </w:rPr>
        <w:t>أ</w:t>
      </w:r>
      <w:r>
        <w:rPr>
          <w:rFonts w:hint="cs"/>
          <w:rtl/>
        </w:rPr>
        <w:t>ن</w:t>
      </w:r>
      <w:r w:rsidR="00FC7947" w:rsidRPr="00FC7947">
        <w:rPr>
          <w:rtl/>
        </w:rPr>
        <w:t>هت فرقة العمل</w:t>
      </w:r>
      <w:r>
        <w:rPr>
          <w:rFonts w:hint="cs"/>
          <w:rtl/>
        </w:rPr>
        <w:t>،</w:t>
      </w:r>
      <w:r w:rsidRPr="007D423B">
        <w:rPr>
          <w:rtl/>
        </w:rPr>
        <w:t xml:space="preserve"> </w:t>
      </w:r>
      <w:r w:rsidR="00A41AEA">
        <w:rPr>
          <w:rFonts w:hint="cs"/>
          <w:rtl/>
        </w:rPr>
        <w:t>في</w:t>
      </w:r>
      <w:r w:rsidRPr="00FC7947">
        <w:rPr>
          <w:rtl/>
        </w:rPr>
        <w:t xml:space="preserve"> مارس 2012، </w:t>
      </w:r>
      <w:r>
        <w:rPr>
          <w:rtl/>
        </w:rPr>
        <w:t xml:space="preserve">إعداد مشروع للمعيار </w:t>
      </w:r>
      <w:r>
        <w:rPr>
          <w:rFonts w:hint="cs"/>
          <w:rtl/>
        </w:rPr>
        <w:t>أ</w:t>
      </w:r>
      <w:r w:rsidR="00A41AEA">
        <w:rPr>
          <w:rtl/>
        </w:rPr>
        <w:t xml:space="preserve">مكن للمكاتب استخدامه </w:t>
      </w:r>
      <w:r w:rsidR="00A41AEA">
        <w:rPr>
          <w:rFonts w:hint="cs"/>
          <w:rtl/>
        </w:rPr>
        <w:t xml:space="preserve">بهدف </w:t>
      </w:r>
      <w:r w:rsidR="00FC7947" w:rsidRPr="00FC7947">
        <w:rPr>
          <w:rtl/>
        </w:rPr>
        <w:t xml:space="preserve">استشارة زبائنها بشأنه. وأثيرت عدة مسائل مهمة من خلال </w:t>
      </w:r>
      <w:r w:rsidR="00A41AEA" w:rsidRPr="00FC7947">
        <w:rPr>
          <w:rtl/>
        </w:rPr>
        <w:t xml:space="preserve">التعليقات التي وردت من الزبائن </w:t>
      </w:r>
      <w:r w:rsidR="00FC7947" w:rsidRPr="00FC7947">
        <w:rPr>
          <w:rtl/>
        </w:rPr>
        <w:t>وعولجت بالتعاون مع مور</w:t>
      </w:r>
      <w:r w:rsidR="00A41AEA">
        <w:rPr>
          <w:rFonts w:hint="cs"/>
          <w:rtl/>
        </w:rPr>
        <w:t>ّ</w:t>
      </w:r>
      <w:r w:rsidR="00FC7947" w:rsidRPr="00FC7947">
        <w:rPr>
          <w:rtl/>
        </w:rPr>
        <w:t>دي قواعد بيانات بنك</w:t>
      </w:r>
      <w:r w:rsidR="00E75024">
        <w:rPr>
          <w:rFonts w:hint="cs"/>
          <w:rtl/>
        </w:rPr>
        <w:t> </w:t>
      </w:r>
      <w:r w:rsidR="00FC7947" w:rsidRPr="00FC7947">
        <w:rPr>
          <w:rtl/>
        </w:rPr>
        <w:t>اليابان لبيانات الحمض النووي (</w:t>
      </w:r>
      <w:r w:rsidR="00FC7947" w:rsidRPr="00FC7947">
        <w:t>DDBJ</w:t>
      </w:r>
      <w:r w:rsidR="00FC7947" w:rsidRPr="00FC7947">
        <w:rPr>
          <w:rtl/>
        </w:rPr>
        <w:t>)، والمعهد الأوربي للمعلومات البيولوجية (</w:t>
      </w:r>
      <w:r w:rsidR="00FC7947" w:rsidRPr="00FC7947">
        <w:t>EBI</w:t>
      </w:r>
      <w:r w:rsidR="00FC7947" w:rsidRPr="00FC7947">
        <w:rPr>
          <w:rtl/>
        </w:rPr>
        <w:t>)، والمركز الوطني لمعلومات البيوتكنولوجيا (</w:t>
      </w:r>
      <w:r w:rsidR="00FC7947" w:rsidRPr="00FC7947">
        <w:t>NCBI</w:t>
      </w:r>
      <w:r w:rsidR="00FC7947" w:rsidRPr="00FC7947">
        <w:rPr>
          <w:rtl/>
        </w:rPr>
        <w:t>).</w:t>
      </w:r>
    </w:p>
    <w:p w:rsidR="00E75024" w:rsidRDefault="00E75024" w:rsidP="00A41AEA">
      <w:pPr>
        <w:pStyle w:val="NumberedParaAR"/>
      </w:pPr>
      <w:r w:rsidRPr="00E75024">
        <w:rPr>
          <w:rtl/>
        </w:rPr>
        <w:t xml:space="preserve">وانتهت الجولة السادسة من المناقشات في سبتمبر </w:t>
      </w:r>
      <w:r>
        <w:rPr>
          <w:rtl/>
        </w:rPr>
        <w:t>2013 وأ</w:t>
      </w:r>
      <w:r w:rsidR="00CF6CD2">
        <w:rPr>
          <w:rFonts w:hint="cs"/>
          <w:rtl/>
        </w:rPr>
        <w:t>ُ</w:t>
      </w:r>
      <w:r>
        <w:rPr>
          <w:rFonts w:hint="cs"/>
          <w:rtl/>
        </w:rPr>
        <w:t>طلق على النسخة النهائية ل</w:t>
      </w:r>
      <w:r>
        <w:rPr>
          <w:rtl/>
        </w:rPr>
        <w:t>لم</w:t>
      </w:r>
      <w:r>
        <w:rPr>
          <w:rFonts w:hint="cs"/>
          <w:rtl/>
        </w:rPr>
        <w:t>عيار بشأن "</w:t>
      </w:r>
      <w:r w:rsidRPr="00E75024">
        <w:rPr>
          <w:rtl/>
        </w:rPr>
        <w:t>عرض قوائم تسلسل النوويدات والأحماض الأمينية باستخدام لغة الترميز الموسعة (</w:t>
      </w:r>
      <w:r w:rsidRPr="00E75024">
        <w:t>XML</w:t>
      </w:r>
      <w:r w:rsidRPr="00E75024">
        <w:rPr>
          <w:rtl/>
        </w:rPr>
        <w:t>)</w:t>
      </w:r>
      <w:r>
        <w:rPr>
          <w:rFonts w:hint="cs"/>
          <w:rtl/>
        </w:rPr>
        <w:t>"</w:t>
      </w:r>
      <w:r w:rsidRPr="00E75024">
        <w:rPr>
          <w:rtl/>
        </w:rPr>
        <w:t xml:space="preserve"> </w:t>
      </w:r>
      <w:r w:rsidRPr="00E75024">
        <w:rPr>
          <w:rFonts w:hint="cs"/>
          <w:rtl/>
        </w:rPr>
        <w:t>اسم "</w:t>
      </w:r>
      <w:r w:rsidRPr="00E75024">
        <w:rPr>
          <w:rtl/>
        </w:rPr>
        <w:t>المعيار</w:t>
      </w:r>
      <w:r w:rsidR="00116C63">
        <w:rPr>
          <w:rFonts w:hint="cs"/>
          <w:rtl/>
        </w:rPr>
        <w:t> </w:t>
      </w:r>
      <w:r w:rsidRPr="00E75024">
        <w:t>ST.26</w:t>
      </w:r>
      <w:r w:rsidRPr="00E75024">
        <w:rPr>
          <w:rFonts w:hint="cs"/>
          <w:rtl/>
        </w:rPr>
        <w:t>"</w:t>
      </w:r>
      <w:r w:rsidR="00116C63">
        <w:rPr>
          <w:rFonts w:hint="cs"/>
          <w:rtl/>
        </w:rPr>
        <w:t xml:space="preserve">، </w:t>
      </w:r>
      <w:r>
        <w:rPr>
          <w:rFonts w:hint="cs"/>
          <w:rtl/>
        </w:rPr>
        <w:t>وقُدم</w:t>
      </w:r>
      <w:r w:rsidR="00116C63">
        <w:rPr>
          <w:rFonts w:hint="cs"/>
          <w:rtl/>
        </w:rPr>
        <w:t>ت</w:t>
      </w:r>
      <w:r>
        <w:rPr>
          <w:rFonts w:hint="cs"/>
          <w:rtl/>
        </w:rPr>
        <w:t xml:space="preserve"> إلى اللجنة </w:t>
      </w:r>
      <w:r w:rsidR="00A41AEA">
        <w:rPr>
          <w:rFonts w:hint="cs"/>
          <w:rtl/>
        </w:rPr>
        <w:t>كي تنظر فيها وتعتمدها في دورتها الرابعة التي عقدت</w:t>
      </w:r>
      <w:r>
        <w:rPr>
          <w:rFonts w:hint="cs"/>
          <w:rtl/>
        </w:rPr>
        <w:t xml:space="preserve"> في مايو 2014.</w:t>
      </w:r>
    </w:p>
    <w:p w:rsidR="00116C63" w:rsidRDefault="00116C63" w:rsidP="00116C63">
      <w:pPr>
        <w:pStyle w:val="NumberedParaAR"/>
      </w:pPr>
      <w:r>
        <w:rPr>
          <w:rFonts w:hint="cs"/>
          <w:rtl/>
        </w:rPr>
        <w:t xml:space="preserve">واعتُمد </w:t>
      </w:r>
      <w:r w:rsidRPr="00E75024">
        <w:rPr>
          <w:rtl/>
        </w:rPr>
        <w:t>معيار</w:t>
      </w:r>
      <w:r>
        <w:rPr>
          <w:rFonts w:hint="cs"/>
          <w:rtl/>
        </w:rPr>
        <w:t xml:space="preserve"> الويبو </w:t>
      </w:r>
      <w:r w:rsidRPr="00E75024">
        <w:t>ST.26</w:t>
      </w:r>
      <w:r>
        <w:rPr>
          <w:rFonts w:hint="cs"/>
          <w:rtl/>
        </w:rPr>
        <w:t xml:space="preserve"> بشكل غير رسمي من قبل اللجنة في دروتها الرابعة، ولكن تلك الدورة عُلّقت دو</w:t>
      </w:r>
      <w:r w:rsidR="00A41AEA">
        <w:rPr>
          <w:rFonts w:hint="cs"/>
          <w:rtl/>
        </w:rPr>
        <w:t>ن الاتفاق على جدول الأعمال</w:t>
      </w:r>
      <w:r>
        <w:rPr>
          <w:rFonts w:hint="cs"/>
          <w:rtl/>
        </w:rPr>
        <w:t>.</w:t>
      </w:r>
    </w:p>
    <w:p w:rsidR="00116C63" w:rsidRDefault="00A41AEA" w:rsidP="00116C63">
      <w:pPr>
        <w:pStyle w:val="NumberedParaAR"/>
      </w:pPr>
      <w:r>
        <w:rPr>
          <w:rFonts w:hint="cs"/>
          <w:rtl/>
        </w:rPr>
        <w:lastRenderedPageBreak/>
        <w:t>و</w:t>
      </w:r>
      <w:r w:rsidR="00116C63">
        <w:rPr>
          <w:rFonts w:hint="cs"/>
          <w:rtl/>
        </w:rPr>
        <w:t>أجرت فرقة العمل</w:t>
      </w:r>
      <w:r>
        <w:rPr>
          <w:rFonts w:hint="cs"/>
          <w:rtl/>
        </w:rPr>
        <w:t>، في عام 2015،</w:t>
      </w:r>
      <w:r w:rsidR="00116C63">
        <w:rPr>
          <w:rFonts w:hint="cs"/>
          <w:rtl/>
        </w:rPr>
        <w:t xml:space="preserve"> جولة سابعة من المناقشات ركّزت على مسائل الانتقال (من المعيار</w:t>
      </w:r>
      <w:r w:rsidR="00116C63">
        <w:rPr>
          <w:rFonts w:hint="eastAsia"/>
          <w:rtl/>
        </w:rPr>
        <w:t> </w:t>
      </w:r>
      <w:r w:rsidR="00116C63" w:rsidRPr="00116C63">
        <w:t>ST.25</w:t>
      </w:r>
      <w:r w:rsidR="00116C63">
        <w:rPr>
          <w:rFonts w:hint="cs"/>
          <w:rtl/>
        </w:rPr>
        <w:t xml:space="preserve"> إلى المعيار</w:t>
      </w:r>
      <w:r w:rsidR="00116C63">
        <w:rPr>
          <w:rFonts w:hint="eastAsia"/>
          <w:rtl/>
        </w:rPr>
        <w:t> </w:t>
      </w:r>
      <w:r w:rsidR="00116C63" w:rsidRPr="00116C63">
        <w:t>ST.26</w:t>
      </w:r>
      <w:r w:rsidR="00116C63">
        <w:rPr>
          <w:rFonts w:hint="cs"/>
          <w:rtl/>
        </w:rPr>
        <w:t>).</w:t>
      </w:r>
    </w:p>
    <w:p w:rsidR="00A41AEA" w:rsidRDefault="00A41AEA" w:rsidP="00404D3C">
      <w:pPr>
        <w:pStyle w:val="NumberedParaAR"/>
      </w:pPr>
      <w:r>
        <w:rPr>
          <w:rFonts w:hint="cs"/>
          <w:rtl/>
        </w:rPr>
        <w:t xml:space="preserve">ويسرّ المشرف على فرقة العمل أن يبلغ عن اعتماد معيار الويبو </w:t>
      </w:r>
      <w:r w:rsidRPr="00116C63">
        <w:t>ST.26</w:t>
      </w:r>
      <w:r>
        <w:rPr>
          <w:rFonts w:hint="cs"/>
          <w:rtl/>
        </w:rPr>
        <w:t xml:space="preserve"> </w:t>
      </w:r>
      <w:r w:rsidR="00404D3C">
        <w:rPr>
          <w:rFonts w:hint="cs"/>
          <w:rtl/>
        </w:rPr>
        <w:t>بشكل رسمي في مارس 2016، حين</w:t>
      </w:r>
      <w:r>
        <w:rPr>
          <w:rFonts w:hint="cs"/>
          <w:rtl/>
        </w:rPr>
        <w:t xml:space="preserve"> </w:t>
      </w:r>
      <w:r w:rsidR="00404D3C">
        <w:rPr>
          <w:rFonts w:hint="cs"/>
          <w:rtl/>
        </w:rPr>
        <w:t xml:space="preserve">استؤنفت </w:t>
      </w:r>
      <w:r>
        <w:rPr>
          <w:rFonts w:hint="cs"/>
          <w:rtl/>
        </w:rPr>
        <w:t>الدورة</w:t>
      </w:r>
      <w:r w:rsidR="00404D3C">
        <w:rPr>
          <w:rFonts w:hint="cs"/>
          <w:rtl/>
        </w:rPr>
        <w:t xml:space="preserve"> الرابعة للجنة.</w:t>
      </w:r>
    </w:p>
    <w:p w:rsidR="001A5813" w:rsidRPr="00404D3C" w:rsidRDefault="001A5813" w:rsidP="00404D3C">
      <w:pPr>
        <w:pStyle w:val="NormalParaAR"/>
        <w:keepNext/>
        <w:rPr>
          <w:b/>
          <w:bCs/>
          <w:sz w:val="40"/>
          <w:szCs w:val="40"/>
        </w:rPr>
      </w:pPr>
      <w:r w:rsidRPr="001A5813">
        <w:rPr>
          <w:rFonts w:hint="cs"/>
          <w:b/>
          <w:bCs/>
          <w:sz w:val="40"/>
          <w:szCs w:val="40"/>
          <w:rtl/>
        </w:rPr>
        <w:t>خارطة الطريق</w:t>
      </w:r>
    </w:p>
    <w:p w:rsidR="001A5813" w:rsidRDefault="00404D3C" w:rsidP="001A5813">
      <w:pPr>
        <w:pStyle w:val="NumberedParaAR"/>
      </w:pPr>
      <w:r>
        <w:rPr>
          <w:rFonts w:hint="cs"/>
          <w:rtl/>
        </w:rPr>
        <w:t>بدء الجولة الثامنة من المناقشات بغية</w:t>
      </w:r>
      <w:r w:rsidR="001A5813">
        <w:rPr>
          <w:rFonts w:hint="cs"/>
          <w:rtl/>
        </w:rPr>
        <w:t xml:space="preserve"> استكمال التقييم التقني لعملية الانتقال من المعيار</w:t>
      </w:r>
      <w:r w:rsidR="001A5813">
        <w:rPr>
          <w:rFonts w:hint="eastAsia"/>
          <w:rtl/>
        </w:rPr>
        <w:t> </w:t>
      </w:r>
      <w:r w:rsidR="001A5813" w:rsidRPr="00116C63">
        <w:t>ST.25</w:t>
      </w:r>
      <w:r w:rsidR="001A5813">
        <w:rPr>
          <w:rFonts w:hint="cs"/>
          <w:rtl/>
        </w:rPr>
        <w:t xml:space="preserve"> إلى المعيار</w:t>
      </w:r>
      <w:r w:rsidR="001A5813">
        <w:rPr>
          <w:rFonts w:hint="eastAsia"/>
          <w:rtl/>
        </w:rPr>
        <w:t> </w:t>
      </w:r>
      <w:r w:rsidR="001A5813" w:rsidRPr="00116C63">
        <w:t>ST.26</w:t>
      </w:r>
      <w:r w:rsidR="001A5813">
        <w:rPr>
          <w:rFonts w:hint="cs"/>
          <w:rtl/>
        </w:rPr>
        <w:t>.</w:t>
      </w:r>
    </w:p>
    <w:p w:rsidR="001A5813" w:rsidRDefault="00404D3C" w:rsidP="0082223D">
      <w:pPr>
        <w:pStyle w:val="NumberedParaAR"/>
        <w:spacing w:after="480"/>
      </w:pPr>
      <w:r>
        <w:rPr>
          <w:rFonts w:hint="cs"/>
          <w:rtl/>
        </w:rPr>
        <w:t>إتمام وضع</w:t>
      </w:r>
      <w:r w:rsidR="001A5813">
        <w:rPr>
          <w:rFonts w:hint="cs"/>
          <w:rtl/>
        </w:rPr>
        <w:t xml:space="preserve"> </w:t>
      </w:r>
      <w:r>
        <w:rPr>
          <w:rFonts w:hint="cs"/>
          <w:rtl/>
        </w:rPr>
        <w:t xml:space="preserve">مجموعة من التوصيات بشأن </w:t>
      </w:r>
      <w:r w:rsidR="001A5813">
        <w:rPr>
          <w:rFonts w:hint="cs"/>
          <w:rtl/>
        </w:rPr>
        <w:t>عملية الانتقال من المعيار</w:t>
      </w:r>
      <w:r w:rsidR="001A5813">
        <w:rPr>
          <w:rFonts w:hint="eastAsia"/>
          <w:rtl/>
        </w:rPr>
        <w:t> </w:t>
      </w:r>
      <w:r w:rsidR="001A5813" w:rsidRPr="00116C63">
        <w:t>ST.25</w:t>
      </w:r>
      <w:r w:rsidR="001A5813">
        <w:rPr>
          <w:rFonts w:hint="cs"/>
          <w:rtl/>
        </w:rPr>
        <w:t xml:space="preserve"> إلى المعيار</w:t>
      </w:r>
      <w:r w:rsidR="001A5813">
        <w:rPr>
          <w:rFonts w:hint="eastAsia"/>
          <w:rtl/>
        </w:rPr>
        <w:t> </w:t>
      </w:r>
      <w:r w:rsidR="001A5813" w:rsidRPr="00116C63">
        <w:t>ST.26</w:t>
      </w:r>
      <w:r w:rsidR="001A5813">
        <w:rPr>
          <w:rFonts w:hint="cs"/>
          <w:rtl/>
        </w:rPr>
        <w:t xml:space="preserve"> وتقديمه</w:t>
      </w:r>
      <w:r>
        <w:rPr>
          <w:rFonts w:hint="cs"/>
          <w:rtl/>
        </w:rPr>
        <w:t xml:space="preserve">ا إلى اللجنة في دورتها القادمة التي ستعقد عام 2017 </w:t>
      </w:r>
      <w:r w:rsidR="001A5813">
        <w:rPr>
          <w:rFonts w:hint="cs"/>
          <w:rtl/>
        </w:rPr>
        <w:t>كي تنظر فيه</w:t>
      </w:r>
      <w:r>
        <w:rPr>
          <w:rFonts w:hint="cs"/>
          <w:rtl/>
        </w:rPr>
        <w:t>ا</w:t>
      </w:r>
      <w:r w:rsidR="001A5813">
        <w:rPr>
          <w:rFonts w:hint="cs"/>
          <w:rtl/>
        </w:rPr>
        <w:t xml:space="preserve"> وتعتمده</w:t>
      </w:r>
      <w:r>
        <w:rPr>
          <w:rFonts w:hint="cs"/>
          <w:rtl/>
        </w:rPr>
        <w:t>ا</w:t>
      </w:r>
      <w:r w:rsidR="001A5813">
        <w:rPr>
          <w:rFonts w:hint="cs"/>
          <w:rtl/>
        </w:rPr>
        <w:t>.</w:t>
      </w:r>
    </w:p>
    <w:p w:rsidR="00CF6CD2" w:rsidRDefault="00CF6CD2" w:rsidP="00CF6CD2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CF6CD2" w:rsidSect="001A5813">
      <w:headerReference w:type="default" r:id="rId16"/>
      <w:headerReference w:type="first" r:id="rId17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D9" w:rsidRDefault="003551D9">
      <w:r>
        <w:separator/>
      </w:r>
    </w:p>
  </w:endnote>
  <w:endnote w:type="continuationSeparator" w:id="0">
    <w:p w:rsidR="003551D9" w:rsidRDefault="003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E0" w:rsidRDefault="00921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E0" w:rsidRDefault="00921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E0" w:rsidRDefault="00921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D9" w:rsidRDefault="003551D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551D9" w:rsidRDefault="003551D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E0" w:rsidRDefault="00921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5C64F7">
    <w:r>
      <w:t>PCT</w:t>
    </w:r>
    <w:r w:rsidR="00772E46">
      <w:t>/</w:t>
    </w:r>
    <w:r w:rsidR="00C742C5">
      <w:t>WG</w:t>
    </w:r>
    <w:r w:rsidR="002F77FC">
      <w:t>/</w:t>
    </w:r>
    <w:r w:rsidR="005C64F7">
      <w:t>8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A5813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E0" w:rsidRDefault="00921E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E0" w:rsidRPr="001B58DC" w:rsidRDefault="00921EE0" w:rsidP="00921EE0">
    <w:pPr>
      <w:rPr>
        <w:szCs w:val="22"/>
      </w:rPr>
    </w:pPr>
    <w:r w:rsidRPr="001B58DC">
      <w:rPr>
        <w:szCs w:val="22"/>
      </w:rPr>
      <w:t>PCT/WG/</w:t>
    </w:r>
    <w:r w:rsidRPr="001B58DC">
      <w:rPr>
        <w:rFonts w:hint="cs"/>
        <w:szCs w:val="22"/>
        <w:rtl/>
      </w:rPr>
      <w:t>9</w:t>
    </w:r>
    <w:r w:rsidRPr="001B58DC">
      <w:rPr>
        <w:szCs w:val="22"/>
      </w:rPr>
      <w:t>/1</w:t>
    </w:r>
    <w:r w:rsidRPr="001B58DC">
      <w:rPr>
        <w:rFonts w:hint="cs"/>
        <w:szCs w:val="22"/>
        <w:rtl/>
      </w:rPr>
      <w:t>5</w:t>
    </w:r>
  </w:p>
  <w:p w:rsidR="001A5813" w:rsidRDefault="001A5813" w:rsidP="001A5813">
    <w:pPr>
      <w:pStyle w:val="Header"/>
    </w:pPr>
    <w:r>
      <w:t>Annex</w:t>
    </w:r>
  </w:p>
  <w:p w:rsidR="001A5813" w:rsidRDefault="001A5813" w:rsidP="00D61541">
    <w:r>
      <w:fldChar w:fldCharType="begin"/>
    </w:r>
    <w:r>
      <w:instrText xml:space="preserve"> PAGE   \* MERGEFORMAT </w:instrText>
    </w:r>
    <w:r>
      <w:fldChar w:fldCharType="separate"/>
    </w:r>
    <w:r w:rsidR="005A1622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13" w:rsidRPr="001B58DC" w:rsidRDefault="001B58DC" w:rsidP="001A5813">
    <w:pPr>
      <w:rPr>
        <w:szCs w:val="22"/>
      </w:rPr>
    </w:pPr>
    <w:r w:rsidRPr="001B58DC">
      <w:rPr>
        <w:szCs w:val="22"/>
      </w:rPr>
      <w:t>PCT/WG/</w:t>
    </w:r>
    <w:r w:rsidRPr="001B58DC">
      <w:rPr>
        <w:rFonts w:hint="cs"/>
        <w:szCs w:val="22"/>
        <w:rtl/>
      </w:rPr>
      <w:t>9</w:t>
    </w:r>
    <w:r w:rsidRPr="001B58DC">
      <w:rPr>
        <w:szCs w:val="22"/>
      </w:rPr>
      <w:t>/1</w:t>
    </w:r>
    <w:r w:rsidRPr="001B58DC">
      <w:rPr>
        <w:rFonts w:hint="cs"/>
        <w:szCs w:val="22"/>
        <w:rtl/>
      </w:rPr>
      <w:t>5</w:t>
    </w:r>
  </w:p>
  <w:p w:rsidR="001A5813" w:rsidRDefault="001A5813" w:rsidP="001A5813">
    <w:pPr>
      <w:pStyle w:val="Header"/>
    </w:pPr>
    <w:r>
      <w:t>ANNEX</w:t>
    </w:r>
  </w:p>
  <w:p w:rsidR="001A5813" w:rsidRPr="001A5813" w:rsidRDefault="001A5813" w:rsidP="001A5813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1A5813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D4B0FAAC"/>
    <w:lvl w:ilvl="0" w:tplc="69EE5C28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D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C63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813"/>
    <w:rsid w:val="001A6B88"/>
    <w:rsid w:val="001A6C33"/>
    <w:rsid w:val="001A6E68"/>
    <w:rsid w:val="001B3131"/>
    <w:rsid w:val="001B4B2F"/>
    <w:rsid w:val="001B58DC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1D9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4D3C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3D5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25D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132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1622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90D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D82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0AEF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23B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23D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4900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5D68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1EE0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D2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AEA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097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4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CD2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765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5B0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024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B7E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B9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F3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947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A581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A581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FCE8-C01B-4EAF-8F7C-687EBC39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PCT_WG_8_AR.dotx</Template>
  <TotalTime>2</TotalTime>
  <Pages>3</Pages>
  <Words>553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PCT/WG/8/13(Arabic)</vt:lpstr>
    </vt:vector>
  </TitlesOfParts>
  <Company>World Intellectual Property Organization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PCT/WG/8/13(Arabic)</dc:title>
  <dc:creator>وثيقة من إعداد المكتب الدولي</dc:creator>
  <cp:lastModifiedBy>CHADAREVIAN Diane</cp:lastModifiedBy>
  <cp:revision>4</cp:revision>
  <cp:lastPrinted>2016-04-06T07:17:00Z</cp:lastPrinted>
  <dcterms:created xsi:type="dcterms:W3CDTF">2016-04-06T07:17:00Z</dcterms:created>
  <dcterms:modified xsi:type="dcterms:W3CDTF">2016-04-06T07:18:00Z</dcterms:modified>
</cp:coreProperties>
</file>